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425450</wp:posOffset>
            </wp:positionH>
            <wp:positionV relativeFrom="page">
              <wp:posOffset>627380</wp:posOffset>
            </wp:positionV>
            <wp:extent cx="6907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7530" cy="8255"/>
                    </a:xfrm>
                    <a:prstGeom prst="rect">
                      <a:avLst/>
                    </a:prstGeom>
                    <a:noFill/>
                  </pic:spPr>
                </pic:pic>
              </a:graphicData>
            </a:graphic>
          </wp:anchor>
        </w:drawing>
        <w:t>UNITED STATES</w:t>
      </w:r>
    </w:p>
    <w:p>
      <w:pPr>
        <w:spacing w:after="0" w:line="2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9" w:lineRule="exact"/>
        <w:rPr>
          <w:sz w:val="24"/>
          <w:szCs w:val="24"/>
          <w:color w:val="auto"/>
        </w:rPr>
      </w:pPr>
    </w:p>
    <w:p>
      <w:pPr>
        <w:ind w:left="380"/>
        <w:spacing w:after="0"/>
        <w:tabs>
          <w:tab w:leader="none" w:pos="5340" w:val="left"/>
        </w:tabs>
        <w:rPr>
          <w:sz w:val="20"/>
          <w:szCs w:val="20"/>
          <w:color w:val="auto"/>
        </w:rPr>
      </w:pPr>
      <w:r>
        <w:rPr>
          <w:rFonts w:ascii="Times New Roman" w:cs="Times New Roman" w:eastAsia="Times New Roman" w:hAnsi="Times New Roman"/>
          <w:sz w:val="18"/>
          <w:szCs w:val="18"/>
          <w:color w:val="auto"/>
        </w:rPr>
        <w:t>(Mark One)</w:t>
      </w:r>
      <w:r>
        <w:rPr>
          <w:sz w:val="20"/>
          <w:szCs w:val="20"/>
          <w:color w:val="auto"/>
        </w:rPr>
        <w:tab/>
      </w:r>
      <w:r>
        <w:rPr>
          <w:rFonts w:ascii="Times New Roman" w:cs="Times New Roman" w:eastAsia="Times New Roman" w:hAnsi="Times New Roman"/>
          <w:sz w:val="17"/>
          <w:szCs w:val="17"/>
          <w:b w:val="1"/>
          <w:bCs w:val="1"/>
          <w:color w:val="auto"/>
        </w:rPr>
        <w:t>Form 10-Q</w:t>
      </w:r>
    </w:p>
    <w:p>
      <w:pPr>
        <w:spacing w:after="0" w:line="124" w:lineRule="exact"/>
        <w:rPr>
          <w:sz w:val="24"/>
          <w:szCs w:val="24"/>
          <w:color w:val="auto"/>
        </w:rPr>
      </w:pPr>
    </w:p>
    <w:p>
      <w:pPr>
        <w:ind w:left="700" w:hanging="358"/>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8" w:lineRule="exact"/>
        <w:rPr>
          <w:sz w:val="24"/>
          <w:szCs w:val="24"/>
          <w:color w:val="auto"/>
        </w:rPr>
      </w:pPr>
    </w:p>
    <w:p>
      <w:pPr>
        <w:ind w:left="700"/>
        <w:spacing w:after="0"/>
        <w:tabs>
          <w:tab w:leader="none" w:pos="3660" w:val="left"/>
        </w:tabs>
        <w:rPr>
          <w:sz w:val="20"/>
          <w:szCs w:val="20"/>
          <w:color w:val="auto"/>
        </w:rPr>
      </w:pPr>
      <w:r>
        <w:rPr>
          <w:rFonts w:ascii="Times New Roman" w:cs="Times New Roman" w:eastAsia="Times New Roman" w:hAnsi="Times New Roman"/>
          <w:sz w:val="18"/>
          <w:szCs w:val="18"/>
          <w:color w:val="auto"/>
        </w:rPr>
        <w:t>For the quarterly period ended</w:t>
      </w:r>
      <w:r>
        <w:rPr>
          <w:sz w:val="20"/>
          <w:szCs w:val="20"/>
          <w:color w:val="auto"/>
        </w:rPr>
        <w:tab/>
      </w:r>
      <w:r>
        <w:rPr>
          <w:rFonts w:ascii="Times New Roman" w:cs="Times New Roman" w:eastAsia="Times New Roman" w:hAnsi="Times New Roman"/>
          <w:sz w:val="17"/>
          <w:szCs w:val="17"/>
          <w:color w:val="auto"/>
        </w:rPr>
        <w:t>June 30, 2024</w:t>
      </w:r>
    </w:p>
    <w:p>
      <w:pPr>
        <w:spacing w:after="0" w:line="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or</w:t>
      </w:r>
    </w:p>
    <w:p>
      <w:pPr>
        <w:spacing w:after="0" w:line="18" w:lineRule="exact"/>
        <w:rPr>
          <w:sz w:val="24"/>
          <w:szCs w:val="24"/>
          <w:color w:val="auto"/>
        </w:rPr>
      </w:pPr>
    </w:p>
    <w:p>
      <w:pPr>
        <w:ind w:left="700" w:hanging="358"/>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transition period from __________________________________to __________________________________</w:t>
      </w:r>
    </w:p>
    <w:p>
      <w:pPr>
        <w:spacing w:after="0" w:line="4" w:lineRule="exact"/>
        <w:rPr>
          <w:sz w:val="24"/>
          <w:szCs w:val="24"/>
          <w:color w:val="auto"/>
        </w:rPr>
      </w:pPr>
    </w:p>
    <w:tbl>
      <w:tblPr>
        <w:tblLayout w:type="fixed"/>
        <w:tblInd w:w="700" w:type="dxa"/>
        <w:tblCellMar>
          <w:top w:w="0" w:type="dxa"/>
          <w:left w:w="0" w:type="dxa"/>
          <w:bottom w:w="0" w:type="dxa"/>
          <w:right w:w="0" w:type="dxa"/>
        </w:tblCellMar>
      </w:tblPr>
      <w:tr>
        <w:trPr>
          <w:trHeight w:val="23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001-36504</w:t>
            </w:r>
          </w:p>
        </w:tc>
      </w:tr>
    </w:tbl>
    <w:p>
      <w:pPr>
        <w:spacing w:after="0" w:line="6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6" w:lineRule="exact"/>
        <w:rPr>
          <w:sz w:val="24"/>
          <w:szCs w:val="24"/>
          <w:color w:val="auto"/>
        </w:rPr>
      </w:pPr>
    </w:p>
    <w:tbl>
      <w:tblPr>
        <w:tblLayout w:type="fixed"/>
        <w:tblInd w:w="440" w:type="dxa"/>
        <w:tblCellMar>
          <w:top w:w="0" w:type="dxa"/>
          <w:left w:w="0" w:type="dxa"/>
          <w:bottom w:w="0" w:type="dxa"/>
          <w:right w:w="0" w:type="dxa"/>
        </w:tblCellMar>
      </w:tblPr>
      <w:tr>
        <w:trPr>
          <w:trHeight w:val="232"/>
        </w:trPr>
        <w:tc>
          <w:tcPr>
            <w:tcW w:w="7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40" w:type="dxa"/>
            <w:vAlign w:val="bottom"/>
          </w:tcPr>
          <w:p>
            <w:pPr>
              <w:jc w:val="right"/>
              <w:ind w:right="1252"/>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378"/>
        </w:trPr>
        <w:tc>
          <w:tcPr>
            <w:tcW w:w="71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   , Texas</w:t>
            </w:r>
          </w:p>
        </w:tc>
        <w:tc>
          <w:tcPr>
            <w:tcW w:w="3540" w:type="dxa"/>
            <w:vAlign w:val="bottom"/>
          </w:tcPr>
          <w:p>
            <w:pPr>
              <w:jc w:val="right"/>
              <w:ind w:right="1452"/>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5"/>
        </w:trPr>
        <w:tc>
          <w:tcPr>
            <w:tcW w:w="6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53"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713.836.4000</w:t>
      </w:r>
    </w:p>
    <w:p>
      <w:pPr>
        <w:spacing w:after="0" w:line="13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wp:posOffset>
            </wp:positionH>
            <wp:positionV relativeFrom="paragraph">
              <wp:posOffset>15875</wp:posOffset>
            </wp:positionV>
            <wp:extent cx="61753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5375" cy="8255"/>
                    </a:xfrm>
                    <a:prstGeom prst="rect">
                      <a:avLst/>
                    </a:prstGeom>
                    <a:noFill/>
                  </pic:spPr>
                </pic:pic>
              </a:graphicData>
            </a:graphic>
          </wp:anchor>
        </w:drawing>
      </w:r>
    </w:p>
    <w:p>
      <w:pPr>
        <w:spacing w:after="0" w:line="1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2" w:lineRule="exact"/>
        <w:rPr>
          <w:sz w:val="24"/>
          <w:szCs w:val="24"/>
          <w:color w:val="auto"/>
        </w:rPr>
      </w:pPr>
    </w:p>
    <w:tbl>
      <w:tblPr>
        <w:tblLayout w:type="fixed"/>
        <w:tblInd w:w="400" w:type="dxa"/>
        <w:tblCellMar>
          <w:top w:w="0" w:type="dxa"/>
          <w:left w:w="0" w:type="dxa"/>
          <w:bottom w:w="0" w:type="dxa"/>
          <w:right w:w="0" w:type="dxa"/>
        </w:tblCellMar>
      </w:tblPr>
      <w:tr>
        <w:trPr>
          <w:trHeight w:val="232"/>
        </w:trPr>
        <w:tc>
          <w:tcPr>
            <w:tcW w:w="38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4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5"/>
        </w:trPr>
        <w:tc>
          <w:tcPr>
            <w:tcW w:w="386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Ordinary shares, $0.001 par value per share</w:t>
            </w:r>
          </w:p>
        </w:tc>
        <w:tc>
          <w:tcPr>
            <w:tcW w:w="2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WFRD</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Nasdaq Global Select Market</w:t>
            </w:r>
          </w:p>
        </w:tc>
      </w:tr>
    </w:tbl>
    <w:p>
      <w:pPr>
        <w:spacing w:after="0" w:line="36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1300" w:type="dxa"/>
        <w:tblCellMar>
          <w:top w:w="0" w:type="dxa"/>
          <w:left w:w="0" w:type="dxa"/>
          <w:bottom w:w="0" w:type="dxa"/>
          <w:right w:w="0" w:type="dxa"/>
        </w:tblCellMar>
      </w:tblPr>
      <w:tr>
        <w:trPr>
          <w:trHeight w:val="265"/>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3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2" w:lineRule="exact"/>
        <w:tabs>
          <w:tab w:leader="none" w:pos="8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19, 2024, there were 73,158,479 Weatherford ordinary shares,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372110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for the Second Quarter Ended June 30,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6"/>
        </w:trPr>
        <w:tc>
          <w:tcPr>
            <w:tcW w:w="34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100" w:type="dxa"/>
            <w:vAlign w:val="bottom"/>
            <w:tcBorders>
              <w:bottom w:val="single" w:sz="8" w:color="auto"/>
            </w:tcBorders>
          </w:tcPr>
          <w:p>
            <w:pPr>
              <w:spacing w:after="0"/>
              <w:rPr>
                <w:sz w:val="24"/>
                <w:szCs w:val="24"/>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3100" w:type="dxa"/>
            <w:vAlign w:val="bottom"/>
            <w:tcBorders>
              <w:bottom w:val="single" w:sz="8" w:color="0000FF"/>
            </w:tcBorders>
            <w:gridSpan w:val="12"/>
            <w:shd w:val="clear" w:color="auto" w:fill="CCEEFF"/>
          </w:tcPr>
          <w:p>
            <w:pPr>
              <w:spacing w:after="0" w:line="165"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6840" w:type="dxa"/>
            <w:vAlign w:val="bottom"/>
            <w:tcBorders>
              <w:bottom w:val="single" w:sz="8" w:color="CCEEFF"/>
            </w:tcBorders>
            <w:gridSpan w:val="3"/>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left w:val="single" w:sz="8" w:color="CCEEFF"/>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86"/>
        </w:trPr>
        <w:tc>
          <w:tcPr>
            <w:tcW w:w="340" w:type="dxa"/>
            <w:vAlign w:val="bottom"/>
          </w:tcPr>
          <w:p>
            <w:pPr>
              <w:spacing w:after="0"/>
              <w:rPr>
                <w:sz w:val="16"/>
                <w:szCs w:val="16"/>
                <w:color w:val="auto"/>
              </w:rPr>
            </w:pPr>
          </w:p>
        </w:tc>
        <w:tc>
          <w:tcPr>
            <w:tcW w:w="9940" w:type="dxa"/>
            <w:vAlign w:val="bottom"/>
            <w:gridSpan w:val="15"/>
          </w:tcPr>
          <w:p>
            <w:pPr>
              <w:spacing w:after="0" w:line="18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680" w:type="dxa"/>
            <w:vAlign w:val="bottom"/>
            <w:gridSpan w:val="2"/>
          </w:tcPr>
          <w:p>
            <w:pPr>
              <w:jc w:val="center"/>
              <w:ind w:left="492"/>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
        </w:trPr>
        <w:tc>
          <w:tcPr>
            <w:tcW w:w="34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17</w:t>
            </w:r>
          </w:p>
        </w:tc>
        <w:tc>
          <w:tcPr>
            <w:tcW w:w="100" w:type="dxa"/>
            <w:vAlign w:val="bottom"/>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6900" w:type="dxa"/>
            <w:vAlign w:val="bottom"/>
            <w:tcBorders>
              <w:top w:val="single" w:sz="8" w:color="0000FF"/>
            </w:tcBorders>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04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28</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4860" w:type="dxa"/>
            <w:vAlign w:val="bottom"/>
            <w:tcBorders>
              <w:top w:val="single" w:sz="8" w:color="0000FF"/>
            </w:tcBorders>
            <w:gridSpan w:val="1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08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29</w:t>
            </w:r>
          </w:p>
        </w:tc>
        <w:tc>
          <w:tcPr>
            <w:tcW w:w="2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2"/>
        </w:trPr>
        <w:tc>
          <w:tcPr>
            <w:tcW w:w="340" w:type="dxa"/>
            <w:vAlign w:val="bottom"/>
          </w:tcPr>
          <w:p>
            <w:pPr>
              <w:spacing w:after="0"/>
              <w:rPr>
                <w:sz w:val="21"/>
                <w:szCs w:val="21"/>
                <w:color w:val="auto"/>
              </w:rPr>
            </w:pPr>
          </w:p>
        </w:tc>
        <w:tc>
          <w:tcPr>
            <w:tcW w:w="1080" w:type="dxa"/>
            <w:vAlign w:val="bottom"/>
            <w:tcBorders>
              <w:top w:val="single" w:sz="8" w:color="0000FF"/>
            </w:tcBorders>
            <w:gridSpan w:val="2"/>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76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04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9940" w:type="dxa"/>
            <w:vAlign w:val="bottom"/>
            <w:gridSpan w:val="15"/>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5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5"/>
        </w:trPr>
        <w:tc>
          <w:tcPr>
            <w:tcW w:w="340" w:type="dxa"/>
            <w:vAlign w:val="bottom"/>
          </w:tcPr>
          <w:p>
            <w:pPr>
              <w:spacing w:after="0"/>
              <w:rPr>
                <w:sz w:val="16"/>
                <w:szCs w:val="16"/>
                <w:color w:val="auto"/>
              </w:rPr>
            </w:pPr>
          </w:p>
        </w:tc>
        <w:tc>
          <w:tcPr>
            <w:tcW w:w="1900" w:type="dxa"/>
            <w:vAlign w:val="bottom"/>
            <w:tcBorders>
              <w:top w:val="single" w:sz="8" w:color="0000FF"/>
              <w:bottom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7"/>
              </w:rPr>
              <w:t>Item 1. Legal Proceedings.</w:t>
            </w:r>
          </w:p>
        </w:tc>
        <w:tc>
          <w:tcPr>
            <w:tcW w:w="900" w:type="dxa"/>
            <w:vAlign w:val="bottom"/>
            <w:tcBorders>
              <w:top w:val="single" w:sz="8" w:color="0000FF"/>
            </w:tcBorders>
            <w:gridSpan w:val="4"/>
          </w:tcPr>
          <w:p>
            <w:pPr>
              <w:spacing w:after="0"/>
              <w:rPr>
                <w:sz w:val="16"/>
                <w:szCs w:val="16"/>
                <w:color w:val="auto"/>
              </w:rPr>
            </w:pPr>
          </w:p>
        </w:tc>
        <w:tc>
          <w:tcPr>
            <w:tcW w:w="7140" w:type="dxa"/>
            <w:vAlign w:val="bottom"/>
            <w:tcBorders>
              <w:top w:val="single" w:sz="8" w:color="CCEEFF"/>
            </w:tcBorders>
            <w:gridSpan w:val="5"/>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00" w:type="dxa"/>
            <w:vAlign w:val="bottom"/>
            <w:tcBorders>
              <w:top w:val="single" w:sz="8" w:color="CCEE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29</w:t>
            </w: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195"/>
        </w:trPr>
        <w:tc>
          <w:tcPr>
            <w:tcW w:w="340" w:type="dxa"/>
            <w:vAlign w:val="bottom"/>
            <w:tcBorders>
              <w:right w:val="single" w:sz="8" w:color="CCEEFF"/>
            </w:tcBorders>
          </w:tcPr>
          <w:p>
            <w:pPr>
              <w:spacing w:after="0"/>
              <w:rPr>
                <w:sz w:val="16"/>
                <w:szCs w:val="16"/>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1A. Risk Factors.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shd w:val="clear" w:color="auto" w:fill="CCEEFF"/>
          </w:tcPr>
          <w:p>
            <w:pPr>
              <w:spacing w:after="0"/>
              <w:rPr>
                <w:sz w:val="16"/>
                <w:szCs w:val="16"/>
                <w:color w:val="auto"/>
              </w:rPr>
            </w:pPr>
          </w:p>
        </w:tc>
      </w:tr>
      <w:tr>
        <w:trPr>
          <w:trHeight w:val="40"/>
        </w:trPr>
        <w:tc>
          <w:tcPr>
            <w:tcW w:w="340" w:type="dxa"/>
            <w:vAlign w:val="bottom"/>
            <w:tcBorders>
              <w:right w:val="single" w:sz="8" w:color="CCEEFF"/>
            </w:tcBorders>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76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5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r>
        <w:trPr>
          <w:trHeight w:val="195"/>
        </w:trPr>
        <w:tc>
          <w:tcPr>
            <w:tcW w:w="340" w:type="dxa"/>
            <w:vAlign w:val="bottom"/>
          </w:tcPr>
          <w:p>
            <w:pPr>
              <w:spacing w:after="0"/>
              <w:rPr>
                <w:sz w:val="16"/>
                <w:szCs w:val="16"/>
                <w:color w:val="auto"/>
              </w:rPr>
            </w:pPr>
          </w:p>
        </w:tc>
        <w:tc>
          <w:tcPr>
            <w:tcW w:w="4860" w:type="dxa"/>
            <w:vAlign w:val="bottom"/>
            <w:tcBorders>
              <w:bottom w:val="single" w:sz="8" w:color="0000FF"/>
            </w:tcBorders>
            <w:gridSpan w:val="13"/>
          </w:tcPr>
          <w:p>
            <w:pPr>
              <w:spacing w:after="0" w:line="186" w:lineRule="exact"/>
              <w:rPr>
                <w:sz w:val="20"/>
                <w:szCs w:val="20"/>
                <w:color w:val="auto"/>
              </w:rPr>
            </w:pPr>
            <w:r>
              <w:rPr>
                <w:rFonts w:ascii="Times New Roman" w:cs="Times New Roman" w:eastAsia="Times New Roman" w:hAnsi="Times New Roman"/>
                <w:sz w:val="18"/>
                <w:szCs w:val="18"/>
                <w:color w:val="0000FF"/>
                <w:w w:val="97"/>
              </w:rPr>
              <w:t>Item 2. Unregistered Sales of Equity Securities and Use of Proceeds.</w:t>
            </w:r>
          </w:p>
        </w:tc>
        <w:tc>
          <w:tcPr>
            <w:tcW w:w="508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29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3.</w:t>
            </w:r>
          </w:p>
        </w:tc>
        <w:tc>
          <w:tcPr>
            <w:tcW w:w="2360" w:type="dxa"/>
            <w:vAlign w:val="bottom"/>
            <w:tcBorders>
              <w:bottom w:val="single" w:sz="8" w:color="0000FF"/>
            </w:tcBorders>
            <w:gridSpan w:val="10"/>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7060" w:type="dxa"/>
            <w:vAlign w:val="bottom"/>
            <w:tcBorders>
              <w:bottom w:val="single" w:sz="8" w:color="CCEEFF"/>
            </w:tcBorders>
            <w:gridSpan w:val="4"/>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29</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7"/>
              </w:rPr>
              <w:t>Item 4.</w:t>
            </w:r>
          </w:p>
        </w:tc>
        <w:tc>
          <w:tcPr>
            <w:tcW w:w="9420" w:type="dxa"/>
            <w:vAlign w:val="bottom"/>
            <w:gridSpan w:val="14"/>
          </w:tcPr>
          <w:p>
            <w:pPr>
              <w:ind w:left="20"/>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960" w:type="dxa"/>
            <w:vAlign w:val="bottom"/>
            <w:gridSpan w:val="3"/>
          </w:tcPr>
          <w:p>
            <w:pPr>
              <w:jc w:val="center"/>
              <w:ind w:left="212"/>
              <w:spacing w:after="0" w:line="186" w:lineRule="exact"/>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520" w:type="dxa"/>
            <w:vAlign w:val="bottom"/>
            <w:tcBorders>
              <w:top w:val="single" w:sz="8" w:color="0000FF"/>
              <w:bottom w:val="single" w:sz="8" w:color="0000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Item 5.</w:t>
            </w:r>
          </w:p>
        </w:tc>
        <w:tc>
          <w:tcPr>
            <w:tcW w:w="1360" w:type="dxa"/>
            <w:vAlign w:val="bottom"/>
            <w:tcBorders>
              <w:top w:val="single" w:sz="8" w:color="0000FF"/>
              <w:bottom w:val="single" w:sz="8" w:color="0000FF"/>
            </w:tcBorders>
            <w:gridSpan w:val="4"/>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7660" w:type="dxa"/>
            <w:vAlign w:val="bottom"/>
            <w:tcBorders>
              <w:bottom w:val="single" w:sz="8" w:color="CCEEFF"/>
            </w:tcBorders>
            <w:gridSpan w:val="7"/>
            <w:shd w:val="clear" w:color="auto" w:fill="CCEEFF"/>
          </w:tcPr>
          <w:p>
            <w:pPr>
              <w:spacing w:after="0"/>
              <w:rPr>
                <w:sz w:val="18"/>
                <w:szCs w:val="18"/>
                <w:color w:val="auto"/>
              </w:rPr>
            </w:pPr>
          </w:p>
        </w:tc>
        <w:tc>
          <w:tcPr>
            <w:tcW w:w="5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0000FF"/>
              <w:bottom w:val="single" w:sz="8" w:color="0000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77"/>
              </w:rPr>
              <w:t>29</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95"/>
        </w:trPr>
        <w:tc>
          <w:tcPr>
            <w:tcW w:w="340" w:type="dxa"/>
            <w:vAlign w:val="bottom"/>
          </w:tcPr>
          <w:p>
            <w:pPr>
              <w:spacing w:after="0"/>
              <w:rPr>
                <w:sz w:val="16"/>
                <w:szCs w:val="16"/>
                <w:color w:val="auto"/>
              </w:rPr>
            </w:pPr>
          </w:p>
        </w:tc>
        <w:tc>
          <w:tcPr>
            <w:tcW w:w="520" w:type="dxa"/>
            <w:vAlign w:val="bottom"/>
            <w:tcBorders>
              <w:bottom w:val="single" w:sz="8" w:color="0000FF"/>
            </w:tcBorders>
          </w:tcPr>
          <w:p>
            <w:pPr>
              <w:spacing w:after="0" w:line="186" w:lineRule="exact"/>
              <w:rPr>
                <w:sz w:val="20"/>
                <w:szCs w:val="20"/>
                <w:color w:val="auto"/>
              </w:rPr>
            </w:pPr>
            <w:r>
              <w:rPr>
                <w:rFonts w:ascii="Times New Roman" w:cs="Times New Roman" w:eastAsia="Times New Roman" w:hAnsi="Times New Roman"/>
                <w:sz w:val="18"/>
                <w:szCs w:val="18"/>
                <w:color w:val="0000FF"/>
                <w:w w:val="97"/>
              </w:rPr>
              <w:t>Item 6.</w:t>
            </w:r>
          </w:p>
        </w:tc>
        <w:tc>
          <w:tcPr>
            <w:tcW w:w="660" w:type="dxa"/>
            <w:vAlign w:val="bottom"/>
            <w:tcBorders>
              <w:bottom w:val="single" w:sz="8" w:color="0000FF"/>
            </w:tcBorders>
            <w:gridSpan w:val="2"/>
          </w:tcPr>
          <w:p>
            <w:pPr>
              <w:ind w:left="20"/>
              <w:spacing w:after="0" w:line="186" w:lineRule="exact"/>
              <w:rPr>
                <w:sz w:val="20"/>
                <w:szCs w:val="20"/>
                <w:color w:val="auto"/>
              </w:rPr>
            </w:pPr>
            <w:r>
              <w:rPr>
                <w:rFonts w:ascii="Times New Roman" w:cs="Times New Roman" w:eastAsia="Times New Roman" w:hAnsi="Times New Roman"/>
                <w:sz w:val="18"/>
                <w:szCs w:val="18"/>
                <w:color w:val="0000FF"/>
                <w:w w:val="96"/>
              </w:rPr>
              <w:t>Exhibits.</w:t>
            </w:r>
          </w:p>
        </w:tc>
        <w:tc>
          <w:tcPr>
            <w:tcW w:w="8760" w:type="dxa"/>
            <w:vAlign w:val="bottom"/>
            <w:gridSpan w:val="12"/>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77"/>
              </w:rPr>
              <w:t>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40" w:type="dxa"/>
            <w:vAlign w:val="bottom"/>
            <w:tcBorders>
              <w:right w:val="single" w:sz="8" w:color="CCEEFF"/>
            </w:tcBorders>
          </w:tcPr>
          <w:p>
            <w:pPr>
              <w:spacing w:after="0"/>
              <w:rPr>
                <w:sz w:val="18"/>
                <w:szCs w:val="18"/>
                <w:color w:val="auto"/>
              </w:rPr>
            </w:pPr>
          </w:p>
        </w:tc>
        <w:tc>
          <w:tcPr>
            <w:tcW w:w="994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960" w:type="dxa"/>
            <w:vAlign w:val="bottom"/>
            <w:gridSpan w:val="3"/>
            <w:shd w:val="clear" w:color="auto" w:fill="CCEEFF"/>
          </w:tcPr>
          <w:p>
            <w:pPr>
              <w:jc w:val="center"/>
              <w:ind w:left="212"/>
              <w:spacing w:after="0" w:line="195" w:lineRule="exact"/>
              <w:rPr>
                <w:sz w:val="20"/>
                <w:szCs w:val="20"/>
                <w:color w:val="auto"/>
              </w:rPr>
            </w:pPr>
            <w:r>
              <w:rPr>
                <w:rFonts w:ascii="Times New Roman" w:cs="Times New Roman" w:eastAsia="Times New Roman" w:hAnsi="Times New Roman"/>
                <w:sz w:val="18"/>
                <w:szCs w:val="18"/>
                <w:color w:val="0000FF"/>
                <w:w w:val="99"/>
              </w:rPr>
              <w:t>32</w:t>
            </w:r>
          </w:p>
        </w:tc>
        <w:tc>
          <w:tcPr>
            <w:tcW w:w="100" w:type="dxa"/>
            <w:vAlign w:val="bottom"/>
            <w:shd w:val="clear" w:color="auto" w:fill="CCEEFF"/>
          </w:tcPr>
          <w:p>
            <w:pPr>
              <w:spacing w:after="0"/>
              <w:rPr>
                <w:sz w:val="18"/>
                <w:szCs w:val="18"/>
                <w:color w:val="auto"/>
              </w:rPr>
            </w:pPr>
          </w:p>
        </w:tc>
      </w:tr>
      <w:tr>
        <w:trPr>
          <w:trHeight w:val="889"/>
        </w:trPr>
        <w:tc>
          <w:tcPr>
            <w:tcW w:w="3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820" w:type="dxa"/>
            <w:vAlign w:val="bottom"/>
            <w:tcBorders>
              <w:top w:val="single" w:sz="8" w:color="CCEEFF"/>
            </w:tcBorders>
            <w:gridSpan w:val="12"/>
          </w:tcPr>
          <w:p>
            <w:pPr>
              <w:jc w:val="right"/>
              <w:ind w:right="1420"/>
              <w:spacing w:after="0"/>
              <w:rPr>
                <w:sz w:val="20"/>
                <w:szCs w:val="20"/>
                <w:color w:val="auto"/>
              </w:rPr>
            </w:pPr>
            <w:r>
              <w:rPr>
                <w:rFonts w:ascii="Times New Roman" w:cs="Times New Roman" w:eastAsia="Times New Roman" w:hAnsi="Times New Roman"/>
                <w:sz w:val="18"/>
                <w:szCs w:val="18"/>
                <w:color w:val="auto"/>
              </w:rPr>
              <w:t>1</w:t>
            </w:r>
          </w:p>
        </w:tc>
        <w:tc>
          <w:tcPr>
            <w:tcW w:w="30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85"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198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2"/>
        </w:trPr>
        <w:tc>
          <w:tcPr>
            <w:tcW w:w="6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2"/>
        </w:trPr>
        <w:tc>
          <w:tcPr>
            <w:tcW w:w="6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38</w:t>
            </w:r>
          </w:p>
        </w:tc>
      </w:tr>
      <w:tr>
        <w:trPr>
          <w:trHeight w:val="225"/>
        </w:trPr>
        <w:tc>
          <w:tcPr>
            <w:tcW w:w="62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Charges (Credits)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8"/>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39"/>
        </w:trPr>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5"/>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 of Interest Income of $17, $16, $31, and $32</w:t>
            </w:r>
          </w:p>
        </w:tc>
        <w:tc>
          <w:tcPr>
            <w:tcW w:w="24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(24)</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(53)</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r>
      <w:tr>
        <w:trPr>
          <w:trHeight w:val="225"/>
        </w:trPr>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9"/>
              </w:rPr>
              <w:t>(10)</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(20)</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(73)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6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65"/>
        </w:trPr>
        <w:tc>
          <w:tcPr>
            <w:tcW w:w="62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46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821"/>
        </w:trPr>
        <w:tc>
          <w:tcPr>
            <w:tcW w:w="1260" w:type="dxa"/>
            <w:vAlign w:val="bottom"/>
            <w:tcBorders>
              <w:top w:val="single" w:sz="8" w:color="0000FF"/>
            </w:tcBorders>
          </w:tcPr>
          <w:p>
            <w:pPr>
              <w:spacing w:after="0"/>
              <w:rPr>
                <w:sz w:val="24"/>
                <w:szCs w:val="24"/>
                <w:color w:val="auto"/>
              </w:rPr>
            </w:pPr>
          </w:p>
        </w:tc>
        <w:tc>
          <w:tcPr>
            <w:tcW w:w="7700" w:type="dxa"/>
            <w:vAlign w:val="bottom"/>
            <w:gridSpan w:val="6"/>
          </w:tcPr>
          <w:p>
            <w:pPr>
              <w:ind w:left="1660"/>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808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4"/>
        </w:trPr>
        <w:tc>
          <w:tcPr>
            <w:tcW w:w="12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21"/>
                <w:szCs w:val="21"/>
                <w:color w:val="auto"/>
              </w:rPr>
            </w:pPr>
          </w:p>
        </w:tc>
        <w:tc>
          <w:tcPr>
            <w:tcW w:w="168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2"/>
        </w:trPr>
        <w:tc>
          <w:tcPr>
            <w:tcW w:w="1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r>
      <w:tr>
        <w:trPr>
          <w:trHeight w:val="218"/>
        </w:trPr>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8"/>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5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9"/>
              </w:rPr>
              <w:t>(24)</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18"/>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5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44"/>
        </w:trPr>
        <w:tc>
          <w:tcPr>
            <w:tcW w:w="59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Weatherford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6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449" w:right="2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par value)</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9"/>
        </w:trPr>
        <w:tc>
          <w:tcPr>
            <w:tcW w:w="7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8"/>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5"/>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72"/>
        </w:trPr>
        <w:tc>
          <w:tcPr>
            <w:tcW w:w="742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$10 at June 30, 2024 and $16 at</w:t>
            </w: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8"/>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5"/>
        </w:trPr>
        <w:tc>
          <w:tcPr>
            <w:tcW w:w="7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8"/>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r>
      <w:tr>
        <w:trPr>
          <w:trHeight w:val="166"/>
        </w:trPr>
        <w:tc>
          <w:tcPr>
            <w:tcW w:w="7420" w:type="dxa"/>
            <w:vAlign w:val="bottom"/>
          </w:tcPr>
          <w:p>
            <w:pPr>
              <w:ind w:left="100"/>
              <w:spacing w:after="0" w:line="165" w:lineRule="exact"/>
              <w:rPr>
                <w:sz w:val="20"/>
                <w:szCs w:val="20"/>
                <w:color w:val="auto"/>
              </w:rPr>
            </w:pPr>
            <w:r>
              <w:rPr>
                <w:rFonts w:ascii="Times New Roman" w:cs="Times New Roman" w:eastAsia="Times New Roman" w:hAnsi="Times New Roman"/>
                <w:sz w:val="18"/>
                <w:szCs w:val="18"/>
                <w:color w:val="auto"/>
                <w:w w:val="97"/>
              </w:rPr>
              <w:t>Property, Plant and Equipment, Net of Accumulated Depreciation of $934 at June 30, 2024 and $883 at</w:t>
            </w: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38"/>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172"/>
        </w:trPr>
        <w:tc>
          <w:tcPr>
            <w:tcW w:w="74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Intangibles, Net of Accumulated Amortization of $718 at June 30, 2024 and $639 at December 31,</w:t>
            </w: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25"/>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7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8"/>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8"/>
        </w:trPr>
        <w:tc>
          <w:tcPr>
            <w:tcW w:w="7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5"/>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5"/>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5"/>
        </w:trPr>
        <w:tc>
          <w:tcPr>
            <w:tcW w:w="7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9"/>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r>
      <w:tr>
        <w:trPr>
          <w:trHeight w:val="218"/>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5"/>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Taxes Payable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5"/>
        </w:trPr>
        <w:tc>
          <w:tcPr>
            <w:tcW w:w="74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8"/>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25"/>
        </w:trPr>
        <w:tc>
          <w:tcPr>
            <w:tcW w:w="7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r>
      <w:tr>
        <w:trPr>
          <w:trHeight w:val="22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2"/>
        </w:trPr>
        <w:tc>
          <w:tcPr>
            <w:tcW w:w="742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Ordinary Shares - Par Value $0.001; Authorized 1,356 shares, Issued and Outstanding 73.2 shares at</w:t>
            </w: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39"/>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30, 2024 and 72.1 at December 31, 2023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25"/>
        </w:trPr>
        <w:tc>
          <w:tcPr>
            <w:tcW w:w="7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Deficit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r>
      <w:tr>
        <w:trPr>
          <w:trHeight w:val="225"/>
        </w:trPr>
        <w:tc>
          <w:tcPr>
            <w:tcW w:w="7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5"/>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18"/>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46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millions)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Foreign Exchange Losses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Loss on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Inventory Charges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Accounts Receivable, Inventory, Accounts Payable and Accrued Salaries and Benefits: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4"/>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7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2"/>
        </w:trPr>
        <w:tc>
          <w:tcPr>
            <w:tcW w:w="7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Changes, Net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6"/>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0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Expenditures for Property, Plant and Equipment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Blue Chip Swap Securities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Sales of Blue Chip Swap Securities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0"/>
        </w:trPr>
        <w:tc>
          <w:tcPr>
            <w:tcW w:w="7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6"/>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4"/>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Remittance on Equity Awards Vested</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7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6"/>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04"/>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30"/>
        </w:trPr>
        <w:tc>
          <w:tcPr>
            <w:tcW w:w="7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r>
      <w:tr>
        <w:trPr>
          <w:trHeight w:val="20"/>
        </w:trPr>
        <w:tc>
          <w:tcPr>
            <w:tcW w:w="7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3"/>
        </w:trPr>
        <w:tc>
          <w:tcPr>
            <w:tcW w:w="7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Paid</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7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844,702 Shares of Common Stock Issued for Acquisitions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466"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WEATHERFORD INTERNATIONAL PLC AND SUBSIDIARIES</w:t>
      </w:r>
    </w:p>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 – Basis of Presentation and Summary of Significant Accounting Policies</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2023 (“2023 Form 10-K”).</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2023 Form 10-K for the discussion on our significant accounting policies. Certain reclassifications have been made to these Condensed Consolidated Financial Statements and accompanying footnotes for the three and six months ended June 30, 2023 to conform to the presentation for the three and six months ended June 30, 2024.</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Not Yet Adopted</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Please refer to “Note 1 – Summary of Significant Accounting Policies” of our Consolidated Financial Statements from our 2023 Form 10-K for the discussion on accounting pronouncements that have been issued but not yet effective for the interim periods presented that are not expected to have a material impact on our financial position or results of operations.</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Evaluations of all other new accounting pronouncements that have been issued, but not yet effective are on-going, and at this time are not expected to have a material impact on our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 – Segment Information</w:t>
      </w:r>
    </w:p>
    <w:p>
      <w:pPr>
        <w:spacing w:after="0" w:line="24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Financial information by segment is summarized below. The accounting policies of the segments are the same as those described in the summary of significant accounting policies as presented in our 2023 Form 10-K. We have three reportable segments: (1) Drilling and Evaluation “DRE”, (2) Well Construction and Completions “WCC”, and (3) Production and Intervention “PRI.”</w:t>
      </w:r>
    </w:p>
    <w:p>
      <w:pPr>
        <w:spacing w:after="0" w:line="204"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All other results were from non-core business activities (including integrated services and projects). Corporate includes overhead support and centrally managed or shared facility costs. All other and corporate do not individually meet the criteria for segment reporting.</w:t>
      </w:r>
    </w:p>
    <w:p>
      <w:pPr>
        <w:spacing w:after="0" w:line="99" w:lineRule="exact"/>
        <w:rPr>
          <w:sz w:val="20"/>
          <w:szCs w:val="20"/>
          <w:color w:val="auto"/>
        </w:rPr>
      </w:pPr>
    </w:p>
    <w:tbl>
      <w:tblPr>
        <w:tblLayout w:type="fixed"/>
        <w:tblInd w:w="360" w:type="dxa"/>
        <w:tblCellMar>
          <w:top w:w="0" w:type="dxa"/>
          <w:left w:w="0" w:type="dxa"/>
          <w:bottom w:w="0" w:type="dxa"/>
          <w:right w:w="0" w:type="dxa"/>
        </w:tblCellMar>
      </w:tblPr>
      <w:tr>
        <w:trPr>
          <w:trHeight w:val="232"/>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520" w:type="dxa"/>
            <w:vAlign w:val="bottom"/>
            <w:gridSpan w:val="3"/>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DRE Revenues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WCC Revenues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 Revenues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5"/>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8"/>
        </w:trPr>
        <w:tc>
          <w:tcPr>
            <w:tcW w:w="5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1,274</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2,460</w:t>
            </w:r>
          </w:p>
        </w:tc>
      </w:tr>
      <w:tr>
        <w:trPr>
          <w:trHeight w:val="139"/>
        </w:trPr>
        <w:tc>
          <w:tcPr>
            <w:tcW w:w="5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Credits (Charges)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0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r>
      <w:tr>
        <w:trPr>
          <w:trHeight w:val="20"/>
        </w:trPr>
        <w:tc>
          <w:tcPr>
            <w:tcW w:w="5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disaggregates our revenue from contracts with customers by geographic area and includes equipment rental revenue. Equipment rental revenues were $39 million and $73 million in the three and six months ended June 30, 2024, respectively, and $39 million and $72 million for the three and six months ended June 30, 2023, respectively.</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June 30, 2024, the U.S. accounted for 14% of total revenue in each period, respectively, and the Kingdom of Saudi Arabia accounted for 11% and 10% of total revenue, respectively. In addition, for the three and six months ended June 30, 2024, Mexico accounted for 12% and 13% of total revenue, respectively, driven by a customer which accounted for 10% and 11%, respectively. During the three and six months ended June 30, 2023, the U.S. accounted for 17% and 18%, respectively and Mexico accounted for 13% in each period, respectively. No other country accounted for more than 10% of our revenue in the periods presented.</w:t>
      </w:r>
    </w:p>
    <w:p>
      <w:pPr>
        <w:sectPr>
          <w:pgSz w:w="11900" w:h="16838" w:orient="portrait"/>
          <w:cols w:equalWidth="0" w:num="1">
            <w:col w:w="11240"/>
          </w:cols>
          <w:pgMar w:left="320" w:top="466" w:right="339" w:bottom="1440" w:gutter="0" w:footer="0" w:header="0"/>
        </w:sectPr>
      </w:pPr>
    </w:p>
    <w:p>
      <w:pPr>
        <w:spacing w:after="0" w:line="104" w:lineRule="exact"/>
        <w:rPr>
          <w:sz w:val="20"/>
          <w:szCs w:val="20"/>
          <w:color w:val="auto"/>
        </w:rPr>
      </w:pPr>
    </w:p>
    <w:tbl>
      <w:tblPr>
        <w:tblLayout w:type="fixed"/>
        <w:tblInd w:w="360" w:type="dxa"/>
        <w:tblCellMar>
          <w:top w:w="0" w:type="dxa"/>
          <w:left w:w="0" w:type="dxa"/>
          <w:bottom w:w="0" w:type="dxa"/>
          <w:right w:w="0" w:type="dxa"/>
        </w:tblCellMar>
      </w:tblPr>
      <w:tr>
        <w:trPr>
          <w:trHeight w:val="232"/>
        </w:trPr>
        <w:tc>
          <w:tcPr>
            <w:tcW w:w="6040" w:type="dxa"/>
            <w:vAlign w:val="bottom"/>
          </w:tcPr>
          <w:p>
            <w:pPr>
              <w:spacing w:after="0"/>
              <w:rPr>
                <w:sz w:val="20"/>
                <w:szCs w:val="20"/>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1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Geographic Areas: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02"/>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2"/>
                <w:szCs w:val="22"/>
                <w:color w:val="auto"/>
                <w:vertAlign w:val="superscript"/>
              </w:rPr>
              <w:t>(a)</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41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5"/>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6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8"/>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3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-1219200</wp:posOffset>
            </wp:positionV>
            <wp:extent cx="6882130" cy="151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2130" cy="151130"/>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-924560</wp:posOffset>
            </wp:positionV>
            <wp:extent cx="6882130" cy="168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2130" cy="1682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-613410</wp:posOffset>
            </wp:positionV>
            <wp:extent cx="688213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2130" cy="142875"/>
                    </a:xfrm>
                    <a:prstGeom prst="rect">
                      <a:avLst/>
                    </a:prstGeom>
                    <a:noFill/>
                  </pic:spPr>
                </pic:pic>
              </a:graphicData>
            </a:graphic>
          </wp:anchor>
        </w:drawing>
        <w:drawing>
          <wp:anchor simplePos="0" relativeHeight="251657728" behindDoc="1" locked="0" layoutInCell="0" allowOverlap="1">
            <wp:simplePos x="0" y="0"/>
            <wp:positionH relativeFrom="column">
              <wp:posOffset>231140</wp:posOffset>
            </wp:positionH>
            <wp:positionV relativeFrom="paragraph">
              <wp:posOffset>-327660</wp:posOffset>
            </wp:positionV>
            <wp:extent cx="6882130" cy="14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142875"/>
                    </a:xfrm>
                    <a:prstGeom prst="rect">
                      <a:avLst/>
                    </a:prstGeom>
                    <a:noFill/>
                  </pic:spPr>
                </pic:pic>
              </a:graphicData>
            </a:graphic>
          </wp:anchor>
        </w:drawing>
      </w:r>
    </w:p>
    <w:p>
      <w:pPr>
        <w:spacing w:after="0" w:line="74" w:lineRule="exact"/>
        <w:rPr>
          <w:sz w:val="20"/>
          <w:szCs w:val="20"/>
          <w:color w:val="auto"/>
        </w:rPr>
      </w:pPr>
    </w:p>
    <w:p>
      <w:pPr>
        <w:ind w:left="500" w:hanging="176"/>
        <w:spacing w:after="0"/>
        <w:tabs>
          <w:tab w:leader="none" w:pos="5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North America consists of the U.S. and Canada.</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45"/>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484"/>
        </w:trPr>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25"/>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25"/>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0"/>
        </w:trPr>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8"/>
        </w:trPr>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80" w:lineRule="exact"/>
        <w:rPr>
          <w:sz w:val="20"/>
          <w:szCs w:val="20"/>
          <w:color w:val="auto"/>
        </w:rPr>
      </w:pPr>
    </w:p>
    <w:p>
      <w:pPr>
        <w:sectPr>
          <w:pgSz w:w="11900" w:h="16838" w:orient="portrait"/>
          <w:cols w:equalWidth="0" w:num="2">
            <w:col w:w="8820" w:space="100"/>
            <w:col w:w="2320"/>
          </w:cols>
          <w:pgMar w:left="320" w:top="466" w:right="339" w:bottom="1440" w:gutter="0" w:footer="0" w:header="0"/>
          <w:type w:val="continuous"/>
        </w:sectPr>
      </w:pPr>
    </w:p>
    <w:p>
      <w:pPr>
        <w:spacing w:after="0" w:line="48"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timing of our revenue recognition, billings, and cash collections results in the recording of accounts receivable, contract assets, and contract liabilities. The following table summarizes these balances as of June 30, 2024 and December 31,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5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for Product and Services in Accounts Receivable, Net</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5"/>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Receivables for Equipment Rentals in Account Receivable, Net</w:t>
            </w: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4"/>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60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 Other Current Assets</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in Other Non-Current Assets</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Current Liabilities</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1"/>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 Other Non-Current Liabilities</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9" w:name="page10"/>
    <w:bookmarkEnd w:id="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 – Inventories, Net</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Inventories, net of reserves of $114 million and $121 million as of June 30, 2024 and December 31, 2023, respectively, are presented by category in the table below:</w:t>
      </w:r>
    </w:p>
    <w:p>
      <w:pPr>
        <w:spacing w:after="0" w:line="82" w:lineRule="exact"/>
        <w:rPr>
          <w:sz w:val="20"/>
          <w:szCs w:val="20"/>
          <w:color w:val="auto"/>
        </w:rPr>
      </w:pPr>
    </w:p>
    <w:tbl>
      <w:tblPr>
        <w:tblLayout w:type="fixed"/>
        <w:tblInd w:w="460" w:type="dxa"/>
        <w:tblCellMar>
          <w:top w:w="0" w:type="dxa"/>
          <w:left w:w="0" w:type="dxa"/>
          <w:bottom w:w="0" w:type="dxa"/>
          <w:right w:w="0" w:type="dxa"/>
        </w:tblCellMar>
      </w:tblPr>
      <w:tr>
        <w:trPr>
          <w:trHeight w:val="232"/>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5"/>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 in Process and Raw Materials, Components and Supplies</w:t>
            </w:r>
          </w:p>
        </w:tc>
        <w:tc>
          <w:tcPr>
            <w:tcW w:w="13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change in inventory reserves includes inventory charges primarily offset by the disposal of inventory previously reserved. The net charges are recorded in “Cost of Products” on our Condensed Consolidated Statements of Operations in the amount of $9 million and $15 million in the three and six months ended June 30, 2024, respectively, and nil and $11 million in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0" w:name="page11"/>
    <w:bookmarkEnd w:id="10"/>
    <w:tbl>
      <w:tblPr>
        <w:tblLayout w:type="fixed"/>
        <w:tblInd w:w="32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842"/>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 Intangibles, Net</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0"/>
        </w:trPr>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3"/>
        </w:trPr>
        <w:tc>
          <w:tcPr>
            <w:tcW w:w="500" w:type="dxa"/>
            <w:vAlign w:val="bottom"/>
          </w:tcPr>
          <w:p>
            <w:pPr>
              <w:spacing w:after="0"/>
              <w:rPr>
                <w:sz w:val="24"/>
                <w:szCs w:val="24"/>
                <w:color w:val="auto"/>
              </w:rPr>
            </w:pPr>
          </w:p>
        </w:tc>
        <w:tc>
          <w:tcPr>
            <w:tcW w:w="7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   December 31, 2023</w:t>
            </w:r>
          </w:p>
        </w:tc>
      </w:tr>
      <w:tr>
        <w:trPr>
          <w:trHeight w:val="166"/>
        </w:trPr>
        <w:tc>
          <w:tcPr>
            <w:tcW w:w="500" w:type="dxa"/>
            <w:vAlign w:val="bottom"/>
          </w:tcPr>
          <w:p>
            <w:pPr>
              <w:spacing w:after="0"/>
              <w:rPr>
                <w:sz w:val="14"/>
                <w:szCs w:val="14"/>
                <w:color w:val="auto"/>
              </w:rPr>
            </w:pPr>
          </w:p>
        </w:tc>
        <w:tc>
          <w:tcPr>
            <w:tcW w:w="70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w w:val="98"/>
              </w:rPr>
              <w:t>Developed and Acquired Technology, Net of Accumulated Amortization of $538 at June 30, 2024</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38"/>
        </w:trPr>
        <w:tc>
          <w:tcPr>
            <w:tcW w:w="500" w:type="dxa"/>
            <w:vAlign w:val="bottom"/>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$479 at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172"/>
        </w:trPr>
        <w:tc>
          <w:tcPr>
            <w:tcW w:w="500" w:type="dxa"/>
            <w:vAlign w:val="bottom"/>
          </w:tcPr>
          <w:p>
            <w:pPr>
              <w:spacing w:after="0"/>
              <w:rPr>
                <w:sz w:val="14"/>
                <w:szCs w:val="14"/>
                <w:color w:val="auto"/>
              </w:rPr>
            </w:pPr>
          </w:p>
        </w:tc>
        <w:tc>
          <w:tcPr>
            <w:tcW w:w="700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w w:val="99"/>
              </w:rPr>
              <w:t>Trade Names, Net of Accumulated Amortization of $180 at June 30, 2024 and $160 at December</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8"/>
        </w:trPr>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31, 2023</w:t>
            </w:r>
          </w:p>
        </w:tc>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166"/>
        </w:trPr>
        <w:tc>
          <w:tcPr>
            <w:tcW w:w="500" w:type="dxa"/>
            <w:vAlign w:val="bottom"/>
          </w:tcPr>
          <w:p>
            <w:pPr>
              <w:spacing w:after="0"/>
              <w:rPr>
                <w:sz w:val="14"/>
                <w:szCs w:val="14"/>
                <w:color w:val="auto"/>
              </w:rPr>
            </w:pPr>
          </w:p>
        </w:tc>
        <w:tc>
          <w:tcPr>
            <w:tcW w:w="7000" w:type="dxa"/>
            <w:vAlign w:val="bottom"/>
            <w:tcBorders>
              <w:top w:val="single" w:sz="8" w:color="auto"/>
            </w:tcBorders>
            <w:gridSpan w:val="2"/>
            <w:shd w:val="clear" w:color="auto" w:fill="CCEEFF"/>
          </w:tcPr>
          <w:p>
            <w:pPr>
              <w:ind w:left="80"/>
              <w:spacing w:after="0" w:line="165" w:lineRule="exact"/>
              <w:rPr>
                <w:sz w:val="20"/>
                <w:szCs w:val="20"/>
                <w:color w:val="auto"/>
              </w:rPr>
            </w:pPr>
            <w:r>
              <w:rPr>
                <w:rFonts w:ascii="Times New Roman" w:cs="Times New Roman" w:eastAsia="Times New Roman" w:hAnsi="Times New Roman"/>
                <w:sz w:val="18"/>
                <w:szCs w:val="18"/>
                <w:color w:val="auto"/>
              </w:rPr>
              <w:t>Intangibles, Net of Accumulated Amortization of $718 at June 30, 2024 and $639 at December</w:t>
            </w: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r>
      <w:tr>
        <w:trPr>
          <w:trHeight w:val="263"/>
        </w:trPr>
        <w:tc>
          <w:tcPr>
            <w:tcW w:w="500" w:type="dxa"/>
            <w:vAlign w:val="bottom"/>
          </w:tcPr>
          <w:p>
            <w:pPr>
              <w:spacing w:after="0"/>
              <w:rPr>
                <w:sz w:val="22"/>
                <w:szCs w:val="22"/>
                <w:color w:val="auto"/>
              </w:rPr>
            </w:pPr>
          </w:p>
        </w:tc>
        <w:tc>
          <w:tcPr>
            <w:tcW w:w="7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31, 2023</w:t>
            </w:r>
          </w:p>
        </w:tc>
        <w:tc>
          <w:tcPr>
            <w:tcW w:w="62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500" w:type="dxa"/>
            <w:vAlign w:val="bottom"/>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Amortization expense was $41 million and $82 million in the three and six months ended June 30, 2024, respectively, and $40 million and $80 million for the three and six months ended June 30, 2023, respectively, and is reported in “Selling, General and Administrative” on our Condensed Consolidated Statements of Operations. The increase was primarily related to intangibles acquired in connection with acquisitions during the three months ended March 31, 2024. Please refer to “Note 13 – Acquisitions.”</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 Borrowings and Other Debt Obligations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620" w:type="dxa"/>
            <w:vAlign w:val="bottom"/>
          </w:tcPr>
          <w:p>
            <w:pPr>
              <w:spacing w:after="0"/>
              <w:rPr>
                <w:sz w:val="24"/>
                <w:szCs w:val="24"/>
                <w:color w:val="auto"/>
              </w:rPr>
            </w:pPr>
          </w:p>
        </w:tc>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420" w:type="dxa"/>
            <w:vAlign w:val="bottom"/>
          </w:tcPr>
          <w:p>
            <w:pPr>
              <w:spacing w:after="0"/>
              <w:rPr>
                <w:sz w:val="24"/>
                <w:szCs w:val="24"/>
                <w:color w:val="auto"/>
              </w:rPr>
            </w:pPr>
          </w:p>
        </w:tc>
        <w:tc>
          <w:tcPr>
            <w:tcW w:w="12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40" w:type="dxa"/>
            <w:vAlign w:val="bottom"/>
          </w:tcPr>
          <w:p>
            <w:pPr>
              <w:spacing w:after="0"/>
              <w:rPr>
                <w:sz w:val="24"/>
                <w:szCs w:val="24"/>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652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6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6.50% Senior Secured Notes due 2028 “2028 Senior Secured Notes”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0"/>
                <w:szCs w:val="20"/>
                <w:color w:val="auto"/>
              </w:rPr>
            </w:pPr>
          </w:p>
        </w:tc>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8.625% Senior Notes due 2030 “2030 Senior Notes”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52"/>
        </w:trPr>
        <w:tc>
          <w:tcPr>
            <w:tcW w:w="620" w:type="dxa"/>
            <w:vAlign w:val="bottom"/>
          </w:tcPr>
          <w:p>
            <w:pPr>
              <w:spacing w:after="0"/>
              <w:rPr>
                <w:sz w:val="21"/>
                <w:szCs w:val="21"/>
                <w:color w:val="auto"/>
              </w:rPr>
            </w:pP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 Senior Secured Notes due 2028 “2028 Senior Secured Notes”</w:t>
            </w:r>
          </w:p>
        </w:tc>
        <w:tc>
          <w:tcPr>
            <w:tcW w:w="4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5"/>
        </w:trPr>
        <w:tc>
          <w:tcPr>
            <w:tcW w:w="620" w:type="dxa"/>
            <w:vAlign w:val="bottom"/>
          </w:tcPr>
          <w:p>
            <w:pPr>
              <w:spacing w:after="0"/>
              <w:rPr>
                <w:sz w:val="19"/>
                <w:szCs w:val="19"/>
                <w:color w:val="auto"/>
              </w:rPr>
            </w:pPr>
          </w:p>
        </w:tc>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2028 Senior Secured Notes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30, 2021, Weatherford International Ltd. (“Weatherford Bermuda”) issued 6.50% senior secured notes in aggregate principal amount of $500 million maturing September 15, 2028 (the “2028 Senior Secured Notes”). Interest was payable semiannually on September 15 and March 15 of each year, and commenced on March 15, 2022. Proceeds from the issuance were reduced by debt issuance costs. At December 31, 2023, the carrying value represented unpaid principal of $248 million offset by unamortized deferred issuance cost of $5 million. The remaining principal of our 2028 Senior Secured Notes was redeemed and paid in full on May 23, 2024.</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2030 Senior Notes</w:t>
      </w:r>
    </w:p>
    <w:p>
      <w:pPr>
        <w:spacing w:after="0" w:line="24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International, LLC (“Weatherford Delaware”) as co-issuer and co-obligor, and concurrently release the guarantee of Weatherford Delaware. At June 30, 2024 and December 31, 2023, the carrying value represents the remaining unpaid principal of $1.6 billion at each date, offset by unamortized deferred issuance cost of $12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6" w:lineRule="exact"/>
        <w:rPr>
          <w:sz w:val="20"/>
          <w:szCs w:val="20"/>
          <w:color w:val="auto"/>
        </w:rPr>
      </w:pPr>
    </w:p>
    <w:p>
      <w:pPr>
        <w:jc w:val="both"/>
        <w:ind w:right="100" w:firstLine="318"/>
        <w:spacing w:after="0" w:line="267" w:lineRule="auto"/>
        <w:rPr>
          <w:sz w:val="20"/>
          <w:szCs w:val="20"/>
          <w:color w:val="auto"/>
        </w:rPr>
      </w:pPr>
      <w:r>
        <w:rPr>
          <w:rFonts w:ascii="Times New Roman" w:cs="Times New Roman" w:eastAsia="Times New Roman" w:hAnsi="Times New Roman"/>
          <w:sz w:val="17"/>
          <w:szCs w:val="17"/>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0"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On April 22, 2024, additional lenders joined the Credit Agreement, providing an increase in total commitments from $550 million to $680 million (performance letters of credit increased from $250 million to $309 million and borrowings or 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212"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As of June 30, 2024, we had zero borrowings outstanding under the Credit Agreement and $389 million of letters of credit outstanding. The letters of credit consisted of $289 million for performance letters of credit and $48 million for financial letters of credit under the Credit Agreement and $52 million letters of credit under various uncommitted bi-lateral facilities ($44 million of which was cash collateral held and recorded in “Restricted Cash” on the Condensed Consolidated Balance Sheets).</w:t>
      </w:r>
    </w:p>
    <w:p>
      <w:pPr>
        <w:spacing w:after="0" w:line="20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The letters of credit consisted of $218 million for performance letters of credit and $52 million for financial letters of credit under the Credit Agreement and $106 million letters of credit under various uncommitted bi-lateral facilities ($101 million of which was cash collateral held and recorded in “Restricted Cash” on the Condensed Consolidated Balance Sheets).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46"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jc w:val="right"/>
              <w:ind w:right="1012"/>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160" w:type="dxa"/>
            <w:vAlign w:val="bottom"/>
          </w:tcPr>
          <w:p>
            <w:pPr>
              <w:spacing w:after="0"/>
              <w:rPr>
                <w:sz w:val="19"/>
                <w:szCs w:val="19"/>
                <w:color w:val="auto"/>
              </w:rPr>
            </w:pPr>
          </w:p>
        </w:tc>
        <w:tc>
          <w:tcPr>
            <w:tcW w:w="17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3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9"/>
                <w:szCs w:val="19"/>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19"/>
                <w:szCs w:val="19"/>
                <w:color w:val="auto"/>
              </w:rPr>
            </w:pPr>
          </w:p>
        </w:tc>
        <w:tc>
          <w:tcPr>
            <w:tcW w:w="120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Senior Secured Notes due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5"/>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8.625% Senior Notes due 2030</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1,588</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4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Finance Leases)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1,588 $</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r>
      <w:tr>
        <w:trPr>
          <w:trHeight w:val="20"/>
        </w:trPr>
        <w:tc>
          <w:tcPr>
            <w:tcW w:w="4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466" w:right="2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7 – Disputes, Litigation and Legal Contingencies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8 – Shareholders’ Equity</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Shares issued and outstanding on our Condensed Consolidated Balance Sheets increased from 72.1 million as of December 31, 2023 to 73.2 million as of June 30, 2024. The change was due to equity awards granted, vested, and exercised, net of shares withheld for taxes, which also included the issuance of 844,702 of our ordinary shares in connection with acquisitions during the six months ended June 30, 2024. The following summarizes our shareholders’ equity activity for the three and six months ended June 30,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Capital in</w:t>
            </w:r>
          </w:p>
        </w:tc>
        <w:tc>
          <w:tcPr>
            <w:tcW w:w="220" w:type="dxa"/>
            <w:vAlign w:val="bottom"/>
          </w:tcPr>
          <w:p>
            <w:pPr>
              <w:spacing w:after="0"/>
              <w:rPr>
                <w:sz w:val="17"/>
                <w:szCs w:val="17"/>
                <w:color w:val="auto"/>
              </w:rPr>
            </w:pPr>
          </w:p>
        </w:tc>
        <w:tc>
          <w:tcPr>
            <w:tcW w:w="104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5"/>
              </w:rPr>
              <w:t>Retained</w:t>
            </w:r>
          </w:p>
        </w:tc>
        <w:tc>
          <w:tcPr>
            <w:tcW w:w="240" w:type="dxa"/>
            <w:vAlign w:val="bottom"/>
          </w:tcPr>
          <w:p>
            <w:pPr>
              <w:spacing w:after="0"/>
              <w:rPr>
                <w:sz w:val="17"/>
                <w:szCs w:val="17"/>
                <w:color w:val="auto"/>
              </w:rPr>
            </w:pPr>
          </w:p>
        </w:tc>
        <w:tc>
          <w:tcPr>
            <w:tcW w:w="150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20" w:type="dxa"/>
            <w:vAlign w:val="bottom"/>
          </w:tcPr>
          <w:p>
            <w:pPr>
              <w:spacing w:after="0"/>
              <w:rPr>
                <w:sz w:val="17"/>
                <w:szCs w:val="17"/>
                <w:color w:val="auto"/>
              </w:rPr>
            </w:pPr>
          </w:p>
        </w:tc>
        <w:tc>
          <w:tcPr>
            <w:tcW w:w="14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Noncontrolling</w:t>
            </w:r>
          </w:p>
        </w:tc>
        <w:tc>
          <w:tcPr>
            <w:tcW w:w="22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00" w:type="dxa"/>
            <w:vAlign w:val="bottom"/>
          </w:tcPr>
          <w:p>
            <w:pPr>
              <w:spacing w:after="0"/>
              <w:rPr>
                <w:sz w:val="14"/>
                <w:szCs w:val="14"/>
                <w:color w:val="auto"/>
              </w:rPr>
            </w:pPr>
          </w:p>
        </w:tc>
        <w:tc>
          <w:tcPr>
            <w:tcW w:w="1200" w:type="dxa"/>
            <w:vAlign w:val="bottom"/>
          </w:tcPr>
          <w:p>
            <w:pPr>
              <w:jc w:val="center"/>
              <w:ind w:right="92"/>
              <w:spacing w:after="0" w:line="172" w:lineRule="exact"/>
              <w:rPr>
                <w:sz w:val="20"/>
                <w:szCs w:val="20"/>
                <w:color w:val="auto"/>
              </w:rPr>
            </w:pPr>
            <w:r>
              <w:rPr>
                <w:rFonts w:ascii="Times New Roman" w:cs="Times New Roman" w:eastAsia="Times New Roman" w:hAnsi="Times New Roman"/>
                <w:sz w:val="18"/>
                <w:szCs w:val="18"/>
                <w:b w:val="1"/>
                <w:bCs w:val="1"/>
                <w:color w:val="auto"/>
                <w:w w:val="99"/>
              </w:rPr>
              <w:t>Excess of Par</w:t>
            </w:r>
          </w:p>
        </w:tc>
        <w:tc>
          <w:tcPr>
            <w:tcW w:w="220" w:type="dxa"/>
            <w:vAlign w:val="bottom"/>
          </w:tcPr>
          <w:p>
            <w:pPr>
              <w:spacing w:after="0"/>
              <w:rPr>
                <w:sz w:val="14"/>
                <w:szCs w:val="14"/>
                <w:color w:val="auto"/>
              </w:rPr>
            </w:pPr>
          </w:p>
        </w:tc>
        <w:tc>
          <w:tcPr>
            <w:tcW w:w="1040" w:type="dxa"/>
            <w:vAlign w:val="bottom"/>
          </w:tcPr>
          <w:p>
            <w:pPr>
              <w:jc w:val="center"/>
              <w:ind w:right="112"/>
              <w:spacing w:after="0" w:line="172"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4"/>
                <w:szCs w:val="14"/>
                <w:color w:val="auto"/>
              </w:rPr>
            </w:pPr>
          </w:p>
        </w:tc>
        <w:tc>
          <w:tcPr>
            <w:tcW w:w="150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8"/>
                <w:szCs w:val="18"/>
                <w:b w:val="1"/>
                <w:bCs w:val="1"/>
                <w:color w:val="auto"/>
                <w:w w:val="96"/>
              </w:rPr>
              <w:t>Shareholders’</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Pr>
          <w:p>
            <w:pPr>
              <w:spacing w:after="0"/>
              <w:rPr>
                <w:sz w:val="20"/>
                <w:szCs w:val="20"/>
                <w:color w:val="auto"/>
              </w:rPr>
            </w:pPr>
          </w:p>
        </w:tc>
        <w:tc>
          <w:tcPr>
            <w:tcW w:w="14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5"/>
              </w:rPr>
              <w:t>Interests</w:t>
            </w:r>
          </w:p>
        </w:tc>
        <w:tc>
          <w:tcPr>
            <w:tcW w:w="220" w:type="dxa"/>
            <w:vAlign w:val="bottom"/>
          </w:tcPr>
          <w:p>
            <w:pPr>
              <w:spacing w:after="0"/>
              <w:rPr>
                <w:sz w:val="20"/>
                <w:szCs w:val="20"/>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2,906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10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8"/>
                <w:szCs w:val="18"/>
                <w:color w:val="auto"/>
              </w:rPr>
              <w:t>Equity Awards, Granted, Vested and</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10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Exercised, Net of Shares Withheld for</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Issued for Acquisitions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10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Equity Awards, Granted, Vested and</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1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Exercised, Net of Shares Withheld for</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Capital in</w:t>
            </w:r>
          </w:p>
        </w:tc>
        <w:tc>
          <w:tcPr>
            <w:tcW w:w="220" w:type="dxa"/>
            <w:vAlign w:val="bottom"/>
          </w:tcPr>
          <w:p>
            <w:pPr>
              <w:spacing w:after="0"/>
              <w:rPr>
                <w:sz w:val="14"/>
                <w:szCs w:val="14"/>
                <w:color w:val="auto"/>
              </w:rPr>
            </w:pPr>
          </w:p>
        </w:tc>
        <w:tc>
          <w:tcPr>
            <w:tcW w:w="104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5"/>
              </w:rPr>
              <w:t>Retained</w:t>
            </w:r>
          </w:p>
        </w:tc>
        <w:tc>
          <w:tcPr>
            <w:tcW w:w="240" w:type="dxa"/>
            <w:vAlign w:val="bottom"/>
          </w:tcPr>
          <w:p>
            <w:pPr>
              <w:spacing w:after="0"/>
              <w:rPr>
                <w:sz w:val="14"/>
                <w:szCs w:val="14"/>
                <w:color w:val="auto"/>
              </w:rPr>
            </w:pPr>
          </w:p>
        </w:tc>
        <w:tc>
          <w:tcPr>
            <w:tcW w:w="150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220" w:type="dxa"/>
            <w:vAlign w:val="bottom"/>
          </w:tcPr>
          <w:p>
            <w:pPr>
              <w:spacing w:after="0"/>
              <w:rPr>
                <w:sz w:val="14"/>
                <w:szCs w:val="14"/>
                <w:color w:val="auto"/>
              </w:rPr>
            </w:pPr>
          </w:p>
        </w:tc>
        <w:tc>
          <w:tcPr>
            <w:tcW w:w="14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6"/>
              </w:rPr>
              <w:t>Noncontrolling</w:t>
            </w: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00" w:type="dxa"/>
            <w:vAlign w:val="bottom"/>
          </w:tcPr>
          <w:p>
            <w:pPr>
              <w:spacing w:after="0"/>
              <w:rPr>
                <w:sz w:val="16"/>
                <w:szCs w:val="16"/>
                <w:color w:val="auto"/>
              </w:rPr>
            </w:pPr>
          </w:p>
        </w:tc>
        <w:tc>
          <w:tcPr>
            <w:tcW w:w="1200" w:type="dxa"/>
            <w:vAlign w:val="bottom"/>
          </w:tcPr>
          <w:p>
            <w:pPr>
              <w:jc w:val="center"/>
              <w:ind w:right="92"/>
              <w:spacing w:after="0" w:line="186" w:lineRule="exact"/>
              <w:rPr>
                <w:sz w:val="20"/>
                <w:szCs w:val="20"/>
                <w:color w:val="auto"/>
              </w:rPr>
            </w:pPr>
            <w:r>
              <w:rPr>
                <w:rFonts w:ascii="Times New Roman" w:cs="Times New Roman" w:eastAsia="Times New Roman" w:hAnsi="Times New Roman"/>
                <w:sz w:val="18"/>
                <w:szCs w:val="18"/>
                <w:b w:val="1"/>
                <w:bCs w:val="1"/>
                <w:color w:val="auto"/>
                <w:w w:val="99"/>
              </w:rPr>
              <w:t>Excess of Par</w:t>
            </w:r>
          </w:p>
        </w:tc>
        <w:tc>
          <w:tcPr>
            <w:tcW w:w="220" w:type="dxa"/>
            <w:vAlign w:val="bottom"/>
          </w:tcPr>
          <w:p>
            <w:pPr>
              <w:spacing w:after="0"/>
              <w:rPr>
                <w:sz w:val="16"/>
                <w:szCs w:val="16"/>
                <w:color w:val="auto"/>
              </w:rPr>
            </w:pPr>
          </w:p>
        </w:tc>
        <w:tc>
          <w:tcPr>
            <w:tcW w:w="1040" w:type="dxa"/>
            <w:vAlign w:val="bottom"/>
          </w:tcPr>
          <w:p>
            <w:pPr>
              <w:jc w:val="center"/>
              <w:ind w:right="112"/>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6"/>
                <w:szCs w:val="16"/>
                <w:color w:val="auto"/>
              </w:rPr>
            </w:pPr>
          </w:p>
        </w:tc>
        <w:tc>
          <w:tcPr>
            <w:tcW w:w="1500" w:type="dxa"/>
            <w:vAlign w:val="bottom"/>
          </w:tcPr>
          <w:p>
            <w:pPr>
              <w:jc w:val="center"/>
              <w:ind w:right="132"/>
              <w:spacing w:after="0" w:line="186" w:lineRule="exact"/>
              <w:rPr>
                <w:sz w:val="20"/>
                <w:szCs w:val="20"/>
                <w:color w:val="auto"/>
              </w:rPr>
            </w:pPr>
            <w:r>
              <w:rPr>
                <w:rFonts w:ascii="Times New Roman" w:cs="Times New Roman" w:eastAsia="Times New Roman" w:hAnsi="Times New Roman"/>
                <w:sz w:val="18"/>
                <w:szCs w:val="18"/>
                <w:b w:val="1"/>
                <w:bCs w:val="1"/>
                <w:color w:val="auto"/>
                <w:w w:val="96"/>
              </w:rPr>
              <w:t>Comprehensive</w:t>
            </w: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80"/>
              <w:spacing w:after="0" w:line="186" w:lineRule="exact"/>
              <w:rPr>
                <w:sz w:val="20"/>
                <w:szCs w:val="20"/>
                <w:color w:val="auto"/>
              </w:rPr>
            </w:pPr>
            <w:r>
              <w:rPr>
                <w:rFonts w:ascii="Times New Roman" w:cs="Times New Roman" w:eastAsia="Times New Roman" w:hAnsi="Times New Roman"/>
                <w:sz w:val="18"/>
                <w:szCs w:val="18"/>
                <w:b w:val="1"/>
                <w:bCs w:val="1"/>
                <w:color w:val="auto"/>
                <w:w w:val="96"/>
              </w:rPr>
              <w:t>Shareholders’</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19"/>
                <w:szCs w:val="19"/>
                <w:color w:val="auto"/>
              </w:rPr>
            </w:pPr>
          </w:p>
        </w:tc>
        <w:tc>
          <w:tcPr>
            <w:tcW w:w="104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240" w:type="dxa"/>
            <w:vAlign w:val="bottom"/>
          </w:tcPr>
          <w:p>
            <w:pPr>
              <w:spacing w:after="0"/>
              <w:rPr>
                <w:sz w:val="19"/>
                <w:szCs w:val="19"/>
                <w:color w:val="auto"/>
              </w:rPr>
            </w:pPr>
          </w:p>
        </w:tc>
        <w:tc>
          <w:tcPr>
            <w:tcW w:w="15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220" w:type="dxa"/>
            <w:vAlign w:val="bottom"/>
          </w:tcPr>
          <w:p>
            <w:pPr>
              <w:spacing w:after="0"/>
              <w:rPr>
                <w:sz w:val="19"/>
                <w:szCs w:val="19"/>
                <w:color w:val="auto"/>
              </w:rPr>
            </w:pPr>
          </w:p>
        </w:tc>
        <w:tc>
          <w:tcPr>
            <w:tcW w:w="144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5"/>
              </w:rPr>
              <w:t>Interests</w:t>
            </w:r>
          </w:p>
        </w:tc>
        <w:tc>
          <w:tcPr>
            <w:tcW w:w="22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2,928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(2,371)</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10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Equity Awards, Granted, Vested and</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1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Exercised, Net of Shares Withheld for</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20" w:type="dxa"/>
            <w:vAlign w:val="bottom"/>
          </w:tcPr>
          <w:p>
            <w:pPr>
              <w:spacing w:after="0"/>
              <w:rPr>
                <w:sz w:val="14"/>
                <w:szCs w:val="14"/>
                <w:color w:val="auto"/>
              </w:rPr>
            </w:pPr>
          </w:p>
        </w:tc>
        <w:tc>
          <w:tcPr>
            <w:tcW w:w="310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Equity Awards, Granted, Vested and</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1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Exercised, Net of Shares Withheld for</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31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income (loss) by component for the six months ended June 30, 2024 and 2023:</w:t>
      </w:r>
    </w:p>
    <w:p>
      <w:pPr>
        <w:spacing w:after="0" w:line="5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258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Currency Translation</w:t>
            </w:r>
          </w:p>
        </w:tc>
        <w:tc>
          <w:tcPr>
            <w:tcW w:w="16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Defined Benefit</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48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Pension</w:t>
            </w: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0"/>
                <w:szCs w:val="20"/>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0"/>
                <w:szCs w:val="20"/>
                <w:color w:val="auto"/>
              </w:rPr>
            </w:pPr>
          </w:p>
        </w:tc>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14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82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 Income per Share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A reconciliation of the number of shares used for the basic and diluted income per share calculation was as follows:</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right"/>
              <w:ind w:right="52"/>
              <w:spacing w:after="0" w:line="198" w:lineRule="exact"/>
              <w:rPr>
                <w:sz w:val="20"/>
                <w:szCs w:val="20"/>
                <w:color w:val="auto"/>
              </w:rPr>
            </w:pPr>
            <w:r>
              <w:rPr>
                <w:rFonts w:ascii="Times New Roman" w:cs="Times New Roman" w:eastAsia="Times New Roman" w:hAnsi="Times New Roman"/>
                <w:sz w:val="18"/>
                <w:szCs w:val="18"/>
                <w:b w:val="1"/>
                <w:bCs w:val="1"/>
                <w:color w:val="auto"/>
                <w:w w:val="97"/>
              </w:rPr>
              <w:t>Three Months Ended June</w:t>
            </w:r>
          </w:p>
        </w:tc>
        <w:tc>
          <w:tcPr>
            <w:tcW w:w="252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30,</w:t>
            </w:r>
          </w:p>
        </w:tc>
        <w:tc>
          <w:tcPr>
            <w:tcW w:w="820" w:type="dxa"/>
            <w:vAlign w:val="bottom"/>
          </w:tcPr>
          <w:p>
            <w:pPr>
              <w:spacing w:after="0"/>
              <w:rPr>
                <w:sz w:val="20"/>
                <w:szCs w:val="20"/>
                <w:color w:val="auto"/>
              </w:rPr>
            </w:pPr>
          </w:p>
        </w:tc>
        <w:tc>
          <w:tcPr>
            <w:tcW w:w="252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and shares in millions, except per share amounts)</w:t>
            </w:r>
          </w:p>
        </w:tc>
        <w:tc>
          <w:tcPr>
            <w:tcW w:w="11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940" w:type="dxa"/>
            <w:vAlign w:val="bottom"/>
            <w:gridSpan w:val="2"/>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73.1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Awards Granted in Stock Incentive Plan</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73.4</w:t>
            </w:r>
          </w:p>
        </w:tc>
        <w:tc>
          <w:tcPr>
            <w:tcW w:w="4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75.0</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940" w:type="dxa"/>
            <w:vAlign w:val="bottom"/>
            <w:gridSpan w:val="2"/>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Anti-dilutive Weighted Average Shares: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Awards</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Anti-dilutive Weighted Average Shares</w:t>
            </w:r>
          </w:p>
        </w:tc>
        <w:tc>
          <w:tcPr>
            <w:tcW w:w="1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bottom w:val="single" w:sz="8" w:color="auto"/>
            </w:tcBorders>
          </w:tcPr>
          <w:p>
            <w:pPr>
              <w:spacing w:after="0" w:line="20" w:lineRule="exact"/>
              <w:rPr>
                <w:sz w:val="1"/>
                <w:szCs w:val="1"/>
                <w:color w:val="auto"/>
              </w:rPr>
            </w:pPr>
          </w:p>
        </w:tc>
        <w:tc>
          <w:tcPr>
            <w:tcW w:w="4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Basic income per share for all periods presented equals net income divided by our weighted average shares outstanding during the period. Diluted income per share is computed by dividing net income by our weighted average shares outstanding during the period including potential dilutive ordinary shares. Anti-dilutive weighted average shares represent securities that could potentially dilute income per share in the future, which are excluded from the computation as their impact was anti-dilutive.</w:t>
      </w:r>
    </w:p>
    <w:p>
      <w:pPr>
        <w:spacing w:after="0" w:line="2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Warrants to purchase 7.8 million ordinary shares at $99.96 per share were issued on December 13, 2019 and expired on December 13, 2023. For the three and six months ended June 30, 2023 warrants were excluded from the diluted weighted average shares outstanding as the exercise price of the warrants was greater than the average market price of the Company’s ordinary shares.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10 – Income Taxes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recognized a tax expense of $73 million and $132 million for the three and six months ended June 30, 2024, respectively, and a tax benefit of $16 million and tax expense of $22 million for the three and six months ended June 30, 2023, respectively. Income tax expense was higher in the three and six months ended June 30, 2024 compared to the same periods in 2023, primarily due to increased earnings before taxes. In addition, during the three and six months ended June 30, 2023, we had a release of valuation allowances and the recognition of a benefit from previously uncertain tax positions in the second quarter. Those benefits were offset by the establishment of a valuation allowance of approximately $20 million related to the sale of Blue Chip Swap securities in Argentina. We calculate income tax provision using the estimated annual effective tax rate method in accordance with Accounting Standards Codification “ASC” 740 - Income Taxes.</w:t>
      </w:r>
    </w:p>
    <w:p>
      <w:pPr>
        <w:spacing w:after="0" w:line="2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spacing w:after="0" w:line="2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Ireland enacted tax legislation that models the Organization of Economic Cooperation and Development reform plans focused on global profit allocation and implementing a global minimum tax rate of at least 15% for large multinational corporations on a jurisdiction-by-jurisdiction basis, known as “Pillar Two.” This is not expected to materially increase the taxes we owe.</w:t>
      </w:r>
    </w:p>
    <w:p>
      <w:pPr>
        <w:spacing w:after="0" w:line="2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routinely undergo tax examination in various jurisdictions. We cannot predict the timing or outcome regarding resolution of these tax examinations or if they will have a material impact on our financial statements. As of June 30, 2024, we anticipate that it is reasonably possible that our uncertain tax positions of $278 million, including interest and penalties offset by net operating losses and other tax attributes if settled, may decrease by up to $13 million in the next twelve months due to expiration of statutes of limitations, settlements and/or conclusions of tax examinations.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11 – Credit Default Swap</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entered into a credit default swap (“CDS”) with a third-party financial institution terminating in February of 2026 related to a secured loan between that third-party financial institution and our largest customer in Mexico. The secured loan was utilized by this customer to pay certain of our outstanding receivables and accordingly, in the fourth quarter of 2023 and January of 2024, we received $140 million and $142 million, respectively.</w:t>
      </w:r>
    </w:p>
    <w:p>
      <w:pPr>
        <w:spacing w:after="0" w:line="2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CDS terms, within five business days upon notification of default, we could be required to pay the then outstanding notional balance net of recoveries. As of December 31, 2023, we had a notional balance of $130 million outstanding under the CDS, which increased to $260 million in January of 2024, following the receipt of the $142 million payment. The agreement was modified during the second quarter of 2024 to reduce the notional balance and as of June 30, 2024, the notional balance under the CDS was $108 million. The fair value of this derivative was not material as of June 30, 2024 and December 31, 2023. The CDS agreement was terminated on July 17, 2024 and the remaining notional balance was eliminated.</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12 – Blue Chip Swap Securities - Argentina</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 our ability to access U.S. dollars in Argentina and remit cash from our Argentine operations. As such, we have used an indirect foreign exchange mechanism known as a Blue Chip Swap (“BCS”) which allows entities to remit U.S. dollars from Argentina through the purchase and sale of securities. During the second quarter of 2024 and 2023, we completed a series of BCS transactions at implied exchange rates (“BCS rates”) that were approximately 26% and 106% higher, respectively, than the official exchange rate, resulting in a loss of $10 million and $57</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13 – Acquisitions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During the six months ended June 30, 2024, we closed on acquisitions with total consideration of $136 million, which includes $36 million in cash net of cash acquired and 844,702 of our ordinary shares valued at $75 million on the closing dates. The purchases were accounted for using the acquisition method of accounting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the purchase price was allocated to the assets acquired and liabilities assumed based on their estimated fair values measured in accordance with the guidance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fair value measurements of the intangible assets were based on inputs not observable in the market and therefore represent Level 3 measurements. The fair value of intangible assets recorded at the acquisition date was $88 million and an immaterial amount was recorded for goodwill and contingent considerations. Acquisition-related costs incurred by the Company are expensed as incurred. The operating results of the acquired businesses were included in the Company’s results of operations from the date of acquisition. See also “Note 5 – Intangibles, Net” and “Note 8 – Shareholders’ Equity” in our Notes to Condensed Consolidated Financial Statements.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14 – Subsequent Events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23, 2024, we announced that our Board declared a cash dividend of $0.25 per share of the Company’s ordinary shares, payable on September 12, 2024 to shareholders of record as of August 13, 2024. We also announced that our Board has authorized a dividend program under which we intend to pay regular quarterly cash dividends, subject to our Board’s discretion and continuing determination that it is in the best interest of the Company and complies with applicable legal requirements.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Also on July 23, 2024, we announced our Board’s approval of a new $500 million share repurchase program.</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CDS agreement at “Note 11 – Credit Default Swap” was terminated on July 17, 2024 and the remaining notional balance was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4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conduct business in approximately 75 countries, answering the challenges of the energy industry with 330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spacing w:after="0" w:line="20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and Evaluation (“DRE”) </w:t>
      </w:r>
      <w:r>
        <w:rPr>
          <w:rFonts w:ascii="Times New Roman" w:cs="Times New Roman" w:eastAsia="Times New Roman" w:hAnsi="Times New Roman"/>
          <w:sz w:val="18"/>
          <w:szCs w:val="18"/>
          <w:color w:val="auto"/>
        </w:rPr>
        <w:t>offers a suite of services including managed pressure drilling, drilling services, wireline and drilling fluids. DRE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range from early well planning to reservoir management through innovative tools and expert engineering to optimize reservoir access and productivity.</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 Construction and Completions (“WCC”) </w:t>
      </w:r>
      <w:r>
        <w:rPr>
          <w:rFonts w:ascii="Times New Roman" w:cs="Times New Roman" w:eastAsia="Times New Roman" w:hAnsi="Times New Roman"/>
          <w:sz w:val="18"/>
          <w:szCs w:val="18"/>
          <w:color w:val="auto"/>
        </w:rPr>
        <w:t>offers products and services for well integrity assurance across the full life cycle of the well. The primary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are tubular running services, cementation products, completions, liner hangers and well services. WCC deploys conventional to advanced technologies, providing safe and efficient services in any environment during the well construction phase.</w:t>
      </w:r>
    </w:p>
    <w:p>
      <w:pPr>
        <w:spacing w:after="0" w:line="1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and Intervention (“PRI”) </w:t>
      </w:r>
      <w:r>
        <w:rPr>
          <w:rFonts w:ascii="Times New Roman" w:cs="Times New Roman" w:eastAsia="Times New Roman" w:hAnsi="Times New Roman"/>
          <w:sz w:val="18"/>
          <w:szCs w:val="18"/>
          <w:color w:val="auto"/>
        </w:rPr>
        <w:t>offers a suite of reservoir stimulation designs, and engineering capabilities that isolate zones and unlock reserves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and unconventional wells, deep water, and aging reservoirs. The primary offerings are intervention services &amp; drilling tools, artificial lift, digital solutions, sub-sea intervention and pressure pumping services in select markets.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8"/>
          <w:szCs w:val="18"/>
          <w:color w:val="auto"/>
        </w:rPr>
        <w:t>The table below shows the average oil and natural gas prices for West Texas Intermediate (“WTI”), Brent North Sea (“Brent”) crude oil and Henry Hub natural gas.</w:t>
      </w:r>
    </w:p>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540" w:type="dxa"/>
            <w:vAlign w:val="bottom"/>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2"/>
        </w:trPr>
        <w:tc>
          <w:tcPr>
            <w:tcW w:w="3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18"/>
        </w:trPr>
        <w:tc>
          <w:tcPr>
            <w:tcW w:w="3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72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 xml:space="preserve">Oil price - WTI </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4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w:t>
            </w:r>
          </w:p>
        </w:tc>
      </w:tr>
      <w:tr>
        <w:trPr>
          <w:trHeight w:val="225"/>
        </w:trPr>
        <w:tc>
          <w:tcPr>
            <w:tcW w:w="3720" w:type="dxa"/>
            <w:vAlign w:val="bottom"/>
          </w:tcPr>
          <w:p>
            <w:pPr>
              <w:spacing w:after="0" w:line="225" w:lineRule="exact"/>
              <w:rPr>
                <w:sz w:val="20"/>
                <w:szCs w:val="20"/>
                <w:color w:val="auto"/>
              </w:rPr>
            </w:pPr>
            <w:r>
              <w:rPr>
                <w:rFonts w:ascii="Times New Roman" w:cs="Times New Roman" w:eastAsia="Times New Roman" w:hAnsi="Times New Roman"/>
                <w:sz w:val="18"/>
                <w:szCs w:val="18"/>
                <w:color w:val="auto"/>
              </w:rPr>
              <w:t xml:space="preserve">Oil price - Brent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4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w:t>
            </w:r>
          </w:p>
        </w:tc>
      </w:tr>
      <w:tr>
        <w:trPr>
          <w:trHeight w:val="225"/>
        </w:trPr>
        <w:tc>
          <w:tcPr>
            <w:tcW w:w="3720" w:type="dxa"/>
            <w:vAlign w:val="bottom"/>
            <w:tcBorders>
              <w:bottom w:val="single" w:sz="8" w:color="auto"/>
            </w:tcBorders>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 xml:space="preserve">Natural gas price - Henry Hub </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2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6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ind w:left="1340" w:hanging="150"/>
        <w:spacing w:after="0" w:line="227" w:lineRule="auto"/>
        <w:tabs>
          <w:tab w:leader="none" w:pos="13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Oil price measured in dollars per barrel (rounded to the nearest $0.01)</w:t>
      </w:r>
    </w:p>
    <w:p>
      <w:pPr>
        <w:spacing w:after="0" w:line="22" w:lineRule="exact"/>
        <w:rPr>
          <w:rFonts w:ascii="Times New Roman" w:cs="Times New Roman" w:eastAsia="Times New Roman" w:hAnsi="Times New Roman"/>
          <w:sz w:val="19"/>
          <w:szCs w:val="19"/>
          <w:color w:val="auto"/>
          <w:vertAlign w:val="superscript"/>
        </w:rPr>
      </w:pPr>
    </w:p>
    <w:p>
      <w:pPr>
        <w:ind w:left="1340" w:hanging="150"/>
        <w:spacing w:after="0" w:line="208" w:lineRule="auto"/>
        <w:tabs>
          <w:tab w:leader="none" w:pos="13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Natural gas price measured in dollars per million British thermal units (rounded to the nearest $0.01)</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shows historical average rig counts based on the weekly Baker Hughes Company rig count information.</w:t>
      </w:r>
    </w:p>
    <w:p>
      <w:pPr>
        <w:spacing w:after="0" w:line="43" w:lineRule="exact"/>
        <w:rPr>
          <w:sz w:val="20"/>
          <w:szCs w:val="20"/>
          <w:color w:val="auto"/>
        </w:rPr>
      </w:pPr>
    </w:p>
    <w:tbl>
      <w:tblPr>
        <w:tblLayout w:type="fixed"/>
        <w:tblInd w:w="1120" w:type="dxa"/>
        <w:tblCellMar>
          <w:top w:w="0" w:type="dxa"/>
          <w:left w:w="0" w:type="dxa"/>
          <w:bottom w:w="0" w:type="dxa"/>
          <w:right w:w="0" w:type="dxa"/>
        </w:tblCellMar>
      </w:tblPr>
      <w:tr>
        <w:trPr>
          <w:trHeight w:val="225"/>
        </w:trPr>
        <w:tc>
          <w:tcPr>
            <w:tcW w:w="4000" w:type="dxa"/>
            <w:vAlign w:val="bottom"/>
          </w:tcPr>
          <w:p>
            <w:pPr>
              <w:spacing w:after="0"/>
              <w:rPr>
                <w:sz w:val="19"/>
                <w:szCs w:val="19"/>
                <w:color w:val="auto"/>
              </w:rPr>
            </w:pP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2"/>
        </w:trPr>
        <w:tc>
          <w:tcPr>
            <w:tcW w:w="40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r>
      <w:tr>
        <w:trPr>
          <w:trHeight w:val="219"/>
        </w:trPr>
        <w:tc>
          <w:tcPr>
            <w:tcW w:w="40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w w:val="88"/>
              </w:rPr>
              <w:t>2024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738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spacing w:after="0"/>
              <w:rPr>
                <w:sz w:val="19"/>
                <w:szCs w:val="19"/>
                <w:color w:val="auto"/>
              </w:rPr>
            </w:pPr>
          </w:p>
        </w:tc>
        <w:tc>
          <w:tcPr>
            <w:tcW w:w="170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785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5"/>
        </w:trPr>
        <w:tc>
          <w:tcPr>
            <w:tcW w:w="4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963</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964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43"/>
        </w:trPr>
        <w:tc>
          <w:tcPr>
            <w:tcW w:w="48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13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93"/>
              </w:rPr>
              <w:t>1,701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1,796</w:t>
            </w: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1,749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Russia Ukraine Conflict</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Revenues in Russia were approximately 5% of our total revenues for the three and six months ended June 30, 2024, compared to 6% of our total revenues for the three and six months ended June 30, 2023. As of June 30, 2024, our Russia operations included $84 million in cash, $100 million in other current assets, $78 million in property, plant and equipment and other non-current assets, and $54 million in liabilities. As of December 31, 2023, our Russia operations included $62 million in cash, $94 million in other current assets, $76 million in property, plant and equipment and other non-current assets, and $62 million in liabilities.</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spacing w:after="0" w:line="204" w:lineRule="exact"/>
        <w:rPr>
          <w:sz w:val="20"/>
          <w:szCs w:val="20"/>
          <w:color w:val="auto"/>
        </w:rPr>
      </w:pPr>
    </w:p>
    <w:p>
      <w:pPr>
        <w:ind w:left="1280" w:hanging="320"/>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the business in compliance with applicable laws and sanctions;</w:t>
      </w:r>
    </w:p>
    <w:p>
      <w:pPr>
        <w:spacing w:after="0" w:line="24" w:lineRule="exact"/>
        <w:rPr>
          <w:rFonts w:ascii="Times New Roman" w:cs="Times New Roman" w:eastAsia="Times New Roman" w:hAnsi="Times New Roman"/>
          <w:sz w:val="18"/>
          <w:szCs w:val="18"/>
          <w:color w:val="auto"/>
        </w:rPr>
      </w:pPr>
    </w:p>
    <w:p>
      <w:pPr>
        <w:ind w:left="1280" w:right="2320" w:hanging="320"/>
        <w:spacing w:after="0" w:line="245"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continued use or change in products, equipment and service offerings we currently provide in Russia;</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curtailing or winding down our activities over time;</w:t>
      </w:r>
    </w:p>
    <w:p>
      <w:pPr>
        <w:spacing w:after="0" w:line="5" w:lineRule="exact"/>
        <w:rPr>
          <w:rFonts w:ascii="Times New Roman" w:cs="Times New Roman" w:eastAsia="Times New Roman" w:hAnsi="Times New Roman"/>
          <w:sz w:val="18"/>
          <w:szCs w:val="18"/>
          <w:color w:val="auto"/>
        </w:rPr>
      </w:pPr>
    </w:p>
    <w:p>
      <w:pPr>
        <w:ind w:left="1280" w:hanging="320"/>
        <w:spacing w:after="0" w:line="245" w:lineRule="auto"/>
        <w:tabs>
          <w:tab w:leader="none" w:pos="12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divesting some or all of our assets or businesses in Russia, which could include the option of re-entering the country if and when sanctions or applicable laws would allow for the same; and</w:t>
      </w:r>
    </w:p>
    <w:p>
      <w:pPr>
        <w:spacing w:after="0" w:line="1"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nationalization of the business.</w:t>
      </w: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Operating Summary</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Revenues of $1.4 billion and $2.8 billion in the three and six months ended June 30, 2024, increased 10% and 12% compared to $1.3 billion and $2.5 billion in the three and six months ended June 30, 2023, respectively. Year-over-year in the second quarter, product revenues increased 13% and service revenues increased 9%. WCC, DRE, and PRI contributed 49%, 25%, and 2% of the increase in revenues, respectively. The remaining revenue increase was due to higher activity in integrated services and projects. Year-over-year in the six months ended June 30, 2024, product revenues increased 12% and service revenues 13%. WCC, DRE, and PRI contributed 33%, 27%, and 1% of the increase in revenues, respectively. The remaining revenue increase was due to higher activity in integrated services and projects.</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Geographically, the year-over-year second quarter revenue growth was led by improvements in the Middle East/North Africa/Asia and Europe/Sub-Sahara Africa/Russia regions, which contributed to 92% and 31% of the increase, respectively, partly offset by a revenue decline in Latin America and North America. Year-over-year in the six months ended June 30, 2024, revenue growth was led by improvements in the Middle East/North Africa/Asia, Europe/Sub-Sahara Africa/Russia, and Latin America regions, which contributed to 80%, 19% and 12% of the increase, respectively, partly offset by a revenue decline in North America.</w:t>
      </w:r>
    </w:p>
    <w:p>
      <w:pPr>
        <w:spacing w:after="0" w:line="21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Operating income of $264 million and $497 million in the three and six months ended June 30, 2024, increased 31% and 29% compared to $201 million and $386 million in the three and six months ended June 30, 2023, respectively, primarily driven by improved operational efficiencies from increased resource utilization in addition to gains on sales of used rental equipment. Cost of products and services of $891 million and $1.8 billion in the three and six months ended June 30, 2024, increased 5% and 8% compared to $847 million and $1.6 billion in the three and six months ended June 30, 2023, respectively. Our cost of products and services as a percentage of revenues was 63% and 64% in the three and six months ended June 30, 2024 compared to 66% and 67% in the three and six months ended June 30, 2023, respectively, reflecting improved utilization on a more efficient operating cost structure.</w:t>
      </w:r>
    </w:p>
    <w:p>
      <w:pPr>
        <w:spacing w:after="0" w:line="19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Average oil prices in the three months ended June 30, 2024 increased by 11% for West Texas Intermediate crude oil and 8% for Brent North Sea crude oil and in the six months ended June 30, 2024 increased by 6% for West Texas Intermediate crude oil and 5% for Brent North Sea crude oil compared to the same periods in 2023, respectively. Average Henry Hub natural gas prices in the three months ended June 30, 2024 decreased 4% and in the six months ended June 30, 2024, decreased by 12%, compared to the same periods in 2023, respectively. Global rig counts for the three and six months ended June 30, 2024 decreased by 5% compared to both the same periods in 2023, respectively, driven by a decrease in North America. The year-over-year decrease in both the Henry Hub natural gas prices and North America rig count reflects the lower market demand and oversupply of natural gas in the region.</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Selling, general, administrative and research and development costs of $247 million and $483 million in the three and six months ended June 30, 2024, increased 10% in both periods compared to $225 million and $441 million in the three and six months ended June 30, 2023, respectively. The increase primarily reflects an increase in overhead to support organization growth and an increase in research and development on newer technologies. Selling, general, administrative and research and development costs as a percentage of revenues was 18% in both the three and six months ended June 30, 2024, and in both the three and six months ended June 30, 2023.</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 Non-Operating Summary</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Interest expense, net was $24 million and $53 million in the three and six months ended June 30, 2024, respectively, and $31 million and $62 million in the three and six months ended June 30, 2023, respectively. Interest expense, net is interest expense net of interest income.</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Interest expense of $41 million and $84 million in the three and six months ended June 30, 2024, respectively, and $47 million and $94 million in the three and six months ended June 30, 2023, respectively, decreased primarily due to the reduction in our outstanding long-term debt. As of June 30, 2024, we have fully repaid our outstanding 2028 Senior Secured Notes. See “Note 6 – Borrowings and Other Debt Obligations” to our Condensed Consolidated Financial Statements for additional details. Interest income was $17 million and $31 million in the three and six months ended June 30, 2024, respectively, and $16 million and $32 million in the three and six months ended June 30, 2023.</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Loss on Blue Chip Swap Securities</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indirect foreign exchange mechanism known as the Blue Chip Swap (“BCS”) allows entities to remit U.S. dollars from Argentina through the purchase and sale of securities. We entered into a series of BCS securities transactions that resulted in a “Loss on Blue Chip Swap Securities” of $10 million in the three and six months ended June 30, 2024 and $57 million in the three and six months ended June 30, 2023. See “Note 12 – Blue Chip Swap Securities - Argentina” to our Condensed Consolidated Financial Statements for additional details.</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Other expense, net was $20 million and $42 million in the three and six months ended June 30, 2024, respectively, and $39 million and $74 million in the three and six months ended June 30, 2023, respectively. Other expense, net primarily represents foreign exchange losses in countries with no or limited markets to hedge, letter of credit fees and other financing charges, including when applicable, bond redemption premiums partially offset by certain investment gains and losses. When economically advantageous, we enter into foreign currency forward contracts to mitigate the risk of future cash flows denominated in a foreign currency.</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10 – Income Taxes” to our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3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842"/>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by Segment</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0"/>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information by segment is summarized below.</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(Unfavorable)</w:t>
            </w:r>
          </w:p>
        </w:tc>
        <w:tc>
          <w:tcPr>
            <w:tcW w:w="240" w:type="dxa"/>
            <w:vAlign w:val="bottom"/>
            <w:tcBorders>
              <w:bottom w:val="single" w:sz="8" w:color="auto"/>
            </w:tcBorders>
          </w:tcPr>
          <w:p>
            <w:pPr>
              <w:spacing w:after="0"/>
              <w:rPr>
                <w:sz w:val="20"/>
                <w:szCs w:val="20"/>
                <w:color w:val="auto"/>
              </w:rPr>
            </w:pPr>
          </w:p>
        </w:tc>
      </w:tr>
      <w:tr>
        <w:trPr>
          <w:trHeight w:val="21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5"/>
              </w:rPr>
              <w:t>% or bps</w:t>
            </w:r>
          </w:p>
        </w:tc>
        <w:tc>
          <w:tcPr>
            <w:tcW w:w="24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427</w:t>
            </w:r>
          </w:p>
        </w:tc>
        <w:tc>
          <w:tcPr>
            <w:tcW w:w="50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504</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Revenues</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369</w:t>
            </w:r>
          </w:p>
        </w:tc>
        <w:tc>
          <w:tcPr>
            <w:tcW w:w="5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1,405</w:t>
            </w:r>
          </w:p>
        </w:tc>
        <w:tc>
          <w:tcPr>
            <w:tcW w:w="50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20" w:type="dxa"/>
            <w:vAlign w:val="bottom"/>
          </w:tcPr>
          <w:p>
            <w:pPr>
              <w:spacing w:after="0"/>
              <w:rPr>
                <w:sz w:val="23"/>
                <w:szCs w:val="23"/>
                <w:color w:val="auto"/>
              </w:rPr>
            </w:pPr>
          </w:p>
        </w:tc>
        <w:tc>
          <w:tcPr>
            <w:tcW w:w="426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500" w:type="dxa"/>
            <w:vAlign w:val="bottom"/>
            <w:shd w:val="clear" w:color="auto" w:fill="CCEEFF"/>
          </w:tcPr>
          <w:p>
            <w:pPr>
              <w:jc w:val="center"/>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w:t>
            </w:r>
          </w:p>
        </w:tc>
        <w:tc>
          <w:tcPr>
            <w:tcW w:w="5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5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Credits (Charges)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gridSpan w:val="2"/>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bottom w:val="single" w:sz="8" w:color="auto"/>
            </w:tcBorders>
            <w:shd w:val="clear" w:color="auto" w:fill="CCEEFF"/>
          </w:tcPr>
          <w:p>
            <w:pPr>
              <w:jc w:val="right"/>
              <w:ind w:right="19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264</w:t>
            </w:r>
          </w:p>
        </w:tc>
        <w:tc>
          <w:tcPr>
            <w:tcW w:w="500" w:type="dxa"/>
            <w:vAlign w:val="bottom"/>
            <w:tcBorders>
              <w:bottom w:val="single" w:sz="8" w:color="auto"/>
            </w:tcBorders>
            <w:shd w:val="clear" w:color="auto" w:fill="CCEEFF"/>
          </w:tcPr>
          <w:p>
            <w:pPr>
              <w:jc w:val="center"/>
              <w:ind w:right="29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ind w:right="492"/>
              <w:spacing w:after="0" w:line="192" w:lineRule="exact"/>
              <w:rPr>
                <w:sz w:val="20"/>
                <w:szCs w:val="20"/>
                <w:color w:val="auto"/>
              </w:rPr>
            </w:pPr>
            <w:r>
              <w:rPr>
                <w:rFonts w:ascii="Times New Roman" w:cs="Times New Roman" w:eastAsia="Times New Roman" w:hAnsi="Times New Roman"/>
                <w:sz w:val="18"/>
                <w:szCs w:val="18"/>
                <w:b w:val="1"/>
                <w:bCs w:val="1"/>
                <w:color w:val="auto"/>
              </w:rPr>
              <w:t>63</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Segment Adjusted EBITDA Margin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 bps</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Segment Adjusted EBITDA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bps</w:t>
            </w:r>
          </w:p>
        </w:tc>
      </w:tr>
      <w:tr>
        <w:trPr>
          <w:trHeight w:val="231"/>
        </w:trPr>
        <w:tc>
          <w:tcPr>
            <w:tcW w:w="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Segment Adjusted EBITDA Margin</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bps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449" w:right="339" w:bottom="1440" w:gutter="0" w:footer="0" w:header="0"/>
        </w:sectPr>
      </w:pPr>
    </w:p>
    <w:bookmarkStart w:id="22" w:name="page23"/>
    <w:bookmarkEnd w:id="22"/>
    <w:tbl>
      <w:tblPr>
        <w:tblLayout w:type="fixed"/>
        <w:tblInd w:w="320" w:type="dxa"/>
        <w:tblCellMar>
          <w:top w:w="0" w:type="dxa"/>
          <w:left w:w="0" w:type="dxa"/>
          <w:bottom w:w="0" w:type="dxa"/>
          <w:right w:w="0" w:type="dxa"/>
        </w:tblCellMar>
      </w:tblPr>
      <w:tr>
        <w:trPr>
          <w:trHeight w:val="20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967"/>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9"/>
              </w:rPr>
              <w:t>Favorable</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8"/>
              </w:rPr>
              <w:t>(Unfavorable)</w:t>
            </w:r>
          </w:p>
        </w:tc>
        <w:tc>
          <w:tcPr>
            <w:tcW w:w="240" w:type="dxa"/>
            <w:vAlign w:val="bottom"/>
            <w:tcBorders>
              <w:bottom w:val="single" w:sz="8" w:color="auto"/>
            </w:tcBorders>
          </w:tcPr>
          <w:p>
            <w:pPr>
              <w:spacing w:after="0"/>
              <w:rPr>
                <w:sz w:val="20"/>
                <w:szCs w:val="20"/>
                <w:color w:val="auto"/>
              </w:rPr>
            </w:pPr>
          </w:p>
        </w:tc>
      </w:tr>
      <w:tr>
        <w:trPr>
          <w:trHeight w:val="21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5"/>
              </w:rPr>
              <w:t>% or bps</w:t>
            </w:r>
          </w:p>
        </w:tc>
        <w:tc>
          <w:tcPr>
            <w:tcW w:w="240" w:type="dxa"/>
            <w:vAlign w:val="bottom"/>
            <w:tcBorders>
              <w:bottom w:val="single" w:sz="8" w:color="auto"/>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849</w:t>
            </w:r>
          </w:p>
        </w:tc>
        <w:tc>
          <w:tcPr>
            <w:tcW w:w="50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83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Revenues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962</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Revenues</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717</w:t>
            </w:r>
          </w:p>
        </w:tc>
        <w:tc>
          <w:tcPr>
            <w:tcW w:w="5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w:t>
            </w: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117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9"/>
                <w:szCs w:val="19"/>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2,763</w:t>
            </w:r>
          </w:p>
        </w:tc>
        <w:tc>
          <w:tcPr>
            <w:tcW w:w="500" w:type="dxa"/>
            <w:vAlign w:val="bottom"/>
          </w:tcPr>
          <w:p>
            <w:pPr>
              <w:jc w:val="center"/>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2,460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303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20" w:type="dxa"/>
            <w:vAlign w:val="bottom"/>
          </w:tcPr>
          <w:p>
            <w:pPr>
              <w:spacing w:after="0"/>
              <w:rPr>
                <w:sz w:val="23"/>
                <w:szCs w:val="23"/>
                <w:color w:val="auto"/>
              </w:rPr>
            </w:pPr>
          </w:p>
        </w:tc>
        <w:tc>
          <w:tcPr>
            <w:tcW w:w="4260" w:type="dxa"/>
            <w:vAlign w:val="bottom"/>
            <w:gridSpan w:val="2"/>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 Segment Adjusted EBITDA</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260</w:t>
            </w:r>
          </w:p>
        </w:tc>
        <w:tc>
          <w:tcPr>
            <w:tcW w:w="500" w:type="dxa"/>
            <w:vAlign w:val="bottom"/>
            <w:shd w:val="clear" w:color="auto" w:fill="CCEEFF"/>
          </w:tcPr>
          <w:p>
            <w:pPr>
              <w:jc w:val="center"/>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WCC Segment Adjusted EBITDA</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265</w:t>
            </w:r>
          </w:p>
        </w:tc>
        <w:tc>
          <w:tcPr>
            <w:tcW w:w="5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 Segment Adjusted EBITDA</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tcPr>
          <w:p>
            <w:pPr>
              <w:spacing w:after="0"/>
              <w:rPr>
                <w:sz w:val="19"/>
                <w:szCs w:val="19"/>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Credits (Charges)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0" w:type="dxa"/>
            <w:vAlign w:val="bottom"/>
          </w:tcPr>
          <w:p>
            <w:pPr>
              <w:spacing w:after="0"/>
              <w:rPr>
                <w:sz w:val="18"/>
                <w:szCs w:val="18"/>
                <w:color w:val="auto"/>
              </w:rPr>
            </w:pPr>
          </w:p>
        </w:tc>
        <w:tc>
          <w:tcPr>
            <w:tcW w:w="4260" w:type="dxa"/>
            <w:vAlign w:val="bottom"/>
            <w:tcBorders>
              <w:bottom w:val="single" w:sz="8" w:color="auto"/>
            </w:tcBorders>
            <w:gridSpan w:val="2"/>
            <w:shd w:val="clear" w:color="auto" w:fill="CCEEFF"/>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Borders>
              <w:bottom w:val="single" w:sz="8" w:color="auto"/>
            </w:tcBorders>
            <w:shd w:val="clear" w:color="auto" w:fill="CCEEFF"/>
          </w:tcPr>
          <w:p>
            <w:pPr>
              <w:jc w:val="right"/>
              <w:ind w:right="19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497</w:t>
            </w:r>
          </w:p>
        </w:tc>
        <w:tc>
          <w:tcPr>
            <w:tcW w:w="500" w:type="dxa"/>
            <w:vAlign w:val="bottom"/>
            <w:tcBorders>
              <w:bottom w:val="single" w:sz="8" w:color="auto"/>
            </w:tcBorders>
            <w:shd w:val="clear" w:color="auto" w:fill="CCEEFF"/>
          </w:tcPr>
          <w:p>
            <w:pPr>
              <w:jc w:val="center"/>
              <w:ind w:right="29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386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2"/>
              <w:spacing w:after="0" w:line="19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ind w:right="492"/>
              <w:spacing w:after="0" w:line="192" w:lineRule="exact"/>
              <w:rPr>
                <w:sz w:val="20"/>
                <w:szCs w:val="20"/>
                <w:color w:val="auto"/>
              </w:rPr>
            </w:pPr>
            <w:r>
              <w:rPr>
                <w:rFonts w:ascii="Times New Roman" w:cs="Times New Roman" w:eastAsia="Times New Roman" w:hAnsi="Times New Roman"/>
                <w:sz w:val="18"/>
                <w:szCs w:val="18"/>
                <w:b w:val="1"/>
                <w:bCs w:val="1"/>
                <w:color w:val="auto"/>
              </w:rPr>
              <w:t>111</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29</w:t>
            </w:r>
          </w:p>
        </w:tc>
        <w:tc>
          <w:tcPr>
            <w:tcW w:w="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Margins: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 Segment Adjusted EBITDA Margin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 bps</w:t>
            </w:r>
          </w:p>
        </w:tc>
      </w:tr>
      <w:tr>
        <w:trPr>
          <w:trHeight w:val="225"/>
        </w:trPr>
        <w:tc>
          <w:tcPr>
            <w:tcW w:w="20" w:type="dxa"/>
            <w:vAlign w:val="bottom"/>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WCC Segment Adjusted EBITDA Margin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bps</w:t>
            </w:r>
          </w:p>
        </w:tc>
      </w:tr>
      <w:tr>
        <w:trPr>
          <w:trHeight w:val="231"/>
        </w:trPr>
        <w:tc>
          <w:tcPr>
            <w:tcW w:w="20" w:type="dxa"/>
            <w:vAlign w:val="bottom"/>
          </w:tcPr>
          <w:p>
            <w:pPr>
              <w:spacing w:after="0"/>
              <w:rPr>
                <w:sz w:val="20"/>
                <w:szCs w:val="20"/>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 Segment Adjusted EBITDA Margin</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bps</w:t>
            </w:r>
          </w:p>
        </w:tc>
      </w:tr>
    </w:tbl>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DRE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DRE revenues of $427 million and $849 million in the three and six months ended June 30, 2024, increased $33 million or 8%, and increased $83 million or 11%, compared to $394 million and $766 million in the three and six months ended June 30, 2023,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second quarter year-over-year revenue increase, approximately 85% was from wireline activity after business acquisitions in the first quarter of 2024. Geographically, the Middle East/North Africa/Asia and Europe/Sub-Sahara Africa/Russia regions contributed approximately 65% and 35%, respectively, to the regions with revenue growth, offset by a revenue decline in the Latin America region, primarily from project delays.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year-to-date year-over-year increase, approximately 65% was from wireline activity, and geographically, the Middle East/North Africa/Asia and Europe/Sub-Sahara Africa/Russia regions contributed approximately 60% and 40%, respectively, to the regions with revenue growth, offset by a revenue decline in the Latin America region.</w:t>
      </w:r>
    </w:p>
    <w:p>
      <w:pPr>
        <w:spacing w:after="0" w:line="20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DRE segment adjusted EBITDA of $130 million and $260 million in the three and six months ended June 30, 2024, increased $24 million or 23%, and increased $46 million or 21%, compared to $106 million and $214 million in the three and six months ended June 30, 2023. DRE segment adjusted EBITDA margin was 30.4% and 30.6% in the three and six months ended June 30, 2024 compared to 26.9% and 27.9% in the three and six months ended June 30, 2023. The improvement in segment adjusted EBITDA was primarily due to timing of certain higher margin international managed pressure drilling activity, including certain sales of used rental equipment, which more than offset the decrease in Latin America project delays.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WCC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WCC revenues of $504 million and $962 million in the three and six months ended June 30, 2024, increased $64 million or 15%, and increased $101 million or 12%, compared to $440 million and $861 million in the three and six months ended June 30, 2023, respectively.</w:t>
      </w:r>
    </w:p>
    <w:p>
      <w:pPr>
        <w:spacing w:after="0" w:line="190"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Of the second quarter year-over-year revenue increase, approximately 70% was from completions and liner hanger activity, primarily from the timing of deliveries. Geographically, the Middle East/North Africa/Asia region contributed approximately 90% to the overall revenue growth.</w:t>
      </w:r>
    </w:p>
    <w:p>
      <w:pPr>
        <w:spacing w:after="0" w:line="19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year-to-date year-over-year revenue increase, approximately 45% was from liner hangers and tubular running services activity and approximately 40% was from completions activity. Geographically, international regions drove the revenue growth and the Middle East/North Africa/Asia region contributed approximately 80% of the international growth. This was partly offset by a revenue decline in North America, primarily on account of lower demand in that region.</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WCC segment adjusted EBITDA of $145 million and $265 million in the three and six months ended June 30, 2024, increased $36 million or 33%, and increased $60 million or 29%, compared to $109 million and $205 million in the three and six months ended June 30, 2023, respectively. WCC segment adjusted EBITDA margin was 28.8% and 27.5% in the three and six months ended June 30, 2024, compared to 24.8% and 23.8% in the three and six months ended June 30, 2023. The increase in revenue and segment adjusted EBITDA was primarily from higher completions activity.</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PRI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 revenues of $369 million and $717 million in the three and six months ended June 30, 2024, increased $3 million and $2 million, compared to $366 million and $715 million in the three and six months ended June 30, 2023, respectively.</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second quarter year-over-year revenue increase, the modest increase in intervention services and drilling tools was partly offset by a decline in artificial lift activity. Geographically, revenue growth in the Europe/Sub-Sahara Africa/Russia and Middle East/North Africa/Asia regions was offset by a decline in the North America and Latin America regions.</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year-to-date year-over-year revenue increase, the modest increase in intervention services and drilling tools was partly offset by a decline in artificial lift and pressure pumping activity. Geographically, revenue growth in the Europe/Sub-Sahara Africa/Russia and Middle East/North Africa/Asia regions was offset by a decline in North America.</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 segment adjusted EBITDA of $85 million and $158 million in the three and six months ended June 30, 2024, increased $4 million or 5% and increased $9 million or 6% compared to $81 million and $149 million in the three and six months ended June 30, 2023, respectively. PRI segment adjusted EBITDA margin was 23.0% and 22.0% in the three and six months ended June 30, 2024, compared to 22.1% and 20.8% in the three and six months ended June 30, 2023. The increase in revenue and segment adjusted EBITDA was primarily from higher artificial lift activity.</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All Other Results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All other results were from non-core business activities that do not individually meet the criteria for segment reporting, including integrated services and projects, which includes pass through and project management services.</w:t>
      </w:r>
    </w:p>
    <w:p>
      <w:pPr>
        <w:spacing w:after="0" w:line="1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Other revenues of $105 million and $235 million in the three and six months ended June 30, 2024, compared to $74 million and $118 million in the three and six months ended June 30, 2023. The year-over-year increase was primarily from our integrated services and projects in the Middle East/North Africa/Asia and Latin America regions.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Corporate was a net expense of $18 million and $32 million in the three and six months ended June 30, 2024 compared to $14 million and $26 million in the three and six months ended June 30, 2023. The year-over-year increase in expense was primarily due to an increase in certain professional fees.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Depreciation and amortization were $86 million and $171 million in the three and six months ended June 30, 2024 compared to $81 million and $161 million in the three and six months ended June 30, 2023. The year-over-year increase was primarily due to a larger asset base.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4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recognized $12 million and $25 million of share-based compensation in the three and six months ended June 30, 2024 compared to $8 million and $17 million in the three and six months ended June 30, 2023. The year-over-year increase was primarily due to an increase in equity awards granted.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Growth and spending in the energy services industry is highly dependent on many external factors. These include but are not limited to; inflation; geopolitical uncertainty; supply chain disruptions; energy policies at local and regional levels; rig counts; and the price of oil and natural gas. We continue to expect overall 2024 growth to outpace 2023, led by international activity and global offshore activity. We expect continued improvements in our customer activity levels and generally constructive macroeconomic conditions, all of which are expected to continue to provide a pathway to a multi-year energy demand expansion. We continue to closely monitor macroeconomic and geopolitical conditions, potential supply chain disruptions, inflationary factors, and other labor and logistical constraints that could impact our operations and results.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June 30, 2024, we had cash and cash equivalents of $862 million and $58 million in restricted cash, compared to $958 million of cash and cash equivalents and $105 million in restricted cash at December 31, 2023.</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in) each type of business activity in the periods presented:</w:t>
      </w:r>
    </w:p>
    <w:p>
      <w:pPr>
        <w:spacing w:after="0" w:line="136" w:lineRule="exact"/>
        <w:rPr>
          <w:sz w:val="20"/>
          <w:szCs w:val="20"/>
          <w:color w:val="auto"/>
        </w:rPr>
      </w:pPr>
    </w:p>
    <w:tbl>
      <w:tblPr>
        <w:tblLayout w:type="fixed"/>
        <w:tblInd w:w="980" w:type="dxa"/>
        <w:tblCellMar>
          <w:top w:w="0" w:type="dxa"/>
          <w:left w:w="0" w:type="dxa"/>
          <w:bottom w:w="0" w:type="dxa"/>
          <w:right w:w="0" w:type="dxa"/>
        </w:tblCellMar>
      </w:tblPr>
      <w:tr>
        <w:trPr>
          <w:trHeight w:val="232"/>
        </w:trPr>
        <w:tc>
          <w:tcPr>
            <w:tcW w:w="712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8"/>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millions)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6"/>
              </w:rPr>
              <w:t>285</w:t>
            </w:r>
          </w:p>
        </w:tc>
      </w:tr>
      <w:tr>
        <w:trPr>
          <w:trHeight w:val="225"/>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(122)</w:t>
            </w:r>
          </w:p>
        </w:tc>
      </w:tr>
      <w:tr>
        <w:trPr>
          <w:trHeight w:val="225"/>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(289)</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(297)</w:t>
            </w:r>
          </w:p>
        </w:tc>
      </w:tr>
    </w:tbl>
    <w:p>
      <w:pPr>
        <w:spacing w:after="0" w:line="2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$281 million for the six months ended June 30, 2024 compared to cash provided by operating activities of $285 million for the six months ended June 30, 2023. The primary operating sources of cash were from the timing of cash generated by our operations, offset by our operating spend, including payments to suppliers and employees. Net cash provided by operating activities was also benefited by accounts receivable factoring, as further described in the Accounts Receivable Factoring section below.</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Cash used in investing activities was $115 million for the six months ended June 30, 2024 compared to cash used in investing activities of $122 million for the six months ended June 30, 2023. The primary investing uses of cash were for capital expenditures of $121 million and $100 million for the six months ended June 30, 2024 and six months ended June 30, 2023, respectively. Cash used in investing activities also includes the use of the Blue Chip Swap mechanism in Argentina, of which the purchases more than offset the proceeds, resulting in a loss of $10 million and $57 million during the six months ended June 30, 2024 and June 30, 2023 (see “Note 12 – Blue Chip Swap Securities - Argentina”). The increase in business acquisitions, net of cash acquired in the current period was primarily from our acquisitions completed in the first quarter of 2024 (see “Note 13 – Acquisitions”). Other investing activities include proceeds from the disposition of assets and proceeds from the sale of investments from our marketable securities in Argentina, offset by investing spend around other intangibles.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Cash used in financing activities was $289 million for the six months ended June 30, 2024 compared to cash used in financing activities of $297 million for the six months ended June 30, 2023. The primary financing uses of cash were for repayments and repurchases of long-term debt of $259 million and $230 million for the six months ended June 30, 2024 and six months ended June 30, 2023, respectively (see “Note 6 – Borrowings and Other Debt Obligations”). Cash used in financing activities also includes tax remittances on equity awards vested, which were lower this period compared to the same period in the prior year due to a decrease in the quantity of shares vested. In addition, the tax remittance of $54 million on equity rewards vested in the prior year reflected the impact on the timing of both the quantity of shares vested and the increase in share price of those awards upon vesting. Other financing uses of cash include distributions to noncontrolling interests and bond redemption premiums paid.</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24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cash requirements will continue to include payments for principal and interest on our long-term debt, capital expenditures, payments on our finance and operating leases, payments for short-term working capital needs, operating costs and restructuring payments. As business activity continues to rise, we expect to utilize cash on capital assets and working capital growth.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2023 (“2023 Form 10-K”). The CDS agreement at “Note 11 – Credit Default Swap” was terminated on July 17, 2024 and the remaining notional balance was eliminated (see “Note 14 – Subsequent Events”). Our cash requirements will also include payments for our shareholder returns program described in “Note 14 – Subsequent Events.”</w:t>
      </w:r>
    </w:p>
    <w:p>
      <w:pPr>
        <w:spacing w:after="0" w:line="2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June 30, 2024, the aggregate principal amount of our primary debt outstanding was $1.6 billion of our 2030 Senior Notes. We expect to pay $138 million in interest payments in 2024 specific to this note, of which we have paid $69 million during the six months ended June 30, 2024. See “Note 6 – Borrowings and Other Debt Obligations” for additional information.</w:t>
      </w:r>
    </w:p>
    <w:p>
      <w:pPr>
        <w:spacing w:after="0" w:line="20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capital spend is expected to be 3-5% of revenue over a 12 to 18 month rolling period and our 2024 capital spend is projected to be within the same framework. Our payments on our operating and finance leases in 2024 are expected to be approximately $63 million and $25 million, respectively.</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Cash and cash equivalents and restricted cash are held by subsidiaries outside of Ireland. At June 30, 2024 and December 31, 2023, we had approximately $123 million and $92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losses.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Ratings Services’ Credit Ratings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credit ratings at December 31, 2023 have been maintained through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Customer Receivables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spacing w:after="0" w:line="21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the exposure in Mexico as noted in the above “Cash Requirements” section and in “Note 11 – Credit Default Swap”, our net accounts receivables in Mexico were 35% and 27% of our total net accounts receivables, as of June 30, 2024 and December 31, 2023, respectively, of which our largest customer in the country accounted for 31% and 22% of our total net outstanding accounts receivables, respectively. From time to time, we experience delays in payments from our largest customer in Mexico. The balances due are not in dispute and we do not expect to have any material write-offs of receivables, however, delays or defaults in customer payments in the future could differ from management’s expectations and negatively impact the future results of the Company.</w:t>
      </w:r>
    </w:p>
    <w:p>
      <w:pPr>
        <w:spacing w:after="0" w:line="2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June 30, 2024 and December 31, 2023, our net accounts receivables in the U.S. was under 10% and was 11% of total net accounts receivables, respectively. Except for the above, no other country accounted for more than 10% of our net accounts receivables balance.</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Factoring</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From time to time, we participate in factoring arrangements to sell accounts receivable to third-party financial institutions for cash proceeds net of discounts and hold-back. During the three and six months ended June 30, 2024, we sold accounts receivable balances of $43 million and $51 million, and received cash proceeds of $42 million and $50 million, respectively, at the time of factoring. Of the $43 million in accounts receivable sold during the second quarter of 2024, $39 million was from a new factoring arrangement we entered into during the quarter. During the three and six months ended June 30, 2023, we sold accounts receivable balances of $63 million and $109 million, and received cash proceeds of $61 million and $103 million, respectively, at the time of factoring.</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remaining principal of our 2028 Senior Secured Notes was redeemed and paid in full on May 23, 2024.</w:t>
      </w:r>
    </w:p>
    <w:p>
      <w:pPr>
        <w:spacing w:after="0" w:line="2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2030 Senior Notes were issued by Weatherford Bermuda and guaranteed by the Company and other subsidiary guarantors party thereto. On December 1, 2022, the indenture related to our 2030 Senior Notes was amended and supplemented to add Weatherford Delaware as co-issuer and co-obligor, and concurrently released the guarantee of Weatherford Delaware.</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Letters of Credit and Surety Bonds</w:t>
      </w:r>
    </w:p>
    <w:p>
      <w:pPr>
        <w:spacing w:after="0" w:line="2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April 22, 2024, additional lenders joined the Credit Agreement, providing an increase in total commitments from $550 million to $680 million (performance letters of credit increased from $250 million to $309 million and borrowings or</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 performance or financial letters of credit increased from $300 million to $371 million). On June 6, 2024, an additional lender joined the Credit Agreement, providing an increase in total commitments from $680 million to $720 million (performance letters of credit increased to $327 million and revolving loan borrowings or additional performance or financial letters of credit increased to $393 million). In addition, we amended the Credit Agreement to allow for future increases in total commitments of up to $1 billion.</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June 30, 2024, we had zero borrowings outstanding under the Credit Agreement and $389 million of letters of credit outstanding. The letters of credit consisted of 289 million for performance letters of credit and $48 million for financial letters of credit under the Credit Agreement and $52 million letters of credit under various uncommitted bi-lateral facilities ($44 million of which was cash collateral held and recorded in “Restricted Cash” on the Condensed Consolidated Balance Sheets).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we had zero borrowings outstanding under the Credit Agreement and $376 million of letters of credit. The letters of credit consisted of $218 million for performance letters of credit and $52 million for financial letters of credit under the Credit Agreement and $106 million of letters of credit under various uncommitted bi-lateral facilities ($101 million of which was cash collateral held and recorded in “Restricted Cash” on the Condensed Consolidated Balance Sheets).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utilize surety bonds as part of our customary business practice in certain regions, primarily Latin America. As of June 30, 2024 and December 31, 2023, we had surety bonds outstanding of $526 million and $594 million, respectively. Any of our outstanding letters of credit or surety bonds could be called by the beneficiaries should we breach certain contractual or performance obligations and could reduce our available liquidity if we are unable to mitigate the issue.</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This report contains various statements relating to future financial performance and results, business strategy, plans, goals and objectives, including certain projections, business trends, a shareholder returns program,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21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“Part II – Other Information – Item 1A. Risk Factors”, sets forth certain risks and uncertainties relating to our forward-looking statements that may cause actual results to be materially different from our present expectations or projections:</w:t>
      </w:r>
    </w:p>
    <w:p>
      <w:pPr>
        <w:spacing w:after="0" w:line="217" w:lineRule="exact"/>
        <w:rPr>
          <w:sz w:val="20"/>
          <w:szCs w:val="20"/>
          <w:color w:val="auto"/>
        </w:rPr>
      </w:pPr>
    </w:p>
    <w:p>
      <w:pPr>
        <w:ind w:left="640" w:hanging="316"/>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economic and market conditions, political disturbances, war, terrorist attacks, changes in global trade policies, weak local economic conditions and international currency fluctuations (including the Russia Ukraine Conflict);</w:t>
      </w:r>
    </w:p>
    <w:p>
      <w:pPr>
        <w:ind w:left="420" w:hanging="96"/>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repercussions related to U.S. and global inflationary pressures and potential recessionary concerns;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5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ensure on-going compliance with current and future laws and government regulations, including but not limited to those related to the Russia Ukraine Conflict, and environmental and tax and accounting laws, rules and regulations;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5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16"/>
        <w:spacing w:after="0" w:line="257" w:lineRule="auto"/>
        <w:tabs>
          <w:tab w:leader="none" w:pos="6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ind w:left="640" w:hanging="316"/>
        <w:spacing w:after="0" w:line="245"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and timely address the need to conduct our operations and provide services to our customers more sustainably and with a lower carbon footprint;</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spacing w:after="0" w:line="3"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price volatility of, and demand for, oil, natural gas and natural gas liquids;</w:t>
      </w:r>
    </w:p>
    <w:p>
      <w:pPr>
        <w:spacing w:after="0" w:line="5"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member-country quota compliance within the Organization of Petroleum Exporting Countries;</w:t>
      </w:r>
    </w:p>
    <w:p>
      <w:pPr>
        <w:spacing w:after="0" w:line="5"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revenues and profitability levels from current and future contracts;</w:t>
      </w:r>
    </w:p>
    <w:p>
      <w:pPr>
        <w:spacing w:after="0" w:line="5" w:lineRule="exact"/>
        <w:rPr>
          <w:rFonts w:ascii="Times New Roman" w:cs="Times New Roman" w:eastAsia="Times New Roman" w:hAnsi="Times New Roman"/>
          <w:sz w:val="18"/>
          <w:szCs w:val="18"/>
          <w:color w:val="auto"/>
        </w:rPr>
      </w:pPr>
    </w:p>
    <w:p>
      <w:pPr>
        <w:ind w:left="560" w:hanging="236"/>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 from operations to fund our operations;</w:t>
      </w:r>
    </w:p>
    <w:p>
      <w:pPr>
        <w:spacing w:after="0" w:line="5" w:lineRule="exact"/>
        <w:rPr>
          <w:rFonts w:ascii="Times New Roman" w:cs="Times New Roman" w:eastAsia="Times New Roman" w:hAnsi="Times New Roman"/>
          <w:sz w:val="18"/>
          <w:szCs w:val="18"/>
          <w:color w:val="auto"/>
        </w:rPr>
      </w:pPr>
    </w:p>
    <w:p>
      <w:pPr>
        <w:jc w:val="center"/>
        <w:ind w:left="640" w:hanging="316"/>
        <w:spacing w:after="0" w:line="260" w:lineRule="auto"/>
        <w:tabs>
          <w:tab w:leader="none" w:pos="57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ind w:left="420" w:hanging="9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lead times and lack of availability of our procured products and services;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collect from customers;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cost savings and business enhancements from our revenue and cost improvement efforts;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employees, including key personnel;</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to capital markets on terms that are commercially acceptable to the Company;</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4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return capital to shareholders, including those related to the timing and amounts (including any plans or commitments in respect thereof) of any dividends and share repurchases;</w:t>
      </w:r>
    </w:p>
    <w:p>
      <w:pPr>
        <w:spacing w:after="0" w:line="1"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5" w:lineRule="exact"/>
        <w:rPr>
          <w:rFonts w:ascii="Times New Roman" w:cs="Times New Roman" w:eastAsia="Times New Roman" w:hAnsi="Times New Roman"/>
          <w:sz w:val="18"/>
          <w:szCs w:val="18"/>
          <w:color w:val="auto"/>
        </w:rPr>
      </w:pPr>
    </w:p>
    <w:p>
      <w:pPr>
        <w:ind w:left="420" w:hanging="96"/>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non-cash asset impairment charges for long-lived assets, intangible assets or other assets;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in certain regions of our operations.</w:t>
      </w: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spacing w:after="0" w:line="2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Finally, our future results will depend upon various other risks and uncertainties, including, but not limited to, those detailed in our current and past filings with the SEC under the Exchange Act and the Securities Act of 1933, as amended.</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December 31, 2023. For additional information, see “Note 6 – Borrowings and Other Debt Obligations”, “Note 11 – Credit Default Swap”, “Note 12 – Blue Chip Swap Securities - Argentina” and “Note 14 – Subsequent Events” in the Notes to Condensed Consolidated Financial Statements, as well as “Other Expense, Net” and “Liquidity and Capital Resources” under 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4"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Disclosure controls and procedures (as defined in Rules 13a-15(e) and 15d-15(e) under the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CEO and CFO, evaluated the effectiveness of the design and operation of our disclosure controls and procedures at June 30, 2024. Based on that evaluation, our CEO and CFO concluded that our disclosure controls and procedures were effective as of June 30, 2024.</w:t>
      </w:r>
    </w:p>
    <w:p>
      <w:pPr>
        <w:spacing w:after="0" w:line="20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management identified no change in our internal control over financial reporting that occurred during the three months ended June 30, 2024 that has materially affected, or is reasonably likely to materially affect, our internal control over financial reporting.</w:t>
      </w: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7 – Disputes, Litigation and Legal Contingencies” in our Notes to Condensed Consolidated Financial Statements for details regarding our ongoing disputes and litigation.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An investment in our securities involves various risks. You should consider carefully all of the risk factors described in our 2023 Form 10-K, Part I, under the heading “Item 1A. Risk Factors” and other information included and incorporated by reference in this report. As of June 30, 2024, there have been no material changes in our assessment of our risk factors from the aforementioned.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June 30, 2024, no director or executive officer of the Company adopted or terminated a “Rule 10b5-1 trading arrangement” or “non-Rule 10b5-1 trading arrangement,” as each term is defined in Item 408(a) of Regulation S-K.</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23, 2024, the Board of Directors of Weatherford (the “Board”), on recommendation of the Compensation and Human Resources Committee, approved the Second Amended and Restated Weatherford International plc Short-Term Incentive Plan (the “STI Plan”) to confirm that participants who perform services through the end of the performance period but are terminated without cause before the relevant payment date may be entitled to receive payment, if performance and certain other conditions are met. A copy of the STI Plan is attached as Exhibit 10.4 to this report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4900" w:type="dxa"/>
            <w:vAlign w:val="bottom"/>
            <w:gridSpan w:val="17"/>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2"/>
        </w:trPr>
        <w:tc>
          <w:tcPr>
            <w:tcW w:w="320" w:type="dxa"/>
            <w:vAlign w:val="bottom"/>
          </w:tcPr>
          <w:p>
            <w:pPr>
              <w:spacing w:after="0"/>
              <w:rPr>
                <w:sz w:val="24"/>
                <w:szCs w:val="24"/>
                <w:color w:val="auto"/>
              </w:rPr>
            </w:pPr>
          </w:p>
        </w:tc>
        <w:tc>
          <w:tcPr>
            <w:tcW w:w="6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0" w:type="dxa"/>
            <w:vAlign w:val="bottom"/>
          </w:tcPr>
          <w:p>
            <w:pPr>
              <w:spacing w:after="0"/>
              <w:rPr>
                <w:sz w:val="24"/>
                <w:szCs w:val="24"/>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All exhibits designated with a dagger (†) are filed herewith or double dagger (††) are furnished herewith.</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9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1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0" w:type="dxa"/>
            <w:vAlign w:val="bottom"/>
          </w:tcPr>
          <w:p>
            <w:pPr>
              <w:spacing w:after="0"/>
              <w:rPr>
                <w:sz w:val="1"/>
                <w:szCs w:val="1"/>
                <w:color w:val="auto"/>
              </w:rPr>
            </w:pPr>
          </w:p>
        </w:tc>
      </w:tr>
      <w:tr>
        <w:trPr>
          <w:trHeight w:val="186"/>
        </w:trPr>
        <w:tc>
          <w:tcPr>
            <w:tcW w:w="14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10.1</w:t>
            </w:r>
          </w:p>
        </w:tc>
        <w:tc>
          <w:tcPr>
            <w:tcW w:w="5020" w:type="dxa"/>
            <w:vAlign w:val="bottom"/>
            <w:tcBorders>
              <w:right w:val="single" w:sz="8" w:color="CCEEFF"/>
            </w:tcBorders>
            <w:gridSpan w:val="18"/>
            <w:shd w:val="clear" w:color="auto" w:fill="CCEEFF"/>
          </w:tcPr>
          <w:p>
            <w:pPr>
              <w:spacing w:after="0" w:line="186" w:lineRule="exact"/>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Sixth Amendment to Amended and Restated Credit Agreement, dated</w:t>
              </w:r>
            </w:hyperlink>
          </w:p>
        </w:tc>
        <w:tc>
          <w:tcPr>
            <w:tcW w:w="2940" w:type="dxa"/>
            <w:vAlign w:val="bottom"/>
            <w:gridSpan w:val="3"/>
            <w:shd w:val="clear" w:color="auto" w:fill="CCEEFF"/>
          </w:tcPr>
          <w:p>
            <w:pPr>
              <w:spacing w:after="0" w:line="18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Exhibit 10.1 to the Company’s Current</w:t>
              </w:r>
            </w:hyperlink>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20" w:type="dxa"/>
            <w:vAlign w:val="bottom"/>
            <w:tcBorders>
              <w:right w:val="single" w:sz="8" w:color="CCEEFF"/>
            </w:tcBorders>
            <w:gridSpan w:val="18"/>
            <w:shd w:val="clear" w:color="auto" w:fill="CCEEFF"/>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as of June 6, 2024, by and among Weatherford International Ltd.,</w:t>
              </w:r>
            </w:hyperlink>
          </w:p>
        </w:tc>
        <w:tc>
          <w:tcPr>
            <w:tcW w:w="2940" w:type="dxa"/>
            <w:vAlign w:val="bottom"/>
            <w:gridSpan w:val="3"/>
            <w:shd w:val="clear" w:color="auto" w:fill="CCEEFF"/>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Report on Form 8-K filed June 11, 2024.</w:t>
              </w:r>
            </w:hyperlink>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4560" w:type="dxa"/>
            <w:vAlign w:val="bottom"/>
            <w:tcBorders>
              <w:top w:val="single" w:sz="8" w:color="0000FF"/>
              <w:bottom w:val="single" w:sz="8" w:color="0000FF"/>
              <w:right w:val="single" w:sz="8" w:color="CCEEFF"/>
            </w:tcBorders>
            <w:gridSpan w:val="9"/>
            <w:shd w:val="clear" w:color="auto" w:fill="CCEEFF"/>
          </w:tcPr>
          <w:p>
            <w:pPr>
              <w:spacing w:after="0" w:line="165" w:lineRule="exact"/>
              <w:rPr>
                <w:rFonts w:ascii="Times New Roman" w:cs="Times New Roman" w:eastAsia="Times New Roman" w:hAnsi="Times New Roman"/>
                <w:sz w:val="18"/>
                <w:szCs w:val="18"/>
                <w:color w:val="0000FF"/>
                <w:w w:val="93"/>
              </w:rPr>
            </w:pPr>
            <w:hyperlink r:id="rId46">
              <w:r>
                <w:rPr>
                  <w:rFonts w:ascii="Times New Roman" w:cs="Times New Roman" w:eastAsia="Times New Roman" w:hAnsi="Times New Roman"/>
                  <w:sz w:val="18"/>
                  <w:szCs w:val="18"/>
                  <w:color w:val="0000FF"/>
                  <w:w w:val="93"/>
                </w:rPr>
                <w:t>Weatherford International, LLC, Weatherford Canada Ltd., WOFS</w:t>
              </w:r>
            </w:hyperlink>
          </w:p>
        </w:tc>
        <w:tc>
          <w:tcPr>
            <w:tcW w:w="140" w:type="dxa"/>
            <w:vAlign w:val="bottom"/>
            <w:tcBorders>
              <w:top w:val="single" w:sz="8" w:color="CCEEFF"/>
              <w:left w:val="single" w:sz="8" w:color="CCEEFF"/>
              <w:bottom w:val="single" w:sz="8" w:color="0000FF"/>
              <w:right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760" w:type="dxa"/>
            <w:vAlign w:val="bottom"/>
            <w:tcBorders>
              <w:top w:val="single" w:sz="8" w:color="0000FF"/>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20" w:type="dxa"/>
            <w:vAlign w:val="bottom"/>
            <w:tcBorders>
              <w:top w:val="single" w:sz="8" w:color="CCEEFF"/>
              <w:bottom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20" w:type="dxa"/>
            <w:vAlign w:val="bottom"/>
            <w:tcBorders>
              <w:right w:val="single" w:sz="8" w:color="CCEEFF"/>
            </w:tcBorders>
            <w:gridSpan w:val="18"/>
            <w:vMerge w:val="restart"/>
            <w:shd w:val="clear" w:color="auto" w:fill="CCEEFF"/>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International Finance GmbH, Weatherford International plc, the</w:t>
              </w:r>
            </w:hyperlink>
          </w:p>
        </w:tc>
        <w:tc>
          <w:tcPr>
            <w:tcW w:w="2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5020" w:type="dxa"/>
            <w:vAlign w:val="bottom"/>
            <w:tcBorders>
              <w:right w:val="single" w:sz="8" w:color="CCEEFF"/>
            </w:tcBorders>
            <w:gridSpan w:val="18"/>
            <w:vMerge w:val="continue"/>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4560" w:type="dxa"/>
            <w:vAlign w:val="bottom"/>
            <w:tcBorders>
              <w:top w:val="single" w:sz="8" w:color="0000FF"/>
              <w:right w:val="single" w:sz="8" w:color="CCEEFF"/>
            </w:tcBorders>
            <w:gridSpan w:val="9"/>
            <w:shd w:val="clear" w:color="auto" w:fill="CCEEFF"/>
          </w:tcPr>
          <w:p>
            <w:pPr>
              <w:spacing w:after="0" w:line="152" w:lineRule="exact"/>
              <w:rPr>
                <w:rFonts w:ascii="Times New Roman" w:cs="Times New Roman" w:eastAsia="Times New Roman" w:hAnsi="Times New Roman"/>
                <w:sz w:val="17"/>
                <w:szCs w:val="17"/>
                <w:color w:val="0000FF"/>
                <w:w w:val="99"/>
              </w:rPr>
            </w:pPr>
            <w:hyperlink r:id="rId46">
              <w:r>
                <w:rPr>
                  <w:rFonts w:ascii="Times New Roman" w:cs="Times New Roman" w:eastAsia="Times New Roman" w:hAnsi="Times New Roman"/>
                  <w:sz w:val="17"/>
                  <w:szCs w:val="17"/>
                  <w:color w:val="0000FF"/>
                  <w:w w:val="99"/>
                </w:rPr>
                <w:t>lenders party thereto and Wells Fargo Bank, National Association,</w:t>
              </w:r>
            </w:hyperlink>
          </w:p>
        </w:tc>
        <w:tc>
          <w:tcPr>
            <w:tcW w:w="14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right w:val="single" w:sz="8" w:color="CCEEFF"/>
            </w:tcBorders>
            <w:gridSpan w:val="7"/>
            <w:shd w:val="clear" w:color="auto" w:fill="CCEEFF"/>
          </w:tcPr>
          <w:p>
            <w:pPr>
              <w:ind w:left="20"/>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as</w:t>
              </w:r>
            </w:hyperlink>
          </w:p>
        </w:tc>
        <w:tc>
          <w:tcPr>
            <w:tcW w:w="27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4880" w:type="dxa"/>
            <w:vAlign w:val="bottom"/>
            <w:tcBorders>
              <w:top w:val="single" w:sz="8" w:color="0000FF"/>
            </w:tcBorders>
            <w:gridSpan w:val="17"/>
            <w:shd w:val="clear" w:color="auto" w:fill="CCEEFF"/>
          </w:tcPr>
          <w:p>
            <w:pPr>
              <w:spacing w:after="0" w:line="165"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administrative agent.</w:t>
              </w:r>
            </w:hyperlink>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27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10.2</w:t>
            </w:r>
          </w:p>
        </w:tc>
        <w:tc>
          <w:tcPr>
            <w:tcW w:w="4560" w:type="dxa"/>
            <w:vAlign w:val="bottom"/>
            <w:gridSpan w:val="9"/>
          </w:tcPr>
          <w:p>
            <w:pPr>
              <w:spacing w:after="0" w:line="186" w:lineRule="exact"/>
              <w:rPr>
                <w:rFonts w:ascii="Times New Roman" w:cs="Times New Roman" w:eastAsia="Times New Roman" w:hAnsi="Times New Roman"/>
                <w:sz w:val="18"/>
                <w:szCs w:val="18"/>
                <w:color w:val="0000FF"/>
                <w:w w:val="97"/>
              </w:rPr>
            </w:pPr>
            <w:hyperlink r:id="rId46">
              <w:r>
                <w:rPr>
                  <w:rFonts w:ascii="Times New Roman" w:cs="Times New Roman" w:eastAsia="Times New Roman" w:hAnsi="Times New Roman"/>
                  <w:sz w:val="18"/>
                  <w:szCs w:val="18"/>
                  <w:color w:val="0000FF"/>
                  <w:w w:val="97"/>
                </w:rPr>
                <w:t>Additional Lender Supplement, dated as of June 6, 2024, by and</w:t>
              </w:r>
            </w:hyperlink>
          </w:p>
        </w:tc>
        <w:tc>
          <w:tcPr>
            <w:tcW w:w="460" w:type="dxa"/>
            <w:vAlign w:val="bottom"/>
            <w:gridSpan w:val="9"/>
          </w:tcPr>
          <w:p>
            <w:pPr>
              <w:spacing w:after="0"/>
              <w:rPr>
                <w:sz w:val="16"/>
                <w:szCs w:val="16"/>
                <w:color w:val="auto"/>
              </w:rPr>
            </w:pPr>
          </w:p>
        </w:tc>
        <w:tc>
          <w:tcPr>
            <w:tcW w:w="2940" w:type="dxa"/>
            <w:vAlign w:val="bottom"/>
            <w:gridSpan w:val="3"/>
          </w:tcPr>
          <w:p>
            <w:pPr>
              <w:spacing w:after="0" w:line="18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Exhibit 10.2 to the Company’s Current</w:t>
              </w:r>
            </w:hyperlink>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560" w:type="dxa"/>
            <w:vAlign w:val="bottom"/>
            <w:tcBorders>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among Weatherford International Ltd., Weatherford International,</w:t>
              </w:r>
            </w:hyperlink>
          </w:p>
        </w:tc>
        <w:tc>
          <w:tcPr>
            <w:tcW w:w="14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900" w:type="dxa"/>
            <w:vAlign w:val="bottom"/>
            <w:tcBorders>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Report on Form 8-K filed June 11, 2024.</w:t>
              </w:r>
            </w:hyperlink>
          </w:p>
        </w:tc>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20" w:type="dxa"/>
            <w:vAlign w:val="bottom"/>
            <w:gridSpan w:val="18"/>
          </w:tcPr>
          <w:p>
            <w:pPr>
              <w:spacing w:after="0" w:line="165"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LLC, Weatherford Canada Ltd., WOFS International Finance GmbH,</w:t>
              </w:r>
            </w:hyperlink>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20" w:type="dxa"/>
            <w:vAlign w:val="bottom"/>
            <w:tcBorders>
              <w:top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Weatherford International plc, Arab Banking Corporation (B.S.C.)</w:t>
              </w:r>
            </w:hyperlink>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40" w:type="dxa"/>
            <w:vAlign w:val="bottom"/>
            <w:tcBorders>
              <w:bottom w:val="single" w:sz="8" w:color="0000FF"/>
            </w:tcBorders>
            <w:gridSpan w:val="16"/>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New York Branch, as an Additional Lender, the other Issuing Banks</w:t>
              </w:r>
            </w:hyperlink>
          </w:p>
        </w:tc>
        <w:tc>
          <w:tcPr>
            <w:tcW w:w="180" w:type="dxa"/>
            <w:vAlign w:val="bottom"/>
            <w:gridSpan w:val="2"/>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20" w:type="dxa"/>
            <w:vAlign w:val="bottom"/>
            <w:gridSpan w:val="18"/>
            <w:vMerge w:val="restart"/>
          </w:tcPr>
          <w:p>
            <w:pPr>
              <w:spacing w:after="0" w:line="165"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party thereto and Wells Fargo Bank, National Association, as</w:t>
              </w:r>
            </w:hyperlink>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20" w:type="dxa"/>
            <w:vAlign w:val="bottom"/>
            <w:gridSpan w:val="18"/>
            <w:vMerge w:val="continue"/>
          </w:tcPr>
          <w:p>
            <w:pPr>
              <w:spacing w:after="0"/>
              <w:rPr>
                <w:sz w:val="5"/>
                <w:szCs w:val="5"/>
                <w:color w:val="auto"/>
              </w:rPr>
            </w:pPr>
          </w:p>
        </w:tc>
        <w:tc>
          <w:tcPr>
            <w:tcW w:w="2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20" w:type="dxa"/>
            <w:vAlign w:val="bottom"/>
            <w:gridSpan w:val="18"/>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administrative agent. *Schedules and similar attachments have been</w:t>
              </w:r>
            </w:hyperlink>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2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omitted pursuant to Regulation S-K Item 601(a)(5). Weatherford</w:t>
              </w:r>
            </w:hyperlink>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9"/>
          </w:tcPr>
          <w:p>
            <w:pPr>
              <w:spacing w:after="0" w:line="165" w:lineRule="exact"/>
              <w:rPr>
                <w:rFonts w:ascii="Times New Roman" w:cs="Times New Roman" w:eastAsia="Times New Roman" w:hAnsi="Times New Roman"/>
                <w:sz w:val="18"/>
                <w:szCs w:val="18"/>
                <w:color w:val="0000FF"/>
                <w:w w:val="96"/>
              </w:rPr>
            </w:pPr>
            <w:hyperlink r:id="rId46">
              <w:r>
                <w:rPr>
                  <w:rFonts w:ascii="Times New Roman" w:cs="Times New Roman" w:eastAsia="Times New Roman" w:hAnsi="Times New Roman"/>
                  <w:sz w:val="18"/>
                  <w:szCs w:val="18"/>
                  <w:color w:val="0000FF"/>
                  <w:w w:val="96"/>
                </w:rPr>
                <w:t>agrees to furnish a supplemental copy of any omitted schedule or</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20" w:type="dxa"/>
            <w:vAlign w:val="bottom"/>
            <w:tcBorders>
              <w:bottom w:val="single" w:sz="8" w:color="0000FF"/>
            </w:tcBorders>
            <w:gridSpan w:val="18"/>
          </w:tcPr>
          <w:p>
            <w:pPr>
              <w:spacing w:after="0" w:line="152"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attachment to the Securities and Exchange Commission upon request.</w:t>
              </w:r>
            </w:hyperlink>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46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†10.3</w:t>
            </w:r>
          </w:p>
        </w:tc>
        <w:tc>
          <w:tcPr>
            <w:tcW w:w="5020" w:type="dxa"/>
            <w:vAlign w:val="bottom"/>
            <w:tcBorders>
              <w:right w:val="single" w:sz="8" w:color="CCEEFF"/>
            </w:tcBorders>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Seventh Amendment to Amended and Restated Credit Agreement,</w:t>
            </w:r>
          </w:p>
        </w:tc>
        <w:tc>
          <w:tcPr>
            <w:tcW w:w="2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4720" w:type="dxa"/>
            <w:vAlign w:val="bottom"/>
            <w:tcBorders>
              <w:top w:val="single" w:sz="8" w:color="0000FF"/>
              <w:bottom w:val="single" w:sz="8" w:color="0000FF"/>
            </w:tcBorders>
            <w:gridSpan w:val="11"/>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dated as of June 24, 2024, by and among Weatherford International</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bottom w:val="single" w:sz="8" w:color="CCEEFF"/>
              <w:right w:val="single" w:sz="8" w:color="CCEEFF"/>
            </w:tcBorders>
            <w:gridSpan w:val="2"/>
            <w:shd w:val="clear" w:color="auto" w:fill="CCEEFF"/>
          </w:tcPr>
          <w:p>
            <w:pPr>
              <w:spacing w:after="0"/>
              <w:rPr>
                <w:sz w:val="13"/>
                <w:szCs w:val="13"/>
                <w:color w:val="auto"/>
              </w:rPr>
            </w:pPr>
          </w:p>
        </w:tc>
        <w:tc>
          <w:tcPr>
            <w:tcW w:w="27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760" w:type="dxa"/>
            <w:vAlign w:val="bottom"/>
            <w:gridSpan w:val="13"/>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0000FF"/>
              </w:rPr>
              <w:t>Ltd., Weatherford International, LLC, Weatherford Canada Ltd.,</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80" w:type="dxa"/>
            <w:vAlign w:val="bottom"/>
            <w:tcBorders>
              <w:right w:val="single" w:sz="8" w:color="CCEEFF"/>
            </w:tcBorders>
            <w:gridSpan w:val="2"/>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20"/>
        </w:trPr>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2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20" w:type="dxa"/>
            <w:vAlign w:val="bottom"/>
            <w:tcBorders>
              <w:right w:val="single" w:sz="8" w:color="CCEEFF"/>
            </w:tcBorders>
            <w:gridSpan w:val="18"/>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WOFS International Finance GmbH, Weatherford International plc,</w:t>
            </w:r>
          </w:p>
        </w:tc>
        <w:tc>
          <w:tcPr>
            <w:tcW w:w="2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5020" w:type="dxa"/>
            <w:vAlign w:val="bottom"/>
            <w:tcBorders>
              <w:right w:val="single" w:sz="8" w:color="CCEEFF"/>
            </w:tcBorders>
            <w:gridSpan w:val="18"/>
            <w:vMerge w:val="continue"/>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4780" w:type="dxa"/>
            <w:vAlign w:val="bottom"/>
            <w:tcBorders>
              <w:top w:val="single" w:sz="8" w:color="0000FF"/>
              <w:bottom w:val="single" w:sz="8" w:color="0000FF"/>
            </w:tcBorders>
            <w:gridSpan w:val="14"/>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w w:val="99"/>
              </w:rPr>
              <w:t>the lenders party thereto and Wells Fargo Bank, National Association,</w:t>
            </w:r>
          </w:p>
        </w:tc>
        <w:tc>
          <w:tcPr>
            <w:tcW w:w="6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80" w:type="dxa"/>
            <w:vAlign w:val="bottom"/>
            <w:tcBorders>
              <w:top w:val="single" w:sz="8" w:color="CCEEFF"/>
              <w:bottom w:val="single" w:sz="8" w:color="0000FF"/>
              <w:right w:val="single" w:sz="8" w:color="CCEEFF"/>
            </w:tcBorders>
            <w:gridSpan w:val="2"/>
            <w:shd w:val="clear" w:color="auto" w:fill="CCEEFF"/>
          </w:tcPr>
          <w:p>
            <w:pPr>
              <w:spacing w:after="0"/>
              <w:rPr>
                <w:sz w:val="13"/>
                <w:szCs w:val="13"/>
                <w:color w:val="auto"/>
              </w:rPr>
            </w:pPr>
          </w:p>
        </w:tc>
        <w:tc>
          <w:tcPr>
            <w:tcW w:w="27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20" w:type="dxa"/>
            <w:vAlign w:val="bottom"/>
            <w:tcBorders>
              <w:right w:val="single" w:sz="8" w:color="CCEEFF"/>
            </w:tcBorders>
            <w:gridSpan w:val="18"/>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0000FF"/>
              </w:rPr>
              <w:t>as administrative agent.</w:t>
            </w:r>
          </w:p>
        </w:tc>
        <w:tc>
          <w:tcPr>
            <w:tcW w:w="2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360" w:type="dxa"/>
            <w:vAlign w:val="bottom"/>
            <w:tcBorders>
              <w:righ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†10.4</w:t>
            </w:r>
          </w:p>
        </w:tc>
        <w:tc>
          <w:tcPr>
            <w:tcW w:w="4840" w:type="dxa"/>
            <w:vAlign w:val="bottom"/>
            <w:tcBorders>
              <w:bottom w:val="single" w:sz="8" w:color="0000FF"/>
            </w:tcBorders>
            <w:gridSpan w:val="16"/>
          </w:tcPr>
          <w:p>
            <w:pPr>
              <w:spacing w:after="0" w:line="186" w:lineRule="exact"/>
              <w:rPr>
                <w:sz w:val="20"/>
                <w:szCs w:val="20"/>
                <w:color w:val="auto"/>
              </w:rPr>
            </w:pPr>
            <w:r>
              <w:rPr>
                <w:rFonts w:ascii="Times New Roman" w:cs="Times New Roman" w:eastAsia="Times New Roman" w:hAnsi="Times New Roman"/>
                <w:sz w:val="18"/>
                <w:szCs w:val="18"/>
                <w:color w:val="0000FF"/>
                <w:w w:val="97"/>
              </w:rPr>
              <w:t>Second Amended and Restated Weatherford International plc Short-</w:t>
            </w:r>
          </w:p>
        </w:tc>
        <w:tc>
          <w:tcPr>
            <w:tcW w:w="180" w:type="dxa"/>
            <w:vAlign w:val="bottom"/>
            <w:gridSpan w:val="2"/>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20" w:type="dxa"/>
            <w:vAlign w:val="bottom"/>
            <w:gridSpan w:val="18"/>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Term Incentive Plan</w:t>
            </w: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20" w:type="dxa"/>
            <w:vAlign w:val="bottom"/>
            <w:gridSpan w:val="18"/>
            <w:vMerge w:val="continue"/>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†10.5</w:t>
            </w:r>
          </w:p>
        </w:tc>
        <w:tc>
          <w:tcPr>
            <w:tcW w:w="5020" w:type="dxa"/>
            <w:vAlign w:val="bottom"/>
            <w:tcBorders>
              <w:right w:val="single" w:sz="8" w:color="CCEEFF"/>
            </w:tcBorders>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Form of Executive Officer Restricted Share Unit Award Agreement</w:t>
            </w:r>
          </w:p>
        </w:tc>
        <w:tc>
          <w:tcPr>
            <w:tcW w:w="2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CCEEFF"/>
            </w:tcBorders>
            <w:shd w:val="clear" w:color="auto" w:fill="CCEEFF"/>
          </w:tcPr>
          <w:p>
            <w:pPr>
              <w:spacing w:after="0"/>
              <w:rPr>
                <w:sz w:val="8"/>
                <w:szCs w:val="8"/>
                <w:color w:val="auto"/>
              </w:rPr>
            </w:pPr>
          </w:p>
        </w:tc>
        <w:tc>
          <w:tcPr>
            <w:tcW w:w="4780" w:type="dxa"/>
            <w:vAlign w:val="bottom"/>
            <w:tcBorders>
              <w:top w:val="single" w:sz="8" w:color="0000FF"/>
            </w:tcBorders>
            <w:gridSpan w:val="14"/>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adopted January 18, 2024 and amended July 23, 2024.</w:t>
            </w:r>
          </w:p>
        </w:tc>
        <w:tc>
          <w:tcPr>
            <w:tcW w:w="240" w:type="dxa"/>
            <w:vAlign w:val="bottom"/>
            <w:tcBorders>
              <w:top w:val="single" w:sz="8" w:color="CCEEFF"/>
              <w:right w:val="single" w:sz="8" w:color="CCEEFF"/>
            </w:tcBorders>
            <w:gridSpan w:val="4"/>
            <w:vMerge w:val="restart"/>
            <w:shd w:val="clear" w:color="auto" w:fill="CCEEFF"/>
          </w:tcPr>
          <w:p>
            <w:pPr>
              <w:spacing w:after="0"/>
              <w:rPr>
                <w:sz w:val="8"/>
                <w:szCs w:val="8"/>
                <w:color w:val="auto"/>
              </w:rPr>
            </w:pPr>
          </w:p>
        </w:tc>
        <w:tc>
          <w:tcPr>
            <w:tcW w:w="27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820" w:type="dxa"/>
            <w:vAlign w:val="bottom"/>
            <w:tcBorders>
              <w:top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4780" w:type="dxa"/>
            <w:vAlign w:val="bottom"/>
            <w:gridSpan w:val="14"/>
            <w:vMerge w:val="continue"/>
            <w:shd w:val="clear" w:color="auto" w:fill="CCEEFF"/>
          </w:tcPr>
          <w:p>
            <w:pPr>
              <w:spacing w:after="0"/>
              <w:rPr>
                <w:sz w:val="4"/>
                <w:szCs w:val="4"/>
                <w:color w:val="auto"/>
              </w:rPr>
            </w:pPr>
          </w:p>
        </w:tc>
        <w:tc>
          <w:tcPr>
            <w:tcW w:w="240" w:type="dxa"/>
            <w:vAlign w:val="bottom"/>
            <w:tcBorders>
              <w:right w:val="single" w:sz="8" w:color="CCEEFF"/>
            </w:tcBorders>
            <w:gridSpan w:val="4"/>
            <w:vMerge w:val="continue"/>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†10.6</w:t>
            </w:r>
          </w:p>
        </w:tc>
        <w:tc>
          <w:tcPr>
            <w:tcW w:w="5020" w:type="dxa"/>
            <w:vAlign w:val="bottom"/>
            <w:tcBorders>
              <w:bottom w:val="single" w:sz="8" w:color="0000FF"/>
            </w:tcBorders>
            <w:gridSpan w:val="18"/>
          </w:tcPr>
          <w:p>
            <w:pPr>
              <w:spacing w:after="0" w:line="186" w:lineRule="exact"/>
              <w:rPr>
                <w:sz w:val="20"/>
                <w:szCs w:val="20"/>
                <w:color w:val="auto"/>
              </w:rPr>
            </w:pPr>
            <w:r>
              <w:rPr>
                <w:rFonts w:ascii="Times New Roman" w:cs="Times New Roman" w:eastAsia="Times New Roman" w:hAnsi="Times New Roman"/>
                <w:sz w:val="18"/>
                <w:szCs w:val="18"/>
                <w:color w:val="0000FF"/>
                <w:w w:val="98"/>
              </w:rPr>
              <w:t>Form of Executive Officer Performance Share Unit Award Agreement</w:t>
            </w: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20" w:type="dxa"/>
            <w:vAlign w:val="bottom"/>
            <w:gridSpan w:val="18"/>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adopted January 18, 2024 and amended July 23, 2024.</w:t>
            </w: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20" w:type="dxa"/>
            <w:vAlign w:val="bottom"/>
            <w:gridSpan w:val="18"/>
            <w:vMerge w:val="continue"/>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60" w:type="dxa"/>
            <w:vAlign w:val="bottom"/>
            <w:tcBorders>
              <w:bottom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†10.7</w:t>
            </w:r>
          </w:p>
        </w:tc>
        <w:tc>
          <w:tcPr>
            <w:tcW w:w="4400" w:type="dxa"/>
            <w:vAlign w:val="bottom"/>
            <w:tcBorders>
              <w:bottom w:val="single" w:sz="8" w:color="0000FF"/>
            </w:tcBorders>
            <w:gridSpan w:val="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Form of Non-Executive Director Restricted Share Unit Award</w:t>
            </w:r>
          </w:p>
        </w:tc>
        <w:tc>
          <w:tcPr>
            <w:tcW w:w="620" w:type="dxa"/>
            <w:vAlign w:val="bottom"/>
            <w:tcBorders>
              <w:bottom w:val="single" w:sz="8" w:color="CCEEFF"/>
              <w:right w:val="single" w:sz="8" w:color="CCEEFF"/>
            </w:tcBorders>
            <w:gridSpan w:val="10"/>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20" w:type="dxa"/>
            <w:vAlign w:val="bottom"/>
            <w:tcBorders>
              <w:right w:val="single" w:sz="8" w:color="CCEEFF"/>
            </w:tcBorders>
            <w:gridSpan w:val="18"/>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Agreement adopted January 18, 2024 and amended July 23, 2024</w:t>
            </w:r>
            <w:r>
              <w:rPr>
                <w:rFonts w:ascii="Times New Roman" w:cs="Times New Roman" w:eastAsia="Times New Roman" w:hAnsi="Times New Roman"/>
                <w:sz w:val="17"/>
                <w:szCs w:val="17"/>
                <w:color w:val="000000"/>
              </w:rPr>
              <w:t>.</w:t>
            </w:r>
          </w:p>
        </w:tc>
        <w:tc>
          <w:tcPr>
            <w:tcW w:w="2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5020" w:type="dxa"/>
            <w:vAlign w:val="bottom"/>
            <w:tcBorders>
              <w:right w:val="single" w:sz="8" w:color="CCEEFF"/>
            </w:tcBorders>
            <w:gridSpan w:val="18"/>
            <w:vMerge w:val="continue"/>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right w:val="single" w:sz="8" w:color="CCEEFF"/>
            </w:tcBorders>
            <w:shd w:val="clear" w:color="auto" w:fill="CCEEFF"/>
          </w:tcPr>
          <w:p>
            <w:pPr>
              <w:spacing w:after="0"/>
              <w:rPr>
                <w:sz w:val="2"/>
                <w:szCs w:val="2"/>
                <w:color w:val="auto"/>
              </w:rPr>
            </w:pPr>
          </w:p>
        </w:tc>
        <w:tc>
          <w:tcPr>
            <w:tcW w:w="140" w:type="dxa"/>
            <w:vAlign w:val="bottom"/>
            <w:tcBorders>
              <w:top w:val="single" w:sz="8" w:color="0000FF"/>
              <w:left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†31.1</w:t>
            </w:r>
          </w:p>
        </w:tc>
        <w:tc>
          <w:tcPr>
            <w:tcW w:w="4740" w:type="dxa"/>
            <w:vAlign w:val="bottom"/>
            <w:tcBorders>
              <w:bottom w:val="single" w:sz="8" w:color="0000FF"/>
            </w:tcBorders>
            <w:gridSpan w:val="12"/>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w:t>
            </w:r>
          </w:p>
        </w:tc>
        <w:tc>
          <w:tcPr>
            <w:tcW w:w="280" w:type="dxa"/>
            <w:vAlign w:val="bottom"/>
            <w:gridSpan w:val="6"/>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20" w:type="dxa"/>
            <w:vAlign w:val="bottom"/>
            <w:gridSpan w:val="18"/>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20" w:type="dxa"/>
            <w:vAlign w:val="bottom"/>
            <w:gridSpan w:val="18"/>
            <w:vMerge w:val="continue"/>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tcBorders>
              <w:bottom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†31.2</w:t>
            </w:r>
          </w:p>
        </w:tc>
        <w:tc>
          <w:tcPr>
            <w:tcW w:w="5020" w:type="dxa"/>
            <w:vAlign w:val="bottom"/>
            <w:tcBorders>
              <w:bottom w:val="single" w:sz="8" w:color="0000FF"/>
              <w:right w:val="single" w:sz="8" w:color="CCEEFF"/>
            </w:tcBorders>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w:t>
            </w:r>
          </w:p>
        </w:tc>
        <w:tc>
          <w:tcPr>
            <w:tcW w:w="2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20" w:type="dxa"/>
            <w:vAlign w:val="bottom"/>
            <w:tcBorders>
              <w:right w:val="single" w:sz="8" w:color="CCEEFF"/>
            </w:tcBorders>
            <w:gridSpan w:val="18"/>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5020" w:type="dxa"/>
            <w:vAlign w:val="bottom"/>
            <w:tcBorders>
              <w:right w:val="single" w:sz="8" w:color="CCEEFF"/>
            </w:tcBorders>
            <w:gridSpan w:val="18"/>
            <w:vMerge w:val="continue"/>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4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††32.1</w:t>
            </w:r>
          </w:p>
        </w:tc>
        <w:tc>
          <w:tcPr>
            <w:tcW w:w="4740" w:type="dxa"/>
            <w:vAlign w:val="bottom"/>
            <w:tcBorders>
              <w:bottom w:val="single" w:sz="8" w:color="0000FF"/>
            </w:tcBorders>
            <w:gridSpan w:val="12"/>
          </w:tcPr>
          <w:p>
            <w:pPr>
              <w:spacing w:after="0" w:line="186"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906 of</w:t>
            </w:r>
          </w:p>
        </w:tc>
        <w:tc>
          <w:tcPr>
            <w:tcW w:w="280" w:type="dxa"/>
            <w:vAlign w:val="bottom"/>
            <w:gridSpan w:val="6"/>
          </w:tcPr>
          <w:p>
            <w:pPr>
              <w:spacing w:after="0"/>
              <w:rPr>
                <w:sz w:val="16"/>
                <w:szCs w:val="16"/>
                <w:color w:val="auto"/>
              </w:rPr>
            </w:pPr>
          </w:p>
        </w:tc>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20" w:type="dxa"/>
            <w:vAlign w:val="bottom"/>
            <w:gridSpan w:val="18"/>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20" w:type="dxa"/>
            <w:vAlign w:val="bottom"/>
            <w:gridSpan w:val="18"/>
            <w:vMerge w:val="continue"/>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460" w:type="dxa"/>
            <w:vAlign w:val="bottom"/>
            <w:tcBorders>
              <w:bottom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5020" w:type="dxa"/>
            <w:vAlign w:val="bottom"/>
            <w:tcBorders>
              <w:bottom w:val="single" w:sz="8" w:color="0000FF"/>
              <w:right w:val="single" w:sz="8" w:color="CCEEFF"/>
            </w:tcBorders>
            <w:gridSpan w:val="18"/>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906 of the</w:t>
            </w:r>
          </w:p>
        </w:tc>
        <w:tc>
          <w:tcPr>
            <w:tcW w:w="2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File No. 1-36504</w:t>
            </w:r>
          </w:p>
        </w:tc>
        <w:tc>
          <w:tcPr>
            <w:tcW w:w="0" w:type="dxa"/>
            <w:vAlign w:val="bottom"/>
          </w:tcPr>
          <w:p>
            <w:pPr>
              <w:spacing w:after="0"/>
              <w:rPr>
                <w:sz w:val="1"/>
                <w:szCs w:val="1"/>
                <w:color w:val="auto"/>
              </w:rPr>
            </w:pPr>
          </w:p>
        </w:tc>
      </w:tr>
      <w:tr>
        <w:trPr>
          <w:trHeight w:val="100"/>
        </w:trPr>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20" w:type="dxa"/>
            <w:vAlign w:val="bottom"/>
            <w:tcBorders>
              <w:right w:val="single" w:sz="8" w:color="CCEEFF"/>
            </w:tcBorders>
            <w:gridSpan w:val="18"/>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7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3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5020" w:type="dxa"/>
            <w:vAlign w:val="bottom"/>
            <w:tcBorders>
              <w:right w:val="single" w:sz="8" w:color="CCEEFF"/>
            </w:tcBorders>
            <w:gridSpan w:val="18"/>
            <w:vMerge w:val="continue"/>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0000FF"/>
              <w:right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14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22"/>
          </w:tcPr>
          <w:p>
            <w:pPr>
              <w:spacing w:after="0" w:line="172"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6"/>
        </w:trPr>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9"/>
          </w:tcPr>
          <w:p>
            <w:pPr>
              <w:ind w:left="42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49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881"/>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Original Filed Exhibit</w:t>
            </w:r>
          </w:p>
        </w:tc>
        <w:tc>
          <w:tcPr>
            <w:tcW w:w="19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File Number</w:t>
            </w:r>
          </w:p>
        </w:tc>
      </w:tr>
      <w:tr>
        <w:trPr>
          <w:trHeight w:val="225"/>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8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5"/>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8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5"/>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8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5"/>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8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5"/>
        </w:trPr>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8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bl>
    <w:p>
      <w:pPr>
        <w:ind w:left="1460" w:hanging="1436"/>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5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ind w:right="76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tbl>
      <w:tblPr>
        <w:tblLayout w:type="fixed"/>
        <w:tblInd w:w="600" w:type="dxa"/>
        <w:tblCellMar>
          <w:top w:w="0" w:type="dxa"/>
          <w:left w:w="0" w:type="dxa"/>
          <w:bottom w:w="0" w:type="dxa"/>
          <w:right w:w="0" w:type="dxa"/>
        </w:tblCellMar>
      </w:tblPr>
      <w:tr>
        <w:trPr>
          <w:trHeight w:val="231"/>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w:t>
            </w:r>
          </w:p>
        </w:tc>
      </w:tr>
      <w:tr>
        <w:trPr>
          <w:trHeight w:val="48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2024</w:t>
            </w:r>
          </w:p>
        </w:tc>
        <w:tc>
          <w:tcPr>
            <w:tcW w:w="73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Arunava Mitra</w:t>
            </w:r>
          </w:p>
        </w:tc>
      </w:tr>
      <w:tr>
        <w:trPr>
          <w:trHeight w:val="213"/>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Arunava Mitra</w:t>
            </w:r>
          </w:p>
        </w:tc>
      </w:tr>
      <w:tr>
        <w:trPr>
          <w:trHeight w:val="231"/>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75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24, 2024</w:t>
            </w:r>
          </w:p>
        </w:tc>
        <w:tc>
          <w:tcPr>
            <w:tcW w:w="736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Desmond J. Mills</w:t>
            </w:r>
          </w:p>
        </w:tc>
      </w:tr>
      <w:tr>
        <w:trPr>
          <w:trHeight w:val="213"/>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Desmond J. Mills</w:t>
            </w:r>
          </w:p>
        </w:tc>
      </w:tr>
      <w:tr>
        <w:trPr>
          <w:trHeight w:val="231"/>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60"/>
          </w:cols>
          <w:pgMar w:left="320" w:top="466" w:right="4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SEVENTH AMENDMENT 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CREDIT AGREEMENT</w:t>
      </w:r>
    </w:p>
    <w:p>
      <w:pPr>
        <w:spacing w:after="0" w:line="198"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This SEVENTH AMENDMENT TO AMENDED AND RESTATED CREDIT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June 24, 2024, is entered into among WEATHERFORD INTERNATIONAL LTD., a Bermuda exempted company (“</w:t>
      </w: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 WEATHERFORD CANADA LTD., an Alberta corporation (“</w:t>
      </w: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 WEATHERFORD INTERNATIONAL, LLC, a Delaware limited liability company (“</w:t>
      </w: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 WOFS INTERNATIONAL FINANCE GMBH, a Swiss limited liability company (“</w:t>
      </w: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 and together with WIL-Bermuda, WIL-Canada and WIL-Delaware,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WEATHERFORD INTERNATIONAL PLC, as Parent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WELLS FARGO BANK, NATIONAL ASSOCIATION, as administrative agent for the Lenders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and the Lenders party hereto.</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2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WHEREAS, the Borrowers, Parent, the Administrative Agent, and the Lenders and Issuing Banks party thereto from time to time are party to that certain Amended and Restated Credit Agreement, dated as of October 17, 2022 (as amended, supplemented or otherwise modified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as amended by this Amendment and as may be further amended, restated, amended and restated, supplemented or otherwise modified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WHEREAS, Parent and the Borrowers have requested certain amendments and modifications be made to the Existing Credit Agreement; and</w:t>
      </w:r>
    </w:p>
    <w:p>
      <w:pPr>
        <w:spacing w:after="0" w:line="14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WHEREAS, subject to the terms and conditions contained herein, the Administrative Agent, the Lenders party hereto, Parent and the Borrowers have agreed to amend the Existing Credit Agreement as hereinafter set forth to address the foregoing.</w:t>
      </w:r>
    </w:p>
    <w:p>
      <w:pPr>
        <w:spacing w:after="0" w:line="142"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29" w:lineRule="exact"/>
        <w:rPr>
          <w:sz w:val="20"/>
          <w:szCs w:val="20"/>
          <w:color w:val="auto"/>
        </w:rPr>
      </w:pPr>
    </w:p>
    <w:p>
      <w:pPr>
        <w:ind w:firstLine="642"/>
        <w:spacing w:after="0" w:line="285" w:lineRule="auto"/>
        <w:tabs>
          <w:tab w:leader="none" w:pos="127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 Section References</w:t>
      </w:r>
      <w:r>
        <w:rPr>
          <w:rFonts w:ascii="Times New Roman" w:cs="Times New Roman" w:eastAsia="Times New Roman" w:hAnsi="Times New Roman"/>
          <w:sz w:val="21"/>
          <w:szCs w:val="21"/>
          <w:color w:val="auto"/>
        </w:rPr>
        <w:t>. Capitalized terms used herein but not otherwise defined herein shall have the meanings provided to such terms in the Credit Agreement.</w:t>
      </w:r>
    </w:p>
    <w:p>
      <w:pPr>
        <w:spacing w:after="0" w:line="141" w:lineRule="exact"/>
        <w:rPr>
          <w:rFonts w:ascii="Times New Roman" w:cs="Times New Roman" w:eastAsia="Times New Roman" w:hAnsi="Times New Roman"/>
          <w:sz w:val="21"/>
          <w:szCs w:val="21"/>
          <w:color w:val="auto"/>
        </w:rPr>
      </w:pPr>
    </w:p>
    <w:p>
      <w:pPr>
        <w:jc w:val="both"/>
        <w:ind w:firstLine="642"/>
        <w:spacing w:after="0" w:line="274" w:lineRule="auto"/>
        <w:tabs>
          <w:tab w:leader="none" w:pos="127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to Existing Credit Agreement</w:t>
      </w:r>
      <w:r>
        <w:rPr>
          <w:rFonts w:ascii="Times New Roman" w:cs="Times New Roman" w:eastAsia="Times New Roman" w:hAnsi="Times New Roman"/>
          <w:sz w:val="21"/>
          <w:szCs w:val="21"/>
          <w:color w:val="auto"/>
        </w:rPr>
        <w:t xml:space="preserve">. The definition of “Permitted Factoring Transactions” of the Existing Credit Agreement is hereby amended to delete the stricken text (indicated textually in the same manner as the following example: </w:t>
      </w:r>
      <w:r>
        <w:rPr>
          <w:rFonts w:ascii="Times New Roman" w:cs="Times New Roman" w:eastAsia="Times New Roman" w:hAnsi="Times New Roman"/>
          <w:sz w:val="21"/>
          <w:szCs w:val="21"/>
          <w:color w:val="FF0000"/>
          <w:strike w:val="1"/>
        </w:rPr>
        <w:t>stricken text</w:t>
      </w:r>
      <w:r>
        <w:rPr>
          <w:rFonts w:ascii="Times New Roman" w:cs="Times New Roman" w:eastAsia="Times New Roman" w:hAnsi="Times New Roman"/>
          <w:sz w:val="21"/>
          <w:szCs w:val="21"/>
          <w:color w:val="000000"/>
        </w:rPr>
        <w:t>) as set forth below:</w:t>
      </w:r>
    </w:p>
    <w:p>
      <w:pPr>
        <w:spacing w:after="0" w:line="153"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Factoring Transactions</w:t>
      </w:r>
      <w:r>
        <w:rPr>
          <w:rFonts w:ascii="Times New Roman" w:cs="Times New Roman" w:eastAsia="Times New Roman" w:hAnsi="Times New Roman"/>
          <w:sz w:val="21"/>
          <w:szCs w:val="21"/>
          <w:color w:val="auto"/>
        </w:rPr>
        <w:t>” means receivables purchase facilities and factoring transactions entered into by Parent or any Restricted Subsidiary with respect to Receivables originated by Parent or such Restricted Subsidiary in the ordinary course of</w:t>
      </w:r>
    </w:p>
    <w:p>
      <w:pPr>
        <w:sectPr>
          <w:pgSz w:w="11900" w:h="16838" w:orient="portrait"/>
          <w:cols w:equalWidth="0" w:num="1">
            <w:col w:w="11240"/>
          </w:cols>
          <w:pgMar w:left="320" w:top="121" w:right="339" w:bottom="1440" w:gutter="0" w:footer="0" w:header="0"/>
        </w:sectPr>
      </w:pPr>
    </w:p>
    <w:bookmarkStart w:id="34" w:name="page35"/>
    <w:bookmarkEnd w:id="34"/>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 xml:space="preserve">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color w:val="auto"/>
        </w:rPr>
        <w:t xml:space="preserve"> the aggregate face amount of all receivables sold or transferred pursuant to Permitted Factoring Transactions shall not exceed $150,000,000 during any Fiscal Quarter</w:t>
      </w:r>
      <w:r>
        <w:rPr>
          <w:rFonts w:ascii="Times New Roman" w:cs="Times New Roman" w:eastAsia="Times New Roman" w:hAnsi="Times New Roman"/>
          <w:sz w:val="21"/>
          <w:szCs w:val="21"/>
          <w:color w:val="FF0000"/>
          <w:strike w:val="1"/>
        </w:rPr>
        <w:t>, and (b) such Receivables are segregated into deposit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accounts that are separate and distinct from the deposit accounts constituting or holding Collateral (and Parent and its Restricted Subsidiaries shall not otherwise commingle proceeds received in connection with a Permitted Factoring Transaction with any Collateral or proceeds thereof)</w:t>
      </w:r>
      <w:r>
        <w:rPr>
          <w:rFonts w:ascii="Times New Roman" w:cs="Times New Roman" w:eastAsia="Times New Roman" w:hAnsi="Times New Roman"/>
          <w:sz w:val="21"/>
          <w:szCs w:val="21"/>
          <w:color w:val="000000"/>
          <w:strike w:val="1"/>
        </w:rPr>
        <w:t>.</w:t>
      </w:r>
    </w:p>
    <w:p>
      <w:pPr>
        <w:spacing w:after="0" w:line="210" w:lineRule="exact"/>
        <w:rPr>
          <w:sz w:val="20"/>
          <w:szCs w:val="20"/>
          <w:color w:val="auto"/>
        </w:rPr>
      </w:pPr>
    </w:p>
    <w:p>
      <w:pPr>
        <w:ind w:firstLine="642"/>
        <w:spacing w:after="0" w:line="285" w:lineRule="auto"/>
        <w:tabs>
          <w:tab w:leader="none" w:pos="1272"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Precedent</w:t>
      </w:r>
      <w:r>
        <w:rPr>
          <w:rFonts w:ascii="Times New Roman" w:cs="Times New Roman" w:eastAsia="Times New Roman" w:hAnsi="Times New Roman"/>
          <w:sz w:val="21"/>
          <w:szCs w:val="21"/>
          <w:color w:val="auto"/>
        </w:rPr>
        <w:t>. The effectiveness of this Amendment is subject to the satisfaction, or waiver, of each of the following conditions (the date of the satisfaction or waiver of all such conditions, the “</w:t>
      </w:r>
      <w:r>
        <w:rPr>
          <w:rFonts w:ascii="Times New Roman" w:cs="Times New Roman" w:eastAsia="Times New Roman" w:hAnsi="Times New Roman"/>
          <w:sz w:val="21"/>
          <w:szCs w:val="21"/>
          <w:u w:val="single" w:color="auto"/>
          <w:color w:val="auto"/>
        </w:rPr>
        <w:t>Seventh Amendment Effective Date</w:t>
      </w:r>
      <w:r>
        <w:rPr>
          <w:rFonts w:ascii="Times New Roman" w:cs="Times New Roman" w:eastAsia="Times New Roman" w:hAnsi="Times New Roman"/>
          <w:sz w:val="21"/>
          <w:szCs w:val="21"/>
          <w:color w:val="auto"/>
        </w:rPr>
        <w:t>”):</w:t>
      </w:r>
    </w:p>
    <w:p>
      <w:pPr>
        <w:spacing w:after="0" w:line="141" w:lineRule="exact"/>
        <w:rPr>
          <w:rFonts w:ascii="Times New Roman" w:cs="Times New Roman" w:eastAsia="Times New Roman" w:hAnsi="Times New Roman"/>
          <w:sz w:val="21"/>
          <w:szCs w:val="21"/>
          <w:color w:val="auto"/>
        </w:rPr>
      </w:pPr>
    </w:p>
    <w:p>
      <w:pPr>
        <w:ind w:left="640" w:firstLine="638"/>
        <w:spacing w:after="0" w:line="285" w:lineRule="auto"/>
        <w:tabs>
          <w:tab w:leader="none" w:pos="1909" w:val="left"/>
        </w:tabs>
        <w:numPr>
          <w:ilvl w:val="2"/>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duly executed counterparts of this Amendment from Parent, each of the Borrowers, the Administrative Agent and Lenders constituting at least the Required Lenders.</w:t>
      </w:r>
    </w:p>
    <w:p>
      <w:pPr>
        <w:spacing w:after="0" w:line="141" w:lineRule="exact"/>
        <w:rPr>
          <w:rFonts w:ascii="Times New Roman" w:cs="Times New Roman" w:eastAsia="Times New Roman" w:hAnsi="Times New Roman"/>
          <w:sz w:val="21"/>
          <w:szCs w:val="21"/>
          <w:color w:val="auto"/>
        </w:rPr>
      </w:pPr>
    </w:p>
    <w:p>
      <w:pPr>
        <w:jc w:val="both"/>
        <w:ind w:left="640" w:firstLine="638"/>
        <w:spacing w:after="0" w:line="274" w:lineRule="auto"/>
        <w:tabs>
          <w:tab w:leader="none" w:pos="1907" w:val="left"/>
        </w:tabs>
        <w:numPr>
          <w:ilvl w:val="2"/>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shall have paid to the extent invoiced at or before 1:00 p.m., New York City time, on the Business Day immediately prior to the Seventh Amendment Effective Date, all reasonable and documented out-of-pocket expenses required to be reimbursed or paid by the Borrowers pursuant to Section 12.03 of the Credit Agreement.</w:t>
      </w:r>
    </w:p>
    <w:p>
      <w:pPr>
        <w:spacing w:after="0" w:line="153" w:lineRule="exact"/>
        <w:rPr>
          <w:rFonts w:ascii="Times New Roman" w:cs="Times New Roman" w:eastAsia="Times New Roman" w:hAnsi="Times New Roman"/>
          <w:sz w:val="21"/>
          <w:szCs w:val="21"/>
          <w:color w:val="auto"/>
        </w:rPr>
      </w:pPr>
    </w:p>
    <w:p>
      <w:pPr>
        <w:ind w:left="640" w:firstLine="638"/>
        <w:spacing w:after="0" w:line="285" w:lineRule="auto"/>
        <w:tabs>
          <w:tab w:leader="none" w:pos="1909" w:val="left"/>
        </w:tabs>
        <w:numPr>
          <w:ilvl w:val="2"/>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Section 4(a) shall be true and correct and no Default or Event of Default shall have occurred and be continuing, in each case, as of the Seventh Amendment Effective Date.</w:t>
      </w:r>
    </w:p>
    <w:p>
      <w:pPr>
        <w:spacing w:after="0" w:line="141" w:lineRule="exact"/>
        <w:rPr>
          <w:rFonts w:ascii="Times New Roman" w:cs="Times New Roman" w:eastAsia="Times New Roman" w:hAnsi="Times New Roman"/>
          <w:sz w:val="21"/>
          <w:szCs w:val="21"/>
          <w:color w:val="auto"/>
        </w:rPr>
      </w:pPr>
    </w:p>
    <w:p>
      <w:pPr>
        <w:ind w:left="640" w:firstLine="638"/>
        <w:spacing w:after="0" w:line="285" w:lineRule="auto"/>
        <w:tabs>
          <w:tab w:leader="none" w:pos="1907" w:val="left"/>
        </w:tabs>
        <w:numPr>
          <w:ilvl w:val="2"/>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a certificate of a Responsible Officer of Parent, dated as of the Seventh Amendment Effective Date, certifying as to the matters set forth in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firstLine="6"/>
        <w:spacing w:after="0" w:line="261" w:lineRule="auto"/>
        <w:tabs>
          <w:tab w:leader="none" w:pos="631"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the waiver of such conditions as permitted hereby. Such declaration shall be final, conclusive and binding upon all parties to the Credit Agreement (including as amended hereby) for all purposes.</w:t>
      </w:r>
    </w:p>
    <w:p>
      <w:pPr>
        <w:spacing w:after="0" w:line="168" w:lineRule="exact"/>
        <w:rPr>
          <w:rFonts w:ascii="Times New Roman" w:cs="Times New Roman" w:eastAsia="Times New Roman" w:hAnsi="Times New Roman"/>
          <w:sz w:val="21"/>
          <w:szCs w:val="21"/>
          <w:color w:val="auto"/>
        </w:rPr>
      </w:pPr>
    </w:p>
    <w:p>
      <w:pPr>
        <w:ind w:firstLine="642"/>
        <w:spacing w:after="0" w:line="298" w:lineRule="auto"/>
        <w:tabs>
          <w:tab w:leader="none" w:pos="1272"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Parent and each of the Borrowers represents and warrants to the Administrative Agent and the Lenders that, as of the Seventh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7" w:right="339" w:bottom="1440" w:gutter="0" w:footer="0" w:header="0"/>
        </w:sectPr>
      </w:pPr>
    </w:p>
    <w:bookmarkStart w:id="35" w:name="page36"/>
    <w:bookmarkEnd w:id="35"/>
    <w:p>
      <w:pPr>
        <w:jc w:val="both"/>
        <w:ind w:left="-2" w:firstLine="638"/>
        <w:spacing w:after="0" w:line="258" w:lineRule="auto"/>
        <w:tabs>
          <w:tab w:leader="none" w:pos="1267"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70" w:lineRule="exact"/>
        <w:rPr>
          <w:rFonts w:ascii="Times New Roman" w:cs="Times New Roman" w:eastAsia="Times New Roman" w:hAnsi="Times New Roman"/>
          <w:sz w:val="21"/>
          <w:szCs w:val="21"/>
          <w:color w:val="auto"/>
        </w:rPr>
      </w:pPr>
    </w:p>
    <w:p>
      <w:pPr>
        <w:ind w:left="1258" w:hanging="622"/>
        <w:spacing w:after="0"/>
        <w:tabs>
          <w:tab w:leader="none" w:pos="1258"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has occurred and is continuing as of such date; and</w:t>
      </w:r>
    </w:p>
    <w:p>
      <w:pPr>
        <w:spacing w:after="0" w:line="235" w:lineRule="exact"/>
        <w:rPr>
          <w:rFonts w:ascii="Times New Roman" w:cs="Times New Roman" w:eastAsia="Times New Roman" w:hAnsi="Times New Roman"/>
          <w:sz w:val="21"/>
          <w:szCs w:val="21"/>
          <w:color w:val="auto"/>
        </w:rPr>
      </w:pPr>
    </w:p>
    <w:p>
      <w:pPr>
        <w:jc w:val="both"/>
        <w:ind w:left="-2" w:firstLine="638"/>
        <w:spacing w:after="0" w:line="261" w:lineRule="auto"/>
        <w:tabs>
          <w:tab w:leader="none" w:pos="1267"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constitutes the legal, valid and binding obligation of each of the Obligors party hereto, enforceable against each such Obligor in accordance with its terms, except as enforceability may be limited by applicable bankruptcy, insolvency, rescue process or similar laws affecting the enforcement of creditors’ rights generally or by equitable principles of general applicability.</w:t>
      </w:r>
    </w:p>
    <w:p>
      <w:pPr>
        <w:spacing w:after="0" w:line="168" w:lineRule="exact"/>
        <w:rPr>
          <w:rFonts w:ascii="Times New Roman" w:cs="Times New Roman" w:eastAsia="Times New Roman" w:hAnsi="Times New Roman"/>
          <w:sz w:val="21"/>
          <w:szCs w:val="21"/>
          <w:color w:val="auto"/>
        </w:rPr>
      </w:pPr>
    </w:p>
    <w:p>
      <w:pPr>
        <w:ind w:left="638" w:hanging="638"/>
        <w:spacing w:after="0"/>
        <w:tabs>
          <w:tab w:leader="none" w:pos="63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 Reference to and Effect on the Loan Documents</w:t>
      </w:r>
      <w:r>
        <w:rPr>
          <w:rFonts w:ascii="Times New Roman" w:cs="Times New Roman" w:eastAsia="Times New Roman" w:hAnsi="Times New Roman"/>
          <w:sz w:val="21"/>
          <w:szCs w:val="21"/>
          <w:color w:val="auto"/>
          <w:highlight w:val="white"/>
        </w:rPr>
        <w:t>.</w:t>
      </w:r>
    </w:p>
    <w:p>
      <w:pPr>
        <w:spacing w:after="0" w:line="222" w:lineRule="exact"/>
        <w:rPr>
          <w:rFonts w:ascii="Times New Roman" w:cs="Times New Roman" w:eastAsia="Times New Roman" w:hAnsi="Times New Roman"/>
          <w:sz w:val="21"/>
          <w:szCs w:val="21"/>
          <w:color w:val="auto"/>
        </w:rPr>
      </w:pPr>
    </w:p>
    <w:p>
      <w:pPr>
        <w:jc w:val="both"/>
        <w:ind w:left="-2" w:firstLine="638"/>
        <w:spacing w:after="0" w:line="266" w:lineRule="auto"/>
        <w:tabs>
          <w:tab w:leader="none" w:pos="126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Seventh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161" w:lineRule="exact"/>
        <w:rPr>
          <w:rFonts w:ascii="Times New Roman" w:cs="Times New Roman" w:eastAsia="Times New Roman" w:hAnsi="Times New Roman"/>
          <w:sz w:val="21"/>
          <w:szCs w:val="21"/>
          <w:color w:val="auto"/>
        </w:rPr>
      </w:pPr>
    </w:p>
    <w:p>
      <w:pPr>
        <w:ind w:left="-2" w:firstLine="638"/>
        <w:spacing w:after="0" w:line="285" w:lineRule="auto"/>
        <w:tabs>
          <w:tab w:leader="none" w:pos="1265"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Loan Documents, and the obligations of the Borrowers and the Obligors under the Loan Documents, are hereby ratified and confirmed and shall remain in full force and effect according to their terms.</w:t>
      </w:r>
    </w:p>
    <w:p>
      <w:pPr>
        <w:spacing w:after="0" w:line="155" w:lineRule="exact"/>
        <w:rPr>
          <w:rFonts w:ascii="Times New Roman" w:cs="Times New Roman" w:eastAsia="Times New Roman" w:hAnsi="Times New Roman"/>
          <w:sz w:val="21"/>
          <w:szCs w:val="21"/>
          <w:color w:val="auto"/>
        </w:rPr>
      </w:pPr>
    </w:p>
    <w:p>
      <w:pPr>
        <w:jc w:val="both"/>
        <w:ind w:left="-2" w:firstLine="638"/>
        <w:spacing w:after="0" w:line="256" w:lineRule="auto"/>
        <w:tabs>
          <w:tab w:leader="none" w:pos="1267"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Parent and the Borrowers, on their own behalf and on behalf of each other Obligor that is a Subsidiary thereof, (i) 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598"/>
          </w:cols>
          <w:pgMar w:left="962" w:top="1397" w:right="339" w:bottom="1440" w:gutter="0" w:footer="0" w:header="0"/>
        </w:sectPr>
      </w:pPr>
    </w:p>
    <w:bookmarkStart w:id="36" w:name="page37"/>
    <w:bookmarkEnd w:id="36"/>
    <w:p>
      <w:pPr>
        <w:jc w:val="both"/>
        <w:ind w:left="640" w:firstLine="638"/>
        <w:spacing w:after="0" w:line="267" w:lineRule="auto"/>
        <w:tabs>
          <w:tab w:leader="none" w:pos="1907"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74" w:lineRule="exact"/>
        <w:rPr>
          <w:rFonts w:ascii="Times New Roman" w:cs="Times New Roman" w:eastAsia="Times New Roman" w:hAnsi="Times New Roman"/>
          <w:sz w:val="21"/>
          <w:szCs w:val="21"/>
          <w:color w:val="auto"/>
        </w:rPr>
      </w:pPr>
    </w:p>
    <w:p>
      <w:pPr>
        <w:ind w:left="640" w:firstLine="638"/>
        <w:spacing w:after="0" w:line="285" w:lineRule="auto"/>
        <w:tabs>
          <w:tab w:leader="none" w:pos="1909"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conflict between the terms of this Amendment and the terms of the Credit Agreement or the other Loan Documents, the terms hereof shall control.</w:t>
      </w:r>
    </w:p>
    <w:p>
      <w:pPr>
        <w:spacing w:after="0" w:line="141"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Jurisdiction; Consent to Service of Process; Waiver of Jury Trial, Etc</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left="640" w:firstLine="638"/>
        <w:spacing w:after="0" w:line="274" w:lineRule="auto"/>
        <w:tabs>
          <w:tab w:leader="none" w:pos="1909"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construed in accordance with and governed by the law of the State of New York (whether based on contract, tort or otherwise and in law or equity), without regard to conflict of laws principles thereof to the extent such principles would cause the application of the law of another state.</w:t>
      </w:r>
    </w:p>
    <w:p>
      <w:pPr>
        <w:spacing w:after="0" w:line="153" w:lineRule="exact"/>
        <w:rPr>
          <w:rFonts w:ascii="Times New Roman" w:cs="Times New Roman" w:eastAsia="Times New Roman" w:hAnsi="Times New Roman"/>
          <w:sz w:val="21"/>
          <w:szCs w:val="21"/>
          <w:color w:val="auto"/>
        </w:rPr>
      </w:pPr>
    </w:p>
    <w:p>
      <w:pPr>
        <w:jc w:val="both"/>
        <w:ind w:left="640" w:firstLine="638"/>
        <w:spacing w:after="0" w:line="267" w:lineRule="auto"/>
        <w:tabs>
          <w:tab w:leader="none" w:pos="1907"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AGREES AS SET FORTH IN SECTION 12.15 (SUBMISSION TO JURISDICTION; CONSENT TO SERVICE OF PROCESS) AND SECTION 12.16 (WAIVER OF JURY TRIAL) OF THE CREDIT AGREEMENT AS IF SUCH SECTIONS WERE SET FORTH IN FULL HEREIN.</w:t>
      </w:r>
    </w:p>
    <w:p>
      <w:pPr>
        <w:spacing w:after="0" w:line="161" w:lineRule="exact"/>
        <w:rPr>
          <w:rFonts w:ascii="Times New Roman" w:cs="Times New Roman" w:eastAsia="Times New Roman" w:hAnsi="Times New Roman"/>
          <w:sz w:val="21"/>
          <w:szCs w:val="21"/>
          <w:color w:val="auto"/>
        </w:rPr>
      </w:pPr>
    </w:p>
    <w:p>
      <w:pPr>
        <w:jc w:val="both"/>
        <w:ind w:firstLine="642"/>
        <w:spacing w:after="0" w:line="258" w:lineRule="auto"/>
        <w:tabs>
          <w:tab w:leader="none" w:pos="127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Headings; Severability</w:t>
      </w:r>
      <w:r>
        <w:rPr>
          <w:rFonts w:ascii="Times New Roman" w:cs="Times New Roman" w:eastAsia="Times New Roman" w:hAnsi="Times New Roman"/>
          <w:sz w:val="21"/>
          <w:szCs w:val="21"/>
          <w:color w:val="auto"/>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3" w:lineRule="exact"/>
        <w:rPr>
          <w:rFonts w:ascii="Times New Roman" w:cs="Times New Roman" w:eastAsia="Times New Roman" w:hAnsi="Times New Roman"/>
          <w:sz w:val="21"/>
          <w:szCs w:val="21"/>
          <w:color w:val="auto"/>
        </w:rPr>
      </w:pPr>
    </w:p>
    <w:p>
      <w:pPr>
        <w:jc w:val="both"/>
        <w:ind w:firstLine="642"/>
        <w:spacing w:after="0" w:line="255" w:lineRule="auto"/>
        <w:tabs>
          <w:tab w:leader="none" w:pos="127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Execution in Counterparts</w:t>
      </w:r>
      <w:r>
        <w:rPr>
          <w:rFonts w:ascii="Times New Roman" w:cs="Times New Roman" w:eastAsia="Times New Roman" w:hAnsi="Times New Roman"/>
          <w:sz w:val="21"/>
          <w:szCs w:val="21"/>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to the extent permitted by applicable law. The words “execution”, “signed”, “signature”, “delivery”, and words of like import in or relating to any document to be signed in connection with this Amendment and the Transactions shall be deemed to include Electronic Signatures, deliveries or the keeping of records in electronic form, each of which shall be of the same legal effect, 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7"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21"/>
          <w:szCs w:val="21"/>
          <w:color w:val="auto"/>
        </w:rPr>
        <w:t>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97" w:right="339" w:bottom="1440" w:gutter="0" w:footer="0" w:header="0"/>
        </w:sectPr>
      </w:pPr>
    </w:p>
    <w:bookmarkStart w:id="38" w:name="page39"/>
    <w:bookmarkEnd w:id="38"/>
    <w:p>
      <w:pPr>
        <w:ind w:firstLine="636"/>
        <w:spacing w:after="0" w:line="272" w:lineRule="auto"/>
        <w:rPr>
          <w:sz w:val="20"/>
          <w:szCs w:val="20"/>
          <w:color w:val="auto"/>
        </w:rPr>
      </w:pPr>
      <w:r>
        <w:rPr>
          <w:rFonts w:ascii="Times New Roman" w:cs="Times New Roman" w:eastAsia="Times New Roman" w:hAnsi="Times New Roman"/>
          <w:sz w:val="21"/>
          <w:szCs w:val="21"/>
          <w:color w:val="auto"/>
        </w:rPr>
        <w:t>Each of the parties hereto has caused a counterpart of this Amendment to be duly executed and delivered as of the date first above written.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WIL-BERMUDA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LTD.,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Bermuda exempted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7049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WIL-DELAWARE</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704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WIL-CANADA</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CANADA LTD,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Alberta corporation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2230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Pamela M. Webb</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WIL-SWITZERLAND</w:t>
      </w:r>
      <w:r>
        <w:rPr>
          <w:rFonts w:ascii="Times New Roman" w:cs="Times New Roman" w:eastAsia="Times New Roman" w:hAnsi="Times New Roman"/>
          <w:sz w:val="21"/>
          <w:szCs w:val="21"/>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WOFS INTERNATIONAL FINANCE GMBH,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Swiss limited liability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689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68973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Mathias Neuenschwander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Officer</w:t>
      </w:r>
    </w:p>
    <w:p>
      <w:pPr>
        <w:sectPr>
          <w:pgSz w:w="11900" w:h="16838" w:orient="portrait"/>
          <w:cols w:equalWidth="0" w:num="1">
            <w:col w:w="11240"/>
          </w:cols>
          <w:pgMar w:left="320" w:top="1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Seventh Amendment to Amended and Restated Credit Agreement]</w:t>
      </w:r>
    </w:p>
    <w:p>
      <w:pPr>
        <w:sectPr>
          <w:pgSz w:w="11900" w:h="16838" w:orient="portrait"/>
          <w:cols w:equalWidth="0" w:num="1">
            <w:col w:w="11240"/>
          </w:cols>
          <w:pgMar w:left="320" w:top="138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7049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Maximiliano A. Kricorian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Administrative Agent and a Lender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076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Michael Janak</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DEUTSCHE BANK AG NEW YORK BRANCH,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Susan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912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91249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Susan Onal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Lauren Danbury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1811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Lauren Danbury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DEUTSCHE BANK AG NEW YORK BRANCH,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Chandan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1817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Chandan Kumar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Maryam Kouhgoli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293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9349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Maryam Kouhgoli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2" w:name="page43"/>
    <w:bookmarkEnd w:id="42"/>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BARCLAYS BANK PLC,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27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Sydney G. Dennis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44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CITIBANK, N.A.,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Gabe Juarez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956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9569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Gabe Juarez</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4" w:name="page45"/>
    <w:bookmarkEnd w:id="44"/>
    <w:p>
      <w:pPr>
        <w:ind w:left="3420"/>
        <w:spacing w:after="0" w:line="285" w:lineRule="auto"/>
        <w:rPr>
          <w:sz w:val="20"/>
          <w:szCs w:val="20"/>
          <w:color w:val="auto"/>
        </w:rPr>
      </w:pPr>
      <w:r>
        <w:rPr>
          <w:rFonts w:ascii="Times New Roman" w:cs="Times New Roman" w:eastAsia="Times New Roman" w:hAnsi="Times New Roman"/>
          <w:sz w:val="21"/>
          <w:szCs w:val="21"/>
          <w:color w:val="auto"/>
        </w:rPr>
        <w:t>JPMORGAN CHASE BANK, N.A., as Administrative Agent, a Lender and as an Issuing Bank</w:t>
      </w:r>
    </w:p>
    <w:p>
      <w:pPr>
        <w:spacing w:after="0" w:line="14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By: /s/ Sofia Barrera Jaime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2398395</wp:posOffset>
            </wp:positionH>
            <wp:positionV relativeFrom="paragraph">
              <wp:posOffset>-8890</wp:posOffset>
            </wp:positionV>
            <wp:extent cx="16338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633855" cy="8255"/>
                    </a:xfrm>
                    <a:prstGeom prst="rect">
                      <a:avLst/>
                    </a:prstGeom>
                    <a:noFill/>
                  </pic:spPr>
                </pic:pic>
              </a:graphicData>
            </a:graphic>
          </wp:anchor>
        </w:drawing>
      </w:r>
    </w:p>
    <w:p>
      <w:pPr>
        <w:spacing w:after="0" w:line="1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Name: Sofia Barrera Jaime</w:t>
      </w:r>
    </w:p>
    <w:p>
      <w:pPr>
        <w:spacing w:after="0" w:line="2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00"/>
          </w:cols>
          <w:pgMar w:left="1440" w:top="139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Morgan Stanley Senior Funding, Inc.,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Aaron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113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Aaron McLean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STANDARD CHARTERED BANK,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Roy Kuruvilla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0693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Roy Kuruvilla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Managing Director, Leveraged and Acquisition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DNB Capital LLC,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Aleksander Engas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271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Aleksander Engas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Sybille Andaur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1144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Sybille Andaur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Arab Bank Corporation (B.S.C.) New York Branch,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Gautier Strub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024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Gautier Strub</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Senior Relationship Manager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David Giacalone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203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David Giacalone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Chief Risk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ATB FINANCIAL,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Amish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957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Amish Patel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Director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Davinder Jhutty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1588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Davinder Jhutty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WOODFOREST NATIONAL BANK, as a Lender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Wesley Gerren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0953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Wesley Gerren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499"/>
        <w:spacing w:after="0"/>
        <w:rPr>
          <w:sz w:val="20"/>
          <w:szCs w:val="20"/>
          <w:color w:val="auto"/>
        </w:rPr>
      </w:pPr>
      <w:r>
        <w:rPr>
          <w:rFonts w:ascii="Times New Roman" w:cs="Times New Roman" w:eastAsia="Times New Roman" w:hAnsi="Times New Roman"/>
          <w:sz w:val="18"/>
          <w:szCs w:val="18"/>
          <w:color w:val="auto"/>
        </w:rPr>
        <w:t>[Signature Page – Seventh Amendment to Amended and Restated Credit Agreement]</w:t>
      </w:r>
    </w:p>
    <w:p>
      <w:pPr>
        <w:sectPr>
          <w:pgSz w:w="11900" w:h="16838" w:orient="portrait"/>
          <w:cols w:equalWidth="0" w:num="1">
            <w:col w:w="10139"/>
          </w:cols>
          <w:pgMar w:left="320" w:top="1397"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SHORT-TERM INCENTIVE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(Second Amended and Restated as of July 23, 2024)</w:t>
      </w:r>
    </w:p>
    <w:p>
      <w:pPr>
        <w:spacing w:after="0" w:line="236" w:lineRule="exact"/>
        <w:rPr>
          <w:sz w:val="20"/>
          <w:szCs w:val="20"/>
          <w:color w:val="auto"/>
        </w:rPr>
      </w:pPr>
    </w:p>
    <w:p>
      <w:pPr>
        <w:ind w:firstLine="324"/>
        <w:spacing w:after="0" w:line="300" w:lineRule="auto"/>
        <w:tabs>
          <w:tab w:leader="none" w:pos="63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Purpose</w:t>
      </w:r>
      <w:r>
        <w:rPr>
          <w:rFonts w:ascii="Times New Roman" w:cs="Times New Roman" w:eastAsia="Times New Roman" w:hAnsi="Times New Roman"/>
          <w:sz w:val="19"/>
          <w:szCs w:val="19"/>
          <w:color w:val="auto"/>
        </w:rPr>
        <w:t>. This Weatherford International plc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Short-Term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is designed to align the interests of the Company and eligible employees of the Company and its subsidiaries.</w:t>
      </w:r>
    </w:p>
    <w:p>
      <w:pPr>
        <w:spacing w:after="0" w:line="89" w:lineRule="exact"/>
        <w:rPr>
          <w:rFonts w:ascii="Times New Roman" w:cs="Times New Roman" w:eastAsia="Times New Roman" w:hAnsi="Times New Roman"/>
          <w:sz w:val="19"/>
          <w:szCs w:val="19"/>
          <w:color w:val="auto"/>
        </w:rPr>
      </w:pPr>
    </w:p>
    <w:p>
      <w:pPr>
        <w:jc w:val="both"/>
        <w:ind w:firstLine="324"/>
        <w:spacing w:after="0" w:line="280" w:lineRule="auto"/>
        <w:tabs>
          <w:tab w:leader="none" w:pos="63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Adoption of the Plan</w:t>
      </w:r>
      <w:r>
        <w:rPr>
          <w:rFonts w:ascii="Times New Roman" w:cs="Times New Roman" w:eastAsia="Times New Roman" w:hAnsi="Times New Roman"/>
          <w:sz w:val="19"/>
          <w:szCs w:val="19"/>
          <w:color w:val="auto"/>
        </w:rPr>
        <w:t>. The Plan was originally adopted effective as of January 1, 2021 and was subsequently amended and restated by the Committee effective as of January 18, 2023 and July 23, 2024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The Plan shall be in effect from the Effective Date, may be amended from time to time, and shall continue until terminated by the Committee.</w:t>
      </w:r>
    </w:p>
    <w:p>
      <w:pPr>
        <w:spacing w:after="0" w:line="123" w:lineRule="exact"/>
        <w:rPr>
          <w:rFonts w:ascii="Times New Roman" w:cs="Times New Roman" w:eastAsia="Times New Roman" w:hAnsi="Times New Roman"/>
          <w:sz w:val="19"/>
          <w:szCs w:val="19"/>
          <w:color w:val="auto"/>
        </w:rPr>
      </w:pPr>
    </w:p>
    <w:p>
      <w:pPr>
        <w:jc w:val="both"/>
        <w:ind w:firstLine="324"/>
        <w:spacing w:after="0" w:line="259" w:lineRule="auto"/>
        <w:tabs>
          <w:tab w:leader="none" w:pos="63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The compensation provided under the Plan is intended to be in addition to all other compensation payable to Participants under any employment agreement or incentive plan or program in effect with the Company or its direct or indirect subsidiaries (collectively, “</w:t>
      </w:r>
      <w:r>
        <w:rPr>
          <w:rFonts w:ascii="Times New Roman" w:cs="Times New Roman" w:eastAsia="Times New Roman" w:hAnsi="Times New Roman"/>
          <w:sz w:val="19"/>
          <w:szCs w:val="19"/>
          <w:u w:val="single" w:color="auto"/>
          <w:color w:val="auto"/>
        </w:rPr>
        <w:t>Weatherford</w:t>
      </w:r>
      <w:r>
        <w:rPr>
          <w:rFonts w:ascii="Times New Roman" w:cs="Times New Roman" w:eastAsia="Times New Roman" w:hAnsi="Times New Roman"/>
          <w:sz w:val="19"/>
          <w:szCs w:val="19"/>
          <w:color w:val="auto"/>
        </w:rPr>
        <w:t>”). Notwithstanding the foregoing, if any Participant is entitled to participate in or otherwise receive a bonus paid by Weatherford under any bonus scheme, plan, employment agreement or applicable collective agreement provided under the applicable law of the country(ies) in which they have performed services for Weatherford (a “</w:t>
      </w:r>
      <w:r>
        <w:rPr>
          <w:rFonts w:ascii="Times New Roman" w:cs="Times New Roman" w:eastAsia="Times New Roman" w:hAnsi="Times New Roman"/>
          <w:sz w:val="19"/>
          <w:szCs w:val="19"/>
          <w:u w:val="single" w:color="auto"/>
          <w:color w:val="auto"/>
        </w:rPr>
        <w:t>Statutory Bonus</w:t>
      </w:r>
      <w:r>
        <w:rPr>
          <w:rFonts w:ascii="Times New Roman" w:cs="Times New Roman" w:eastAsia="Times New Roman" w:hAnsi="Times New Roman"/>
          <w:sz w:val="19"/>
          <w:szCs w:val="19"/>
          <w:color w:val="auto"/>
        </w:rPr>
        <w:t xml:space="preserve">”), it is the intent of the Committee that such Participant shall not receive the full amount of the Performance Incentive and the applicable Statutory Bonus(es) in the same Plan Year and the applicable Statutory Bonus shall prevail and supersede the Plan. In those countries where the Statutory Bonus is required, regardless of eligibility in the Plan, the Statutory Bonus will be 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if the amount of the Performance Incentive exceeds the amount of the Statutory Bonus the Participant is entitled to for the same given Plan Year, a true-up payment will be made in an amount equal to the difference between the Performance Incentive and the Statutory Bonus for the Plan Year (“</w:t>
      </w:r>
      <w:r>
        <w:rPr>
          <w:rFonts w:ascii="Times New Roman" w:cs="Times New Roman" w:eastAsia="Times New Roman" w:hAnsi="Times New Roman"/>
          <w:sz w:val="19"/>
          <w:szCs w:val="19"/>
          <w:u w:val="single" w:color="auto"/>
          <w:color w:val="auto"/>
        </w:rPr>
        <w:t>Performance Incentive True-Up</w:t>
      </w:r>
      <w:r>
        <w:rPr>
          <w:rFonts w:ascii="Times New Roman" w:cs="Times New Roman" w:eastAsia="Times New Roman" w:hAnsi="Times New Roman"/>
          <w:sz w:val="19"/>
          <w:szCs w:val="19"/>
          <w:color w:val="auto"/>
        </w:rPr>
        <w:t>”). If the Performance Incentive for the applicable Plan Year is less than the Statutory Bonus applicable to the same year, payment of the Statutory Bonus shall satisfy Weatherford’s Performance Incentive obligations for such Plan Year and no further incentive payment or obligation will be due or owing to such participant for the applicable Plan Year.</w:t>
      </w:r>
    </w:p>
    <w:p>
      <w:pPr>
        <w:spacing w:after="0" w:line="377"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purposes of this Plan:</w:t>
      </w:r>
    </w:p>
    <w:p>
      <w:pPr>
        <w:spacing w:after="0" w:line="192"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Company’s Board of Directors.</w:t>
      </w:r>
    </w:p>
    <w:p>
      <w:pPr>
        <w:spacing w:after="0" w:line="179" w:lineRule="exact"/>
        <w:rPr>
          <w:rFonts w:ascii="Times New Roman" w:cs="Times New Roman" w:eastAsia="Times New Roman" w:hAnsi="Times New Roman"/>
          <w:sz w:val="19"/>
          <w:szCs w:val="19"/>
          <w:color w:val="auto"/>
        </w:rPr>
      </w:pPr>
    </w:p>
    <w:p>
      <w:pPr>
        <w:jc w:val="both"/>
        <w:ind w:firstLine="642"/>
        <w:spacing w:after="0" w:line="259" w:lineRule="auto"/>
        <w:tabs>
          <w:tab w:leader="none" w:pos="1260"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"Cause” means , unless otherwise provided in a Company severance plan or an agreement covering the Participant or other plan of which the Participant is also a participant thereunder, the Participant's: (i) commission of, conviction for, plea of guilty or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a felony or a crime involving moral turpitude, or other material act or omission involving dishonesty or fraud, (ii) engaging in conduct that constitutes fraud or embezzlement, (iii) engaging in conduct that constitutes gross negligence or willful gross misconduct that results or could reasonably be expected to result in harm to any member of the Company Group’s business or reputation, (iv) breach of any material terms of written agreement between the Company and the Participant, (v) willful neglect in the performance of Participant's duties on behalf of the Company Group or willful or repeated failure or refusal to perform the Participant's duties on behalf of the Company Group or (vi) violation of any material policy of any member of the Company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#1201221v7</w:t>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color w:val="auto"/>
        </w:rPr>
        <w:t>Committee in its sole discretion (for Executive Officers) and the Company (for persons other than Executive Officers).</w:t>
      </w:r>
    </w:p>
    <w:p>
      <w:pPr>
        <w:spacing w:after="0" w:line="192" w:lineRule="exact"/>
        <w:rPr>
          <w:sz w:val="20"/>
          <w:szCs w:val="20"/>
          <w:color w:val="auto"/>
        </w:rPr>
      </w:pPr>
    </w:p>
    <w:p>
      <w:pPr>
        <w:ind w:firstLine="642"/>
        <w:spacing w:after="0" w:line="300" w:lineRule="auto"/>
        <w:tabs>
          <w:tab w:leader="none" w:pos="1262"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the Compensation and Human Resources Committee of the Board or a designee of the Committee authorized to act on its behalf with respect to the Plan.</w:t>
      </w:r>
    </w:p>
    <w:p>
      <w:pPr>
        <w:spacing w:after="0" w:line="89"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 Group</w:t>
      </w:r>
      <w:r>
        <w:rPr>
          <w:rFonts w:ascii="Times New Roman" w:cs="Times New Roman" w:eastAsia="Times New Roman" w:hAnsi="Times New Roman"/>
          <w:sz w:val="19"/>
          <w:szCs w:val="19"/>
          <w:color w:val="auto"/>
        </w:rPr>
        <w:t>” means the Company and its direct and indirect subsidiaries, and each of their respective members, officers</w:t>
      </w:r>
    </w:p>
    <w:p>
      <w:pPr>
        <w:spacing w:after="0" w:line="34"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directors.</w:t>
      </w:r>
    </w:p>
    <w:p>
      <w:pPr>
        <w:spacing w:after="0" w:line="177" w:lineRule="exact"/>
        <w:rPr>
          <w:rFonts w:ascii="Times New Roman" w:cs="Times New Roman" w:eastAsia="Times New Roman" w:hAnsi="Times New Roman"/>
          <w:sz w:val="19"/>
          <w:szCs w:val="19"/>
          <w:color w:val="auto"/>
        </w:rPr>
      </w:pPr>
    </w:p>
    <w:p>
      <w:pPr>
        <w:jc w:val="both"/>
        <w:ind w:firstLine="642"/>
        <w:spacing w:after="0" w:line="273" w:lineRule="auto"/>
        <w:tabs>
          <w:tab w:leader="none" w:pos="1262"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Executive Officer</w:t>
      </w:r>
      <w:r>
        <w:rPr>
          <w:rFonts w:ascii="Times New Roman" w:cs="Times New Roman" w:eastAsia="Times New Roman" w:hAnsi="Times New Roman"/>
          <w:sz w:val="19"/>
          <w:szCs w:val="19"/>
          <w:color w:val="auto"/>
        </w:rPr>
        <w:t>” means any person who is an executive officer within the meaning of Rule 3b-7 of the Securities Exchange Act of 1934 and/or an officer within the meaning of Section 16 of Securities Exchange Act of 1934. “</w:t>
      </w:r>
      <w:r>
        <w:rPr>
          <w:rFonts w:ascii="Times New Roman" w:cs="Times New Roman" w:eastAsia="Times New Roman" w:hAnsi="Times New Roman"/>
          <w:sz w:val="19"/>
          <w:szCs w:val="19"/>
          <w:u w:val="single" w:color="auto"/>
          <w:color w:val="auto"/>
        </w:rPr>
        <w:t>GAAP</w:t>
      </w:r>
      <w:r>
        <w:rPr>
          <w:rFonts w:ascii="Times New Roman" w:cs="Times New Roman" w:eastAsia="Times New Roman" w:hAnsi="Times New Roman"/>
          <w:sz w:val="19"/>
          <w:szCs w:val="19"/>
          <w:color w:val="auto"/>
        </w:rPr>
        <w:t>” means U.S. Generally Accepted Accounting Principles.</w:t>
      </w:r>
    </w:p>
    <w:p>
      <w:pPr>
        <w:spacing w:after="0" w:line="128" w:lineRule="exact"/>
        <w:rPr>
          <w:rFonts w:ascii="Times New Roman" w:cs="Times New Roman" w:eastAsia="Times New Roman" w:hAnsi="Times New Roman"/>
          <w:sz w:val="19"/>
          <w:szCs w:val="19"/>
          <w:color w:val="auto"/>
        </w:rPr>
      </w:pPr>
    </w:p>
    <w:p>
      <w:pPr>
        <w:ind w:firstLine="642"/>
        <w:spacing w:after="0" w:line="300" w:lineRule="auto"/>
        <w:tabs>
          <w:tab w:leader="none" w:pos="1267"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Goals</w:t>
      </w:r>
      <w:r>
        <w:rPr>
          <w:rFonts w:ascii="Times New Roman" w:cs="Times New Roman" w:eastAsia="Times New Roman" w:hAnsi="Times New Roman"/>
          <w:sz w:val="19"/>
          <w:szCs w:val="19"/>
          <w:color w:val="auto"/>
        </w:rPr>
        <w:t>” means the Performance Metrics as determined by the Committee in its sole discretion for Participants for each Plan Year and communicated, in writing, to each Participant each Plan Year.</w:t>
      </w:r>
    </w:p>
    <w:p>
      <w:pPr>
        <w:spacing w:after="0" w:line="103" w:lineRule="exact"/>
        <w:rPr>
          <w:rFonts w:ascii="Times New Roman" w:cs="Times New Roman" w:eastAsia="Times New Roman" w:hAnsi="Times New Roman"/>
          <w:sz w:val="19"/>
          <w:szCs w:val="19"/>
          <w:color w:val="auto"/>
        </w:rPr>
      </w:pPr>
    </w:p>
    <w:p>
      <w:pPr>
        <w:ind w:firstLine="642"/>
        <w:spacing w:after="0" w:line="285" w:lineRule="auto"/>
        <w:tabs>
          <w:tab w:leader="none" w:pos="126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Incentive</w:t>
      </w:r>
      <w:r>
        <w:rPr>
          <w:rFonts w:ascii="Times New Roman" w:cs="Times New Roman" w:eastAsia="Times New Roman" w:hAnsi="Times New Roman"/>
          <w:sz w:val="19"/>
          <w:szCs w:val="19"/>
          <w:color w:val="auto"/>
        </w:rPr>
        <w:t>” shall mean, in the case of any Participant, the incentive payable to such Participant under the Plan for the applicable Plan Year.</w:t>
      </w:r>
    </w:p>
    <w:p>
      <w:pPr>
        <w:spacing w:after="0" w:line="117" w:lineRule="exact"/>
        <w:rPr>
          <w:rFonts w:ascii="Times New Roman" w:cs="Times New Roman" w:eastAsia="Times New Roman" w:hAnsi="Times New Roman"/>
          <w:sz w:val="19"/>
          <w:szCs w:val="19"/>
          <w:color w:val="auto"/>
        </w:rPr>
      </w:pPr>
    </w:p>
    <w:p>
      <w:pPr>
        <w:jc w:val="both"/>
        <w:ind w:firstLine="642"/>
        <w:spacing w:after="0" w:line="273" w:lineRule="auto"/>
        <w:tabs>
          <w:tab w:leader="none" w:pos="126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Incentive Amount</w:t>
      </w:r>
      <w:r>
        <w:rPr>
          <w:rFonts w:ascii="Times New Roman" w:cs="Times New Roman" w:eastAsia="Times New Roman" w:hAnsi="Times New Roman"/>
          <w:sz w:val="19"/>
          <w:szCs w:val="19"/>
          <w:color w:val="auto"/>
        </w:rPr>
        <w:t>” shall mean, in the case of any Participant, the amount of the Performance Incentive each Participant is eligible to earn as determined by the Committee (for Executive Officers) or by the Company (for persons other than Executive Officers).</w:t>
      </w:r>
    </w:p>
    <w:p>
      <w:pPr>
        <w:spacing w:after="0" w:line="128" w:lineRule="exact"/>
        <w:rPr>
          <w:rFonts w:ascii="Times New Roman" w:cs="Times New Roman" w:eastAsia="Times New Roman" w:hAnsi="Times New Roman"/>
          <w:sz w:val="19"/>
          <w:szCs w:val="19"/>
          <w:color w:val="auto"/>
        </w:rPr>
      </w:pPr>
    </w:p>
    <w:p>
      <w:pPr>
        <w:ind w:firstLine="642"/>
        <w:spacing w:after="0" w:line="300" w:lineRule="auto"/>
        <w:tabs>
          <w:tab w:leader="none" w:pos="127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Metrics</w:t>
      </w:r>
      <w:r>
        <w:rPr>
          <w:rFonts w:ascii="Times New Roman" w:cs="Times New Roman" w:eastAsia="Times New Roman" w:hAnsi="Times New Roman"/>
          <w:sz w:val="19"/>
          <w:szCs w:val="19"/>
          <w:color w:val="auto"/>
        </w:rPr>
        <w:t>” means the performance metrics (also referred to as key performance indicators or KPIs) used to measure the Company’s performance under the Plan, as may be applicable to a Participant from time to time.</w:t>
      </w:r>
    </w:p>
    <w:p>
      <w:pPr>
        <w:spacing w:after="0" w:line="103" w:lineRule="exact"/>
        <w:rPr>
          <w:rFonts w:ascii="Times New Roman" w:cs="Times New Roman" w:eastAsia="Times New Roman" w:hAnsi="Times New Roman"/>
          <w:sz w:val="19"/>
          <w:szCs w:val="19"/>
          <w:color w:val="auto"/>
        </w:rPr>
      </w:pPr>
    </w:p>
    <w:p>
      <w:pPr>
        <w:ind w:left="1280" w:hanging="638"/>
        <w:spacing w:after="0"/>
        <w:tabs>
          <w:tab w:leader="none" w:pos="128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 Year</w:t>
      </w:r>
      <w:r>
        <w:rPr>
          <w:rFonts w:ascii="Times New Roman" w:cs="Times New Roman" w:eastAsia="Times New Roman" w:hAnsi="Times New Roman"/>
          <w:sz w:val="19"/>
          <w:szCs w:val="19"/>
          <w:color w:val="auto"/>
        </w:rPr>
        <w:t>” means the applicable calendar year.</w:t>
      </w:r>
    </w:p>
    <w:p>
      <w:pPr>
        <w:spacing w:after="0" w:line="192" w:lineRule="exact"/>
        <w:rPr>
          <w:rFonts w:ascii="Times New Roman" w:cs="Times New Roman" w:eastAsia="Times New Roman" w:hAnsi="Times New Roman"/>
          <w:sz w:val="19"/>
          <w:szCs w:val="19"/>
          <w:color w:val="auto"/>
        </w:rPr>
      </w:pPr>
    </w:p>
    <w:p>
      <w:pPr>
        <w:jc w:val="both"/>
        <w:ind w:firstLine="324"/>
        <w:spacing w:after="0" w:line="250" w:lineRule="auto"/>
        <w:tabs>
          <w:tab w:leader="none" w:pos="636"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Eligible Participants</w:t>
      </w:r>
      <w:r>
        <w:rPr>
          <w:rFonts w:ascii="Times New Roman" w:cs="Times New Roman" w:eastAsia="Times New Roman" w:hAnsi="Times New Roman"/>
          <w:sz w:val="19"/>
          <w:szCs w:val="19"/>
          <w:color w:val="auto"/>
        </w:rPr>
        <w:t>. Each person designated by the Committee (for Executive Officers) or by the Company (for persons other than Executive Officers) from time to time shall be a participant in the Plan and eligible to receive a Performance Incentive with respect to each Plan Year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any person designated by the Committee or by the Company to participate in the Plan who is or becomes subject to a written performance improvement plan may have their Performance Incentive reduced or forfeited. Furthermore, and unless expressly decided otherwise by the Committee, the following persons shall not be eligible to participate in the Plan for that Plan Year: (i) employees hired after September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of the applicable Plan Year, (ii) independent contractors or consultants, (iii) temporary or seasonal employees, (iv) employees of discontinued operations, or (v) employees transferred or promoted into an eligible position after November 30 of the Plan Year. Entitlement to participate in this Plan shall not afford or guarantee a right to participate in any other incentive plans of the Company, and no Participant under this Plan may participate in any other short-term incentive plan of the Company without the Committee’s express consent.</w:t>
      </w:r>
    </w:p>
    <w:p>
      <w:pPr>
        <w:spacing w:after="0" w:line="384"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Participation</w:t>
      </w:r>
      <w:r>
        <w:rPr>
          <w:rFonts w:ascii="Times New Roman" w:cs="Times New Roman" w:eastAsia="Times New Roman" w:hAnsi="Times New Roman"/>
          <w:sz w:val="19"/>
          <w:szCs w:val="19"/>
          <w:color w:val="auto"/>
        </w:rPr>
        <w:t>.</w:t>
      </w:r>
    </w:p>
    <w:p>
      <w:pPr>
        <w:spacing w:after="0" w:line="192" w:lineRule="exact"/>
        <w:rPr>
          <w:rFonts w:ascii="Times New Roman" w:cs="Times New Roman" w:eastAsia="Times New Roman" w:hAnsi="Times New Roman"/>
          <w:sz w:val="19"/>
          <w:szCs w:val="19"/>
          <w:color w:val="auto"/>
        </w:rPr>
      </w:pPr>
    </w:p>
    <w:p>
      <w:pPr>
        <w:jc w:val="both"/>
        <w:ind w:firstLine="642"/>
        <w:spacing w:after="0" w:line="273" w:lineRule="auto"/>
        <w:tabs>
          <w:tab w:leader="none" w:pos="1262"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this Plan, each Participant may earn a Performance Incentive for a Plan Year, equal to all or a portion of the Performance Incentive Amount, depending upon the extent to which the Performance Goals have been achieved for such Plan Year and subject in all respects to the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#1201221v7</w:t>
      </w:r>
    </w:p>
    <w:p>
      <w:pPr>
        <w:sectPr>
          <w:pgSz w:w="11900" w:h="16838" w:orient="portrait"/>
          <w:cols w:equalWidth="0" w:num="1">
            <w:col w:w="11240"/>
          </w:cols>
          <w:pgMar w:left="320" w:top="1389" w:right="339" w:bottom="1440" w:gutter="0" w:footer="0" w:header="0"/>
        </w:sectPr>
      </w:pPr>
    </w:p>
    <w:bookmarkStart w:id="53" w:name="page54"/>
    <w:bookmarkEnd w:id="53"/>
    <w:p>
      <w:pPr>
        <w:ind w:firstLine="642"/>
        <w:spacing w:after="0" w:line="300" w:lineRule="auto"/>
        <w:tabs>
          <w:tab w:leader="none" w:pos="1260"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Plan is terminated after the commencement, and before the end, of a Plan Year each Participant who is then employed by the Company shall earn a prorated amount of the Performance Incentive (based on the number of days in the Plan Year that has elapsed).</w:t>
      </w:r>
    </w:p>
    <w:p>
      <w:pPr>
        <w:spacing w:after="0" w:line="129" w:lineRule="exact"/>
        <w:rPr>
          <w:rFonts w:ascii="Times New Roman" w:cs="Times New Roman" w:eastAsia="Times New Roman" w:hAnsi="Times New Roman"/>
          <w:sz w:val="19"/>
          <w:szCs w:val="19"/>
          <w:color w:val="auto"/>
        </w:rPr>
      </w:pPr>
    </w:p>
    <w:p>
      <w:pPr>
        <w:jc w:val="both"/>
        <w:ind w:firstLine="642"/>
        <w:spacing w:after="0" w:line="237" w:lineRule="auto"/>
        <w:tabs>
          <w:tab w:leader="none" w:pos="1262"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Performance Incentive earned under this Plan shall be paid by the Company no later than March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of the year immediately following the applicable Plan Year (the “</w:t>
      </w:r>
      <w:r>
        <w:rPr>
          <w:rFonts w:ascii="Times New Roman" w:cs="Times New Roman" w:eastAsia="Times New Roman" w:hAnsi="Times New Roman"/>
          <w:sz w:val="19"/>
          <w:szCs w:val="19"/>
          <w:u w:val="single" w:color="auto"/>
          <w:color w:val="auto"/>
        </w:rPr>
        <w:t>Payment Date</w:t>
      </w:r>
      <w:r>
        <w:rPr>
          <w:rFonts w:ascii="Times New Roman" w:cs="Times New Roman" w:eastAsia="Times New Roman" w:hAnsi="Times New Roman"/>
          <w:sz w:val="19"/>
          <w:szCs w:val="19"/>
          <w:color w:val="auto"/>
        </w:rPr>
        <w:t>”). If a Participant is on a Company-approved leave of absence on the Payment Date, the Performance Incentive will be paid as soon as reasonably practicable after the Participant’s return to work.</w:t>
      </w:r>
    </w:p>
    <w:p>
      <w:pPr>
        <w:spacing w:after="0" w:line="198" w:lineRule="exact"/>
        <w:rPr>
          <w:rFonts w:ascii="Times New Roman" w:cs="Times New Roman" w:eastAsia="Times New Roman" w:hAnsi="Times New Roman"/>
          <w:sz w:val="19"/>
          <w:szCs w:val="19"/>
          <w:color w:val="auto"/>
        </w:rPr>
      </w:pPr>
    </w:p>
    <w:p>
      <w:pPr>
        <w:jc w:val="both"/>
        <w:ind w:firstLine="642"/>
        <w:spacing w:after="0" w:line="259" w:lineRule="auto"/>
        <w:tabs>
          <w:tab w:leader="none" w:pos="1260"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required under applicable law or as otherwise required or permitted hereby, a Participant must remain employed by the Company Group through the Payment Date in order to earn a Performance Incentive for any Plan Year. A Participant whose employment with the Company Group terminates for any reason (including any Participant that has notified the Company of their intent to resign or who have received a notice of termination from the Company) prior to the Payment Date shall forfeit the right to any Performance Incentive for that Plan Year. Furthermore, each Participant shall have timely completed all safety, compliance and other required training in order to be eligible for their Performance Incentive for any Plan Year. Notwithstanding the foregoing, a Participant whose employment with the Company Group is involuntarily terminated by the Company Group without Cause after the end of the applicable Plan Year but prior to the Payment Date shall be entitled to receive payment of the Performance Incentive on the Payment Date in an amount equal to the amount the Participant would have earned and been paid on the Payment Date if such Participant remained employed by the Company Group on such Payment Date. For the avoidance of doubt, a Participant who voluntarily terminates his or her employment with the Company Group for any reason prior to the Payment Date shall forfeit the right to any Performance Incentive for that Plan Year.</w:t>
      </w:r>
    </w:p>
    <w:p>
      <w:pPr>
        <w:spacing w:after="0" w:line="189" w:lineRule="exact"/>
        <w:rPr>
          <w:rFonts w:ascii="Times New Roman" w:cs="Times New Roman" w:eastAsia="Times New Roman" w:hAnsi="Times New Roman"/>
          <w:sz w:val="19"/>
          <w:szCs w:val="19"/>
          <w:color w:val="auto"/>
        </w:rPr>
      </w:pPr>
    </w:p>
    <w:p>
      <w:pPr>
        <w:jc w:val="both"/>
        <w:ind w:left="80" w:firstLine="562"/>
        <w:spacing w:after="0" w:line="260" w:lineRule="auto"/>
        <w:tabs>
          <w:tab w:leader="none" w:pos="1263"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may, in its sole discretion, (i) reduce or eliminate a Performance Incentive granted to a Participant before the Performance Incentive has been paid for any reason, including by example but without limitation, the Committee’s judgment that the Performance Goals have become an inappropriate measure of achievement, a change in employment status, position or duties of the Participant, unsatisfactory performance of the Participant or the Participant’s service for less than the entire Plan Year and/or (ii) determine to pay a Performance Incentive granted to a Participant or a prorated amount or other portion thereof for any reason, including in connection with a Participant’s a change in employment status, position or duties of the Participant.</w:t>
      </w:r>
    </w:p>
    <w:p>
      <w:pPr>
        <w:spacing w:after="0" w:line="183" w:lineRule="exact"/>
        <w:rPr>
          <w:rFonts w:ascii="Times New Roman" w:cs="Times New Roman" w:eastAsia="Times New Roman" w:hAnsi="Times New Roman"/>
          <w:sz w:val="19"/>
          <w:szCs w:val="19"/>
          <w:color w:val="auto"/>
        </w:rPr>
      </w:pPr>
    </w:p>
    <w:p>
      <w:pPr>
        <w:jc w:val="both"/>
        <w:ind w:firstLine="324"/>
        <w:spacing w:after="0" w:line="273" w:lineRule="auto"/>
        <w:tabs>
          <w:tab w:leader="none" w:pos="63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Improvement Participants</w:t>
      </w:r>
      <w:r>
        <w:rPr>
          <w:rFonts w:ascii="Times New Roman" w:cs="Times New Roman" w:eastAsia="Times New Roman" w:hAnsi="Times New Roman"/>
          <w:sz w:val="19"/>
          <w:szCs w:val="19"/>
          <w:color w:val="auto"/>
        </w:rPr>
        <w:t xml:space="preserve">. Notwithstanding anything set forth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above, any Participant who is or becomes subject to a written performance improvement plan may have his or her Performance Incentive reduced or forfeited as determined in the sole discretion of the Committee.</w:t>
      </w:r>
    </w:p>
    <w:p>
      <w:pPr>
        <w:spacing w:after="0" w:line="128" w:lineRule="exact"/>
        <w:rPr>
          <w:rFonts w:ascii="Times New Roman" w:cs="Times New Roman" w:eastAsia="Times New Roman" w:hAnsi="Times New Roman"/>
          <w:sz w:val="19"/>
          <w:szCs w:val="19"/>
          <w:color w:val="auto"/>
        </w:rPr>
      </w:pPr>
    </w:p>
    <w:p>
      <w:pPr>
        <w:jc w:val="both"/>
        <w:ind w:firstLine="324"/>
        <w:spacing w:after="0" w:line="273" w:lineRule="auto"/>
        <w:tabs>
          <w:tab w:leader="none" w:pos="63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Goals</w:t>
      </w:r>
      <w:r>
        <w:rPr>
          <w:rFonts w:ascii="Times New Roman" w:cs="Times New Roman" w:eastAsia="Times New Roman" w:hAnsi="Times New Roman"/>
          <w:sz w:val="19"/>
          <w:szCs w:val="19"/>
          <w:color w:val="auto"/>
        </w:rPr>
        <w:t>. As soon as administratively practicable after the end of a Plan Year, the Committee (for Executive Officers) and the Company (for persons other than Executive Officers) shall certify the degree to which the applicable Performance Goals have been achieved and the amount payable to each Participant hereunder.</w:t>
      </w:r>
    </w:p>
    <w:p>
      <w:pPr>
        <w:spacing w:after="0" w:line="128" w:lineRule="exact"/>
        <w:rPr>
          <w:rFonts w:ascii="Times New Roman" w:cs="Times New Roman" w:eastAsia="Times New Roman" w:hAnsi="Times New Roman"/>
          <w:sz w:val="19"/>
          <w:szCs w:val="19"/>
          <w:color w:val="auto"/>
        </w:rPr>
      </w:pPr>
    </w:p>
    <w:p>
      <w:pPr>
        <w:jc w:val="both"/>
        <w:ind w:firstLine="324"/>
        <w:spacing w:after="0" w:line="269" w:lineRule="auto"/>
        <w:tabs>
          <w:tab w:leader="none" w:pos="63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 to Performance Goals</w:t>
      </w:r>
      <w:r>
        <w:rPr>
          <w:rFonts w:ascii="Times New Roman" w:cs="Times New Roman" w:eastAsia="Times New Roman" w:hAnsi="Times New Roman"/>
          <w:sz w:val="19"/>
          <w:szCs w:val="19"/>
          <w:color w:val="auto"/>
        </w:rPr>
        <w:t>. The Committee may adjust, in whole or in part, any Performance Goals (including any Performance Metrics, formulas, performance-based measures or the targeted achievement levels (including any minimum or maximum achievement levels)) relating to such Performance Goals, as the Committee may deem appropriate and equitable and to avoid undue harm or enrichment to account for any of the following events that occur during a Performance Period,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#1201221v7</w:t>
      </w:r>
    </w:p>
    <w:p>
      <w:pPr>
        <w:sectPr>
          <w:pgSz w:w="11900" w:h="16838" w:orient="portrait"/>
          <w:cols w:equalWidth="0" w:num="1">
            <w:col w:w="11240"/>
          </w:cols>
          <w:pgMar w:left="320" w:top="1389" w:right="339" w:bottom="1440" w:gutter="0" w:footer="0" w:header="0"/>
        </w:sectPr>
      </w:pPr>
    </w:p>
    <w:bookmarkStart w:id="54" w:name="page55"/>
    <w:bookmarkEnd w:id="54"/>
    <w:p>
      <w:pPr>
        <w:jc w:val="both"/>
        <w:ind w:firstLine="642"/>
        <w:spacing w:after="0" w:line="261" w:lineRule="auto"/>
        <w:tabs>
          <w:tab w:leader="none" w:pos="1262"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changes in financial reporting, including (i) the effects of currency fluctuations, (ii) adjustments used to derive non-GAAP financial performance measures, as reflected in any Company disclosure, (iii) asset write-downs, write-offs, impairments or losses and the positive impact on depreciation and amortization expenses as a result of the impairment for the period commencing on the date of the impairment and ending on the last day of the Performance Period, (iv) gains or losses (or amortization thereof) resulting from any newly-enacted law or regulation, litigation and regulatory claims, charges, judgments or settlements, including legal fees, (v) the effect of changes in tax law, accounting principles, regulatory pronouncements or other such laws or provisions affecting reported results, (vi) accelerated amortization or write-off of deferred financing and debt discount costs as a result of debt repayments or refinancings or (vii) any errors in calculating projected financial results used as the basis for determining a Performance Goal;</w:t>
      </w:r>
    </w:p>
    <w:p>
      <w:pPr>
        <w:spacing w:after="0" w:line="139" w:lineRule="exact"/>
        <w:rPr>
          <w:rFonts w:ascii="Times New Roman" w:cs="Times New Roman" w:eastAsia="Times New Roman" w:hAnsi="Times New Roman"/>
          <w:sz w:val="19"/>
          <w:szCs w:val="19"/>
          <w:color w:val="auto"/>
        </w:rPr>
      </w:pPr>
    </w:p>
    <w:p>
      <w:pPr>
        <w:jc w:val="both"/>
        <w:ind w:firstLine="642"/>
        <w:spacing w:after="0" w:line="265" w:lineRule="auto"/>
        <w:tabs>
          <w:tab w:leader="none" w:pos="1260"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non-recurring, infrequent or unusual events that (i) would provide the Participant undue harm or enrichment, (ii) are related to accounting and non-operational items, (iii) are the result of reorganization and restructuring programs, capital return strategies or financings or refinancings, (iv) are a major casualty or natural disaster that directly result in gains or losses or (v) are related to any acquisition or divestiture on financial statements, including pre-and post-transition, alignment, purchase accounting adjustments, restructuring charges and integration costs; or</w:t>
      </w:r>
    </w:p>
    <w:p>
      <w:pPr>
        <w:spacing w:after="0" w:line="373"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events, as reasonably determined by the Committee.</w:t>
      </w:r>
    </w:p>
    <w:p>
      <w:pPr>
        <w:spacing w:after="0" w:line="192" w:lineRule="exact"/>
        <w:rPr>
          <w:rFonts w:ascii="Times New Roman" w:cs="Times New Roman" w:eastAsia="Times New Roman" w:hAnsi="Times New Roman"/>
          <w:sz w:val="19"/>
          <w:szCs w:val="19"/>
          <w:color w:val="auto"/>
        </w:rPr>
      </w:pPr>
    </w:p>
    <w:p>
      <w:pPr>
        <w:jc w:val="both"/>
        <w:ind w:firstLine="324"/>
        <w:spacing w:after="0" w:line="260" w:lineRule="auto"/>
        <w:tabs>
          <w:tab w:leader="none" w:pos="62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Clawback/Recoupment Policy</w:t>
      </w:r>
      <w:r>
        <w:rPr>
          <w:rFonts w:ascii="Times New Roman" w:cs="Times New Roman" w:eastAsia="Times New Roman" w:hAnsi="Times New Roman"/>
          <w:sz w:val="19"/>
          <w:szCs w:val="19"/>
          <w:color w:val="auto"/>
        </w:rPr>
        <w:t>. Notwithstanding any other provision of this Plan, all Performance Incentives shall be subject to reduction, cancellation, forfeiture or recoupment to the extent necessary to comply with (a) the Company’s Compensation Clawback Policy and any other clawback, forfeiture or other similar policy adopted by the Board or the Committee and as in effect from time to time; and (b) applicable law. Further, unless otherwise determined by the Committee in good faith in its reasonable discretion, to the extent that the Participant receives any amount in excess of the amount that the Participant should otherwise have received under the terms of the Performance Incentive for any reason (including, without limitation, by reason of a financial restatement, mistake in calculations or other administrative error), the Participant shall be required to repay any such excess amount to the Company. By accepting a Performance Incentive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Performance Incentive,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377" w:lineRule="exact"/>
        <w:rPr>
          <w:rFonts w:ascii="Times New Roman" w:cs="Times New Roman" w:eastAsia="Times New Roman" w:hAnsi="Times New Roman"/>
          <w:sz w:val="19"/>
          <w:szCs w:val="19"/>
          <w:color w:val="auto"/>
        </w:rPr>
      </w:pPr>
    </w:p>
    <w:p>
      <w:pPr>
        <w:jc w:val="both"/>
        <w:ind w:firstLine="324"/>
        <w:spacing w:after="0" w:line="264" w:lineRule="auto"/>
        <w:tabs>
          <w:tab w:leader="none" w:pos="6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Plan Administration</w:t>
      </w:r>
      <w:r>
        <w:rPr>
          <w:rFonts w:ascii="Times New Roman" w:cs="Times New Roman" w:eastAsia="Times New Roman" w:hAnsi="Times New Roman"/>
          <w:sz w:val="19"/>
          <w:szCs w:val="19"/>
          <w:color w:val="auto"/>
        </w:rPr>
        <w:t>. This Plan shall be administered by the Committee. The Committee is given full authority and discretion to establish such administrative measures as may be necessary to administer and attain the objectives of this Plan and may delegate the authority to administer the Plan to an officer of the Company. The Committee (or its delegate, as applicable) shall have full power and authority to construe and interpret this Plan and any interpretation by the Committee shall be binding on all Participants and shall be accorded the maximum deference permitted by law.</w:t>
      </w:r>
    </w:p>
    <w:p>
      <w:pPr>
        <w:spacing w:after="0" w:line="136" w:lineRule="exact"/>
        <w:rPr>
          <w:rFonts w:ascii="Times New Roman" w:cs="Times New Roman" w:eastAsia="Times New Roman" w:hAnsi="Times New Roman"/>
          <w:sz w:val="19"/>
          <w:szCs w:val="19"/>
          <w:color w:val="auto"/>
        </w:rPr>
      </w:pPr>
    </w:p>
    <w:p>
      <w:pPr>
        <w:jc w:val="both"/>
        <w:ind w:firstLine="642"/>
        <w:spacing w:after="0" w:line="269" w:lineRule="auto"/>
        <w:tabs>
          <w:tab w:leader="none" w:pos="1262"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rights and interests of Participants under this Plan shall be non-assignable and nontransferable, and otherwise not subject to pledge or encumbrance, whether voluntary or involuntary, other than by will or by the laws of descent and distribution. In the event of any sale, transfer or other disposition of all or substantially all of the Company’s assets or business, whether by merger, stock sale, consolidation or otherwise, the Company may assign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#1201221v7</w:t>
      </w:r>
    </w:p>
    <w:p>
      <w:pPr>
        <w:sectPr>
          <w:pgSz w:w="11900" w:h="16838" w:orient="portrait"/>
          <w:cols w:equalWidth="0" w:num="1">
            <w:col w:w="11240"/>
          </w:cols>
          <w:pgMar w:left="320" w:top="1389" w:right="339" w:bottom="1440" w:gutter="0" w:footer="0" w:header="0"/>
        </w:sectPr>
      </w:pPr>
    </w:p>
    <w:bookmarkStart w:id="55" w:name="page56"/>
    <w:bookmarkEnd w:id="55"/>
    <w:p>
      <w:pPr>
        <w:jc w:val="both"/>
        <w:ind w:firstLine="642"/>
        <w:spacing w:after="0" w:line="273" w:lineRule="auto"/>
        <w:tabs>
          <w:tab w:leader="none" w:pos="12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to a Participant in accordance with the provisions of this Plan shall, to the extent thereof, be in full satisfaction of all claims against the Company Group, and the Company may require Participant, as a condition precedent to such payment, to execute a receipt and release to such effect.</w:t>
      </w:r>
    </w:p>
    <w:p>
      <w:pPr>
        <w:spacing w:after="0" w:line="128" w:lineRule="exact"/>
        <w:rPr>
          <w:rFonts w:ascii="Times New Roman" w:cs="Times New Roman" w:eastAsia="Times New Roman" w:hAnsi="Times New Roman"/>
          <w:sz w:val="19"/>
          <w:szCs w:val="19"/>
          <w:color w:val="auto"/>
        </w:rPr>
      </w:pPr>
    </w:p>
    <w:p>
      <w:pPr>
        <w:jc w:val="both"/>
        <w:ind w:firstLine="642"/>
        <w:spacing w:after="0" w:line="265" w:lineRule="auto"/>
        <w:tabs>
          <w:tab w:leader="none" w:pos="126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Amounts due under the Plan are calculated on base (basic) salary, as defined in the general administrative addendum of this Plan, and such payment of amounts due under the Plan shall be provided to Participant in the same manner as Participant receives his or her regular paycheck or by mail at the last known address of Participant in the possession of the Company, at the sole discretion of Committee. The Company will deduct all applicable taxes and any other withholdings required to be withheld with respect to the payment of any award pursuant to this Plan.</w:t>
      </w:r>
    </w:p>
    <w:p>
      <w:pPr>
        <w:spacing w:after="0" w:line="373" w:lineRule="exact"/>
        <w:rPr>
          <w:rFonts w:ascii="Times New Roman" w:cs="Times New Roman" w:eastAsia="Times New Roman" w:hAnsi="Times New Roman"/>
          <w:sz w:val="19"/>
          <w:szCs w:val="19"/>
          <w:color w:val="auto"/>
        </w:rPr>
      </w:pPr>
    </w:p>
    <w:p>
      <w:pPr>
        <w:jc w:val="both"/>
        <w:ind w:firstLine="642"/>
        <w:spacing w:after="0" w:line="267" w:lineRule="auto"/>
        <w:tabs>
          <w:tab w:leader="none" w:pos="12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 be required to establish any special or separate fund or to make any other segregation of assets to ensure the payment of any award provided for hereunder. Performance Incentive payments shall not be considered as extraordinary, special incentive compensation, and it will not be included as “earnings,” “wages,” “salary,” or “compensation” in any pension, welfare, life insurance, or other employee benefit plan or arrangement of the Company Group. To the extent there exists any conflict between the terms of this Section 11(d) of this Plan and applicable local laws, the applicable local laws shall apply.</w:t>
      </w:r>
    </w:p>
    <w:p>
      <w:pPr>
        <w:spacing w:after="0" w:line="136" w:lineRule="exact"/>
        <w:rPr>
          <w:rFonts w:ascii="Times New Roman" w:cs="Times New Roman" w:eastAsia="Times New Roman" w:hAnsi="Times New Roman"/>
          <w:sz w:val="19"/>
          <w:szCs w:val="19"/>
          <w:color w:val="auto"/>
        </w:rPr>
      </w:pPr>
    </w:p>
    <w:p>
      <w:pPr>
        <w:jc w:val="both"/>
        <w:ind w:firstLine="642"/>
        <w:spacing w:after="0" w:line="264" w:lineRule="auto"/>
        <w:tabs>
          <w:tab w:leader="none" w:pos="126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in its sole discretion, shall have the right to modify, supplement, suspend or terminate this Plan or waive or alter this Plan or any rights of any Participant hereunder at any time; provided that in no event shall any amendment or termination adversely affect the rights of Participants regarding any Performance Incentive for a Plan Year that is payable but not yet paid as of the date of such action without the consent of the affected Participants. Subject to the foregoing, the Plan shall terminate upon the satisfaction of all obligations of the Company or its successor entities hereunder.</w:t>
      </w:r>
    </w:p>
    <w:p>
      <w:pPr>
        <w:spacing w:after="0" w:line="136" w:lineRule="exact"/>
        <w:rPr>
          <w:rFonts w:ascii="Times New Roman" w:cs="Times New Roman" w:eastAsia="Times New Roman" w:hAnsi="Times New Roman"/>
          <w:sz w:val="19"/>
          <w:szCs w:val="19"/>
          <w:color w:val="auto"/>
        </w:rPr>
      </w:pPr>
    </w:p>
    <w:p>
      <w:pPr>
        <w:ind w:firstLine="642"/>
        <w:spacing w:after="0" w:line="300" w:lineRule="auto"/>
        <w:tabs>
          <w:tab w:leader="none" w:pos="126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contained in this Plan shall in any way affect the right and power of the Company to discharge any Participant or otherwise terminate his or her employment at any time or for any reason or to change the terms of his or her employment in any manner.</w:t>
      </w:r>
    </w:p>
    <w:p>
      <w:pPr>
        <w:spacing w:after="0" w:line="103"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under this Plan, any expense incurred in administering this Plan shall be borne by the Company.</w:t>
      </w:r>
    </w:p>
    <w:p>
      <w:pPr>
        <w:spacing w:after="0" w:line="179" w:lineRule="exact"/>
        <w:rPr>
          <w:rFonts w:ascii="Times New Roman" w:cs="Times New Roman" w:eastAsia="Times New Roman" w:hAnsi="Times New Roman"/>
          <w:sz w:val="19"/>
          <w:szCs w:val="19"/>
          <w:color w:val="auto"/>
        </w:rPr>
      </w:pPr>
    </w:p>
    <w:p>
      <w:pPr>
        <w:ind w:firstLine="642"/>
        <w:spacing w:after="0" w:line="300" w:lineRule="auto"/>
        <w:tabs>
          <w:tab w:leader="none" w:pos="126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Captions preceding the sections hereof are inserted solely as a matter of convenience and in no way define or limit the scope or intent of any provision hereof.</w:t>
      </w:r>
    </w:p>
    <w:p>
      <w:pPr>
        <w:spacing w:after="0" w:line="103" w:lineRule="exact"/>
        <w:rPr>
          <w:rFonts w:ascii="Times New Roman" w:cs="Times New Roman" w:eastAsia="Times New Roman" w:hAnsi="Times New Roman"/>
          <w:sz w:val="19"/>
          <w:szCs w:val="19"/>
          <w:color w:val="auto"/>
        </w:rPr>
      </w:pPr>
    </w:p>
    <w:p>
      <w:pPr>
        <w:jc w:val="both"/>
        <w:ind w:firstLine="642"/>
        <w:spacing w:after="0" w:line="273" w:lineRule="auto"/>
        <w:tabs>
          <w:tab w:leader="none" w:pos="127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administration of the Plan shall be governed by the laws of the State of Texas, without regard to the conflict of law principles of any state. Any persons or corporations who now are or shall subsequently become parties to the Plan shall be deemed to consent to this provision.</w:t>
      </w:r>
    </w:p>
    <w:p>
      <w:pPr>
        <w:spacing w:after="0" w:line="128" w:lineRule="exact"/>
        <w:rPr>
          <w:rFonts w:ascii="Times New Roman" w:cs="Times New Roman" w:eastAsia="Times New Roman" w:hAnsi="Times New Roman"/>
          <w:sz w:val="19"/>
          <w:szCs w:val="19"/>
          <w:color w:val="auto"/>
        </w:rPr>
      </w:pPr>
    </w:p>
    <w:p>
      <w:pPr>
        <w:jc w:val="both"/>
        <w:ind w:firstLine="642"/>
        <w:spacing w:after="0" w:line="264" w:lineRule="auto"/>
        <w:tabs>
          <w:tab w:leader="none" w:pos="127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intended to either comply with, or be exempt from, the requirements of Section 409A of the Internal Revenue Code of 1986, as amended (“</w:t>
      </w:r>
      <w:r>
        <w:rPr>
          <w:rFonts w:ascii="Times New Roman" w:cs="Times New Roman" w:eastAsia="Times New Roman" w:hAnsi="Times New Roman"/>
          <w:sz w:val="19"/>
          <w:szCs w:val="19"/>
          <w:u w:val="single" w:color="auto"/>
          <w:color w:val="auto"/>
        </w:rPr>
        <w:t>Code Section 409A</w:t>
      </w:r>
      <w:r>
        <w:rPr>
          <w:rFonts w:ascii="Times New Roman" w:cs="Times New Roman" w:eastAsia="Times New Roman" w:hAnsi="Times New Roman"/>
          <w:sz w:val="19"/>
          <w:szCs w:val="19"/>
          <w:color w:val="auto"/>
        </w:rPr>
        <w:t>”). To the extent that the Plan is not exempt from the requirements of Code Section 409A, the Plan is intended to comply with the requirements of Code Section 409A and shall be limited, construed and interpreted in accordance with such intent. Notwithstanding the foregoing, in no event whatsoever shall the Company be liable for any additional tax, interest, income inclusion or other penalty that may be imposed on a Participant by Code Section 409A or for damages for failing to comply with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#1201221v7</w:t>
      </w:r>
    </w:p>
    <w:p>
      <w:pPr>
        <w:sectPr>
          <w:pgSz w:w="11900" w:h="16838" w:orient="portrait"/>
          <w:cols w:equalWidth="0" w:num="1">
            <w:col w:w="11240"/>
          </w:cols>
          <w:pgMar w:left="320" w:top="138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line="560" w:lineRule="auto"/>
        <w:rPr>
          <w:sz w:val="20"/>
          <w:szCs w:val="20"/>
          <w:color w:val="auto"/>
        </w:rPr>
      </w:pPr>
      <w:r>
        <w:rPr>
          <w:rFonts w:ascii="Times New Roman" w:cs="Times New Roman" w:eastAsia="Times New Roman" w:hAnsi="Times New Roman"/>
          <w:sz w:val="21"/>
          <w:szCs w:val="21"/>
          <w:b w:val="1"/>
          <w:bCs w:val="1"/>
          <w:color w:val="auto"/>
        </w:rPr>
        <w:t>WEATHERFORD INTERNATIONAL PLC AMENDED AND RESTATED RESTRICTED SHARE UNIT AWARD AGREEMENT PURSUANT TO THE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(TIME VESTING)</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-6350</wp:posOffset>
            </wp:positionV>
            <wp:extent cx="134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Number of Restricted Share Units Granted: </w:t>
      </w: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THIS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 Grant Date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the 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6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it has been determined under the Plan that it would be in the best interests of the Company to grant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Share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provided herein to the Participant.</w:t>
      </w:r>
    </w:p>
    <w:p>
      <w:pPr>
        <w:spacing w:after="0" w:line="13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mutual covenants and promises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is hereby acknowledged, the parties hereto hereby mutually covenant and agree as follows:</w:t>
      </w:r>
    </w:p>
    <w:p>
      <w:pPr>
        <w:spacing w:after="0" w:line="147" w:lineRule="exact"/>
        <w:rPr>
          <w:sz w:val="20"/>
          <w:szCs w:val="20"/>
          <w:color w:val="auto"/>
        </w:rPr>
      </w:pPr>
    </w:p>
    <w:p>
      <w:pPr>
        <w:jc w:val="both"/>
        <w:ind w:firstLine="1278"/>
        <w:spacing w:after="0" w:line="263" w:lineRule="auto"/>
        <w:tabs>
          <w:tab w:leader="none" w:pos="190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21" w:right="339" w:bottom="1440" w:gutter="0" w:footer="0" w:header="0"/>
        </w:sectPr>
      </w:pPr>
    </w:p>
    <w:bookmarkStart w:id="57" w:name="page58"/>
    <w:bookmarkEnd w:id="57"/>
    <w:p>
      <w:pPr>
        <w:jc w:val="both"/>
        <w:spacing w:after="0" w:line="259" w:lineRule="auto"/>
        <w:rPr>
          <w:sz w:val="20"/>
          <w:szCs w:val="20"/>
          <w:color w:val="auto"/>
        </w:rPr>
      </w:pPr>
      <w:r>
        <w:rPr>
          <w:rFonts w:ascii="Times New Roman" w:cs="Times New Roman" w:eastAsia="Times New Roman" w:hAnsi="Times New Roman"/>
          <w:sz w:val="21"/>
          <w:szCs w:val="21"/>
          <w:color w:val="auto"/>
        </w:rPr>
        <w:t>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68" w:lineRule="exact"/>
        <w:rPr>
          <w:sz w:val="20"/>
          <w:szCs w:val="20"/>
          <w:color w:val="auto"/>
        </w:rPr>
      </w:pPr>
    </w:p>
    <w:p>
      <w:pPr>
        <w:jc w:val="both"/>
        <w:ind w:firstLine="1278"/>
        <w:spacing w:after="0" w:line="260" w:lineRule="auto"/>
        <w:tabs>
          <w:tab w:leader="none" w:pos="190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Share Unit Award</w:t>
      </w:r>
      <w:r>
        <w:rPr>
          <w:rFonts w:ascii="Times New Roman" w:cs="Times New Roman" w:eastAsia="Times New Roman" w:hAnsi="Times New Roman"/>
          <w:sz w:val="21"/>
          <w:szCs w:val="21"/>
          <w:color w:val="auto"/>
        </w:rPr>
        <w:t>. The Company hereby grants the number of RSUs specified above,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66"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b w:val="1"/>
          <w:bCs w:val="1"/>
          <w:color w:val="auto"/>
        </w:rPr>
        <w:t>.</w:t>
      </w:r>
    </w:p>
    <w:p>
      <w:pPr>
        <w:spacing w:after="0" w:line="226" w:lineRule="exact"/>
        <w:rPr>
          <w:sz w:val="20"/>
          <w:szCs w:val="20"/>
          <w:color w:val="auto"/>
        </w:rPr>
      </w:pPr>
    </w:p>
    <w:p>
      <w:pPr>
        <w:ind w:firstLine="1278"/>
        <w:spacing w:after="0" w:line="298" w:lineRule="auto"/>
        <w:tabs>
          <w:tab w:leader="none" w:pos="190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RSUs subject to this Award shall become vested as follows, provided that the Participant has not incurred a termination of Service prior to each such vesting date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67" w:lineRule="exact"/>
        <w:rPr>
          <w:sz w:val="20"/>
          <w:szCs w:val="20"/>
          <w:color w:val="auto"/>
        </w:rPr>
      </w:pPr>
    </w:p>
    <w:tbl>
      <w:tblPr>
        <w:tblLayout w:type="fixed"/>
        <w:tblInd w:w="1540" w:type="dxa"/>
        <w:tblCellMar>
          <w:top w:w="0" w:type="dxa"/>
          <w:left w:w="0" w:type="dxa"/>
          <w:bottom w:w="0" w:type="dxa"/>
          <w:right w:w="0" w:type="dxa"/>
        </w:tblCellMar>
      </w:tblPr>
      <w:tr>
        <w:trPr>
          <w:trHeight w:val="241"/>
        </w:trPr>
        <w:tc>
          <w:tcPr>
            <w:tcW w:w="1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Vesting Date</w:t>
            </w:r>
          </w:p>
        </w:tc>
        <w:tc>
          <w:tcPr>
            <w:tcW w:w="1740" w:type="dxa"/>
            <w:vAlign w:val="bottom"/>
          </w:tcPr>
          <w:p>
            <w:pPr>
              <w:spacing w:after="0"/>
              <w:rPr>
                <w:sz w:val="21"/>
                <w:szCs w:val="21"/>
                <w:color w:val="auto"/>
              </w:rPr>
            </w:pPr>
          </w:p>
        </w:tc>
        <w:tc>
          <w:tcPr>
            <w:tcW w:w="2280" w:type="dxa"/>
            <w:vAlign w:val="bottom"/>
            <w:gridSpan w:val="2"/>
          </w:tcPr>
          <w:p>
            <w:pPr>
              <w:jc w:val="center"/>
              <w:ind w:left="394"/>
              <w:spacing w:after="0"/>
              <w:rPr>
                <w:sz w:val="20"/>
                <w:szCs w:val="20"/>
                <w:color w:val="auto"/>
              </w:rPr>
            </w:pPr>
            <w:r>
              <w:rPr>
                <w:rFonts w:ascii="Times New Roman" w:cs="Times New Roman" w:eastAsia="Times New Roman" w:hAnsi="Times New Roman"/>
                <w:sz w:val="21"/>
                <w:szCs w:val="21"/>
                <w:b w:val="1"/>
                <w:bCs w:val="1"/>
                <w:color w:val="auto"/>
              </w:rPr>
              <w:t>Percentage of RSUs</w:t>
            </w:r>
          </w:p>
        </w:tc>
      </w:tr>
      <w:tr>
        <w:trPr>
          <w:trHeight w:val="20"/>
        </w:trPr>
        <w:tc>
          <w:tcPr>
            <w:tcW w:w="1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548"/>
        </w:trPr>
        <w:tc>
          <w:tcPr>
            <w:tcW w:w="412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[First Anniversary of the Grant Date]</w:t>
            </w:r>
          </w:p>
        </w:tc>
        <w:tc>
          <w:tcPr>
            <w:tcW w:w="5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r>
        <w:trPr>
          <w:trHeight w:val="517"/>
        </w:trPr>
        <w:tc>
          <w:tcPr>
            <w:tcW w:w="412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[Second Anniversary of the Grant Date]</w:t>
            </w:r>
          </w:p>
        </w:tc>
        <w:tc>
          <w:tcPr>
            <w:tcW w:w="5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r>
        <w:trPr>
          <w:trHeight w:val="490"/>
        </w:trPr>
        <w:tc>
          <w:tcPr>
            <w:tcW w:w="4120" w:type="dxa"/>
            <w:vAlign w:val="bottom"/>
            <w:gridSpan w:val="3"/>
          </w:tcPr>
          <w:p>
            <w:pPr>
              <w:jc w:val="center"/>
              <w:ind w:right="500"/>
              <w:spacing w:after="0"/>
              <w:rPr>
                <w:sz w:val="20"/>
                <w:szCs w:val="20"/>
                <w:color w:val="auto"/>
              </w:rPr>
            </w:pPr>
            <w:r>
              <w:rPr>
                <w:rFonts w:ascii="Times New Roman" w:cs="Times New Roman" w:eastAsia="Times New Roman" w:hAnsi="Times New Roman"/>
                <w:sz w:val="21"/>
                <w:szCs w:val="21"/>
                <w:b w:val="1"/>
                <w:bCs w:val="1"/>
                <w:color w:val="auto"/>
              </w:rPr>
              <w:t>[Third Anniversary of the Grant Date]</w:t>
            </w:r>
          </w:p>
        </w:tc>
        <w:tc>
          <w:tcPr>
            <w:tcW w:w="5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w:t>
            </w:r>
          </w:p>
        </w:tc>
      </w:tr>
    </w:tbl>
    <w:p>
      <w:pPr>
        <w:spacing w:after="0" w:line="68" w:lineRule="exact"/>
        <w:rPr>
          <w:sz w:val="20"/>
          <w:szCs w:val="20"/>
          <w:color w:val="auto"/>
        </w:rPr>
      </w:pPr>
    </w:p>
    <w:p>
      <w:pPr>
        <w:jc w:val="both"/>
        <w:ind w:left="100" w:right="100"/>
        <w:spacing w:after="0" w:line="274" w:lineRule="auto"/>
        <w:rPr>
          <w:sz w:val="20"/>
          <w:szCs w:val="20"/>
          <w:color w:val="auto"/>
        </w:rPr>
      </w:pPr>
      <w:r>
        <w:rPr>
          <w:rFonts w:ascii="Times New Roman" w:cs="Times New Roman" w:eastAsia="Times New Roman" w:hAnsi="Times New Roman"/>
          <w:sz w:val="21"/>
          <w:szCs w:val="21"/>
          <w:color w:val="auto"/>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58" w:name="page59"/>
    <w:bookmarkEnd w:id="58"/>
    <w:p>
      <w:pPr>
        <w:jc w:val="both"/>
        <w:ind w:firstLine="1278"/>
        <w:spacing w:after="0" w:line="258" w:lineRule="auto"/>
        <w:tabs>
          <w:tab w:leader="none" w:pos="190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Resignation for Good Reason;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4(b)</w:t>
      </w:r>
      <w:r>
        <w:rPr>
          <w:rFonts w:ascii="Times New Roman" w:cs="Times New Roman" w:eastAsia="Times New Roman" w:hAnsi="Times New Roman"/>
          <w:sz w:val="21"/>
          <w:szCs w:val="21"/>
          <w:color w:val="auto"/>
        </w:rPr>
        <w:t xml:space="preserve">, in the event the Participant’s Service is terminated by the Company without Cause or by the Participant for Good Reason (each, as defined in the Company’s Change in Control Severance Plan), all unvested RSUs shall become vested on each Vesting Date as if the Participant had not incurred a termination of Service prior to the applicable Vesting Date.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w:t>
      </w:r>
    </w:p>
    <w:p>
      <w:pPr>
        <w:spacing w:after="0" w:line="170" w:lineRule="exact"/>
        <w:rPr>
          <w:rFonts w:ascii="Times New Roman" w:cs="Times New Roman" w:eastAsia="Times New Roman" w:hAnsi="Times New Roman"/>
          <w:sz w:val="21"/>
          <w:szCs w:val="21"/>
          <w:color w:val="auto"/>
        </w:rPr>
      </w:pPr>
    </w:p>
    <w:p>
      <w:pPr>
        <w:jc w:val="both"/>
        <w:ind w:firstLine="1278"/>
        <w:spacing w:after="0" w:line="243" w:lineRule="auto"/>
        <w:tabs>
          <w:tab w:leader="none" w:pos="190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Retirement</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by the Participant due to Retirement and the Participant’s date of termination due to Retirement occurs on or after the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Grant Date, all unvested RSUs shall continue to vest pursuant to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as though the Participant was fully employed through each Vesting Date. For purposes of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the Participant’s voluntary termination of Service after attainment of age 60, with at least ten years of Service and at least three months’ prior written notice to the Company.</w:t>
      </w:r>
    </w:p>
    <w:p>
      <w:pPr>
        <w:spacing w:after="0" w:line="200" w:lineRule="exact"/>
        <w:rPr>
          <w:rFonts w:ascii="Times New Roman" w:cs="Times New Roman" w:eastAsia="Times New Roman" w:hAnsi="Times New Roman"/>
          <w:sz w:val="21"/>
          <w:szCs w:val="21"/>
          <w:color w:val="auto"/>
        </w:rPr>
      </w:pPr>
    </w:p>
    <w:p>
      <w:pPr>
        <w:spacing w:after="0" w:line="243" w:lineRule="exact"/>
        <w:rPr>
          <w:rFonts w:ascii="Times New Roman" w:cs="Times New Roman" w:eastAsia="Times New Roman" w:hAnsi="Times New Roman"/>
          <w:sz w:val="21"/>
          <w:szCs w:val="21"/>
          <w:color w:val="auto"/>
        </w:rPr>
      </w:pPr>
    </w:p>
    <w:p>
      <w:pPr>
        <w:jc w:val="both"/>
        <w:ind w:firstLine="1278"/>
        <w:spacing w:after="0" w:line="258" w:lineRule="auto"/>
        <w:tabs>
          <w:tab w:leader="none" w:pos="190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spacing w:after="0" w:line="175" w:lineRule="exact"/>
        <w:rPr>
          <w:rFonts w:ascii="Times New Roman" w:cs="Times New Roman" w:eastAsia="Times New Roman" w:hAnsi="Times New Roman"/>
          <w:sz w:val="21"/>
          <w:szCs w:val="21"/>
          <w:color w:val="auto"/>
        </w:rPr>
      </w:pPr>
    </w:p>
    <w:p>
      <w:pPr>
        <w:ind w:firstLine="1278"/>
        <w:spacing w:after="0" w:line="285" w:lineRule="auto"/>
        <w:tabs>
          <w:tab w:leader="none" w:pos="190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RSUs at any time and for any reason.</w:t>
      </w:r>
    </w:p>
    <w:p>
      <w:pPr>
        <w:spacing w:after="0" w:line="141" w:lineRule="exact"/>
        <w:rPr>
          <w:rFonts w:ascii="Times New Roman" w:cs="Times New Roman" w:eastAsia="Times New Roman" w:hAnsi="Times New Roman"/>
          <w:sz w:val="21"/>
          <w:szCs w:val="21"/>
          <w:color w:val="auto"/>
        </w:rPr>
      </w:pPr>
    </w:p>
    <w:p>
      <w:pPr>
        <w:jc w:val="both"/>
        <w:ind w:firstLine="1278"/>
        <w:spacing w:after="0" w:line="274" w:lineRule="auto"/>
        <w:tabs>
          <w:tab w:leader="none" w:pos="190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RSUs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(c) hereof) shall be immediately forfeited upon the Participant’s termination of Service for any reason.</w:t>
      </w:r>
    </w:p>
    <w:p>
      <w:pPr>
        <w:spacing w:after="0" w:line="149" w:lineRule="exact"/>
        <w:rPr>
          <w:sz w:val="20"/>
          <w:szCs w:val="20"/>
          <w:color w:val="auto"/>
        </w:rPr>
      </w:pPr>
    </w:p>
    <w:p>
      <w:pPr>
        <w:ind w:left="1920" w:hanging="642"/>
        <w:spacing w:after="0"/>
        <w:tabs>
          <w:tab w:leader="none" w:pos="19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59" w:name="page60"/>
    <w:bookmarkEnd w:id="59"/>
    <w:p>
      <w:pPr>
        <w:jc w:val="both"/>
        <w:ind w:firstLine="1278"/>
        <w:spacing w:after="0" w:line="258" w:lineRule="auto"/>
        <w:tabs>
          <w:tab w:leader="none" w:pos="190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requirements of Section 409A of the Code, within ten days following the applicable Vesting Date of the RSUs the Participant shall receive the number of Shares that correspond to the number of RSUs that have become vested on the applicable Vesting Date, less any shares withheld by the Company for tax withholding purposes; provided, that, a Participant who (i) is a “specified employee” (within the meaning of Section 409A) on the date his or her “separation from service” (within the meaning of Section 409A) and (ii) who continues to vest due to Retirement pursuant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shall have settlement under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delayed to the date that is the first day of the seventh month following Participant’s separation from service, to the extent required by Section 409A.</w:t>
      </w:r>
    </w:p>
    <w:p>
      <w:pPr>
        <w:spacing w:after="0" w:line="170" w:lineRule="exact"/>
        <w:rPr>
          <w:rFonts w:ascii="Times New Roman" w:cs="Times New Roman" w:eastAsia="Times New Roman" w:hAnsi="Times New Roman"/>
          <w:sz w:val="21"/>
          <w:szCs w:val="21"/>
          <w:color w:val="auto"/>
        </w:rPr>
      </w:pPr>
    </w:p>
    <w:p>
      <w:pPr>
        <w:jc w:val="both"/>
        <w:ind w:firstLine="1278"/>
        <w:spacing w:after="0" w:line="274" w:lineRule="auto"/>
        <w:tabs>
          <w:tab w:leader="none" w:pos="190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RSUs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49" w:lineRule="exact"/>
        <w:rPr>
          <w:sz w:val="20"/>
          <w:szCs w:val="20"/>
          <w:color w:val="auto"/>
        </w:rPr>
      </w:pPr>
    </w:p>
    <w:p>
      <w:pPr>
        <w:jc w:val="both"/>
        <w:ind w:firstLine="1278"/>
        <w:spacing w:after="0" w:line="256" w:lineRule="auto"/>
        <w:tabs>
          <w:tab w:leader="none" w:pos="1908"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Rights as Shareholder</w:t>
      </w:r>
      <w:r>
        <w:rPr>
          <w:rFonts w:ascii="Times New Roman" w:cs="Times New Roman" w:eastAsia="Times New Roman" w:hAnsi="Times New Roman"/>
          <w:sz w:val="21"/>
          <w:szCs w:val="21"/>
          <w:color w:val="auto"/>
        </w:rPr>
        <w:t>. Cash Dividend Equivalent Rights on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issuable hereunder shall be credited to a dividend book entry account on behalf of the Participant with respect to each RSU granted to the Participant and shall be subject to the same vesting requirements as each RSU; provided that such cash Dividend Equivalent Rights shall not be deemed to be reinvested in Shares and shall be held uninvested and without interest and paid in cash at the same time that the Shares underlying the RSUs are delivered to the Participant in accordance with the provisions hereof. Stock Dividend Equivalent Rights on Shares shall be credited to a dividend book entry account on behalf of the Participant with respect to each RSU granted to the Participant and shall be subject to the same vesting requirements as each RSU; provided that such stock Dividend Equivalent Rights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RSUs vest and Participant has become the holder of record of such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60" w:name="page61"/>
    <w:bookmarkEnd w:id="60"/>
    <w:p>
      <w:pPr>
        <w:ind w:firstLine="636"/>
        <w:spacing w:after="0" w:line="285"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RSUs issued on the Grant Date indicated above, which have been issued under the terms and conditions of the Plan and this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wp:posOffset>
            </wp:positionV>
            <wp:extent cx="1346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-24130</wp:posOffset>
            </wp:positionV>
            <wp:extent cx="1346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-24130</wp:posOffset>
            </wp:positionV>
            <wp:extent cx="134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1346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-8890</wp:posOffset>
            </wp:positionV>
            <wp:extent cx="134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49007934v2</w:t>
      </w:r>
    </w:p>
    <w:p>
      <w:pPr>
        <w:sectPr>
          <w:pgSz w:w="11900" w:h="16838" w:orient="portrait"/>
          <w:cols w:equalWidth="0" w:num="1">
            <w:col w:w="11240"/>
          </w:cols>
          <w:pgMar w:left="320" w:top="139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PERFORMANCE RESTRICTED SHARE UNIT AWARD AGREEMENT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THE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VESTING)</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Date:________________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Number of Restricted Share Units Granted: </w:t>
      </w: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THIS PERFORMANCE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Date specified 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the 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65"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WHEREAS, it has been determined under the Plan that it would be in the best interests of the Company to grant the Performance Restricted Share Units (“</w:t>
      </w:r>
      <w:r>
        <w:rPr>
          <w:rFonts w:ascii="Times New Roman" w:cs="Times New Roman" w:eastAsia="Times New Roman" w:hAnsi="Times New Roman"/>
          <w:sz w:val="21"/>
          <w:szCs w:val="21"/>
          <w:u w:val="single" w:color="auto"/>
          <w:color w:val="auto"/>
        </w:rPr>
        <w:t>PSUs</w:t>
      </w:r>
      <w:r>
        <w:rPr>
          <w:rFonts w:ascii="Times New Roman" w:cs="Times New Roman" w:eastAsia="Times New Roman" w:hAnsi="Times New Roman"/>
          <w:sz w:val="21"/>
          <w:szCs w:val="21"/>
          <w:color w:val="auto"/>
        </w:rPr>
        <w:t>”) provided herein to the Participant.</w:t>
      </w:r>
    </w:p>
    <w:p>
      <w:pPr>
        <w:spacing w:after="0" w:line="14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promises hereinafter set forth and for other good and valuable consideration, the receipt and sufficiency of which is hereby acknowledged, the parties hereto hereby mutually covenant and agree as follows:</w:t>
      </w:r>
    </w:p>
    <w:p>
      <w:pPr>
        <w:spacing w:after="0" w:line="149" w:lineRule="exact"/>
        <w:rPr>
          <w:sz w:val="20"/>
          <w:szCs w:val="20"/>
          <w:color w:val="auto"/>
        </w:rPr>
      </w:pPr>
    </w:p>
    <w:p>
      <w:pPr>
        <w:jc w:val="both"/>
        <w:ind w:firstLine="642"/>
        <w:spacing w:after="0" w:line="269" w:lineRule="auto"/>
        <w:tabs>
          <w:tab w:leader="none" w:pos="127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 terms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of the Plan (including, without limitation, any amendments thereto adopted at any time and from time to time unless such amendments are expressly intended not to apply to the Award provided hereunder), all of which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21" w:right="339" w:bottom="1440" w:gutter="0" w:footer="0" w:header="0"/>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21"/>
          <w:szCs w:val="21"/>
          <w:color w:val="auto"/>
        </w:rPr>
        <w:t>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and the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xml:space="preserve">” shall mean the </w:t>
      </w:r>
      <w:r>
        <w:rPr>
          <w:rFonts w:ascii="Times New Roman" w:cs="Times New Roman" w:eastAsia="Times New Roman" w:hAnsi="Times New Roman"/>
          <w:sz w:val="21"/>
          <w:szCs w:val="21"/>
          <w:b w:val="1"/>
          <w:bCs w:val="1"/>
          <w:color w:val="auto"/>
        </w:rPr>
        <w:t>[one][two][three]</w:t>
      </w:r>
      <w:r>
        <w:rPr>
          <w:rFonts w:ascii="Times New Roman" w:cs="Times New Roman" w:eastAsia="Times New Roman" w:hAnsi="Times New Roman"/>
          <w:sz w:val="21"/>
          <w:szCs w:val="21"/>
          <w:color w:val="auto"/>
        </w:rPr>
        <w:t xml:space="preserve"> fiscal-year period commencing on the first day of the fiscal year of the Company in which the Grant Date occurs.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80" w:lineRule="exact"/>
        <w:rPr>
          <w:sz w:val="20"/>
          <w:szCs w:val="20"/>
          <w:color w:val="auto"/>
        </w:rPr>
      </w:pPr>
    </w:p>
    <w:p>
      <w:pPr>
        <w:jc w:val="both"/>
        <w:ind w:firstLine="642"/>
        <w:spacing w:after="0" w:line="258" w:lineRule="auto"/>
        <w:tabs>
          <w:tab w:leader="none" w:pos="1272"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Performance Restricted Share Unit Award</w:t>
      </w:r>
      <w:r>
        <w:rPr>
          <w:rFonts w:ascii="Times New Roman" w:cs="Times New Roman" w:eastAsia="Times New Roman" w:hAnsi="Times New Roman"/>
          <w:sz w:val="21"/>
          <w:szCs w:val="21"/>
          <w:color w:val="auto"/>
        </w:rPr>
        <w:t>. The Company hereby grants the target number of PSUs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specified above, as of the Grant Date stated above (the “</w:t>
      </w:r>
      <w:r>
        <w:rPr>
          <w:rFonts w:ascii="Times New Roman" w:cs="Times New Roman" w:eastAsia="Times New Roman" w:hAnsi="Times New Roman"/>
          <w:sz w:val="21"/>
          <w:szCs w:val="21"/>
          <w:u w:val="single" w:color="auto"/>
          <w:color w:val="auto"/>
        </w:rPr>
        <w:t>Target Award</w:t>
      </w:r>
      <w:r>
        <w:rPr>
          <w:rFonts w:ascii="Times New Roman" w:cs="Times New Roman" w:eastAsia="Times New Roman" w:hAnsi="Times New Roman"/>
          <w:sz w:val="21"/>
          <w:szCs w:val="21"/>
          <w:color w:val="auto"/>
        </w:rPr>
        <w:t>”).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w:t>
      </w:r>
    </w:p>
    <w:p>
      <w:pPr>
        <w:spacing w:after="0" w:line="178"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firstLine="1278"/>
        <w:spacing w:after="0" w:line="285" w:lineRule="auto"/>
        <w:tabs>
          <w:tab w:leader="none" w:pos="1905"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PSUs subject to this Agreement shall be eligible to vest on the last day of the Performance Period, subject to the Participant’s continued Service with the Company on such date.</w:t>
      </w:r>
    </w:p>
    <w:p>
      <w:pPr>
        <w:spacing w:after="0" w:line="141" w:lineRule="exact"/>
        <w:rPr>
          <w:rFonts w:ascii="Times New Roman" w:cs="Times New Roman" w:eastAsia="Times New Roman" w:hAnsi="Times New Roman"/>
          <w:sz w:val="21"/>
          <w:szCs w:val="21"/>
          <w:color w:val="auto"/>
        </w:rPr>
      </w:pPr>
    </w:p>
    <w:p>
      <w:pPr>
        <w:jc w:val="both"/>
        <w:ind w:left="640" w:firstLine="1274"/>
        <w:spacing w:after="0" w:line="274" w:lineRule="auto"/>
        <w:tabs>
          <w:tab w:leader="none" w:pos="2536"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actual number of PSUs that are earned, if any, pursuant to the terms and conditions of this Agreement is subject to increase or decrease based on the Company’s actual performance against the Performance Goals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may range from [0% to []%] of the Target Award, rounded to the nearest whole Share.</w:t>
      </w:r>
    </w:p>
    <w:p>
      <w:pPr>
        <w:spacing w:after="0" w:line="153" w:lineRule="exact"/>
        <w:rPr>
          <w:rFonts w:ascii="Times New Roman" w:cs="Times New Roman" w:eastAsia="Times New Roman" w:hAnsi="Times New Roman"/>
          <w:sz w:val="21"/>
          <w:szCs w:val="21"/>
          <w:color w:val="auto"/>
        </w:rPr>
      </w:pPr>
    </w:p>
    <w:p>
      <w:pPr>
        <w:jc w:val="both"/>
        <w:ind w:left="640" w:firstLine="1274"/>
        <w:spacing w:after="0" w:line="267" w:lineRule="auto"/>
        <w:tabs>
          <w:tab w:leader="none" w:pos="2542"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end of the Performance Period and no later than 60 days thereafter, the Committee will determine the number of PSUs that have been earned (the “</w:t>
      </w:r>
      <w:r>
        <w:rPr>
          <w:rFonts w:ascii="Times New Roman" w:cs="Times New Roman" w:eastAsia="Times New Roman" w:hAnsi="Times New Roman"/>
          <w:sz w:val="21"/>
          <w:szCs w:val="21"/>
          <w:u w:val="single" w:color="auto"/>
          <w:color w:val="auto"/>
        </w:rPr>
        <w:t>Earned PSUs</w:t>
      </w:r>
      <w:r>
        <w:rPr>
          <w:rFonts w:ascii="Times New Roman" w:cs="Times New Roman" w:eastAsia="Times New Roman" w:hAnsi="Times New Roman"/>
          <w:sz w:val="21"/>
          <w:szCs w:val="21"/>
          <w:color w:val="auto"/>
        </w:rPr>
        <w:t xml:space="preserve">”) in accordance with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(such date, the “</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firstLine="1278"/>
        <w:spacing w:after="0" w:line="266" w:lineRule="auto"/>
        <w:tabs>
          <w:tab w:leader="none" w:pos="1903"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for Good Reason;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by the Company without Cause or by the Participant for Good Reason (each, as defined in the Company’s Change in Control Severance Plan during the [second][third] year of the Performance Period [, notwithstanding the definitions contained the Participant’s Offer Letter from the Company]),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63" w:name="page64"/>
    <w:bookmarkEnd w:id="63"/>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first day of the Performance Period through the Participant’s date of termination, and the denominator of which is the number of days in the Performance Period. For the avoidance of doubt, in the event the Participant’s Service is terminated by the Company without Cause prior to the commencement of the [second][third] year of the Performance Period, the PSUs shall be immediately forfeited.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the Shares subject to the PSUs that have not yet vested shall become earned and vested at the end of the Performance Period based on actual performance.</w:t>
      </w:r>
    </w:p>
    <w:p>
      <w:pPr>
        <w:spacing w:after="0" w:line="184" w:lineRule="exact"/>
        <w:rPr>
          <w:sz w:val="20"/>
          <w:szCs w:val="20"/>
          <w:color w:val="auto"/>
        </w:rPr>
      </w:pPr>
    </w:p>
    <w:p>
      <w:pPr>
        <w:jc w:val="both"/>
        <w:ind w:firstLine="1278"/>
        <w:spacing w:after="0"/>
        <w:tabs>
          <w:tab w:leader="none" w:pos="1905"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due to Retirement</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by the Participant due to Retirement and the Participant’s date of termination due to Retirement occurs on or after the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Grant Date,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due to Retirement, and the denominator of which is the number of days in the Performance Period. For the avoidance of doubt, in the event the Participant’s termination of Service due to Retirement occurs prior to the 11</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month anniversary of the Grant Date, the PSUs shall be immediately forfeited. For purposes of this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means the Participant’s voluntary termination of Service after attainment of age 60, with at least ten years of Service and at least three months’ prior written notice to the Company.</w:t>
      </w:r>
    </w:p>
    <w:p>
      <w:pPr>
        <w:spacing w:after="0" w:line="200" w:lineRule="exact"/>
        <w:rPr>
          <w:rFonts w:ascii="Times New Roman" w:cs="Times New Roman" w:eastAsia="Times New Roman" w:hAnsi="Times New Roman"/>
          <w:sz w:val="21"/>
          <w:szCs w:val="21"/>
          <w:color w:val="auto"/>
        </w:rPr>
      </w:pPr>
    </w:p>
    <w:p>
      <w:pPr>
        <w:spacing w:after="0" w:line="231" w:lineRule="exact"/>
        <w:rPr>
          <w:rFonts w:ascii="Times New Roman" w:cs="Times New Roman" w:eastAsia="Times New Roman" w:hAnsi="Times New Roman"/>
          <w:sz w:val="21"/>
          <w:szCs w:val="21"/>
          <w:color w:val="auto"/>
        </w:rPr>
      </w:pPr>
    </w:p>
    <w:p>
      <w:pPr>
        <w:jc w:val="both"/>
        <w:ind w:firstLine="1278"/>
        <w:spacing w:after="0" w:line="257" w:lineRule="auto"/>
        <w:tabs>
          <w:tab w:leader="none" w:pos="1903"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and not withstanding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if a Change in Control occurs, the successor or purchaser in the Change in Control has assumed the Company’s obligations with respect to the PSUs or provided a substitute award and the Participant (i) has a Qualifying Termination (as defined in the Company’s Change in Control Severance Plan) or (ii) remains employed with the Company through the end of the Performance Period, then the PSUs shall become earned and vested as of the time immediately prior to the earlier of the Qualifying Termination and the Change in Control</w:t>
      </w:r>
    </w:p>
    <w:p>
      <w:pPr>
        <w:spacing w:after="0" w:line="3" w:lineRule="exact"/>
        <w:rPr>
          <w:rFonts w:ascii="Times New Roman" w:cs="Times New Roman" w:eastAsia="Times New Roman" w:hAnsi="Times New Roman"/>
          <w:sz w:val="21"/>
          <w:szCs w:val="21"/>
          <w:color w:val="auto"/>
        </w:rPr>
      </w:pPr>
    </w:p>
    <w:p>
      <w:pPr>
        <w:jc w:val="both"/>
        <w:ind w:firstLine="6"/>
        <w:spacing w:after="0" w:line="255" w:lineRule="auto"/>
        <w:tabs>
          <w:tab w:leader="none" w:pos="31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Target achievement of the Performance Goals, if the Change in Control occurs within 12 months following the Grant Date hereunder, or (z) at the greater of Target achievement or the actual achievement of the Performance Goals through the date of the Change in Control, if such Change in Control occurs on or after 12 months following the Grant Date hereunder; provided that if such Qualifying Termination occurs prior to a Change in Control, then the PSUs shall become earned and vested as of the time immediately prior to the Qualifying Termination at the greater of Target achievement or the actual achievement of the Performance Goals through the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64" w:name="page65"/>
    <w:bookmarkEnd w:id="64"/>
    <w:p>
      <w:pPr>
        <w:ind w:firstLine="1278"/>
        <w:spacing w:after="0" w:line="285" w:lineRule="auto"/>
        <w:tabs>
          <w:tab w:leader="none" w:pos="1905"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PSUs at any time and for any reason.</w:t>
      </w:r>
    </w:p>
    <w:p>
      <w:pPr>
        <w:spacing w:after="0" w:line="141" w:lineRule="exact"/>
        <w:rPr>
          <w:rFonts w:ascii="Times New Roman" w:cs="Times New Roman" w:eastAsia="Times New Roman" w:hAnsi="Times New Roman"/>
          <w:sz w:val="21"/>
          <w:szCs w:val="21"/>
          <w:color w:val="auto"/>
        </w:rPr>
      </w:pPr>
    </w:p>
    <w:p>
      <w:pPr>
        <w:jc w:val="both"/>
        <w:ind w:firstLine="1278"/>
        <w:spacing w:after="0" w:line="274" w:lineRule="auto"/>
        <w:tabs>
          <w:tab w:leader="none" w:pos="1908"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PSUs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shall be immediately forfeited upon the Participant’s termination of Service for any reason.</w:t>
      </w:r>
    </w:p>
    <w:p>
      <w:pPr>
        <w:spacing w:after="0" w:line="149" w:lineRule="exact"/>
        <w:rPr>
          <w:rFonts w:ascii="Times New Roman" w:cs="Times New Roman" w:eastAsia="Times New Roman" w:hAnsi="Times New Roman"/>
          <w:sz w:val="21"/>
          <w:szCs w:val="21"/>
          <w:color w:val="auto"/>
        </w:rPr>
      </w:pPr>
    </w:p>
    <w:p>
      <w:pPr>
        <w:ind w:left="1280" w:hanging="638"/>
        <w:spacing w:after="0"/>
        <w:tabs>
          <w:tab w:leader="none" w:pos="1280"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firstLine="1278"/>
        <w:spacing w:after="0" w:line="246" w:lineRule="auto"/>
        <w:tabs>
          <w:tab w:leader="none" w:pos="1905"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requirements of Section 409A of the Code, on the Determination Date (and no later than the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the third month following the end of the Performance Period), the Participant shall receive the number of Shares that correspond to the number of Earned PSUs, less any shares withheld by the Company for tax withholding purposes; provided, that, a Participant who (i) is a “specified employee” (within the meaning of Section 409A) on the date his or her “separation from service” (within the meaning of Section 409A) and (ii) who continues to vest due to Retirement pursuant to </w:t>
      </w:r>
      <w:r>
        <w:rPr>
          <w:rFonts w:ascii="Times New Roman" w:cs="Times New Roman" w:eastAsia="Times New Roman" w:hAnsi="Times New Roman"/>
          <w:sz w:val="21"/>
          <w:szCs w:val="21"/>
          <w:u w:val="single" w:color="auto"/>
          <w:color w:val="auto"/>
        </w:rPr>
        <w:t>Section 3(c)</w:t>
      </w:r>
      <w:r>
        <w:rPr>
          <w:rFonts w:ascii="Times New Roman" w:cs="Times New Roman" w:eastAsia="Times New Roman" w:hAnsi="Times New Roman"/>
          <w:sz w:val="21"/>
          <w:szCs w:val="21"/>
          <w:color w:val="auto"/>
        </w:rPr>
        <w:t xml:space="preserve">, shall have settlement under this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delayed to the date that is the first day of the seventh month following Participant’s separation from service, to the extent required by Section 409A.</w:t>
      </w:r>
    </w:p>
    <w:p>
      <w:pPr>
        <w:spacing w:after="0" w:line="184"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Earned PSUs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w:t>
      </w:r>
    </w:p>
    <w:p>
      <w:pPr>
        <w:spacing w:after="0" w:line="35" w:lineRule="exact"/>
        <w:rPr>
          <w:rFonts w:ascii="Times New Roman" w:cs="Times New Roman" w:eastAsia="Times New Roman" w:hAnsi="Times New Roman"/>
          <w:sz w:val="21"/>
          <w:szCs w:val="21"/>
          <w:color w:val="auto"/>
        </w:rPr>
      </w:pPr>
    </w:p>
    <w:p>
      <w:pPr>
        <w:ind w:firstLine="6"/>
        <w:spacing w:after="0" w:line="273" w:lineRule="auto"/>
        <w:tabs>
          <w:tab w:leader="none" w:pos="308" w:val="left"/>
        </w:tabs>
        <w:numPr>
          <w:ilvl w:val="0"/>
          <w:numId w:val="3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50" w:lineRule="exact"/>
        <w:rPr>
          <w:rFonts w:ascii="Times New Roman" w:cs="Times New Roman" w:eastAsia="Times New Roman" w:hAnsi="Times New Roman"/>
          <w:sz w:val="21"/>
          <w:szCs w:val="21"/>
          <w:u w:val="single" w:color="auto"/>
          <w:color w:val="auto"/>
        </w:rPr>
      </w:pPr>
    </w:p>
    <w:p>
      <w:pPr>
        <w:jc w:val="both"/>
        <w:ind w:firstLine="642"/>
        <w:spacing w:after="0" w:line="256" w:lineRule="auto"/>
        <w:tabs>
          <w:tab w:leader="none" w:pos="127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Rights as Shareholder</w:t>
      </w:r>
      <w:r>
        <w:rPr>
          <w:rFonts w:ascii="Times New Roman" w:cs="Times New Roman" w:eastAsia="Times New Roman" w:hAnsi="Times New Roman"/>
          <w:sz w:val="21"/>
          <w:szCs w:val="21"/>
          <w:color w:val="auto"/>
        </w:rPr>
        <w:t>. Cash Dividend Equivalent Rights on the number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issuable hereunder shall be credited to a dividend book entry account on behalf of the Participant with respect to each PSU granted to the Participant and shall be subject to the same vesting requirements as each PSU; provided that such cash Dividend Equivalent Rights shall not be deemed to be reinvested in Shares and shall be held uninvested and without interest and paid in cash at the same time that the Shares underlying the PSUs are delivered to the Participant in accordance with the provisions hereof. Stock Dividend Equivalent Rights on Shares shall be credited to a dividend book entry account on behalf of the Participant with respect to each PSU granted to the Participant and shall be subject to the same vesting requirements as each PSU; provided that such stock Dividend Equivalent Rights shall be paid in Shares at the same time that the Shares underlying the PSUs are delivered to the Participant in accordance with the provisions hereof. Except as otherwise provided herein, the Participant shall have no rights as a shareholder with respect to any Shares covered by any PSU unless and until the PSUs vest and Participant has become the holder of record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65" w:name="page66"/>
    <w:bookmarkEnd w:id="65"/>
    <w:p>
      <w:pPr>
        <w:spacing w:after="0" w:line="200" w:lineRule="exact"/>
        <w:rPr>
          <w:sz w:val="20"/>
          <w:szCs w:val="20"/>
          <w:color w:val="auto"/>
        </w:rPr>
      </w:pPr>
    </w:p>
    <w:p>
      <w:pPr>
        <w:spacing w:after="0" w:line="206"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0139"/>
          </w:cols>
          <w:pgMar w:left="320" w:top="1440" w:right="1440" w:bottom="1440" w:gutter="0" w:footer="0" w:header="0"/>
        </w:sectPr>
      </w:pPr>
    </w:p>
    <w:bookmarkStart w:id="66" w:name="page67"/>
    <w:bookmarkEnd w:id="66"/>
    <w:p>
      <w:pPr>
        <w:ind w:firstLine="636"/>
        <w:spacing w:after="0" w:line="285"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PSUs issued on the Grant Date indicated above, which have been issued under the terms and conditions of the Plan and this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wp:posOffset>
            </wp:positionV>
            <wp:extent cx="1346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-24130</wp:posOffset>
            </wp:positionV>
            <wp:extent cx="1346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-24130</wp:posOffset>
            </wp:positionV>
            <wp:extent cx="1346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1346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-8890</wp:posOffset>
            </wp:positionV>
            <wp:extent cx="1346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1240"/>
          </w:cols>
          <w:pgMar w:left="320" w:top="1397" w:right="339" w:bottom="1440" w:gutter="0" w:footer="0" w:header="0"/>
        </w:sectPr>
      </w:pPr>
    </w:p>
    <w:bookmarkStart w:id="67" w:name="page68"/>
    <w:bookmarkEnd w:id="67"/>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49007517v2</w:t>
      </w:r>
    </w:p>
    <w:p>
      <w:pPr>
        <w:sectPr>
          <w:pgSz w:w="11900" w:h="16838" w:orient="portrait"/>
          <w:cols w:equalWidth="0" w:num="1">
            <w:col w:w="10139"/>
          </w:cols>
          <w:pgMar w:left="320" w:top="1393"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WEATHERFORD INTERNATIONAL PLC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RESTRICTED SHARE UNIT AWARD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THE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AMENDED AND RESTATED 2019 EQUITY INCENTIVE PLAN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(TIME VESTING)</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________________</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-6350</wp:posOffset>
            </wp:positionV>
            <wp:extent cx="1346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Number of Restricted Share Units Granted: </w:t>
      </w:r>
      <w:r>
        <w:rPr>
          <w:rFonts w:ascii="Times New Roman" w:cs="Times New Roman" w:eastAsia="Times New Roman" w:hAnsi="Times New Roman"/>
          <w:sz w:val="21"/>
          <w:szCs w:val="21"/>
          <w:color w:val="auto"/>
        </w:rPr>
        <w:t>__________</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 * * *</w:t>
      </w:r>
    </w:p>
    <w:p>
      <w:pPr>
        <w:spacing w:after="0" w:line="222"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THIS RESTRICTED SHARE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the Grant Date specified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above, is entered into by and between WEATHERFORD INTERNATIONAL PLC, a public limited company organized under the laws of Ireland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you as the Participant specified below, pursuant to the Weatherford International plc Third Amended and Restated 2019 Equity Incentive Plan, as in effect and as amended from time to time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which is administered by the Committee (as defined in the Plan); and</w:t>
      </w:r>
    </w:p>
    <w:p>
      <w:pPr>
        <w:spacing w:after="0" w:line="161"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it has been determined under the Plan that it would be in the best interests of the Company to grant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Share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provided herein to the Participant.</w:t>
      </w:r>
    </w:p>
    <w:p>
      <w:pPr>
        <w:spacing w:after="0" w:line="134"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in consideration of the mutual covenants and promises hereinafter set forth and for other good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valuable consideration, the receipt and sufficiency of which is hereby acknowledged, the parties hereto hereby mutually covenant and agree as follows:</w:t>
      </w:r>
    </w:p>
    <w:p>
      <w:pPr>
        <w:spacing w:after="0" w:line="147" w:lineRule="exact"/>
        <w:rPr>
          <w:sz w:val="20"/>
          <w:szCs w:val="20"/>
          <w:color w:val="auto"/>
        </w:rPr>
      </w:pPr>
    </w:p>
    <w:p>
      <w:pPr>
        <w:jc w:val="both"/>
        <w:ind w:firstLine="1278"/>
        <w:spacing w:after="0" w:line="267" w:lineRule="auto"/>
        <w:tabs>
          <w:tab w:leader="none" w:pos="190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By Reference; Plan Document Receipt</w:t>
      </w:r>
      <w:r>
        <w:rPr>
          <w:rFonts w:ascii="Times New Roman" w:cs="Times New Roman" w:eastAsia="Times New Roman" w:hAnsi="Times New Roman"/>
          <w:sz w:val="21"/>
          <w:szCs w:val="21"/>
          <w:color w:val="auto"/>
        </w:rPr>
        <w:t>. This Agreement is subject in all respects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w:t>
      </w:r>
    </w:p>
    <w:p>
      <w:pPr>
        <w:sectPr>
          <w:pgSz w:w="11900" w:h="16838" w:orient="portrait"/>
          <w:cols w:equalWidth="0" w:num="1">
            <w:col w:w="11240"/>
          </w:cols>
          <w:pgMar w:left="320" w:top="121" w:right="339" w:bottom="1440" w:gutter="0" w:footer="0" w:header="0"/>
        </w:sectPr>
      </w:pPr>
    </w:p>
    <w:bookmarkStart w:id="69" w:name="page70"/>
    <w:bookmarkEnd w:id="69"/>
    <w:p>
      <w:pPr>
        <w:jc w:val="both"/>
        <w:spacing w:after="0" w:line="259" w:lineRule="auto"/>
        <w:rPr>
          <w:sz w:val="20"/>
          <w:szCs w:val="20"/>
          <w:color w:val="auto"/>
        </w:rPr>
      </w:pPr>
      <w:r>
        <w:rPr>
          <w:rFonts w:ascii="Times New Roman" w:cs="Times New Roman" w:eastAsia="Times New Roman" w:hAnsi="Times New Roman"/>
          <w:sz w:val="21"/>
          <w:szCs w:val="21"/>
          <w:color w:val="auto"/>
        </w:rPr>
        <w:t>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spacing w:after="0" w:line="168" w:lineRule="exact"/>
        <w:rPr>
          <w:sz w:val="20"/>
          <w:szCs w:val="20"/>
          <w:color w:val="auto"/>
        </w:rPr>
      </w:pPr>
    </w:p>
    <w:p>
      <w:pPr>
        <w:jc w:val="both"/>
        <w:ind w:firstLine="1278"/>
        <w:spacing w:after="0" w:line="260" w:lineRule="auto"/>
        <w:tabs>
          <w:tab w:leader="none" w:pos="190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Share Unit Award</w:t>
      </w:r>
      <w:r>
        <w:rPr>
          <w:rFonts w:ascii="Times New Roman" w:cs="Times New Roman" w:eastAsia="Times New Roman" w:hAnsi="Times New Roman"/>
          <w:sz w:val="21"/>
          <w:szCs w:val="21"/>
          <w:color w:val="auto"/>
        </w:rPr>
        <w:t>. The Company hereby grants the number of RSUs specified above,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w:t>
      </w:r>
    </w:p>
    <w:p>
      <w:pPr>
        <w:spacing w:after="0" w:line="166" w:lineRule="exact"/>
        <w:rPr>
          <w:rFonts w:ascii="Times New Roman" w:cs="Times New Roman" w:eastAsia="Times New Roman" w:hAnsi="Times New Roman"/>
          <w:sz w:val="21"/>
          <w:szCs w:val="21"/>
          <w:color w:val="auto"/>
        </w:rPr>
      </w:pPr>
    </w:p>
    <w:p>
      <w:pPr>
        <w:ind w:left="1920" w:hanging="642"/>
        <w:spacing w:after="0"/>
        <w:tabs>
          <w:tab w:leader="none" w:pos="19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w:t>
      </w:r>
      <w:r>
        <w:rPr>
          <w:rFonts w:ascii="Times New Roman" w:cs="Times New Roman" w:eastAsia="Times New Roman" w:hAnsi="Times New Roman"/>
          <w:sz w:val="21"/>
          <w:szCs w:val="21"/>
          <w:b w:val="1"/>
          <w:bCs w:val="1"/>
          <w:color w:val="auto"/>
        </w:rPr>
        <w:t>.</w:t>
      </w:r>
    </w:p>
    <w:p>
      <w:pPr>
        <w:spacing w:after="0" w:line="226" w:lineRule="exact"/>
        <w:rPr>
          <w:sz w:val="20"/>
          <w:szCs w:val="20"/>
          <w:color w:val="auto"/>
        </w:rPr>
      </w:pPr>
    </w:p>
    <w:p>
      <w:pPr>
        <w:ind w:firstLine="1278"/>
        <w:spacing w:after="0" w:line="298" w:lineRule="auto"/>
        <w:tabs>
          <w:tab w:leader="none" w:pos="190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RSUs subject to this Award shall become vested as follows, provided that the Participant has not incurred a termination of Service prior to each such vesting date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w:t>
      </w:r>
    </w:p>
    <w:p>
      <w:pPr>
        <w:spacing w:after="0" w:line="140"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10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Vesting Date</w:t>
            </w:r>
          </w:p>
        </w:tc>
        <w:tc>
          <w:tcPr>
            <w:tcW w:w="1640" w:type="dxa"/>
            <w:vAlign w:val="bottom"/>
          </w:tcPr>
          <w:p>
            <w:pPr>
              <w:spacing w:after="0"/>
              <w:rPr>
                <w:sz w:val="21"/>
                <w:szCs w:val="21"/>
                <w:color w:val="auto"/>
              </w:rPr>
            </w:pPr>
          </w:p>
        </w:tc>
        <w:tc>
          <w:tcPr>
            <w:tcW w:w="2380" w:type="dxa"/>
            <w:vAlign w:val="bottom"/>
            <w:gridSpan w:val="2"/>
          </w:tcPr>
          <w:p>
            <w:pPr>
              <w:jc w:val="center"/>
              <w:ind w:left="494"/>
              <w:spacing w:after="0"/>
              <w:rPr>
                <w:sz w:val="20"/>
                <w:szCs w:val="20"/>
                <w:color w:val="auto"/>
              </w:rPr>
            </w:pPr>
            <w:r>
              <w:rPr>
                <w:rFonts w:ascii="Times New Roman" w:cs="Times New Roman" w:eastAsia="Times New Roman" w:hAnsi="Times New Roman"/>
                <w:sz w:val="21"/>
                <w:szCs w:val="21"/>
                <w:b w:val="1"/>
                <w:bCs w:val="1"/>
                <w:color w:val="auto"/>
              </w:rPr>
              <w:t>Percentage of RSUs</w:t>
            </w:r>
          </w:p>
        </w:tc>
      </w:tr>
      <w:tr>
        <w:trPr>
          <w:trHeight w:val="20"/>
        </w:trPr>
        <w:tc>
          <w:tcPr>
            <w:tcW w:w="10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96"/>
        </w:trPr>
        <w:tc>
          <w:tcPr>
            <w:tcW w:w="3840" w:type="dxa"/>
            <w:vAlign w:val="bottom"/>
            <w:gridSpan w:val="3"/>
          </w:tcPr>
          <w:p>
            <w:pPr>
              <w:jc w:val="center"/>
              <w:ind w:right="580"/>
              <w:spacing w:after="0"/>
              <w:rPr>
                <w:sz w:val="20"/>
                <w:szCs w:val="20"/>
                <w:color w:val="auto"/>
              </w:rPr>
            </w:pPr>
            <w:r>
              <w:rPr>
                <w:rFonts w:ascii="Times New Roman" w:cs="Times New Roman" w:eastAsia="Times New Roman" w:hAnsi="Times New Roman"/>
                <w:sz w:val="21"/>
                <w:szCs w:val="21"/>
                <w:b w:val="1"/>
                <w:bCs w:val="1"/>
                <w:color w:val="auto"/>
              </w:rPr>
              <w:t>First Anniversary of the Grant Date</w:t>
            </w:r>
          </w:p>
        </w:tc>
        <w:tc>
          <w:tcPr>
            <w:tcW w:w="2380" w:type="dxa"/>
            <w:vAlign w:val="bottom"/>
            <w:gridSpan w:val="2"/>
          </w:tcPr>
          <w:p>
            <w:pPr>
              <w:jc w:val="right"/>
              <w:ind w:right="640"/>
              <w:spacing w:after="0"/>
              <w:rPr>
                <w:sz w:val="20"/>
                <w:szCs w:val="20"/>
                <w:color w:val="auto"/>
              </w:rPr>
            </w:pPr>
            <w:r>
              <w:rPr>
                <w:rFonts w:ascii="Times New Roman" w:cs="Times New Roman" w:eastAsia="Times New Roman" w:hAnsi="Times New Roman"/>
                <w:sz w:val="21"/>
                <w:szCs w:val="21"/>
                <w:b w:val="1"/>
                <w:bCs w:val="1"/>
                <w:color w:val="auto"/>
              </w:rPr>
              <w:t>100%</w:t>
            </w:r>
          </w:p>
        </w:tc>
      </w:tr>
    </w:tbl>
    <w:p>
      <w:pPr>
        <w:spacing w:after="0" w:line="68" w:lineRule="exact"/>
        <w:rPr>
          <w:sz w:val="20"/>
          <w:szCs w:val="20"/>
          <w:color w:val="auto"/>
        </w:rPr>
      </w:pPr>
    </w:p>
    <w:p>
      <w:pPr>
        <w:jc w:val="both"/>
        <w:ind w:firstLine="1278"/>
        <w:spacing w:after="0" w:line="258" w:lineRule="auto"/>
        <w:tabs>
          <w:tab w:leader="none" w:pos="190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Failure to be Re-elected; Due to Death or Disability</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in the event the Participant’s Service is terminated by the Company without Cause or as a result of any failure to be re-elected to the Board for any reason other than for Cause or Participant’s voluntary resignation from the Board or refusal to stand for re-election, all unvested RSUs shall become vested on the Vesting Date as if the Participant had not incurred a termination of Service prior to the Vesting Date.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49048441v2</w:t>
      </w:r>
    </w:p>
    <w:p>
      <w:pPr>
        <w:sectPr>
          <w:pgSz w:w="11900" w:h="16838" w:orient="portrait"/>
          <w:cols w:equalWidth="0" w:num="1">
            <w:col w:w="11240"/>
          </w:cols>
          <w:pgMar w:left="320" w:top="1397" w:right="339" w:bottom="1440" w:gutter="0" w:footer="0" w:header="0"/>
        </w:sectPr>
      </w:pPr>
    </w:p>
    <w:bookmarkStart w:id="70" w:name="page71"/>
    <w:bookmarkEnd w:id="70"/>
    <w:p>
      <w:pPr>
        <w:ind w:left="1920" w:hanging="642"/>
        <w:spacing w:after="0"/>
        <w:tabs>
          <w:tab w:leader="none" w:pos="19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all unvested RSUs shall become fully vested upon a Change 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Control.</w:t>
      </w:r>
    </w:p>
    <w:p>
      <w:pPr>
        <w:spacing w:after="0" w:line="198" w:lineRule="exact"/>
        <w:rPr>
          <w:sz w:val="20"/>
          <w:szCs w:val="20"/>
          <w:color w:val="auto"/>
        </w:rPr>
      </w:pPr>
    </w:p>
    <w:p>
      <w:pPr>
        <w:ind w:firstLine="1278"/>
        <w:spacing w:after="0" w:line="298" w:lineRule="auto"/>
        <w:tabs>
          <w:tab w:leader="none" w:pos="190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Committee Discretion to Accelerate Vesting</w:t>
      </w:r>
      <w:r>
        <w:rPr>
          <w:rFonts w:ascii="Times New Roman" w:cs="Times New Roman" w:eastAsia="Times New Roman" w:hAnsi="Times New Roman"/>
          <w:sz w:val="21"/>
          <w:szCs w:val="21"/>
          <w:color w:val="auto"/>
        </w:rPr>
        <w:t>. In addition to the foregoing, the Committee may, in its sole discretion, accelerate vesting of the RSUs at any time and for any reason.</w:t>
      </w:r>
    </w:p>
    <w:p>
      <w:pPr>
        <w:spacing w:after="0" w:line="129" w:lineRule="exact"/>
        <w:rPr>
          <w:rFonts w:ascii="Times New Roman" w:cs="Times New Roman" w:eastAsia="Times New Roman" w:hAnsi="Times New Roman"/>
          <w:sz w:val="21"/>
          <w:szCs w:val="21"/>
          <w:color w:val="auto"/>
        </w:rPr>
      </w:pPr>
    </w:p>
    <w:p>
      <w:pPr>
        <w:jc w:val="both"/>
        <w:ind w:firstLine="1278"/>
        <w:spacing w:after="0" w:line="267" w:lineRule="auto"/>
        <w:tabs>
          <w:tab w:leader="none" w:pos="190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Forfeiture</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all unvested RSUs (taking into account any vesting that may occur upon the Participant’s termination of Service in accordance with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hereof) shall be immediately forfeited upon the Participant’s termination of Service for any reason.</w:t>
      </w:r>
    </w:p>
    <w:p>
      <w:pPr>
        <w:spacing w:after="0" w:line="157" w:lineRule="exact"/>
        <w:rPr>
          <w:sz w:val="20"/>
          <w:szCs w:val="20"/>
          <w:color w:val="auto"/>
        </w:rPr>
      </w:pPr>
    </w:p>
    <w:p>
      <w:pPr>
        <w:ind w:left="1920" w:hanging="642"/>
        <w:spacing w:after="0"/>
        <w:tabs>
          <w:tab w:leader="none" w:pos="19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Delivery of Shares</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firstLine="1278"/>
        <w:spacing w:after="0" w:line="267" w:lineRule="auto"/>
        <w:tabs>
          <w:tab w:leader="none" w:pos="190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Subject to the requirements of Section 409A of the Code, within ten (10) days following the applicable Vesting Date of the RSUs the Participant shall receive the number of Shares that correspond to the number of RSUs that have become vested on the applicable Vesting Date, less any shares withheld by the Company for tax withholding purposes.</w:t>
      </w:r>
    </w:p>
    <w:p>
      <w:pPr>
        <w:spacing w:after="0" w:line="161" w:lineRule="exact"/>
        <w:rPr>
          <w:rFonts w:ascii="Times New Roman" w:cs="Times New Roman" w:eastAsia="Times New Roman" w:hAnsi="Times New Roman"/>
          <w:sz w:val="21"/>
          <w:szCs w:val="21"/>
          <w:color w:val="auto"/>
        </w:rPr>
      </w:pPr>
    </w:p>
    <w:p>
      <w:pPr>
        <w:jc w:val="both"/>
        <w:ind w:firstLine="1278"/>
        <w:spacing w:after="0" w:line="267" w:lineRule="auto"/>
        <w:tabs>
          <w:tab w:leader="none" w:pos="190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The receipt of Shares subject to the RSUs that are eligible to vest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shall be subject to the execution and nonrevocation of a general release of claims in favor of the Company, in a form reasonably satisfactory to the Company.</w:t>
      </w:r>
    </w:p>
    <w:p>
      <w:pPr>
        <w:spacing w:after="0" w:line="171" w:lineRule="exact"/>
        <w:rPr>
          <w:sz w:val="20"/>
          <w:szCs w:val="20"/>
          <w:color w:val="auto"/>
        </w:rPr>
      </w:pPr>
    </w:p>
    <w:p>
      <w:pPr>
        <w:jc w:val="both"/>
        <w:ind w:firstLine="1278"/>
        <w:spacing w:after="0" w:line="256" w:lineRule="auto"/>
        <w:tabs>
          <w:tab w:leader="none" w:pos="1908"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 Rights; Rights as Shareholder</w:t>
      </w:r>
      <w:r>
        <w:rPr>
          <w:rFonts w:ascii="Times New Roman" w:cs="Times New Roman" w:eastAsia="Times New Roman" w:hAnsi="Times New Roman"/>
          <w:sz w:val="21"/>
          <w:szCs w:val="21"/>
          <w:color w:val="auto"/>
        </w:rPr>
        <w:t>. Cash Dividend Equivalent Rights on the number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issuable hereunder shall be credited to a dividend book entry account on behalf of the Participant with respect to each RSU granted to the Participant and shall be subject to the same vesting requirements as each RSU; provided that such cash Dividend Equivalent Rights shall not be deemed to be reinvested in Shares and shall be held uninvested and without interest and paid in cash at the same time that the Shares underlying the RSUs are delivered to the Participant in accordance with the provisions hereof. Stock Dividend Equivalent Rights on Shares shall be credited to a dividend book entry account on behalf of the Participant with respect to each RSU granted to the Participant and shall be subject to the same vesting requirements as each RSU; provided that such stock Dividend Equivalent Rights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RSUs vest and Participant has become the holder of record of such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49048441v2</w:t>
      </w:r>
    </w:p>
    <w:p>
      <w:pPr>
        <w:sectPr>
          <w:pgSz w:w="11900" w:h="16838" w:orient="portrait"/>
          <w:cols w:equalWidth="0" w:num="1">
            <w:col w:w="11240"/>
          </w:cols>
          <w:pgMar w:left="320" w:top="1397" w:right="339" w:bottom="1440" w:gutter="0" w:footer="0" w:header="0"/>
        </w:sectPr>
      </w:pPr>
    </w:p>
    <w:bookmarkStart w:id="71" w:name="page72"/>
    <w:bookmarkEnd w:id="71"/>
    <w:p>
      <w:pPr>
        <w:ind w:firstLine="636"/>
        <w:spacing w:after="0" w:line="285" w:lineRule="auto"/>
        <w:rPr>
          <w:sz w:val="20"/>
          <w:szCs w:val="20"/>
          <w:color w:val="auto"/>
        </w:rPr>
      </w:pPr>
      <w:r>
        <w:rPr>
          <w:rFonts w:ascii="Times New Roman" w:cs="Times New Roman" w:eastAsia="Times New Roman" w:hAnsi="Times New Roman"/>
          <w:sz w:val="21"/>
          <w:szCs w:val="21"/>
          <w:color w:val="auto"/>
        </w:rPr>
        <w:t>By signing below, the Participant hereby acknowledges receipt of the RSUs issued on the Grant Date indicated above, which have been issued under the terms and conditions of the Plan and this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-8890</wp:posOffset>
            </wp:positionV>
            <wp:extent cx="1346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-24130</wp:posOffset>
            </wp:positionV>
            <wp:extent cx="134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-24130</wp:posOffset>
            </wp:positionV>
            <wp:extent cx="1346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134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 of the Participant]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-8890</wp:posOffset>
            </wp:positionV>
            <wp:extent cx="1346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49048441v2</w:t>
      </w:r>
    </w:p>
    <w:p>
      <w:pPr>
        <w:sectPr>
          <w:pgSz w:w="11900" w:h="16838" w:orient="portrait"/>
          <w:cols w:equalWidth="0" w:num="1">
            <w:col w:w="11240"/>
          </w:cols>
          <w:pgMar w:left="320" w:top="139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Girishchandra K. Saligram, certify that:</w:t>
      </w:r>
    </w:p>
    <w:p>
      <w:pPr>
        <w:spacing w:after="0" w:line="111" w:lineRule="exact"/>
        <w:rPr>
          <w:sz w:val="20"/>
          <w:szCs w:val="20"/>
          <w:color w:val="auto"/>
        </w:rPr>
      </w:pPr>
    </w:p>
    <w:p>
      <w:pPr>
        <w:ind w:left="320" w:hanging="314"/>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48260</wp:posOffset>
            </wp:positionV>
            <wp:extent cx="3516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3516630" cy="8255"/>
                    </a:xfrm>
                    <a:prstGeom prst="rect">
                      <a:avLst/>
                    </a:prstGeom>
                    <a:noFill/>
                  </pic:spPr>
                </pic:pic>
              </a:graphicData>
            </a:graphic>
          </wp:anchor>
        </w:drawing>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Girishchandra K. Saligram</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7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Arunava Mitra, certify that:</w:t>
      </w:r>
    </w:p>
    <w:p>
      <w:pPr>
        <w:spacing w:after="0" w:line="111" w:lineRule="exact"/>
        <w:rPr>
          <w:sz w:val="20"/>
          <w:szCs w:val="20"/>
          <w:color w:val="auto"/>
        </w:rPr>
      </w:pPr>
    </w:p>
    <w:p>
      <w:pPr>
        <w:ind w:left="320" w:hanging="314"/>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Weatherford International plc;</w:t>
      </w:r>
    </w:p>
    <w:p>
      <w:pPr>
        <w:spacing w:after="0" w:line="111"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8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48260</wp:posOffset>
            </wp:positionV>
            <wp:extent cx="28943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Arunava Mitra</w:t>
      </w:r>
    </w:p>
    <w:p>
      <w:pPr>
        <w:spacing w:after="0" w:line="2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74"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June 30, 2024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74" w:lineRule="auto"/>
        <w:tabs>
          <w:tab w:leader="none" w:pos="1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14605</wp:posOffset>
            </wp:positionV>
            <wp:extent cx="260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607945" cy="8255"/>
                    </a:xfrm>
                    <a:prstGeom prst="rect">
                      <a:avLst/>
                    </a:prstGeom>
                    <a:noFill/>
                  </pic:spPr>
                </pic:pic>
              </a:graphicData>
            </a:graphic>
          </wp:anchor>
        </w:drawing>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Girishchandra K. Saligram</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240"/>
          </w:cols>
          <w:pgMar w:left="320" w:top="87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8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Weatherford International plc (the "Company") for the period ended June 30, 2024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1280" w:hanging="320"/>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1280" w:hanging="320"/>
        <w:spacing w:after="0" w:line="268" w:lineRule="auto"/>
        <w:tabs>
          <w:tab w:leader="none" w:pos="1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48260</wp:posOffset>
            </wp:positionV>
            <wp:extent cx="3458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Arunava Mitra</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July 24, 2024</w:t>
      </w:r>
    </w:p>
    <w:p>
      <w:pPr>
        <w:spacing w:after="0" w:line="200" w:lineRule="exact"/>
        <w:rPr>
          <w:sz w:val="20"/>
          <w:szCs w:val="20"/>
          <w:color w:val="auto"/>
        </w:rPr>
      </w:pPr>
    </w:p>
    <w:p>
      <w:pPr>
        <w:spacing w:after="0" w:line="3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04"/>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0">
    <w:nsid w:val="1E7FF521"/>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1">
    <w:nsid w:val="7C3DBD3D"/>
    <w:multiLevelType w:val="hybridMultilevel"/>
    <w:lvl w:ilvl="0">
      <w:lvlJc w:val="left"/>
      <w:lvlText w:val="%1"/>
      <w:numFmt w:val="decimal"/>
      <w:start w:val="1"/>
    </w:lvl>
    <w:lvl w:ilvl="1">
      <w:lvlJc w:val="left"/>
      <w:lvlText w:val="(%2)"/>
      <w:numFmt w:val="lowerLetter"/>
      <w:start w:val="1"/>
    </w:lvl>
  </w:abstractNum>
  <w:abstractNum w:abstractNumId="12">
    <w:nsid w:val="737B8DDC"/>
    <w:multiLevelType w:val="hybridMultilevel"/>
    <w:lvl w:ilvl="0">
      <w:lvlJc w:val="left"/>
      <w:lvlText w:val="%1."/>
      <w:numFmt w:val="decimal"/>
      <w:start w:val="5"/>
    </w:lvl>
    <w:lvl w:ilvl="1">
      <w:lvlJc w:val="left"/>
      <w:lvlText w:val="(%2)"/>
      <w:numFmt w:val="lowerLetter"/>
      <w:start w:val="1"/>
    </w:lvl>
  </w:abstractNum>
  <w:abstractNum w:abstractNumId="13">
    <w:nsid w:val="6CEAF087"/>
    <w:multiLevelType w:val="hybridMultilevel"/>
    <w:lvl w:ilvl="0">
      <w:lvlJc w:val="left"/>
      <w:lvlText w:val="%1"/>
      <w:numFmt w:val="decimal"/>
      <w:start w:val="1"/>
    </w:lvl>
    <w:lvl w:ilvl="1">
      <w:lvlJc w:val="left"/>
      <w:lvlText w:val="(%2)"/>
      <w:numFmt w:val="lowerLetter"/>
      <w:start w:val="4"/>
    </w:lvl>
  </w:abstractNum>
  <w:abstractNum w:abstractNumId="14">
    <w:nsid w:val="22221A70"/>
    <w:multiLevelType w:val="hybridMultilevel"/>
    <w:lvl w:ilvl="0">
      <w:lvlJc w:val="left"/>
      <w:lvlText w:val="%1."/>
      <w:numFmt w:val="decimal"/>
      <w:start w:val="6"/>
    </w:lvl>
    <w:lvl w:ilvl="1">
      <w:lvlJc w:val="left"/>
      <w:lvlText w:val="(%2)"/>
      <w:numFmt w:val="lowerLetter"/>
      <w:start w:val="1"/>
    </w:lvl>
  </w:abstractNum>
  <w:abstractNum w:abstractNumId="15">
    <w:nsid w:val="4516DDE9"/>
    <w:multiLevelType w:val="hybridMultilevel"/>
    <w:lvl w:ilvl="0">
      <w:lvlJc w:val="left"/>
      <w:lvlText w:val="%1."/>
      <w:numFmt w:val="decimal"/>
      <w:start w:val="1"/>
    </w:lvl>
    <w:lvl w:ilvl="1">
      <w:lvlJc w:val="left"/>
      <w:lvlText w:val="(%2)"/>
      <w:numFmt w:val="lowerLetter"/>
      <w:start w:val="1"/>
    </w:lvl>
  </w:abstractNum>
  <w:abstractNum w:abstractNumId="16">
    <w:nsid w:val="3006C83E"/>
    <w:multiLevelType w:val="hybridMultilevel"/>
    <w:lvl w:ilvl="0">
      <w:lvlJc w:val="left"/>
      <w:lvlText w:val="%1"/>
      <w:numFmt w:val="decimal"/>
      <w:start w:val="1"/>
    </w:lvl>
    <w:lvl w:ilvl="1">
      <w:lvlJc w:val="left"/>
      <w:lvlText w:val="(%2)"/>
      <w:numFmt w:val="lowerLetter"/>
      <w:start w:val="3"/>
    </w:lvl>
  </w:abstractNum>
  <w:abstractNum w:abstractNumId="17">
    <w:nsid w:val="614FD4A1"/>
    <w:multiLevelType w:val="hybridMultilevel"/>
    <w:lvl w:ilvl="0">
      <w:lvlJc w:val="left"/>
      <w:lvlText w:val="%1."/>
      <w:numFmt w:val="decimal"/>
      <w:start w:val="5"/>
    </w:lvl>
    <w:lvl w:ilvl="1">
      <w:lvlJc w:val="left"/>
      <w:lvlText w:val="(%2)"/>
      <w:numFmt w:val="lowerLetter"/>
      <w:start w:val="1"/>
    </w:lvl>
  </w:abstractNum>
  <w:abstractNum w:abstractNumId="18">
    <w:nsid w:val="419AC241"/>
    <w:multiLevelType w:val="hybridMultilevel"/>
    <w:lvl w:ilvl="0">
      <w:lvlJc w:val="left"/>
      <w:lvlText w:val="%1"/>
      <w:numFmt w:val="decimal"/>
      <w:start w:val="1"/>
    </w:lvl>
    <w:lvl w:ilvl="1">
      <w:lvlJc w:val="left"/>
      <w:lvlText w:val="(%2)"/>
      <w:numFmt w:val="lowerLetter"/>
      <w:start w:val="2"/>
    </w:lvl>
  </w:abstractNum>
  <w:abstractNum w:abstractNumId="19">
    <w:nsid w:val="5577F8E1"/>
    <w:multiLevelType w:val="hybridMultilevel"/>
    <w:lvl w:ilvl="0">
      <w:lvlJc w:val="left"/>
      <w:lvlText w:val="%1."/>
      <w:numFmt w:val="decimal"/>
      <w:start w:val="7"/>
    </w:lvl>
    <w:lvl w:ilvl="1">
      <w:lvlJc w:val="left"/>
      <w:lvlText w:val="%2"/>
      <w:numFmt w:val="lowerLetter"/>
      <w:start w:val="1"/>
    </w:lvl>
  </w:abstractNum>
  <w:abstractNum w:abstractNumId="20">
    <w:nsid w:val="440BADFC"/>
    <w:multiLevelType w:val="hybridMultilevel"/>
    <w:lvl w:ilvl="0">
      <w:lvlJc w:val="left"/>
      <w:lvlText w:val="%1"/>
      <w:numFmt w:val="decimal"/>
      <w:start w:val="1"/>
    </w:lvl>
    <w:lvl w:ilvl="1">
      <w:lvlJc w:val="left"/>
      <w:lvlText w:val="(%2)"/>
      <w:numFmt w:val="lowerLetter"/>
      <w:start w:val="1"/>
    </w:lvl>
  </w:abstractNum>
  <w:abstractNum w:abstractNumId="21">
    <w:nsid w:val="5072367"/>
    <w:multiLevelType w:val="hybridMultilevel"/>
    <w:lvl w:ilvl="0">
      <w:lvlJc w:val="left"/>
      <w:lvlText w:val="%1."/>
      <w:numFmt w:val="decimal"/>
      <w:start w:val="10"/>
    </w:lvl>
    <w:lvl w:ilvl="1">
      <w:lvlJc w:val="left"/>
      <w:lvlText w:val="(%2)"/>
      <w:numFmt w:val="lowerLetter"/>
      <w:start w:val="1"/>
    </w:lvl>
  </w:abstractNum>
  <w:abstractNum w:abstractNumId="22">
    <w:nsid w:val="3804823E"/>
    <w:multiLevelType w:val="hybridMultilevel"/>
    <w:lvl w:ilvl="0">
      <w:lvlJc w:val="left"/>
      <w:lvlText w:val="(%1)"/>
      <w:numFmt w:val="lowerLetter"/>
      <w:start w:val="2"/>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2"/>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decimal"/>
      <w:start w:val="4"/>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decimal"/>
      <w:start w:val="5"/>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2">
    <w:nsid w:val="3855585C"/>
    <w:multiLevelType w:val="hybridMultilevel"/>
    <w:lvl w:ilvl="0">
      <w:lvlJc w:val="left"/>
      <w:lvlText w:val="%1"/>
      <w:numFmt w:val="lowerLetter"/>
      <w:start w:val="1"/>
    </w:lvl>
    <w:lvl w:ilvl="1">
      <w:lvlJc w:val="left"/>
      <w:lvlText w:val="(%2)"/>
      <w:numFmt w:val="lowerLetter"/>
      <w:start w:val="3"/>
    </w:lvl>
  </w:abstractNum>
  <w:abstractNum w:abstractNumId="33">
    <w:nsid w:val="70A64E2A"/>
    <w:multiLevelType w:val="hybridMultilevel"/>
    <w:lvl w:ilvl="0">
      <w:lvlJc w:val="left"/>
      <w:lvlText w:val="(%1)"/>
      <w:numFmt w:val="lowerLetter"/>
      <w:start w:val="25"/>
    </w:lvl>
    <w:lvl w:ilvl="1">
      <w:lvlJc w:val="left"/>
      <w:lvlText w:val="%2"/>
      <w:numFmt w:val="lowerLetter"/>
      <w:start w:val="1"/>
    </w:lvl>
  </w:abstractNum>
  <w:abstractNum w:abstractNumId="34">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5">
    <w:nsid w:val="2A487CB0"/>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6">
    <w:nsid w:val="1D4ED43B"/>
    <w:multiLevelType w:val="hybridMultilevel"/>
    <w:lvl w:ilvl="0">
      <w:lvlJc w:val="left"/>
      <w:lvlText w:val="(%1)"/>
      <w:numFmt w:val="lowerLetter"/>
      <w:start w:val="3"/>
    </w:lvl>
    <w:lvl w:ilvl="1">
      <w:lvlJc w:val="left"/>
      <w:lvlText w:val="%2."/>
      <w:numFmt w:val="decimal"/>
      <w:start w:val="5"/>
    </w:lvl>
    <w:lvl w:ilvl="2">
      <w:lvlJc w:val="left"/>
      <w:lvlText w:val="%3"/>
      <w:numFmt w:val="lowerLetter"/>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2"/>
    </w:lvl>
  </w:abstractNum>
  <w:abstractNum w:abstractNumId="39">
    <w:nsid w:val="57E4CCAF"/>
    <w:multiLevelType w:val="hybridMultilevel"/>
    <w:lvl w:ilvl="0">
      <w:lvlJc w:val="left"/>
      <w:lvlText w:val="(%1)"/>
      <w:numFmt w:val="lowerLetter"/>
      <w:start w:val="1"/>
    </w:lvl>
  </w:abstractNum>
  <w:abstractNum w:abstractNumId="40">
    <w:nsid w:val="7A6D8D3C"/>
    <w:multiLevelType w:val="hybridMultilevel"/>
    <w:lvl w:ilvl="0">
      <w:lvlJc w:val="left"/>
      <w:lvlText w:val="(%1)"/>
      <w:numFmt w:val="lowerLetter"/>
      <w:start w:val="2"/>
    </w:lvl>
  </w:abstractNum>
  <w:abstractNum w:abstractNumId="41">
    <w:nsid w:val="4B588F54"/>
    <w:multiLevelType w:val="hybridMultilevel"/>
    <w:lvl w:ilvl="0">
      <w:lvlJc w:val="left"/>
      <w:lvlText w:val="(%1)"/>
      <w:numFmt w:val="lowerLetter"/>
      <w:start w:val="3"/>
    </w:lvl>
  </w:abstractNum>
  <w:abstractNum w:abstractNumId="42">
    <w:nsid w:val="542289EC"/>
    <w:multiLevelType w:val="hybridMultilevel"/>
    <w:lvl w:ilvl="0">
      <w:lvlJc w:val="left"/>
      <w:lvlText w:val="(%1)"/>
      <w:numFmt w:val="lowerLetter"/>
      <w:start w:val="4"/>
    </w:lvl>
  </w:abstractNum>
  <w:abstractNum w:abstractNumId="43">
    <w:nsid w:val="6DE91B18"/>
    <w:multiLevelType w:val="hybridMultilevel"/>
    <w:lvl w:ilvl="0">
      <w:lvlJc w:val="left"/>
      <w:lvlText w:val="%1."/>
      <w:numFmt w:val="decimal"/>
      <w:start w:val="4"/>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decimal"/>
      <w:start w:val="5"/>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46" Type="http://schemas.openxmlformats.org/officeDocument/2006/relationships/hyperlink" Target="https://www.sec.gov/ix?doc=/Archives/edgar/data/0001603923/000160392324000098/wfrd-202406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2024-07-24T15:53:04Z</dcterms:created>
  <dcterms:modified xsi:type="dcterms:W3CDTF">2024-07-24T15:53:04Z</dcterms:modified>
</cp:coreProperties>
</file>