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0001861969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Weatherford International plc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001-36504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2000 ST. JAMES PLACE</w:t>
      </w:r>
    </w:p>
    <w:p>
      <w:pPr>
        <w:spacing w:after="0" w:line="238" w:lineRule="auto"/>
        <w:rPr>
          <w:sz w:val="20"/>
          <w:szCs w:val="20"/>
          <w:color w:val="auto"/>
        </w:rPr>
      </w:pPr>
      <w:r>
        <w:rPr>
          <w:rFonts w:ascii="Arial" w:cs="Arial" w:eastAsia="Arial" w:hAnsi="Arial"/>
          <w:sz w:val="22"/>
          <w:szCs w:val="22"/>
          <w:color w:val="auto"/>
        </w:rPr>
        <w:t>Houston</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77056</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713.836.4000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Mills Desmond J</w:t>
      </w:r>
    </w:p>
    <w:p>
      <w:pPr>
        <w:spacing w:after="0" w:line="44" w:lineRule="exact"/>
        <w:rPr>
          <w:sz w:val="24"/>
          <w:szCs w:val="24"/>
          <w:color w:val="auto"/>
        </w:rPr>
      </w:pPr>
    </w:p>
    <w:p>
      <w:pPr>
        <w:sectPr>
          <w:pgSz w:w="11900" w:h="16838" w:orient="portrait"/>
          <w:cols w:equalWidth="0" w:num="2">
            <w:col w:w="6680" w:space="720"/>
            <w:col w:w="3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Merrill</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800 Capitol St.</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STE 1900</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Houston  TX  77002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15000</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861296.98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72064267</w:t>
            </w:r>
          </w:p>
        </w:tc>
        <w:tc>
          <w:tcPr>
            <w:tcW w:w="1280" w:type="dxa"/>
            <w:vAlign w:val="bottom"/>
          </w:tcPr>
          <w:p>
            <w:pPr>
              <w:ind w:left="40"/>
              <w:spacing w:after="0"/>
              <w:rPr>
                <w:sz w:val="20"/>
                <w:szCs w:val="20"/>
                <w:color w:val="auto"/>
              </w:rPr>
            </w:pPr>
            <w:r>
              <w:rPr>
                <w:rFonts w:ascii="Arial" w:cs="Arial" w:eastAsia="Arial" w:hAnsi="Arial"/>
                <w:sz w:val="22"/>
                <w:szCs w:val="22"/>
                <w:color w:val="auto"/>
              </w:rPr>
              <w:t>05/18/2023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200"/>
              <w:spacing w:after="0"/>
              <w:rPr>
                <w:sz w:val="20"/>
                <w:szCs w:val="20"/>
                <w:color w:val="auto"/>
              </w:rPr>
            </w:pPr>
            <w:r>
              <w:rPr>
                <w:rFonts w:ascii="Arial" w:cs="Arial" w:eastAsia="Arial" w:hAnsi="Arial"/>
                <w:sz w:val="22"/>
                <w:szCs w:val="22"/>
                <w:b w:val="1"/>
                <w:bCs w:val="1"/>
                <w:color w:val="auto"/>
              </w:rPr>
              <w:t>Date you</w:t>
            </w:r>
          </w:p>
        </w:tc>
        <w:tc>
          <w:tcPr>
            <w:tcW w:w="156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80"/>
              <w:spacing w:after="0" w:line="243" w:lineRule="exact"/>
              <w:rPr>
                <w:sz w:val="20"/>
                <w:szCs w:val="20"/>
                <w:color w:val="auto"/>
              </w:rPr>
            </w:pPr>
            <w:r>
              <w:rPr>
                <w:rFonts w:ascii="Arial" w:cs="Arial" w:eastAsia="Arial" w:hAnsi="Arial"/>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760" w:type="dxa"/>
            <w:vAlign w:val="bottom"/>
          </w:tcPr>
          <w:p>
            <w:pPr>
              <w:ind w:left="720"/>
              <w:spacing w:after="0"/>
              <w:rPr>
                <w:sz w:val="20"/>
                <w:szCs w:val="20"/>
                <w:color w:val="auto"/>
              </w:rPr>
            </w:pPr>
            <w:r>
              <w:rPr>
                <w:rFonts w:ascii="Arial" w:cs="Arial" w:eastAsia="Arial" w:hAnsi="Arial"/>
                <w:sz w:val="22"/>
                <w:szCs w:val="22"/>
                <w:b w:val="1"/>
                <w:bCs w:val="1"/>
                <w:color w:val="auto"/>
              </w:rPr>
              <w:t>Whom</w:t>
            </w:r>
          </w:p>
        </w:tc>
        <w:tc>
          <w:tcPr>
            <w:tcW w:w="2420" w:type="dxa"/>
            <w:vAlign w:val="bottom"/>
          </w:tcPr>
          <w:p>
            <w:pPr>
              <w:jc w:val="center"/>
              <w:ind w:right="1732"/>
              <w:spacing w:after="0"/>
              <w:rPr>
                <w:sz w:val="20"/>
                <w:szCs w:val="20"/>
                <w:color w:val="auto"/>
              </w:rPr>
            </w:pPr>
            <w:r>
              <w:rPr>
                <w:rFonts w:ascii="Arial" w:cs="Arial" w:eastAsia="Arial" w:hAnsi="Arial"/>
                <w:sz w:val="22"/>
                <w:szCs w:val="22"/>
                <w:b w:val="1"/>
                <w:bCs w:val="1"/>
                <w:color w:val="auto"/>
                <w:w w:val="81"/>
              </w:rPr>
              <w:t>a</w:t>
            </w: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760" w:type="dxa"/>
            <w:vAlign w:val="bottom"/>
          </w:tcPr>
          <w:p>
            <w:pPr>
              <w:ind w:left="600"/>
              <w:spacing w:after="0"/>
              <w:rPr>
                <w:sz w:val="20"/>
                <w:szCs w:val="20"/>
                <w:color w:val="auto"/>
              </w:rPr>
            </w:pPr>
            <w:r>
              <w:rPr>
                <w:rFonts w:ascii="Arial" w:cs="Arial" w:eastAsia="Arial" w:hAnsi="Arial"/>
                <w:sz w:val="22"/>
                <w:szCs w:val="22"/>
                <w:b w:val="1"/>
                <w:bCs w:val="1"/>
                <w:color w:val="auto"/>
              </w:rPr>
              <w:t>Acquired</w:t>
            </w:r>
          </w:p>
        </w:tc>
        <w:tc>
          <w:tcPr>
            <w:tcW w:w="2420" w:type="dxa"/>
            <w:vAlign w:val="bottom"/>
          </w:tcPr>
          <w:p>
            <w:pPr>
              <w:jc w:val="center"/>
              <w:ind w:right="1712"/>
              <w:spacing w:after="0"/>
              <w:rPr>
                <w:sz w:val="20"/>
                <w:szCs w:val="20"/>
                <w:color w:val="auto"/>
              </w:rPr>
            </w:pPr>
            <w:r>
              <w:rPr>
                <w:rFonts w:ascii="Arial" w:cs="Arial" w:eastAsia="Arial" w:hAnsi="Arial"/>
                <w:sz w:val="22"/>
                <w:szCs w:val="22"/>
                <w:b w:val="1"/>
                <w:bCs w:val="1"/>
                <w:color w:val="auto"/>
                <w:w w:val="93"/>
              </w:rPr>
              <w:t>Gift?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2520" w:type="dxa"/>
            <w:vAlign w:val="bottom"/>
            <w:vMerge w:val="restart"/>
          </w:tcPr>
          <w:p>
            <w:pPr>
              <w:ind w:left="60"/>
              <w:spacing w:after="0"/>
              <w:rPr>
                <w:sz w:val="20"/>
                <w:szCs w:val="20"/>
                <w:color w:val="auto"/>
              </w:rPr>
            </w:pPr>
            <w:r>
              <w:rPr>
                <w:rFonts w:ascii="Arial" w:cs="Arial" w:eastAsia="Arial" w:hAnsi="Arial"/>
                <w:sz w:val="22"/>
                <w:szCs w:val="22"/>
                <w:color w:val="auto"/>
              </w:rPr>
              <w:t>04/15/2023 Stock Bonus</w:t>
            </w:r>
          </w:p>
        </w:tc>
        <w:tc>
          <w:tcPr>
            <w:tcW w:w="1760" w:type="dxa"/>
            <w:vAlign w:val="bottom"/>
          </w:tcPr>
          <w:p>
            <w:pPr>
              <w:ind w:left="300"/>
              <w:spacing w:after="0"/>
              <w:rPr>
                <w:sz w:val="20"/>
                <w:szCs w:val="20"/>
                <w:color w:val="auto"/>
              </w:rPr>
            </w:pPr>
            <w:r>
              <w:rPr>
                <w:rFonts w:ascii="Arial" w:cs="Arial" w:eastAsia="Arial" w:hAnsi="Arial"/>
                <w:sz w:val="22"/>
                <w:szCs w:val="22"/>
                <w:color w:val="auto"/>
              </w:rPr>
              <w:t>Weatherford</w:t>
            </w:r>
          </w:p>
        </w:tc>
        <w:tc>
          <w:tcPr>
            <w:tcW w:w="2420" w:type="dxa"/>
            <w:vAlign w:val="bottom"/>
            <w:vMerge w:val="restart"/>
          </w:tcPr>
          <w:p>
            <w:pPr>
              <w:ind w:left="1500"/>
              <w:spacing w:after="0"/>
              <w:rPr>
                <w:sz w:val="20"/>
                <w:szCs w:val="20"/>
                <w:color w:val="auto"/>
              </w:rPr>
            </w:pPr>
            <w:r>
              <w:rPr>
                <w:rFonts w:ascii="Arial" w:cs="Arial" w:eastAsia="Arial" w:hAnsi="Arial"/>
                <w:sz w:val="22"/>
                <w:szCs w:val="22"/>
                <w:color w:val="auto"/>
              </w:rPr>
              <w:t>9364</w:t>
            </w:r>
          </w:p>
        </w:tc>
        <w:tc>
          <w:tcPr>
            <w:tcW w:w="2520" w:type="dxa"/>
            <w:vAlign w:val="bottom"/>
            <w:vMerge w:val="restart"/>
          </w:tcPr>
          <w:p>
            <w:pPr>
              <w:ind w:left="380"/>
              <w:spacing w:after="0"/>
              <w:rPr>
                <w:sz w:val="20"/>
                <w:szCs w:val="20"/>
                <w:color w:val="auto"/>
              </w:rPr>
            </w:pPr>
            <w:r>
              <w:rPr>
                <w:rFonts w:ascii="Arial" w:cs="Arial" w:eastAsia="Arial" w:hAnsi="Arial"/>
                <w:sz w:val="22"/>
                <w:szCs w:val="22"/>
                <w:color w:val="auto"/>
                <w:w w:val="88"/>
              </w:rPr>
              <w:t>04/15/2023 Stock Bonus</w:t>
            </w:r>
          </w:p>
        </w:tc>
        <w:tc>
          <w:tcPr>
            <w:tcW w:w="0" w:type="dxa"/>
            <w:vAlign w:val="bottom"/>
          </w:tcPr>
          <w:p>
            <w:pPr>
              <w:spacing w:after="0"/>
              <w:rPr>
                <w:sz w:val="1"/>
                <w:szCs w:val="1"/>
                <w:color w:val="auto"/>
              </w:rPr>
            </w:pPr>
          </w:p>
        </w:tc>
      </w:tr>
      <w:tr>
        <w:trPr>
          <w:trHeight w:val="153"/>
        </w:trPr>
        <w:tc>
          <w:tcPr>
            <w:tcW w:w="142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22"/>
                <w:szCs w:val="22"/>
                <w:color w:val="auto"/>
                <w:w w:val="92"/>
              </w:rPr>
              <w:t>International plc</w:t>
            </w:r>
          </w:p>
        </w:tc>
        <w:tc>
          <w:tcPr>
            <w:tcW w:w="242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20" w:type="dxa"/>
            <w:vAlign w:val="bottom"/>
            <w:vMerge w:val="restart"/>
          </w:tcPr>
          <w:p>
            <w:pPr>
              <w:spacing w:after="0"/>
              <w:rPr>
                <w:sz w:val="20"/>
                <w:szCs w:val="20"/>
                <w:color w:val="auto"/>
              </w:rPr>
            </w:pPr>
            <w:r>
              <w:rPr>
                <w:rFonts w:ascii="Arial" w:cs="Arial" w:eastAsia="Arial" w:hAnsi="Arial"/>
                <w:sz w:val="22"/>
                <w:szCs w:val="22"/>
                <w:color w:val="auto"/>
                <w:w w:val="93"/>
              </w:rPr>
              <w:t>Common Stock</w:t>
            </w:r>
          </w:p>
        </w:tc>
        <w:tc>
          <w:tcPr>
            <w:tcW w:w="2520" w:type="dxa"/>
            <w:vAlign w:val="bottom"/>
            <w:vMerge w:val="restart"/>
          </w:tcPr>
          <w:p>
            <w:pPr>
              <w:ind w:left="60"/>
              <w:spacing w:after="0"/>
              <w:rPr>
                <w:sz w:val="20"/>
                <w:szCs w:val="20"/>
                <w:color w:val="auto"/>
              </w:rPr>
            </w:pPr>
            <w:r>
              <w:rPr>
                <w:rFonts w:ascii="Arial" w:cs="Arial" w:eastAsia="Arial" w:hAnsi="Arial"/>
                <w:sz w:val="22"/>
                <w:szCs w:val="22"/>
                <w:color w:val="auto"/>
              </w:rPr>
              <w:t>02/08/2023 Stock Bonus</w:t>
            </w:r>
          </w:p>
        </w:tc>
        <w:tc>
          <w:tcPr>
            <w:tcW w:w="1760" w:type="dxa"/>
            <w:vAlign w:val="bottom"/>
          </w:tcPr>
          <w:p>
            <w:pPr>
              <w:ind w:left="300"/>
              <w:spacing w:after="0"/>
              <w:rPr>
                <w:sz w:val="20"/>
                <w:szCs w:val="20"/>
                <w:color w:val="auto"/>
              </w:rPr>
            </w:pPr>
            <w:r>
              <w:rPr>
                <w:rFonts w:ascii="Arial" w:cs="Arial" w:eastAsia="Arial" w:hAnsi="Arial"/>
                <w:sz w:val="22"/>
                <w:szCs w:val="22"/>
                <w:color w:val="auto"/>
              </w:rPr>
              <w:t>Weatherford</w:t>
            </w:r>
          </w:p>
        </w:tc>
        <w:tc>
          <w:tcPr>
            <w:tcW w:w="2420" w:type="dxa"/>
            <w:vAlign w:val="bottom"/>
            <w:vMerge w:val="restart"/>
          </w:tcPr>
          <w:p>
            <w:pPr>
              <w:ind w:left="1500"/>
              <w:spacing w:after="0"/>
              <w:rPr>
                <w:sz w:val="20"/>
                <w:szCs w:val="20"/>
                <w:color w:val="auto"/>
              </w:rPr>
            </w:pPr>
            <w:r>
              <w:rPr>
                <w:rFonts w:ascii="Arial" w:cs="Arial" w:eastAsia="Arial" w:hAnsi="Arial"/>
                <w:sz w:val="22"/>
                <w:szCs w:val="22"/>
                <w:color w:val="auto"/>
              </w:rPr>
              <w:t>18730</w:t>
            </w:r>
          </w:p>
        </w:tc>
        <w:tc>
          <w:tcPr>
            <w:tcW w:w="2520" w:type="dxa"/>
            <w:vAlign w:val="bottom"/>
            <w:vMerge w:val="restart"/>
          </w:tcPr>
          <w:p>
            <w:pPr>
              <w:ind w:left="380"/>
              <w:spacing w:after="0"/>
              <w:rPr>
                <w:sz w:val="20"/>
                <w:szCs w:val="20"/>
                <w:color w:val="auto"/>
              </w:rPr>
            </w:pPr>
            <w:r>
              <w:rPr>
                <w:rFonts w:ascii="Arial" w:cs="Arial" w:eastAsia="Arial" w:hAnsi="Arial"/>
                <w:sz w:val="22"/>
                <w:szCs w:val="22"/>
                <w:color w:val="auto"/>
                <w:w w:val="88"/>
              </w:rPr>
              <w:t>02/08/2023 Stock Bonus</w:t>
            </w:r>
          </w:p>
        </w:tc>
        <w:tc>
          <w:tcPr>
            <w:tcW w:w="0" w:type="dxa"/>
            <w:vAlign w:val="bottom"/>
          </w:tcPr>
          <w:p>
            <w:pPr>
              <w:spacing w:after="0"/>
              <w:rPr>
                <w:sz w:val="1"/>
                <w:szCs w:val="1"/>
                <w:color w:val="auto"/>
              </w:rPr>
            </w:pPr>
          </w:p>
        </w:tc>
      </w:tr>
      <w:tr>
        <w:trPr>
          <w:trHeight w:val="153"/>
        </w:trPr>
        <w:tc>
          <w:tcPr>
            <w:tcW w:w="142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22"/>
                <w:szCs w:val="22"/>
                <w:color w:val="auto"/>
                <w:w w:val="92"/>
              </w:rPr>
              <w:t>International plc</w:t>
            </w:r>
          </w:p>
        </w:tc>
        <w:tc>
          <w:tcPr>
            <w:tcW w:w="2420" w:type="dxa"/>
            <w:vAlign w:val="bottom"/>
            <w:vMerge w:val="continue"/>
          </w:tcPr>
          <w:p>
            <w:pPr>
              <w:spacing w:after="0"/>
              <w:rPr>
                <w:sz w:val="13"/>
                <w:szCs w:val="13"/>
                <w:color w:val="auto"/>
              </w:rPr>
            </w:pPr>
          </w:p>
        </w:tc>
        <w:tc>
          <w:tcPr>
            <w:tcW w:w="2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-563245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Remarks</w:t>
            </w:r>
          </w:p>
        </w:tc>
        <w:tc>
          <w:tcPr>
            <w:tcW w:w="2920" w:type="dxa"/>
            <w:vAlign w:val="bottom"/>
          </w:tcPr>
          <w:p>
            <w:pPr>
              <w:spacing w:after="0"/>
              <w:rPr>
                <w:sz w:val="23"/>
                <w:szCs w:val="23"/>
                <w:color w:val="auto"/>
              </w:rPr>
            </w:pPr>
          </w:p>
        </w:tc>
      </w:tr>
      <w:tr>
        <w:trPr>
          <w:trHeight w:val="297"/>
        </w:trPr>
        <w:tc>
          <w:tcPr>
            <w:tcW w:w="3260" w:type="dxa"/>
            <w:vAlign w:val="bottom"/>
          </w:tcPr>
          <w:p>
            <w:pPr>
              <w:spacing w:after="0"/>
              <w:rPr>
                <w:sz w:val="20"/>
                <w:szCs w:val="20"/>
                <w:color w:val="auto"/>
              </w:rPr>
            </w:pPr>
            <w:r>
              <w:rPr>
                <w:rFonts w:ascii="Arial" w:cs="Arial" w:eastAsia="Arial" w:hAnsi="Arial"/>
                <w:sz w:val="22"/>
                <w:szCs w:val="22"/>
                <w:color w:val="auto"/>
              </w:rPr>
              <w:t>Date of Notice</w:t>
            </w:r>
          </w:p>
        </w:tc>
        <w:tc>
          <w:tcPr>
            <w:tcW w:w="2920" w:type="dxa"/>
            <w:vAlign w:val="bottom"/>
          </w:tcPr>
          <w:p>
            <w:pPr>
              <w:jc w:val="right"/>
              <w:spacing w:after="0"/>
              <w:rPr>
                <w:sz w:val="20"/>
                <w:szCs w:val="20"/>
                <w:color w:val="auto"/>
              </w:rPr>
            </w:pPr>
            <w:r>
              <w:rPr>
                <w:rFonts w:ascii="Arial" w:cs="Arial" w:eastAsia="Arial" w:hAnsi="Arial"/>
                <w:sz w:val="22"/>
                <w:szCs w:val="22"/>
                <w:color w:val="auto"/>
              </w:rPr>
              <w:t>05/18/2023</w:t>
            </w:r>
          </w:p>
        </w:tc>
      </w:tr>
      <w:tr>
        <w:trPr>
          <w:trHeight w:val="297"/>
        </w:trPr>
        <w:tc>
          <w:tcPr>
            <w:tcW w:w="3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Desmond J Mills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2023-05-18T16:36:32Z</dcterms:created>
  <dcterms:modified xsi:type="dcterms:W3CDTF">2023-05-18T16:36:32Z</dcterms:modified>
</cp:coreProperties>
</file>