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-59055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27, 2026</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65" w:lineRule="exact"/>
        <w:rPr>
          <w:sz w:val="24"/>
          <w:szCs w:val="24"/>
          <w:color w:val="auto"/>
        </w:rPr>
      </w:pPr>
    </w:p>
    <w:tbl>
      <w:tblPr>
        <w:tblLayout w:type="fixed"/>
        <w:tblInd w:w="160" w:type="dxa"/>
        <w:tblCellMar>
          <w:top w:w="0" w:type="dxa"/>
          <w:left w:w="0" w:type="dxa"/>
          <w:bottom w:w="0" w:type="dxa"/>
          <w:right w:w="0" w:type="dxa"/>
        </w:tblCellMar>
      </w:tblPr>
      <w:tr>
        <w:trPr>
          <w:trHeight w:val="236"/>
        </w:trPr>
        <w:tc>
          <w:tcPr>
            <w:tcW w:w="3440" w:type="dxa"/>
            <w:vAlign w:val="bottom"/>
          </w:tcPr>
          <w:p>
            <w:pPr>
              <w:spacing w:after="0"/>
              <w:rPr>
                <w:sz w:val="20"/>
                <w:szCs w:val="20"/>
                <w:color w:val="auto"/>
              </w:rPr>
            </w:pPr>
          </w:p>
        </w:tc>
        <w:tc>
          <w:tcPr>
            <w:tcW w:w="4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320" w:type="dxa"/>
            <w:vAlign w:val="bottom"/>
          </w:tcPr>
          <w:p>
            <w:pPr>
              <w:spacing w:after="0"/>
              <w:rPr>
                <w:sz w:val="20"/>
                <w:szCs w:val="20"/>
                <w:color w:val="auto"/>
              </w:rPr>
            </w:pPr>
          </w:p>
        </w:tc>
      </w:tr>
      <w:tr>
        <w:trPr>
          <w:trHeight w:val="238"/>
        </w:trPr>
        <w:tc>
          <w:tcPr>
            <w:tcW w:w="34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4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332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8"/>
        </w:trPr>
        <w:tc>
          <w:tcPr>
            <w:tcW w:w="3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3"/>
        </w:trPr>
        <w:tc>
          <w:tcPr>
            <w:tcW w:w="34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2000 St. James Place,   Houston,</w:t>
            </w:r>
          </w:p>
        </w:tc>
        <w:tc>
          <w:tcPr>
            <w:tcW w:w="4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332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28"/>
        </w:trPr>
        <w:tc>
          <w:tcPr>
            <w:tcW w:w="76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6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44"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19685</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0"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43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80" w:type="dxa"/>
            <w:vAlign w:val="bottom"/>
          </w:tcPr>
          <w:p>
            <w:pPr>
              <w:spacing w:after="0"/>
              <w:rPr>
                <w:sz w:val="19"/>
                <w:szCs w:val="19"/>
                <w:color w:val="auto"/>
              </w:rPr>
            </w:pPr>
          </w:p>
        </w:tc>
        <w:tc>
          <w:tcPr>
            <w:tcW w:w="4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2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WFRD</w:t>
            </w:r>
          </w:p>
        </w:tc>
        <w:tc>
          <w:tcPr>
            <w:tcW w:w="4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58"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8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1" w:name="page2"/>
    <w:bookmarkEnd w:id="1"/>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18"/>
          <w:szCs w:val="18"/>
          <w:color w:val="auto"/>
        </w:rPr>
        <w:t>On January 27, 2026, Weatherford International plc (“Weatherford” or the “Company”) announced that its Board of Directors (the “Board”) has declared a cash dividend of $0.275 per share on the Company’s ordinary shares, par value $0.001 per share, representing a 10% increase compared to the prior quarterly dividend. The dividend is payable on March 5, 2026 to shareholders of record as of February 6, 2026. The declaration of any future dividends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Board’s discretion.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 dividend is attached as Exhibit 99.1 to this Form 8-K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4" w:lineRule="exact"/>
        <w:rPr>
          <w:sz w:val="20"/>
          <w:szCs w:val="20"/>
          <w:color w:val="auto"/>
        </w:rPr>
      </w:pPr>
    </w:p>
    <w:p>
      <w:pPr>
        <w:ind w:left="1500" w:hanging="915"/>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20" w:type="dxa"/>
            <w:vAlign w:val="bottom"/>
            <w:tcBorders>
              <w:bottom w:val="single" w:sz="8" w:color="auto"/>
            </w:tcBorders>
          </w:tcPr>
          <w:p>
            <w:pPr>
              <w:spacing w:after="0"/>
              <w:rPr>
                <w:sz w:val="2"/>
                <w:szCs w:val="2"/>
                <w:color w:val="auto"/>
              </w:rPr>
            </w:pPr>
          </w:p>
        </w:tc>
      </w:tr>
      <w:tr>
        <w:trPr>
          <w:trHeight w:val="228"/>
        </w:trPr>
        <w:tc>
          <w:tcPr>
            <w:tcW w:w="15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News Release dated January 27, 2026</w:t>
            </w:r>
          </w:p>
        </w:tc>
      </w:tr>
    </w:tbl>
    <w:p>
      <w:pPr>
        <w:spacing w:after="0" w:line="17" w:lineRule="exact"/>
        <w:rPr>
          <w:sz w:val="20"/>
          <w:szCs w:val="20"/>
          <w:color w:val="auto"/>
        </w:rPr>
      </w:pPr>
    </w:p>
    <w:p>
      <w:pPr>
        <w:ind w:left="1640" w:hanging="1011"/>
        <w:spacing w:after="0"/>
        <w:tabs>
          <w:tab w:leader="none" w:pos="1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40"/>
        <w:spacing w:after="0"/>
        <w:tabs>
          <w:tab w:leader="none" w:pos="2860" w:val="left"/>
          <w:tab w:leader="none" w:pos="3380" w:val="left"/>
        </w:tabs>
        <w:rPr>
          <w:sz w:val="20"/>
          <w:szCs w:val="20"/>
          <w:color w:val="auto"/>
        </w:rPr>
      </w:pPr>
      <w:r>
        <w:rPr>
          <w:rFonts w:ascii="Times New Roman" w:cs="Times New Roman" w:eastAsia="Times New Roman" w:hAnsi="Times New Roman"/>
          <w:sz w:val="18"/>
          <w:szCs w:val="18"/>
          <w:color w:val="auto"/>
        </w:rPr>
        <w:t>Date: January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14605</wp:posOffset>
            </wp:positionV>
            <wp:extent cx="4972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Scott C. Weatherholt</w:t>
      </w:r>
    </w:p>
    <w:p>
      <w:pPr>
        <w:spacing w:after="0" w:line="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Executive Vice President, 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887" w:right="379" w:bottom="1440" w:gutter="0" w:footer="0" w:header="0"/>
        </w:sectPr>
      </w:pPr>
    </w:p>
    <w:bookmarkStart w:id="3" w:name="page4"/>
    <w:bookmarkEnd w:id="3"/>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1200150"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00150" cy="49720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0"/>
          <w:szCs w:val="20"/>
          <w:b w:val="1"/>
          <w:bCs w:val="1"/>
          <w:color w:val="auto"/>
        </w:rPr>
        <w:t>NEWS RELEASE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Weatherford Announces Quarterly Dividend, Increases Payout by 10%</w:t>
      </w:r>
    </w:p>
    <w:p>
      <w:pPr>
        <w:spacing w:after="0" w:line="364" w:lineRule="exact"/>
        <w:rPr>
          <w:sz w:val="20"/>
          <w:szCs w:val="20"/>
          <w:color w:val="auto"/>
        </w:rPr>
      </w:pPr>
    </w:p>
    <w:p>
      <w:pPr>
        <w:jc w:val="both"/>
        <w:spacing w:after="0" w:line="368" w:lineRule="auto"/>
        <w:rPr>
          <w:sz w:val="20"/>
          <w:szCs w:val="20"/>
          <w:color w:val="auto"/>
        </w:rPr>
      </w:pPr>
      <w:r>
        <w:rPr>
          <w:rFonts w:ascii="Times New Roman" w:cs="Times New Roman" w:eastAsia="Times New Roman" w:hAnsi="Times New Roman"/>
          <w:sz w:val="20"/>
          <w:szCs w:val="20"/>
          <w:b w:val="1"/>
          <w:bCs w:val="1"/>
          <w:color w:val="auto"/>
        </w:rPr>
        <w:t xml:space="preserve">HOUSTON, January 27, 2026 - </w:t>
      </w:r>
      <w:r>
        <w:rPr>
          <w:rFonts w:ascii="Times New Roman" w:cs="Times New Roman" w:eastAsia="Times New Roman" w:hAnsi="Times New Roman"/>
          <w:sz w:val="20"/>
          <w:szCs w:val="20"/>
          <w:color w:val="auto"/>
        </w:rPr>
        <w:t>Weatherford International plc (NASDAQ: WFRD) (“Weatherford” or the “Company”) today announced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its Board of Directors has declared a quarterly cash dividend of $0.275 per share on the Company’s ordinary shares, representing a 10% increase compared to the prior quarterly dividend. The dividend is payable on March 5, 2026 to shareholders of record as of February 6, 2026.</w:t>
      </w:r>
    </w:p>
    <w:p>
      <w:pPr>
        <w:spacing w:after="0" w:line="213"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Girish Saligram, President and Chief Executive Officer of Weatherford, commented, “This dividend increase reflects the strength of our business and the progress we continue to make executing our strategy. With a healthy balance sheet, disciplined capital allocation, and strong free cash flow generation, we remain committed to returning value to shareholders while continuing to invest in the long-term growth of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Weatherford</w:t>
      </w:r>
    </w:p>
    <w:p>
      <w:pPr>
        <w:spacing w:after="0" w:line="112" w:lineRule="exact"/>
        <w:rPr>
          <w:sz w:val="20"/>
          <w:szCs w:val="20"/>
          <w:color w:val="auto"/>
        </w:rPr>
      </w:pPr>
    </w:p>
    <w:p>
      <w:pPr>
        <w:jc w:val="both"/>
        <w:spacing w:after="0" w:line="379" w:lineRule="auto"/>
        <w:rPr>
          <w:sz w:val="20"/>
          <w:szCs w:val="20"/>
          <w:color w:val="auto"/>
        </w:rPr>
      </w:pPr>
      <w:r>
        <w:rPr>
          <w:rFonts w:ascii="Times New Roman" w:cs="Times New Roman" w:eastAsia="Times New Roman" w:hAnsi="Times New Roman"/>
          <w:sz w:val="19"/>
          <w:szCs w:val="19"/>
          <w:color w:val="auto"/>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conducts business in approximately 75 countries and has approximately 17,000 team members representing more than 110 nationalities and 310 operating locations. Visit </w:t>
      </w:r>
      <w:r>
        <w:rPr>
          <w:rFonts w:ascii="Times New Roman" w:cs="Times New Roman" w:eastAsia="Times New Roman" w:hAnsi="Times New Roman"/>
          <w:sz w:val="19"/>
          <w:szCs w:val="19"/>
          <w:b w:val="1"/>
          <w:bCs w:val="1"/>
          <w:u w:val="single" w:color="auto"/>
          <w:color w:val="0563C1"/>
        </w:rPr>
        <w:t>weatherford.com</w:t>
      </w:r>
      <w:r>
        <w:rPr>
          <w:rFonts w:ascii="Times New Roman" w:cs="Times New Roman" w:eastAsia="Times New Roman" w:hAnsi="Times New Roman"/>
          <w:sz w:val="19"/>
          <w:szCs w:val="19"/>
          <w:color w:val="auto"/>
        </w:rPr>
        <w:t xml:space="preserve"> for more information and connect with us on social media.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Luke Lemoine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Weatherford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+1 713-836-7777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63C1"/>
        </w:rPr>
        <w:t>investor.relations@weatherford.com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31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197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Kelley Hughes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Weatherford Communications, Marketing and Sustainability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563C1"/>
        </w:rPr>
        <w:t>media@weatherford.com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2026-01-27T07:05:41Z</dcterms:created>
  <dcterms:modified xsi:type="dcterms:W3CDTF">2026-01-27T07:05:41Z</dcterms:modified>
</cp:coreProperties>
</file>