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22, 2025</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22, 2025, Weatherford International plc (“Weatherford” and together with its subsidiaries, “we” or the “Company”) issued a news release announcing results for the second quarter ended June 30, 2025. A copy of the news release is furnished as Exhibit 99.1 and incorporated into this Item 2.02.</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Weatherford will host a conference call on Wednesday, July 23, 2025, to discuss the Company’s results for the second quarter ended June 30,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begin at 8:30 a.m. Eastern Time (7:30 a.m. Central Time).</w:t>
      </w:r>
    </w:p>
    <w:p>
      <w:pPr>
        <w:spacing w:after="0" w:line="23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19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August 6, 2025, at 5:00 p.m. Eastern Time. To access the replay, please dial +1 877-344-7529 (within the U.S.) or +1 412-317-0088 (outside of the U.S.) and reference conference number 1312926. A replay and transcript of the earnings call will also be available in the investor relations section of the Company’s website.</w:t>
      </w:r>
    </w:p>
    <w:p>
      <w:pPr>
        <w:spacing w:after="0" w:line="233"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3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22, 2025, Weatherford announced that its Board of Directors (the “Board”) has declared a cash dividend of $0.25 per share on the Company’s ordinary shares, par value $0.001 per share, payable on September 4, 2025 to shareholders of record as of August 6, 2025. The declaration of any future dividends is subject to the Board’s discretion.</w:t>
      </w:r>
    </w:p>
    <w:p>
      <w:pPr>
        <w:spacing w:after="0" w:line="19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copy of the press release announcing the dividend is attached as Exhibit 99.1 to this Form 8-K and the portions related to the dividend are incorporated herein by reference.</w:t>
      </w:r>
    </w:p>
    <w:p>
      <w:pPr>
        <w:spacing w:after="0" w:line="200" w:lineRule="exact"/>
        <w:rPr>
          <w:sz w:val="20"/>
          <w:szCs w:val="20"/>
          <w:color w:val="auto"/>
        </w:rPr>
      </w:pPr>
    </w:p>
    <w:p>
      <w:pPr>
        <w:spacing w:after="0" w:line="282" w:lineRule="exact"/>
        <w:rPr>
          <w:sz w:val="20"/>
          <w:szCs w:val="20"/>
          <w:color w:val="auto"/>
        </w:rPr>
      </w:pPr>
    </w:p>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p>
      <w:pPr>
        <w:ind w:left="1660" w:hanging="91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July 22, 2025 announcing results for the second quarter ended June 30, 2025.</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July 22, 2025</w:t>
      </w:r>
    </w:p>
    <w:p>
      <w:pPr>
        <w:spacing w:after="0" w:line="2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Anuj Dhruv</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69850</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Announces Second Quarter 2025 Results</w:t>
      </w:r>
    </w:p>
    <w:p>
      <w:pPr>
        <w:spacing w:after="0" w:line="235"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revenue of $1,204 million increased 1% sequentially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operating income of $237 million increased 67% sequentially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net income of $136 million increased 79% sequentially; net income margin of 11.3%</w:t>
      </w:r>
    </w:p>
    <w:p>
      <w:pPr>
        <w:spacing w:after="0" w:line="121"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adjusted EBITDA* of $254 million was flat sequentially; adjusted EBITDA margin* of 21.1% decreased 11 basis points sequentially</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cash provided by operating activities of $128 million and adjusted free cash flow* of $79 million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$27 million of 8.625% Senior Notes due 2030 in the second quarter of 2025</w:t>
      </w:r>
    </w:p>
    <w:p>
      <w:pPr>
        <w:spacing w:after="0" w:line="107"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return of $52 million for the quarter, which included dividend payments of $18 million and share repurchases of $34 million</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approved quarterly cash dividend of $0.25 per share, payable on September 4, 2025, to shareholders of record as of August 6, 2025</w:t>
      </w:r>
    </w:p>
    <w:p>
      <w:pPr>
        <w:jc w:val="both"/>
        <w:ind w:left="660" w:hanging="328"/>
        <w:spacing w:after="0" w:line="37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Signed an agreement with Amazon Web Services to migrate and modernize our digital platforms, including the Modern Edge Platform and Unified Data Model, enhancing operational efficiency and data-driven decision-making. The collaboration also boosts Weatherford’s Software Launchpad, offering scalable, cloud-based solutions while ensuring data control and integration flexibility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9" w:right="339" w:bottom="1440" w:gutter="0" w:footer="0" w:header="0"/>
        </w:sectPr>
      </w:pPr>
    </w:p>
    <w:bookmarkStart w:id="4" w:name="page5"/>
    <w:bookmarkEnd w:id="4"/>
    <w:p>
      <w:pPr>
        <w:ind w:right="6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Houston, July 22, 2025 – </w:t>
      </w:r>
      <w:r>
        <w:rPr>
          <w:rFonts w:ascii="Times New Roman" w:cs="Times New Roman" w:eastAsia="Times New Roman" w:hAnsi="Times New Roman"/>
          <w:sz w:val="20"/>
          <w:szCs w:val="20"/>
          <w:color w:val="auto"/>
        </w:rPr>
        <w:t>Weatherford International plc (NASDAQ: WFRD) (“Weatherford” or the “Company”) announced today its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second quarter of 2025.</w:t>
      </w:r>
    </w:p>
    <w:p>
      <w:pPr>
        <w:spacing w:after="0" w:line="88"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Revenues for the second quarter of 2025 were $1,204 million, an increase of 1% sequentially and a decrease of 14% year-over-year. Operating income in the second quarter of 2025 was $237 million, an increase of 67% sequentially and a decrease of 10% year-over-year. Net income in the second quarter of 2025 was $136 million, with a 11.3% margin, an increase of 79%, or 493 basis points, sequentially, and an increase of 9%, or 240 basis points, year-over-year. Adjusted EBITDA* was $254 million, with a 21.1% margin, flat, or a decrease of 11 basis points, sequentially, and a decrease of 30%, or 488 basis points, year-over-year. Basic income per share in the second quarter of 2025 was $1.87, an increase of 81% sequentially and an increase of 10% year-over-year. Diluted income per share in the second quarter of 2025 was $1.87, an increase of 81% sequentially and an increase of 13% year-over-year.</w:t>
      </w:r>
    </w:p>
    <w:p>
      <w:pPr>
        <w:spacing w:after="0" w:line="13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Second quarter 2025 cash flows provided by operating activities were $128 million, a decrease of 10% sequentially and a decrease of 15% year-over-year. Adjusted free cash flow* was $79 million, an increase of 20% sequentially and a decrease of 18% year-over-year. Capital expenditures were $54 million in the second quarter of 2025, a decrease of 30% sequentially and a decrease of 13% year-over-year.</w:t>
      </w:r>
    </w:p>
    <w:p>
      <w:pPr>
        <w:spacing w:after="0" w:line="113"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“Our core operating markets continued to exhibit activity slowdown during the quarter, driven by geopolitical events, supply-demand imbalance concerns, and trade uncertainties. Despite these structural headwinds, the One Weatherford team delivered second-quarter results in line with expectations, reflecting disciplined execution and operational efficiency in a distinctly softer market. The sequential performance demonstrates strong fundamentals and the resilience of our operating model. Revenues increased and adjusted EBITDA was flat despite the previously announced divestiture of certain businesses in Argentina. Adjusted Free Cash Flow also increased, even as receivables continued to build in Latin America due to lack of payments in Mexico. This performance underscores the strength of the new Weatherford operating paradigm and marks a positive departure from past responses to prior market cycle inflections.</w:t>
      </w:r>
    </w:p>
    <w:p>
      <w:pPr>
        <w:spacing w:after="0" w:line="126"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20"/>
          <w:szCs w:val="20"/>
          <w:color w:val="auto"/>
        </w:rPr>
        <w:t>Looking ahead, activity levels in both North America and international markets continue to show signs of sluggishness, and expectations for a broader sector recovery have shifted further to the right. While we anticipate a relatively flat trajectory on revenues for the immediate future, we remain focused on driving adjusted free cash flow conversion through portfolio optimization, structural cost efficiencies, optimization of working capital, and CAPEX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&amp; Commercial Highlights</w:t>
      </w:r>
    </w:p>
    <w:p>
      <w:pPr>
        <w:spacing w:after="0" w:line="137" w:lineRule="exact"/>
        <w:rPr>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International Oil Company (IOC) awarded Weatherford a three-year contract to provide Managed Pressure Drilling (MPD) services for a deepwater development project in Mexico.</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Aramco awarded Weatherford a one-year contract extension to provide MPD services for its onshore and offshore wells.</w:t>
      </w:r>
    </w:p>
    <w:p>
      <w:pPr>
        <w:spacing w:after="0" w:line="107" w:lineRule="exact"/>
        <w:rPr>
          <w:rFonts w:ascii="Times New Roman" w:cs="Times New Roman" w:eastAsia="Times New Roman" w:hAnsi="Times New Roman"/>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with Superior Energy Services, secured a three-year contract to supply conventional completions (Upper and Lower) equipment to Petrobras for pre-salt and post-salt fields offshore Brazil.</w:t>
      </w:r>
    </w:p>
    <w:p>
      <w:pPr>
        <w:ind w:left="340" w:right="2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Cairn Oil &amp; Gas granted Weatherford a Letter of Award to provide Completions, Liner Hanger, Whipstock systems and services, and MPD services for High Temperature - Ultra High Temperature (HT-UHT) drilling and rigless project in Barmer, India.</w:t>
      </w:r>
    </w:p>
    <w:p>
      <w:pPr>
        <w:jc w:val="both"/>
        <w:ind w:left="340" w:hanging="332"/>
        <w:spacing w:after="0" w:line="332"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bp UK awarded Weatherford a one-year contract to provide Cementation Products, Completions, Drilling Services, Intervention Services &amp; Drilling Tools (ISDT), and a one-year contract to provide Liner Hanger systems for the Northern Endurance Partnership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Storage Project in offshore UK.</w:t>
      </w:r>
    </w:p>
    <w:p>
      <w:pPr>
        <w:spacing w:after="0" w:line="5" w:lineRule="exact"/>
        <w:rPr>
          <w:rFonts w:ascii="Times New Roman" w:cs="Times New Roman" w:eastAsia="Times New Roman" w:hAnsi="Times New Roman"/>
          <w:sz w:val="20"/>
          <w:szCs w:val="20"/>
          <w:color w:val="auto"/>
        </w:rPr>
      </w:pPr>
    </w:p>
    <w:p>
      <w:pPr>
        <w:ind w:left="34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Beach Energy Limited awarded Weatherford contracts to provide Cementation Products, Cement Heads, Liner Hangers, and Tubular Running Services (TRS) for a campaign in offshore Australia.</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 Energy awarded Weatherford a five-year contract to re-supply PCP systems in onshore Australia.</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OMV awarded Weatherford a three-year contract to supply Completions and Reservoir Monitoring equipment in Tunisia.</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awarded Weatherford a three-year contract to provide ISDT offshore in the Gulf of America.</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IOC awarded Weatherford a three-year contract to provide thru-tubing Well Services in offshore Malaysia.</w:t>
      </w:r>
    </w:p>
    <w:p>
      <w:pPr>
        <w:spacing w:after="0" w:line="148" w:lineRule="exact"/>
        <w:rPr>
          <w:rFonts w:ascii="Times New Roman" w:cs="Times New Roman" w:eastAsia="Times New Roman" w:hAnsi="Times New Roman"/>
          <w:sz w:val="20"/>
          <w:szCs w:val="20"/>
          <w:color w:val="auto"/>
        </w:rPr>
      </w:pPr>
    </w:p>
    <w:p>
      <w:pPr>
        <w:ind w:left="340" w:hanging="332"/>
        <w:spacing w:after="0" w:line="325"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Kuwait Oil Company (KOC) awarded Weatherford a contract for the supply of Xpress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XT Liner Hanger systems for deep drilling operations in Kuwait.</w:t>
      </w:r>
    </w:p>
    <w:p>
      <w:pPr>
        <w:spacing w:after="0" w:line="1" w:lineRule="exact"/>
        <w:rPr>
          <w:rFonts w:ascii="Arial" w:cs="Arial" w:eastAsia="Arial" w:hAnsi="Arial"/>
          <w:sz w:val="22"/>
          <w:szCs w:val="22"/>
          <w:color w:val="auto"/>
        </w:rPr>
      </w:pPr>
    </w:p>
    <w:p>
      <w:pPr>
        <w:ind w:left="34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National Oil Company in the Middle East awarded a two-year contract to provide thru-tubing and safety valve systems in the United Arab Emirates.</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Canada awarded Weatherford a two-year contract to provide Artificial Lift services in onshore Canada.</w:t>
      </w:r>
    </w:p>
    <w:p>
      <w:pPr>
        <w:spacing w:after="0" w:line="121" w:lineRule="exact"/>
        <w:rPr>
          <w:rFonts w:ascii="Times New Roman" w:cs="Times New Roman" w:eastAsia="Times New Roman" w:hAnsi="Times New Roman"/>
          <w:sz w:val="20"/>
          <w:szCs w:val="20"/>
          <w:color w:val="auto"/>
        </w:rPr>
      </w:pPr>
    </w:p>
    <w:p>
      <w:pPr>
        <w:ind w:left="340" w:right="20" w:hanging="332"/>
        <w:spacing w:after="0" w:line="381"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in strategic partnership with Constellation, secured a three-year contract to deliver TRS, integrating the automated Vero™ technology into their rig for Petrobras in offshore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15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&amp; Evaluation (“DRE”)</w:t>
      </w:r>
    </w:p>
    <w:p>
      <w:pPr>
        <w:spacing w:after="0" w:line="161" w:lineRule="exact"/>
        <w:rPr>
          <w:rFonts w:ascii="Times New Roman" w:cs="Times New Roman" w:eastAsia="Times New Roman" w:hAnsi="Times New Roman"/>
          <w:sz w:val="20"/>
          <w:szCs w:val="20"/>
          <w:color w:val="auto"/>
        </w:rPr>
      </w:pPr>
    </w:p>
    <w:p>
      <w:pPr>
        <w:jc w:val="both"/>
        <w:ind w:left="980" w:hanging="324"/>
        <w:spacing w:after="0" w:line="361"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Kuwait, Weatherford successfully deployed combined Magnus™ and Victus™ solutions for a pilot project for KOC. This approach enabled the use of a smaller wellhead, eliminated one casing string, and allowed effective drilling and cementing through stacked reservoirs, potentially unlocking new completion designs and enhancing recovery.</w:t>
      </w:r>
    </w:p>
    <w:p>
      <w:pPr>
        <w:spacing w:after="0" w:line="1" w:lineRule="exact"/>
        <w:rPr>
          <w:rFonts w:ascii="Times New Roman" w:cs="Times New Roman" w:eastAsia="Times New Roman" w:hAnsi="Times New Roman"/>
          <w:sz w:val="20"/>
          <w:szCs w:val="20"/>
          <w:color w:val="auto"/>
        </w:rPr>
      </w:pPr>
    </w:p>
    <w:p>
      <w:pPr>
        <w:jc w:val="both"/>
        <w:ind w:left="980" w:hanging="324"/>
        <w:spacing w:after="0" w:line="361" w:lineRule="auto"/>
        <w:tabs>
          <w:tab w:leader="none" w:pos="102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Qatar, Weatherford successfully completed the first Modus™ job using MPD techniques that significantly improved operational efficiency and well safety. The Modus system enabled the operator to reach the targeted total depth while saving substantial rig time and costs compared to conventional methods.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361"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Norway, Weatherford successfully completed three open hole logging jobs for an international operator using coiled tubing for deployment. This approach enabled effective logging in a highly deviated well, overcoming the limitations of conventional wireline conveyance.</w:t>
      </w:r>
    </w:p>
    <w:p>
      <w:pPr>
        <w:spacing w:after="0" w:line="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Construction and Completions (“WCC”)</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49" w:lineRule="auto"/>
        <w:tabs>
          <w:tab w:leader="none" w:pos="1016" w:val="left"/>
        </w:tabs>
        <w:numPr>
          <w:ilvl w:val="1"/>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In the Gulf of America, Weatherford successfully integrated multiple TRS technologies for bp. This integration enhanced operational speed, cost-effectiveness, and well integrity while improving quality, efficiency, and safety by reducing personnel requirements and eliminating manual intervention.</w:t>
      </w:r>
    </w:p>
    <w:p>
      <w:pPr>
        <w:spacing w:after="0" w:line="2" w:lineRule="exact"/>
        <w:rPr>
          <w:rFonts w:ascii="Arial" w:cs="Arial" w:eastAsia="Arial" w:hAnsi="Arial"/>
          <w:sz w:val="22"/>
          <w:szCs w:val="22"/>
          <w:color w:val="auto"/>
        </w:rPr>
      </w:pPr>
    </w:p>
    <w:p>
      <w:pPr>
        <w:ind w:left="980" w:hanging="324"/>
        <w:spacing w:after="0" w:line="325"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United Kingdom, Weatherford successfully implemented StringGuard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for Shell. The solution is designed to provide protection against potential dropped string events, with the aim of maintaining operational focus and incident free delivery.</w:t>
      </w:r>
    </w:p>
    <w:p>
      <w:pPr>
        <w:spacing w:after="0" w:line="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Intervention (“PRI”)</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342" w:lineRule="auto"/>
        <w:tabs>
          <w:tab w:leader="none" w:pos="97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Weatherford’s Rotaflex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Artificial Lift technology has witnessed continued global adoption, with recent installations in France, Australia, and Oman. These projects have addressed a variety of operational challenges, including the replacement of Electric Submersible Pumps and conventional pumping units, enhancement of production efficiency, support for Coal Bed Methane initiatives, and restoration of output in complex wells, underscoring the versatility and effectiveness of the Rotaflex technology.</w:t>
      </w:r>
    </w:p>
    <w:p>
      <w:pPr>
        <w:spacing w:after="0" w:line="24" w:lineRule="exact"/>
        <w:rPr>
          <w:rFonts w:ascii="Times New Roman" w:cs="Times New Roman" w:eastAsia="Times New Roman" w:hAnsi="Times New Roman"/>
          <w:sz w:val="22"/>
          <w:szCs w:val="22"/>
          <w:color w:val="auto"/>
        </w:rPr>
      </w:pPr>
    </w:p>
    <w:p>
      <w:pPr>
        <w:jc w:val="both"/>
        <w:ind w:left="980" w:hanging="324"/>
        <w:spacing w:after="0" w:line="349" w:lineRule="auto"/>
        <w:tabs>
          <w:tab w:leader="none" w:pos="989" w:val="left"/>
        </w:tabs>
        <w:numPr>
          <w:ilvl w:val="1"/>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In Norway, Weatherford completed a successful field trial of TITAN RS technology for Equinor, following the acquisition of Ardyne. The trial delivered a full casing cut and recovery solution for the plug and abandonment market, reinforcing Weatherford’s leadership in advanced well abandonment.</w:t>
      </w:r>
    </w:p>
    <w:p>
      <w:pPr>
        <w:spacing w:after="0" w:line="2" w:lineRule="exact"/>
        <w:rPr>
          <w:rFonts w:ascii="Arial" w:cs="Arial" w:eastAsia="Arial" w:hAnsi="Arial"/>
          <w:sz w:val="22"/>
          <w:szCs w:val="22"/>
          <w:color w:val="auto"/>
        </w:rPr>
      </w:pPr>
    </w:p>
    <w:p>
      <w:pPr>
        <w:ind w:left="980" w:hanging="324"/>
        <w:spacing w:after="0" w:line="395"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Saudi Arabia, Weatherford installed the first Rod Lift system in the Jafurah field. The unit was successfully commissioned, validating Weatherford’s Rod Lift technology as a viable artificial lift solution for this unconventional gas field.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Shareholder Return</w:t>
      </w:r>
    </w:p>
    <w:p>
      <w:pPr>
        <w:spacing w:after="0" w:line="218"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During the second quarter of 2025, Weatherford paid dividends of $18 million and repurchased shares for approximately $34 million, resulting in a total shareholder return of $52 million. In the first half of the year, Weatherford paid dividends of $36 million and repurchased shares for approximately $87 million, resulting in a total shareholder return of $123 million.</w:t>
      </w:r>
    </w:p>
    <w:p>
      <w:pPr>
        <w:spacing w:after="0" w:line="18"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On July 17, 2025, our Board declared a cash dividend of $0.25 per share of the Company’s ordinary shares, payable on September 4, 2025, to shareholders of record as of August 6,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and Evaluation (“DRE”)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Seq.</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shd w:val="clear" w:color="auto" w:fill="CCEEFF"/>
          </w:tcPr>
          <w:p>
            <w:pPr>
              <w:spacing w:after="0"/>
              <w:rPr>
                <w:sz w:val="19"/>
                <w:szCs w:val="19"/>
                <w:color w:val="auto"/>
              </w:rPr>
            </w:pPr>
          </w:p>
        </w:tc>
        <w:tc>
          <w:tcPr>
            <w:tcW w:w="18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(55)bps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 bps</w:t>
            </w:r>
          </w:p>
        </w:tc>
      </w:tr>
    </w:tbl>
    <w:p>
      <w:pPr>
        <w:spacing w:after="0" w:line="153"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2025 DRE revenue of $335 million decreased by $15 million, or 4% sequentially, primarily from lower Wireline activity in North America and Latin America partly offset by higher Drilling Services activity in Europe/Sub-Sahara Africa/Russia and Latin America. Year-over-year DRE revenue decreased by $92 million, or 22%, primarily from lower activity across all geographies, especially in Latin America, partly offset by higher Drilling Services activity in Europe/Sub-Sahara Africa/ Russia, North America and Middle East/North Africa/Asia.</w:t>
      </w:r>
    </w:p>
    <w:p>
      <w:pPr>
        <w:spacing w:after="0" w:line="9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Second quarter 2025 DRE segment adjusted EBITDA of $69 million decreased by $5 million, or 7% sequentially, primarily from lower Wireline activity, partly offset by higher Drilling Services activity. Year-over-year DRE segment adjusted EBITDA decreased by $61 million, or 47%, primarily from lower activity across all geographies, especially in Latin America.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Seq.</w:t>
            </w: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441</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(315) bps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(289)bps</w:t>
            </w:r>
          </w:p>
        </w:tc>
      </w:tr>
    </w:tbl>
    <w:p>
      <w:pPr>
        <w:spacing w:after="0" w:line="20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2025 WCC revenue of $456 million increased by $15 million, or 3% sequentially, primarily from higher Liner Hangers and Cementation Products activity partly offset by lower Completions activity especially in Latin America. Year-over-year WCC revenues decreased by $48 million, or 10%, primarily from lower activity in Latin America, Europe/Sub-Sahara Africa/Russia and North America partly offset by higher Liner Hangers activity in Middle East/North Africa/Asia.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6" w:right="339" w:bottom="1440" w:gutter="0" w:footer="0" w:header="0"/>
        </w:sectPr>
      </w:pPr>
    </w:p>
    <w:bookmarkStart w:id="8" w:name="page9"/>
    <w:bookmarkEnd w:id="8"/>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2025 WCC segment adjusted EBITDA of $118 million decreased by $10 million, or 8% sequentially, primarily from lower Completions activity partly offset by higher Liner Hangers activity and Cementation Products activity and fall through. Year-over-year WCC segment adjusted EBITDA decreased by $27 million, or 19%, primarily from lower activity in Latin America, Europe/Sub-Sahara Africa/Russia and North America partly offset by higher Liner Hangers and TRS fall through in Middle East/North Africa/Asia.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Seq.</w:t>
            </w: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18.6 %</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bps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(377)bps</w:t>
            </w:r>
          </w:p>
        </w:tc>
      </w:tr>
    </w:tbl>
    <w:p>
      <w:pPr>
        <w:spacing w:after="0" w:line="288"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2025 PRI revenue of $327 million decreased by $7 million, or 2% sequentially, primarily from lower Pressure Pumping activity in Latin America pursuant to the sale of the Argentina Pressure Pumping business partly offset by higher Artificial Lift and Sub-sea Intervention activity. Year-over-year PRI revenue decreased by $42 million, or 11%, as lower activity across all geographies was partly offset by higher Sub-sea intervention activity in Latin America.</w:t>
      </w:r>
    </w:p>
    <w:p>
      <w:pPr>
        <w:spacing w:after="0" w:line="13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2025 PRI segment adjusted EBITDA of $63 million increased by $1 million, or 2% sequentially, primarily from higher Sub-sea Intervention activity and fall through partly offset by lower Pressure Pumping activity in Latin America pursuant to the sale of the Argentina Pressure Pumping business. Year-over-year PRI segment adjusted EBITDA decreased by $22 million, or 26%, primarily from lower activity across all geographies, partly offset by higher Sub-sea intervention activity and fall through in Latin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20"/>
                <w:szCs w:val="20"/>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Seq.</w:t>
            </w: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23"/>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jc w:val="center"/>
              <w:ind w:right="235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12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5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2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5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4"/>
        </w:trPr>
        <w:tc>
          <w:tcPr>
            <w:tcW w:w="3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3560" w:type="dxa"/>
            <w:vAlign w:val="bottom"/>
            <w:tcBorders>
              <w:bottom w:val="single" w:sz="8" w:color="auto"/>
            </w:tcBorders>
          </w:tcPr>
          <w:p>
            <w:pPr>
              <w:jc w:val="center"/>
              <w:ind w:right="2390"/>
              <w:spacing w:after="0"/>
              <w:rPr>
                <w:sz w:val="20"/>
                <w:szCs w:val="20"/>
                <w:color w:val="auto"/>
              </w:rPr>
            </w:pPr>
            <w:r>
              <w:rPr>
                <w:rFonts w:ascii="Times New Roman" w:cs="Times New Roman" w:eastAsia="Times New Roman" w:hAnsi="Times New Roman"/>
                <w:sz w:val="18"/>
                <w:szCs w:val="18"/>
                <w:color w:val="auto"/>
                <w:w w:val="98"/>
              </w:rPr>
              <w:t>Total Revenue</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699516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699516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69951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23 %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100"/>
            <w:col w:w="288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08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North America</w:t>
      </w:r>
    </w:p>
    <w:p>
      <w:pPr>
        <w:spacing w:after="0" w:line="203"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Second quarter 2025 North America revenue of $241 million decreased by $9 million, or 4% sequentially, primarily from lower Wireline activity in Canada Land, partly offset by higher Cementation Products and Liner Hangers activity. Year-over-year, North America decreased by $11 million, or 4% , primarily from lower activity across all the segments, partly offset by higher activity in US Offshore.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International</w:t>
      </w:r>
    </w:p>
    <w:p>
      <w:pPr>
        <w:spacing w:after="0" w:line="217"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Second quarter 2025 international revenue of $963 million increased by $20 million, or 2% sequentially and decreased by $190 million, or 16% year-over-year.</w:t>
      </w:r>
    </w:p>
    <w:p>
      <w:pPr>
        <w:spacing w:after="0" w:line="12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2025 Latin America revenue of $195 million decreased by $46 million, or 19% sequentially, primarily from lower activity in Argentina pursuant to the sale of the Argentina Pressure Pumping business, partly offset by higher Sub-sea intervention activity. Year-over-year, Latin America revenue decreased by $158 million, or 45%, primarily from lower activity in Mexico and Argentina, partly offset by higher Sub-sea intervention activity.</w:t>
      </w:r>
    </w:p>
    <w:p>
      <w:pPr>
        <w:spacing w:after="0" w:line="13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2025 Middle East/North Africa/Asia revenue of $524 million increased by $21 million, or 4% sequentially, primarily from higher Liner Hangers and Cementation Products activity partly offset by lower Drilling Services. Year-over-year, the Middle East/North Africa/Asia revenue decreased by $18 million, or 3%, primarily from lower activity in the DRE and PRI segments partly offset by higher Liner Hangers activity.</w:t>
      </w:r>
    </w:p>
    <w:p>
      <w:pPr>
        <w:spacing w:after="0" w:line="13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Second quarter 2025 Europe/Sub-Sahara Africa/Russia revenue of $244 million increased by $45 million, or 23% sequentially, primarily from higher activity across all the segments. Year-over-year, Europe/Sub-Sahara Africa/Russia revenue decreased by $14 million, or 5%, primarily from lower activity across all the segments especially WCC, partly offset by higher Drilling Services and Pressure Pumping.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7" w:lineRule="exact"/>
        <w:rPr>
          <w:sz w:val="20"/>
          <w:szCs w:val="20"/>
          <w:color w:val="auto"/>
        </w:rPr>
      </w:pPr>
    </w:p>
    <w:p>
      <w:pPr>
        <w:jc w:val="both"/>
        <w:ind w:right="40"/>
        <w:spacing w:after="0" w:line="392" w:lineRule="auto"/>
        <w:rPr>
          <w:sz w:val="20"/>
          <w:szCs w:val="20"/>
          <w:color w:val="auto"/>
        </w:rPr>
      </w:pPr>
      <w:r>
        <w:rPr>
          <w:rFonts w:ascii="Times New Roman" w:cs="Times New Roman" w:eastAsia="Times New Roman" w:hAnsi="Times New Roman"/>
          <w:sz w:val="19"/>
          <w:szCs w:val="19"/>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17,300 team members representing more than 110 nationalities and 310 operating locations. Visit </w:t>
      </w:r>
      <w:r>
        <w:rPr>
          <w:rFonts w:ascii="Times New Roman" w:cs="Times New Roman" w:eastAsia="Times New Roman" w:hAnsi="Times New Roman"/>
          <w:sz w:val="19"/>
          <w:szCs w:val="19"/>
          <w:u w:val="single" w:color="auto"/>
          <w:color w:val="3051F2"/>
        </w:rPr>
        <w:t>weatherford.com</w:t>
      </w:r>
      <w:r>
        <w:rPr>
          <w:rFonts w:ascii="Times New Roman" w:cs="Times New Roman" w:eastAsia="Times New Roman" w:hAnsi="Times New Roman"/>
          <w:sz w:val="19"/>
          <w:szCs w:val="19"/>
          <w:color w:val="auto"/>
        </w:rPr>
        <w:t xml:space="preserve"> for more information and connect with us on social media.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13"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Weatherford will host a conference call on Wednesday, July 23, 2025, to discuss the Company’s results for the second quarter ended June 30, 2025. The conference call will begin at 8:30 a.m. Eastern Time (7:30 a.m. Central Time).</w:t>
      </w:r>
    </w:p>
    <w:p>
      <w:pPr>
        <w:spacing w:after="0" w:line="39"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45"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August 6, 2025, at 5:00 p.m. Eastern Time. To access the replay, please dial +1 877-344-7529 (within the U.S.) or +1 412-317-0088 (outside of the U.S.) and reference conference number 1312926. A replay and transcript of the earnings call will also be available in the investor relations section of the Company’s website.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Luke Lemoine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Corporate Development &amp;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&amp; Employee Engagement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26"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increases in the prices and lead times, and the lack of availability of our procured products and services, including due to macroeconomic and geopolitical conditions such as tariffs and changes in trade policies, our ability to timely collect from customers;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spacing w:after="0" w:line="8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40" w:type="dxa"/>
            <w:vAlign w:val="bottom"/>
          </w:tcPr>
          <w:p>
            <w:pPr>
              <w:spacing w:after="0"/>
              <w:rPr>
                <w:sz w:val="14"/>
                <w:szCs w:val="14"/>
                <w:color w:val="auto"/>
              </w:rPr>
            </w:pPr>
          </w:p>
        </w:tc>
        <w:tc>
          <w:tcPr>
            <w:tcW w:w="9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4"/>
                <w:szCs w:val="14"/>
                <w:color w:val="auto"/>
              </w:rPr>
            </w:pPr>
          </w:p>
        </w:tc>
        <w:tc>
          <w:tcPr>
            <w:tcW w:w="10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4"/>
                <w:szCs w:val="14"/>
                <w:color w:val="auto"/>
              </w:rPr>
            </w:pPr>
          </w:p>
        </w:tc>
        <w:tc>
          <w:tcPr>
            <w:tcW w:w="8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Credits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$14, $11, $17, $25 and $31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4"/>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560" w:hanging="252"/>
        <w:spacing w:after="0" w:line="221" w:lineRule="auto"/>
        <w:tabs>
          <w:tab w:leader="none" w:pos="256" w:val="left"/>
        </w:tabs>
        <w:numPr>
          <w:ilvl w:val="0"/>
          <w:numId w:val="6"/>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ind w:left="260" w:right="180" w:hanging="252"/>
        <w:spacing w:after="0" w:line="221" w:lineRule="auto"/>
        <w:tabs>
          <w:tab w:leader="none" w:pos="256" w:val="left"/>
        </w:tabs>
        <w:numPr>
          <w:ilvl w:val="0"/>
          <w:numId w:val="6"/>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0"/>
        </w:trPr>
        <w:tc>
          <w:tcPr>
            <w:tcW w:w="48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70"/>
        </w:trPr>
        <w:tc>
          <w:tcPr>
            <w:tcW w:w="48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7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2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Losses</w:t>
            </w:r>
          </w:p>
        </w:tc>
        <w:tc>
          <w:tcPr>
            <w:tcW w:w="4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76"/>
        </w:trPr>
        <w:tc>
          <w:tcPr>
            <w:tcW w:w="5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Accounts Receivable, Inventory, Accounts Payable and</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(174)</w:t>
            </w:r>
          </w:p>
        </w:tc>
      </w:tr>
      <w:tr>
        <w:trPr>
          <w:trHeight w:val="229"/>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Changes, Net</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142"/>
        </w:trPr>
        <w:tc>
          <w:tcPr>
            <w:tcW w:w="5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4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4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w:t>
            </w:r>
          </w:p>
        </w:tc>
      </w:tr>
      <w:tr>
        <w:trPr>
          <w:trHeight w:val="142"/>
        </w:trPr>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(259)</w:t>
            </w:r>
          </w:p>
        </w:tc>
      </w:tr>
      <w:tr>
        <w:trPr>
          <w:trHeight w:val="230"/>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w:t>
            </w:r>
          </w:p>
        </w:tc>
        <w:tc>
          <w:tcPr>
            <w:tcW w:w="4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5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57" w:right="339" w:bottom="1440" w:gutter="0" w:footer="0" w:header="0"/>
          <w:type w:val="continuous"/>
        </w:sectPr>
      </w:pPr>
    </w:p>
    <w:bookmarkStart w:id="16" w:name="page17"/>
    <w:bookmarkEnd w:id="1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00" w:lineRule="exact"/>
        <w:rPr>
          <w:sz w:val="20"/>
          <w:szCs w:val="20"/>
          <w:color w:val="auto"/>
        </w:rPr>
      </w:pPr>
    </w:p>
    <w:p>
      <w:pPr>
        <w:spacing w:after="0" w:line="327"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Margin in Percentages)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4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1,204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2,397</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2,763</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70"/>
        </w:trPr>
        <w:tc>
          <w:tcPr>
            <w:tcW w:w="4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Pr>
          <w:p>
            <w:pPr>
              <w:spacing w:after="0"/>
              <w:rPr>
                <w:sz w:val="19"/>
                <w:szCs w:val="19"/>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176"/>
        </w:trPr>
        <w:tc>
          <w:tcPr>
            <w:tcW w:w="44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$14, $11,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 $25 and $31</w:t>
            </w:r>
          </w:p>
        </w:tc>
        <w:tc>
          <w:tcPr>
            <w:tcW w:w="12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237</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444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Charges (Credits)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252" w:hanging="252"/>
        <w:spacing w:after="0" w:line="180" w:lineRule="auto"/>
        <w:tabs>
          <w:tab w:leader="none" w:pos="246" w:val="left"/>
        </w:tabs>
        <w:numPr>
          <w:ilvl w:val="0"/>
          <w:numId w:val="7"/>
        </w:numPr>
        <w:rPr>
          <w:rFonts w:ascii="Arial" w:cs="Arial" w:eastAsia="Arial" w:hAnsi="Arial"/>
          <w:sz w:val="25"/>
          <w:szCs w:val="25"/>
          <w:color w:val="auto"/>
          <w:vertAlign w:val="superscript"/>
        </w:rPr>
      </w:pPr>
      <w:r>
        <w:rPr>
          <w:rFonts w:ascii="Times New Roman" w:cs="Times New Roman" w:eastAsia="Times New Roman" w:hAnsi="Times New Roman"/>
          <w:sz w:val="14"/>
          <w:szCs w:val="14"/>
          <w:color w:val="auto"/>
        </w:rPr>
        <w:t>Other Charges (Credits) in the three and six months ended June 30, 2025 primarily includes fees to third-party financial institutions related to collections of certain receivables from our largest customer in Mexico and other miscellaneous charges and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32"/>
          </w:cols>
          <w:pgMar w:left="328" w:top="1035"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Continued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20" w:type="dxa"/>
            <w:vAlign w:val="bottom"/>
            <w:tcBorders>
              <w:top w:val="single" w:sz="8" w:color="auto"/>
              <w:bottom w:val="single" w:sz="8" w:color="auto"/>
            </w:tcBorders>
          </w:tcPr>
          <w:p>
            <w:pPr>
              <w:spacing w:after="0"/>
              <w:rPr>
                <w:sz w:val="21"/>
                <w:szCs w:val="2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r>
      <w:tr>
        <w:trPr>
          <w:trHeight w:val="230"/>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1,583</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Borders>
              <w:bottom w:val="single" w:sz="8" w:color="auto"/>
            </w:tcBorders>
          </w:tcPr>
          <w:p>
            <w:pPr>
              <w:spacing w:after="0"/>
              <w:rPr>
                <w:sz w:val="19"/>
                <w:szCs w:val="19"/>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20" w:type="dxa"/>
            <w:vAlign w:val="bottom"/>
            <w:tcBorders>
              <w:bottom w:val="single" w:sz="8" w:color="auto"/>
            </w:tcBorders>
            <w:shd w:val="clear" w:color="auto" w:fill="CCEEFF"/>
          </w:tcPr>
          <w:p>
            <w:pPr>
              <w:spacing w:after="0"/>
              <w:rPr>
                <w:sz w:val="19"/>
                <w:szCs w:val="19"/>
                <w:color w:val="auto"/>
              </w:rPr>
            </w:pPr>
          </w:p>
        </w:tc>
      </w:tr>
      <w:tr>
        <w:trPr>
          <w:trHeight w:val="250"/>
        </w:trPr>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19"/>
                <w:szCs w:val="19"/>
                <w:color w:val="auto"/>
              </w:rPr>
            </w:pPr>
          </w:p>
        </w:tc>
      </w:tr>
      <w:tr>
        <w:trPr>
          <w:trHeight w:val="229"/>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bottom w:val="single" w:sz="8" w:color="auto"/>
            </w:tcBorders>
            <w:shd w:val="clear" w:color="auto" w:fill="CCEEFF"/>
          </w:tcPr>
          <w:p>
            <w:pPr>
              <w:spacing w:after="0"/>
              <w:rPr>
                <w:sz w:val="19"/>
                <w:szCs w:val="19"/>
                <w:color w:val="auto"/>
              </w:rPr>
            </w:pPr>
          </w:p>
        </w:tc>
      </w:tr>
      <w:tr>
        <w:trPr>
          <w:trHeight w:val="250"/>
        </w:trPr>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1,583</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shd w:val="clear" w:color="auto" w:fill="CCEEFF"/>
          </w:tcPr>
          <w:p>
            <w:pPr>
              <w:spacing w:after="0"/>
              <w:rPr>
                <w:sz w:val="19"/>
                <w:szCs w:val="19"/>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9"/>
                <w:szCs w:val="19"/>
                <w:color w:val="auto"/>
              </w:rPr>
            </w:pPr>
          </w:p>
        </w:tc>
      </w:tr>
      <w:tr>
        <w:trPr>
          <w:trHeight w:val="230"/>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shd w:val="clear" w:color="auto" w:fill="CCEEFF"/>
          </w:tcPr>
          <w:p>
            <w:pPr>
              <w:spacing w:after="0"/>
              <w:rPr>
                <w:sz w:val="19"/>
                <w:szCs w:val="19"/>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tcBorders>
              <w:bottom w:val="single" w:sz="8" w:color="auto"/>
            </w:tcBorders>
          </w:tcPr>
          <w:p>
            <w:pPr>
              <w:spacing w:after="0"/>
              <w:rPr>
                <w:sz w:val="19"/>
                <w:szCs w:val="19"/>
                <w:color w:val="auto"/>
              </w:rPr>
            </w:pPr>
          </w:p>
        </w:tc>
      </w:tr>
      <w:tr>
        <w:trPr>
          <w:trHeight w:val="250"/>
        </w:trPr>
        <w:tc>
          <w:tcPr>
            <w:tcW w:w="5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for trailing 12 months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for trailing 12 months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20" w:type="dxa"/>
            <w:vAlign w:val="bottom"/>
            <w:shd w:val="clear" w:color="auto" w:fill="CCEEFF"/>
          </w:tcPr>
          <w:p>
            <w:pPr>
              <w:spacing w:after="0"/>
              <w:rPr>
                <w:sz w:val="19"/>
                <w:szCs w:val="19"/>
                <w:color w:val="auto"/>
              </w:rPr>
            </w:pPr>
          </w:p>
        </w:tc>
      </w:tr>
      <w:tr>
        <w:trPr>
          <w:trHeight w:val="270"/>
        </w:trPr>
        <w:tc>
          <w:tcPr>
            <w:tcW w:w="5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 (Net Debt*/Adjusted EBITDA*)</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x</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0260"/>
          </w:cols>
          <w:pgMar w:left="820" w:top="1035" w:right="81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0260"/>
      </w:cols>
      <w:pgMar w:left="820" w:top="1035" w:right="8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2025-07-22T15:36:58Z</dcterms:created>
  <dcterms:modified xsi:type="dcterms:W3CDTF">2025-07-22T15:36:58Z</dcterms:modified>
</cp:coreProperties>
</file>