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536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5361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318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vMerge w:val="restart"/>
          </w:tcPr>
          <w:p>
            <w:pPr>
              <w:spacing w:after="0" w:line="181" w:lineRule="exact"/>
              <w:rPr>
                <w:rFonts w:ascii="Times New Roman" w:cs="Times New Roman" w:eastAsia="Times New Roman" w:hAnsi="Times New Roman"/>
                <w:sz w:val="16"/>
                <w:szCs w:val="16"/>
                <w:color w:val="0000EE"/>
                <w:w w:val="97"/>
              </w:rPr>
            </w:pPr>
            <w:hyperlink r:id="rId11">
              <w:r>
                <w:rPr>
                  <w:rFonts w:ascii="Times New Roman" w:cs="Times New Roman" w:eastAsia="Times New Roman" w:hAnsi="Times New Roman"/>
                  <w:sz w:val="16"/>
                  <w:szCs w:val="16"/>
                  <w:color w:val="0000EE"/>
                  <w:w w:val="97"/>
                </w:rPr>
                <w:t>Mitra Arunava</w:t>
              </w:r>
            </w:hyperlink>
          </w:p>
        </w:tc>
        <w:tc>
          <w:tcPr>
            <w:tcW w:w="220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tcBorders>
              <w:bottom w:val="single" w:sz="8" w:color="0000EE"/>
            </w:tcBorders>
            <w:vMerge w:val="continue"/>
          </w:tcPr>
          <w:p>
            <w:pPr>
              <w:spacing w:after="0"/>
              <w:rPr>
                <w:sz w:val="9"/>
                <w:szCs w:val="9"/>
                <w:color w:val="auto"/>
              </w:rPr>
            </w:pPr>
          </w:p>
        </w:tc>
        <w:tc>
          <w:tcPr>
            <w:tcW w:w="2200" w:type="dxa"/>
            <w:vAlign w:val="bottom"/>
            <w:vMerge w:val="restart"/>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01/03/2023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Weatherford International plc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WFRD</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300" w:lineRule="exact"/>
        <w:rPr>
          <w:sz w:val="24"/>
          <w:szCs w:val="24"/>
          <w:color w:val="auto"/>
        </w:rPr>
      </w:pPr>
    </w:p>
    <w:p>
      <w:pPr>
        <w:sectPr>
          <w:pgSz w:w="11900" w:h="16838" w:orient="portrait"/>
          <w:cols w:equalWidth="0" w:num="2">
            <w:col w:w="4620" w:space="380"/>
            <w:col w:w="6020"/>
          </w:cols>
          <w:pgMar w:left="440" w:top="199" w:right="439" w:bottom="1440" w:gutter="0" w:footer="0" w:header="0"/>
          <w:type w:val="continuous"/>
        </w:sectPr>
      </w:pPr>
    </w:p>
    <w:tbl>
      <w:tblPr>
        <w:tblLayout w:type="fixed"/>
        <w:tblInd w:w="6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840" w:type="dxa"/>
            <w:vAlign w:val="bottom"/>
          </w:tcPr>
          <w:p>
            <w:pPr>
              <w:ind w:left="20"/>
              <w:spacing w:after="0"/>
              <w:rPr>
                <w:sz w:val="20"/>
                <w:szCs w:val="20"/>
                <w:color w:val="auto"/>
              </w:rPr>
            </w:pPr>
            <w:r>
              <w:rPr>
                <w:rFonts w:ascii="Arial" w:cs="Arial" w:eastAsia="Arial" w:hAnsi="Arial"/>
                <w:sz w:val="10"/>
                <w:szCs w:val="10"/>
                <w:color w:val="auto"/>
              </w:rPr>
              <w:t>(Last)</w:t>
            </w:r>
          </w:p>
        </w:tc>
        <w:tc>
          <w:tcPr>
            <w:tcW w:w="900" w:type="dxa"/>
            <w:vAlign w:val="bottom"/>
          </w:tcPr>
          <w:p>
            <w:pPr>
              <w:ind w:left="220"/>
              <w:spacing w:after="0"/>
              <w:rPr>
                <w:sz w:val="20"/>
                <w:szCs w:val="20"/>
                <w:color w:val="auto"/>
              </w:rPr>
            </w:pPr>
            <w:r>
              <w:rPr>
                <w:rFonts w:ascii="Arial" w:cs="Arial" w:eastAsia="Arial" w:hAnsi="Arial"/>
                <w:sz w:val="10"/>
                <w:szCs w:val="10"/>
                <w:color w:val="auto"/>
              </w:rPr>
              <w:t>(First)</w:t>
            </w:r>
          </w:p>
        </w:tc>
        <w:tc>
          <w:tcPr>
            <w:tcW w:w="1420" w:type="dxa"/>
            <w:vAlign w:val="bottom"/>
          </w:tcPr>
          <w:p>
            <w:pPr>
              <w:ind w:left="380"/>
              <w:spacing w:after="0"/>
              <w:rPr>
                <w:sz w:val="20"/>
                <w:szCs w:val="20"/>
                <w:color w:val="auto"/>
              </w:rPr>
            </w:pPr>
            <w:r>
              <w:rPr>
                <w:rFonts w:ascii="Arial" w:cs="Arial" w:eastAsia="Arial" w:hAnsi="Arial"/>
                <w:sz w:val="10"/>
                <w:szCs w:val="10"/>
                <w:color w:val="auto"/>
              </w:rPr>
              <w:t>(Middle)</w:t>
            </w:r>
          </w:p>
        </w:tc>
      </w:tr>
      <w:tr>
        <w:trPr>
          <w:trHeight w:val="206"/>
        </w:trPr>
        <w:tc>
          <w:tcPr>
            <w:tcW w:w="20" w:type="dxa"/>
            <w:vAlign w:val="bottom"/>
          </w:tcPr>
          <w:p>
            <w:pPr>
              <w:spacing w:after="0"/>
              <w:rPr>
                <w:sz w:val="17"/>
                <w:szCs w:val="17"/>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2000 ST. JAMES PLACE</w:t>
            </w:r>
          </w:p>
        </w:tc>
        <w:tc>
          <w:tcPr>
            <w:tcW w:w="1420" w:type="dxa"/>
            <w:vAlign w:val="bottom"/>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02"/>
        </w:trPr>
        <w:tc>
          <w:tcPr>
            <w:tcW w:w="8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HOUSTON</w:t>
            </w:r>
          </w:p>
        </w:tc>
        <w:tc>
          <w:tcPr>
            <w:tcW w:w="9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TX</w:t>
            </w:r>
          </w:p>
        </w:tc>
        <w:tc>
          <w:tcPr>
            <w:tcW w:w="14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77056</w:t>
            </w:r>
          </w:p>
        </w:tc>
      </w:tr>
    </w:tbl>
    <w:p>
      <w:pPr>
        <w:spacing w:after="0" w:line="20" w:lineRule="exact"/>
        <w:rPr>
          <w:sz w:val="24"/>
          <w:szCs w:val="24"/>
          <w:color w:val="auto"/>
        </w:rPr>
      </w:pPr>
      <w:r>
        <w:rPr>
          <w:sz w:val="24"/>
          <w:szCs w:val="24"/>
          <w:color w:val="auto"/>
        </w:rPr>
        <w:br w:type="column"/>
      </w:r>
    </w:p>
    <w:p>
      <w:pPr>
        <w:ind w:left="5" w:right="940" w:hanging="5"/>
        <w:spacing w:after="0" w:line="26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9" w:lineRule="exact"/>
        <w:rPr>
          <w:sz w:val="24"/>
          <w:szCs w:val="24"/>
          <w:color w:val="auto"/>
        </w:rPr>
      </w:pP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68" w:lineRule="exact"/>
        <w:rPr>
          <w:sz w:val="24"/>
          <w:szCs w:val="24"/>
          <w:color w:val="auto"/>
        </w:rPr>
      </w:pPr>
    </w:p>
    <w:p>
      <w:pPr>
        <w:ind w:left="1225"/>
        <w:spacing w:after="0"/>
        <w:rPr>
          <w:sz w:val="20"/>
          <w:szCs w:val="20"/>
          <w:color w:val="auto"/>
        </w:rPr>
      </w:pPr>
      <w:r>
        <w:rPr>
          <w:rFonts w:ascii="Times New Roman" w:cs="Times New Roman" w:eastAsia="Times New Roman" w:hAnsi="Times New Roman"/>
          <w:sz w:val="13"/>
          <w:szCs w:val="13"/>
          <w:color w:val="0000FF"/>
        </w:rPr>
        <w:t>EVP and CFO</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83"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199" w:right="439" w:bottom="1440" w:gutter="0" w:footer="0" w:header="0"/>
          <w:type w:val="continuous"/>
        </w:sectPr>
      </w:pPr>
    </w:p>
    <w:p>
      <w:pPr>
        <w:spacing w:after="0" w:line="5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2"/>
          <w:szCs w:val="12"/>
          <w:color w:val="0000FF"/>
        </w:rPr>
        <w:t>Jonathan B. Wolens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1270</wp:posOffset>
            </wp:positionV>
            <wp:extent cx="10807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80770" cy="6350"/>
                    </a:xfrm>
                    <a:prstGeom prst="rect">
                      <a:avLst/>
                    </a:prstGeom>
                    <a:noFill/>
                  </pic:spPr>
                </pic:pic>
              </a:graphicData>
            </a:graphic>
          </wp:anchor>
        </w:drawing>
      </w:r>
    </w:p>
    <w:p>
      <w:pPr>
        <w:spacing w:after="0" w:line="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2933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3370" cy="6350"/>
                    </a:xfrm>
                    <a:prstGeom prst="rect">
                      <a:avLst/>
                    </a:prstGeom>
                    <a:noFill/>
                  </pic:spPr>
                </pic:pic>
              </a:graphicData>
            </a:graphic>
          </wp:anchor>
        </w:drawing>
      </w:r>
    </w:p>
    <w:p>
      <w:pPr>
        <w:spacing w:after="0" w:line="2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520" w:hanging="10"/>
        <w:spacing w:after="0" w:line="348"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01/03/2023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10"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320" w:space="500"/>
            <w:col w:w="220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ind w:left="320"/>
        <w:spacing w:after="0"/>
        <w:rPr>
          <w:sz w:val="20"/>
          <w:szCs w:val="20"/>
          <w:color w:val="auto"/>
        </w:rPr>
      </w:pPr>
      <w:r>
        <w:rPr>
          <w:rFonts w:ascii="Courier New" w:cs="Courier New" w:eastAsia="Courier New" w:hAnsi="Courier New"/>
          <w:sz w:val="12"/>
          <w:szCs w:val="12"/>
          <w:color w:val="auto"/>
        </w:rPr>
        <w:t>Know all by these presents that the undersigned hereby constitutes and appoints each of Scott C. Weatherholt, Christine M. Morrison and Jo</w:t>
      </w:r>
    </w:p>
    <w:p>
      <w:pPr>
        <w:spacing w:after="0" w:line="164" w:lineRule="exact"/>
        <w:rPr>
          <w:sz w:val="20"/>
          <w:szCs w:val="20"/>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prepare, execute in the undersigned's name and on the undersigned's behalf, and submit to the U.S. Securities and Exchange Commissio</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or director of Weatherford International p</w:t>
      </w:r>
    </w:p>
    <w:p>
      <w:pPr>
        <w:spacing w:after="0" w:line="152" w:lineRule="exact"/>
        <w:rPr>
          <w:rFonts w:ascii="Courier New" w:cs="Courier New" w:eastAsia="Courier New" w:hAnsi="Courier New"/>
          <w:sz w:val="13"/>
          <w:szCs w:val="13"/>
          <w:color w:val="auto"/>
        </w:rPr>
      </w:pPr>
    </w:p>
    <w:p>
      <w:pPr>
        <w:ind w:left="780" w:hanging="233"/>
        <w:spacing w:after="0"/>
        <w:tabs>
          <w:tab w:leader="none" w:pos="78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w:t>
      </w:r>
    </w:p>
    <w:p>
      <w:pPr>
        <w:spacing w:after="0" w:line="152" w:lineRule="exact"/>
        <w:rPr>
          <w:rFonts w:ascii="Courier New" w:cs="Courier New" w:eastAsia="Courier New" w:hAnsi="Courier New"/>
          <w:sz w:val="13"/>
          <w:szCs w:val="13"/>
          <w:color w:val="auto"/>
        </w:rPr>
      </w:pPr>
    </w:p>
    <w:p>
      <w:pPr>
        <w:jc w:val="both"/>
        <w:ind w:left="320" w:firstLine="227"/>
        <w:spacing w:after="0" w:line="489" w:lineRule="auto"/>
        <w:tabs>
          <w:tab w:leader="none" w:pos="788"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The undersigned hereby grants to each such attorney in fact full power and authority to do and perform any and every act and thing whatsoe This Power of Attorney shall remain in full force and effect until the undersigned is no longer required to file reports under Section 16( IN WITNESS WHEREOF, the undersigned has caused this Power of Attorney to be executed as of this 19th day of December, 2022.</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/s/ Arunava Mitra</w:t>
      </w:r>
    </w:p>
    <w:p>
      <w:pPr>
        <w:spacing w:after="0" w:line="27"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Arunava Mitra</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959243"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2023-01-03T17:20:36Z</dcterms:created>
  <dcterms:modified xsi:type="dcterms:W3CDTF">2023-01-03T17:20:36Z</dcterms:modified>
</cp:coreProperties>
</file>