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047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0477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Sandhu Depinder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60" w:type="dxa"/>
            <w:vAlign w:val="bottom"/>
            <w:tcBorders>
              <w:top w:val="single" w:sz="8" w:color="0000EE"/>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01/17/2024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Weatherford International plc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WFRD</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80" w:type="dxa"/>
            <w:vAlign w:val="bottom"/>
          </w:tcPr>
          <w:p>
            <w:pPr>
              <w:ind w:left="28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2000 ST JAMES PLACE</w:t>
            </w:r>
          </w:p>
        </w:tc>
        <w:tc>
          <w:tcPr>
            <w:tcW w:w="10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80" w:type="dxa"/>
            <w:vAlign w:val="bottom"/>
          </w:tcPr>
          <w:p>
            <w:pPr>
              <w:ind w:left="28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503"/>
        <w:spacing w:after="0"/>
        <w:rPr>
          <w:sz w:val="20"/>
          <w:szCs w:val="20"/>
          <w:color w:val="auto"/>
        </w:rPr>
      </w:pPr>
      <w:r>
        <w:rPr>
          <w:rFonts w:ascii="Times New Roman" w:cs="Times New Roman" w:eastAsia="Times New Roman" w:hAnsi="Times New Roman"/>
          <w:sz w:val="20"/>
          <w:szCs w:val="20"/>
          <w:color w:val="0000FF"/>
        </w:rPr>
        <w:t>EVP, Global Product Lines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2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4,717</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42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4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tcPr>
          <w:p>
            <w:pPr>
              <w:jc w:val="center"/>
              <w:ind w:left="13"/>
              <w:spacing w:after="0"/>
              <w:rPr>
                <w:sz w:val="20"/>
                <w:szCs w:val="20"/>
                <w:color w:val="auto"/>
              </w:rPr>
            </w:pPr>
            <w:r>
              <w:rPr>
                <w:rFonts w:ascii="Times New Roman" w:cs="Times New Roman" w:eastAsia="Times New Roman" w:hAnsi="Times New Roman"/>
                <w:sz w:val="20"/>
                <w:szCs w:val="20"/>
                <w:color w:val="0000FF"/>
                <w:w w:val="97"/>
              </w:rPr>
              <w:t>5,035</w:t>
            </w:r>
          </w:p>
        </w:tc>
        <w:tc>
          <w:tcPr>
            <w:tcW w:w="6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tcPr>
          <w:p>
            <w:pPr>
              <w:jc w:val="center"/>
              <w:ind w:left="13"/>
              <w:spacing w:after="0"/>
              <w:rPr>
                <w:sz w:val="20"/>
                <w:szCs w:val="20"/>
                <w:color w:val="auto"/>
              </w:rPr>
            </w:pPr>
            <w:r>
              <w:rPr>
                <w:rFonts w:ascii="Times New Roman" w:cs="Times New Roman" w:eastAsia="Times New Roman" w:hAnsi="Times New Roman"/>
                <w:sz w:val="20"/>
                <w:szCs w:val="20"/>
                <w:color w:val="0000FF"/>
                <w:w w:val="97"/>
              </w:rPr>
              <w:t>4,101</w:t>
            </w:r>
          </w:p>
        </w:tc>
        <w:tc>
          <w:tcPr>
            <w:tcW w:w="6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2021 Program Performance Share</w:t>
            </w:r>
          </w:p>
        </w:tc>
        <w:tc>
          <w:tcPr>
            <w:tcW w:w="13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vMerge w:val="restart"/>
          </w:tcPr>
          <w:p>
            <w:pPr>
              <w:jc w:val="center"/>
              <w:ind w:left="33"/>
              <w:spacing w:after="0"/>
              <w:rPr>
                <w:sz w:val="20"/>
                <w:szCs w:val="20"/>
                <w:color w:val="auto"/>
              </w:rPr>
            </w:pPr>
            <w:r>
              <w:rPr>
                <w:rFonts w:ascii="Times New Roman" w:cs="Times New Roman" w:eastAsia="Times New Roman" w:hAnsi="Times New Roman"/>
                <w:sz w:val="20"/>
                <w:szCs w:val="20"/>
                <w:color w:val="0000FF"/>
                <w:w w:val="98"/>
              </w:rPr>
              <w:t>20,000</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Units</w:t>
            </w:r>
          </w:p>
        </w:tc>
        <w:tc>
          <w:tcPr>
            <w:tcW w:w="13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2022 Annual Performance Share</w:t>
            </w:r>
          </w:p>
        </w:tc>
        <w:tc>
          <w:tcPr>
            <w:tcW w:w="13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7"/>
              </w:rPr>
              <w:t>5,035</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Units</w:t>
            </w:r>
          </w:p>
        </w:tc>
        <w:tc>
          <w:tcPr>
            <w:tcW w:w="13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2023 Annual Performance Share</w:t>
            </w:r>
          </w:p>
        </w:tc>
        <w:tc>
          <w:tcPr>
            <w:tcW w:w="13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7"/>
              </w:rPr>
              <w:t>4,101</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Units</w:t>
            </w:r>
          </w:p>
        </w:tc>
        <w:tc>
          <w:tcPr>
            <w:tcW w:w="13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share units ("RSUs") granted on January 18, 2022 pursuant to the 2019 EIP. The RSUs vest in three equal installments annually over the three-year period from the date of grant.</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RSUs granted on January 18, 2023 pursuant to the 2019 EIP. The RSUs vest in three equal installments annually over the three-year period from the date of grant.</w:t>
      </w:r>
    </w:p>
    <w:p>
      <w:pPr>
        <w:spacing w:after="0" w:line="52" w:lineRule="exact"/>
        <w:rPr>
          <w:rFonts w:ascii="Times New Roman" w:cs="Times New Roman" w:eastAsia="Times New Roman" w:hAnsi="Times New Roman"/>
          <w:sz w:val="15"/>
          <w:szCs w:val="15"/>
          <w:color w:val="008000"/>
        </w:rPr>
      </w:pPr>
    </w:p>
    <w:p>
      <w:pPr>
        <w:ind w:left="40" w:right="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performance share units ("PSUs") granted under the 2021 Weatherford Accelerating Growth &amp; Efficiency Program of the Second Amended and Restated 2019 Equity Incentive Plan. The number of PSUs reported is the target award and may be subject to a payout ranging from 0% to 100% of target award depending on the actual achievement of the performance goals at the end of the performance period. The performance period is the Issuer's fiscal years beginning on January 1, 2022 ending December 31, 2024.</w:t>
      </w:r>
    </w:p>
    <w:p>
      <w:pPr>
        <w:spacing w:after="0" w:line="29" w:lineRule="exact"/>
        <w:rPr>
          <w:rFonts w:ascii="Times New Roman" w:cs="Times New Roman" w:eastAsia="Times New Roman" w:hAnsi="Times New Roman"/>
          <w:sz w:val="15"/>
          <w:szCs w:val="15"/>
          <w:color w:val="008000"/>
        </w:rPr>
      </w:pPr>
    </w:p>
    <w:p>
      <w:pPr>
        <w:ind w:left="40" w:right="34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PSUs granted on January 18, 2022 under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2022 and ending December 31, 2024.</w:t>
      </w:r>
    </w:p>
    <w:p>
      <w:pPr>
        <w:spacing w:after="0" w:line="29" w:lineRule="exact"/>
        <w:rPr>
          <w:rFonts w:ascii="Times New Roman" w:cs="Times New Roman" w:eastAsia="Times New Roman" w:hAnsi="Times New Roman"/>
          <w:sz w:val="15"/>
          <w:szCs w:val="15"/>
          <w:color w:val="008000"/>
        </w:rPr>
      </w:pPr>
    </w:p>
    <w:p>
      <w:pPr>
        <w:ind w:left="40" w:right="14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PSUs granted on January 18, 2023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2023 and ending December 31, 2025.</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07"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Christine M. Morrison by</w:t>
            </w: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20"/>
                <w:szCs w:val="20"/>
                <w:color w:val="0000FF"/>
                <w:w w:val="96"/>
              </w:rPr>
              <w:t>01/22/2024</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00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Power of Attorney</w:t>
            </w: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4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186" w:lineRule="exact"/>
        <w:rPr>
          <w:sz w:val="20"/>
          <w:szCs w:val="20"/>
          <w:color w:val="auto"/>
        </w:rPr>
      </w:pPr>
    </w:p>
    <w:p>
      <w:pPr>
        <w:jc w:val="both"/>
        <w:ind w:firstLine="345"/>
        <w:spacing w:after="0" w:line="279"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Scott C. Weatherholt, Christine M. Morrison and Kathy Medford, or any of them signing singly, and with full power of substitution, as the undersigned's true and lawful attorney in fact to:</w:t>
      </w:r>
    </w:p>
    <w:p>
      <w:pPr>
        <w:spacing w:after="0" w:line="108" w:lineRule="exact"/>
        <w:rPr>
          <w:sz w:val="20"/>
          <w:szCs w:val="20"/>
          <w:color w:val="auto"/>
        </w:rPr>
      </w:pPr>
    </w:p>
    <w:p>
      <w:pPr>
        <w:jc w:val="both"/>
        <w:ind w:left="700" w:hanging="355"/>
        <w:spacing w:after="0" w:line="262" w:lineRule="auto"/>
        <w:tabs>
          <w:tab w:leader="none" w:pos="7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jc w:val="both"/>
        <w:ind w:left="700" w:hanging="355"/>
        <w:spacing w:after="0" w:line="261" w:lineRule="auto"/>
        <w:tabs>
          <w:tab w:leader="none" w:pos="7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or director of Weatherford International plc (the "Company”), Forms 3, 4, and 5 (including any successor forms thereto) in accordance with Section 16(a) of the Exchange Act and the rules thereunder;</w:t>
      </w:r>
    </w:p>
    <w:p>
      <w:pPr>
        <w:jc w:val="both"/>
        <w:ind w:left="700" w:hanging="355"/>
        <w:spacing w:after="0" w:line="261" w:lineRule="auto"/>
        <w:tabs>
          <w:tab w:leader="none" w:pos="7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700" w:hanging="355"/>
        <w:spacing w:after="0" w:line="267" w:lineRule="auto"/>
        <w:tabs>
          <w:tab w:leader="none" w:pos="7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23" w:lineRule="exact"/>
        <w:rPr>
          <w:sz w:val="20"/>
          <w:szCs w:val="20"/>
          <w:color w:val="auto"/>
        </w:rPr>
      </w:pPr>
    </w:p>
    <w:p>
      <w:pPr>
        <w:jc w:val="both"/>
        <w:ind w:firstLine="345"/>
        <w:spacing w:after="0" w:line="264" w:lineRule="auto"/>
        <w:rPr>
          <w:sz w:val="20"/>
          <w:szCs w:val="20"/>
          <w:color w:val="auto"/>
        </w:rPr>
      </w:pPr>
      <w:r>
        <w:rPr>
          <w:rFonts w:ascii="Times New Roman" w:cs="Times New Roman" w:eastAsia="Times New Roman" w:hAnsi="Times New Roman"/>
          <w:sz w:val="22"/>
          <w:szCs w:val="22"/>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spacing w:after="0" w:line="130" w:lineRule="exact"/>
        <w:rPr>
          <w:sz w:val="20"/>
          <w:szCs w:val="20"/>
          <w:color w:val="auto"/>
        </w:rPr>
      </w:pPr>
    </w:p>
    <w:p>
      <w:pPr>
        <w:jc w:val="both"/>
        <w:ind w:firstLine="345"/>
        <w:spacing w:after="0" w:line="271"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January, 2024.</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Depinder Sandhu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41986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19860" cy="9525"/>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color w:val="auto"/>
        </w:rPr>
        <w:t>Depinder Sandhu</w:t>
      </w:r>
    </w:p>
    <w:p>
      <w:pPr>
        <w:sectPr>
          <w:pgSz w:w="11900" w:h="16838" w:orient="portrait"/>
          <w:cols w:equalWidth="0" w:num="1">
            <w:col w:w="10940"/>
          </w:cols>
          <w:pgMar w:left="48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#1312680v1</w:t>
      </w:r>
    </w:p>
    <w:sectPr>
      <w:pgSz w:w="11900" w:h="16838" w:orient="portrait"/>
      <w:cols w:equalWidth="0" w:num="1">
        <w:col w:w="10940"/>
      </w:cols>
      <w:pgMar w:left="480" w:top="144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08179" TargetMode="External"/><Relationship Id="rId11"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2024-01-22T15:39:57Z</dcterms:created>
  <dcterms:modified xsi:type="dcterms:W3CDTF">2024-01-22T15:39:57Z</dcterms:modified>
</cp:coreProperties>
</file>