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-149860</wp:posOffset>
            </wp:positionV>
            <wp:extent cx="68402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220" cy="8255"/>
                    </a:xfrm>
                    <a:prstGeom prst="rect">
                      <a:avLst/>
                    </a:prstGeom>
                    <a:noFill/>
                  </pic:spPr>
                </pic:pic>
              </a:graphicData>
            </a:graphic>
          </wp:anchor>
        </w:drawing>
      </w:r>
    </w:p>
    <w:p>
      <w:pPr>
        <w:spacing w:after="0" w:line="1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4"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35" w:lineRule="exact"/>
        <w:rPr>
          <w:sz w:val="24"/>
          <w:szCs w:val="24"/>
          <w:color w:val="auto"/>
        </w:rPr>
      </w:pPr>
    </w:p>
    <w:p>
      <w:pPr>
        <w:ind w:left="800" w:hanging="54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2" w:lineRule="exact"/>
        <w:rPr>
          <w:sz w:val="24"/>
          <w:szCs w:val="24"/>
          <w:color w:val="auto"/>
        </w:rPr>
      </w:pPr>
    </w:p>
    <w:p>
      <w:pPr>
        <w:ind w:left="800"/>
        <w:spacing w:after="0"/>
        <w:tabs>
          <w:tab w:leader="none" w:pos="4600" w:val="left"/>
        </w:tabs>
        <w:rPr>
          <w:sz w:val="20"/>
          <w:szCs w:val="20"/>
          <w:color w:val="auto"/>
        </w:rPr>
      </w:pPr>
      <w:r>
        <w:rPr>
          <w:rFonts w:ascii="Times New Roman" w:cs="Times New Roman" w:eastAsia="Times New Roman" w:hAnsi="Times New Roman"/>
          <w:sz w:val="17"/>
          <w:szCs w:val="17"/>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2025</w:t>
      </w:r>
    </w:p>
    <w:p>
      <w:pPr>
        <w:spacing w:after="0" w:line="2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color w:val="auto"/>
        </w:rPr>
        <w:t>or</w:t>
      </w:r>
    </w:p>
    <w:p>
      <w:pPr>
        <w:spacing w:after="0" w:line="16" w:lineRule="exact"/>
        <w:rPr>
          <w:sz w:val="24"/>
          <w:szCs w:val="24"/>
          <w:color w:val="auto"/>
        </w:rPr>
      </w:pPr>
    </w:p>
    <w:p>
      <w:pPr>
        <w:ind w:left="800" w:right="1900" w:hanging="545"/>
        <w:spacing w:after="0" w:line="279" w:lineRule="auto"/>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__________________________________to __________________________________</w:t>
      </w:r>
    </w:p>
    <w:tbl>
      <w:tblPr>
        <w:tblLayout w:type="fixed"/>
        <w:tblInd w:w="80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Commission file number</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001-36504</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Weatherford International plc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jc w:val="center"/>
              <w:ind w:left="1852"/>
              <w:spacing w:after="0"/>
              <w:rPr>
                <w:sz w:val="20"/>
                <w:szCs w:val="20"/>
                <w:color w:val="auto"/>
              </w:rPr>
            </w:pPr>
            <w:r>
              <w:rPr>
                <w:rFonts w:ascii="Times New Roman" w:cs="Times New Roman" w:eastAsia="Times New Roman" w:hAnsi="Times New Roman"/>
                <w:sz w:val="18"/>
                <w:szCs w:val="18"/>
                <w:b w:val="1"/>
                <w:bCs w:val="1"/>
                <w:color w:val="auto"/>
                <w:w w:val="94"/>
              </w:rPr>
              <w:t>Ireland</w:t>
            </w: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Pr>
          <w:p>
            <w:pPr>
              <w:jc w:val="right"/>
              <w:ind w:right="123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3"/>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2000" w:type="dxa"/>
            <w:vAlign w:val="bottom"/>
          </w:tcPr>
          <w:p>
            <w:pPr>
              <w:spacing w:after="0"/>
              <w:rPr>
                <w:sz w:val="19"/>
                <w:szCs w:val="19"/>
                <w:color w:val="auto"/>
              </w:rPr>
            </w:pPr>
          </w:p>
        </w:tc>
        <w:tc>
          <w:tcPr>
            <w:tcW w:w="400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7"/>
        </w:trPr>
        <w:tc>
          <w:tcPr>
            <w:tcW w:w="3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000" w:type="dxa"/>
            <w:vAlign w:val="bottom"/>
          </w:tcPr>
          <w:p>
            <w:pPr>
              <w:spacing w:after="0"/>
              <w:rPr>
                <w:sz w:val="19"/>
                <w:szCs w:val="19"/>
                <w:color w:val="auto"/>
              </w:rPr>
            </w:pPr>
          </w:p>
        </w:tc>
        <w:tc>
          <w:tcPr>
            <w:tcW w:w="4000" w:type="dxa"/>
            <w:vAlign w:val="bottom"/>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31"/>
        </w:trPr>
        <w:tc>
          <w:tcPr>
            <w:tcW w:w="47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000" w:type="dxa"/>
            <w:vAlign w:val="bottom"/>
          </w:tcPr>
          <w:p>
            <w:pPr>
              <w:spacing w:after="0"/>
              <w:rPr>
                <w:sz w:val="20"/>
                <w:szCs w:val="20"/>
                <w:color w:val="auto"/>
              </w:rPr>
            </w:pPr>
          </w:p>
        </w:tc>
        <w:tc>
          <w:tcPr>
            <w:tcW w:w="40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1"/>
        </w:trPr>
        <w:tc>
          <w:tcPr>
            <w:tcW w:w="3080" w:type="dxa"/>
            <w:vAlign w:val="bottom"/>
          </w:tcPr>
          <w:p>
            <w:pPr>
              <w:spacing w:after="0"/>
              <w:rPr>
                <w:sz w:val="24"/>
                <w:szCs w:val="24"/>
                <w:color w:val="auto"/>
              </w:rPr>
            </w:pPr>
          </w:p>
        </w:tc>
        <w:tc>
          <w:tcPr>
            <w:tcW w:w="7680" w:type="dxa"/>
            <w:vAlign w:val="bottom"/>
            <w:gridSpan w:val="3"/>
          </w:tcPr>
          <w:p>
            <w:pPr>
              <w:jc w:val="center"/>
              <w:ind w:right="249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713.836.4000</w:t>
            </w:r>
          </w:p>
        </w:tc>
      </w:tr>
      <w:tr>
        <w:trPr>
          <w:trHeight w:val="231"/>
        </w:trPr>
        <w:tc>
          <w:tcPr>
            <w:tcW w:w="3080" w:type="dxa"/>
            <w:vAlign w:val="bottom"/>
          </w:tcPr>
          <w:p>
            <w:pPr>
              <w:spacing w:after="0"/>
              <w:rPr>
                <w:sz w:val="20"/>
                <w:szCs w:val="20"/>
                <w:color w:val="auto"/>
              </w:rPr>
            </w:pPr>
          </w:p>
        </w:tc>
        <w:tc>
          <w:tcPr>
            <w:tcW w:w="7680" w:type="dxa"/>
            <w:vAlign w:val="bottom"/>
            <w:gridSpan w:val="3"/>
          </w:tcPr>
          <w:p>
            <w:pPr>
              <w:jc w:val="center"/>
              <w:ind w:right="2512"/>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343"/>
        </w:trPr>
        <w:tc>
          <w:tcPr>
            <w:tcW w:w="3080" w:type="dxa"/>
            <w:vAlign w:val="bottom"/>
            <w:tcBorders>
              <w:bottom w:val="single" w:sz="8" w:color="auto"/>
            </w:tcBorders>
          </w:tcPr>
          <w:p>
            <w:pPr>
              <w:jc w:val="center"/>
              <w:ind w:left="11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46"/>
        </w:trPr>
        <w:tc>
          <w:tcPr>
            <w:tcW w:w="4760" w:type="dxa"/>
            <w:vAlign w:val="bottom"/>
            <w:gridSpan w:val="2"/>
          </w:tcPr>
          <w:p>
            <w:pPr>
              <w:jc w:val="center"/>
              <w:ind w:right="35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0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WFRD</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4" w:lineRule="exact"/>
        <w:rPr>
          <w:sz w:val="24"/>
          <w:szCs w:val="24"/>
          <w:color w:val="auto"/>
        </w:rPr>
      </w:pPr>
    </w:p>
    <w:p>
      <w:pPr>
        <w:ind w:right="182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p>
      <w:pPr>
        <w:ind w:left="140"/>
        <w:spacing w:after="0" w:line="196" w:lineRule="exact"/>
        <w:tabs>
          <w:tab w:leader="none" w:pos="1840" w:val="left"/>
          <w:tab w:leader="none" w:pos="2200" w:val="left"/>
          <w:tab w:leader="none" w:pos="3540" w:val="left"/>
          <w:tab w:leader="none" w:pos="3920" w:val="left"/>
          <w:tab w:leader="none" w:pos="5560" w:val="left"/>
          <w:tab w:leader="none" w:pos="5960" w:val="left"/>
          <w:tab w:leader="none" w:pos="8020" w:val="left"/>
          <w:tab w:leader="none" w:pos="8440" w:val="left"/>
          <w:tab w:leader="none" w:pos="1050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1"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30, 2025 was approximately $2.7 billion based upon the closing price on the Nasdaq Global Select Market as of such date. The registrant had 71,717,593 ordinary shares outstanding as of January 30, 2026.</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2"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information required to be furnished pursuant to Part III of this Form 10-K will be set forth in, and will be incorporated by reference from, Weatherford’s definitive proxy statement for the 2026 Annual General Meeting of Shareholders to be filed by Weatherford with the Securities and Exchange Commission (“SEC”) pursuant to Regulation 14A within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356870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1"/>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4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7"/>
              </w:rPr>
              <w:t>Form 10-K for the Year Ended December 31, 2025</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360" w:type="dxa"/>
            <w:vAlign w:val="bottom"/>
            <w:gridSpan w:val="10"/>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4"/>
        </w:trPr>
        <w:tc>
          <w:tcPr>
            <w:tcW w:w="20" w:type="dxa"/>
            <w:vAlign w:val="bottom"/>
          </w:tcPr>
          <w:p>
            <w:pPr>
              <w:spacing w:after="0"/>
              <w:rPr>
                <w:sz w:val="23"/>
                <w:szCs w:val="23"/>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134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Business</w:t>
            </w:r>
          </w:p>
        </w:tc>
        <w:tc>
          <w:tcPr>
            <w:tcW w:w="7540" w:type="dxa"/>
            <w:vAlign w:val="bottom"/>
            <w:tcBorders>
              <w:bottom w:val="single" w:sz="8" w:color="CCEEFF"/>
            </w:tcBorders>
            <w:gridSpan w:val="21"/>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rPr>
              <w:t>2</w:t>
            </w:r>
          </w:p>
        </w:tc>
        <w:tc>
          <w:tcPr>
            <w:tcW w:w="54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4"/>
              </w:rPr>
              <w:t>Risk Factors</w:t>
            </w:r>
          </w:p>
        </w:tc>
        <w:tc>
          <w:tcPr>
            <w:tcW w:w="7280" w:type="dxa"/>
            <w:vAlign w:val="bottom"/>
            <w:gridSpan w:val="19"/>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rPr>
              <w:t>8</w:t>
            </w: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right w:val="single" w:sz="8" w:color="CCEEFF"/>
            </w:tcBorders>
            <w:gridSpan w:val="1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120" w:type="dxa"/>
            <w:vAlign w:val="bottom"/>
            <w:gridSpan w:val="1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Cybersecurity</w:t>
            </w:r>
          </w:p>
        </w:tc>
        <w:tc>
          <w:tcPr>
            <w:tcW w:w="6120" w:type="dxa"/>
            <w:vAlign w:val="bottom"/>
            <w:gridSpan w:val="1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Properties</w:t>
            </w:r>
          </w:p>
        </w:tc>
        <w:tc>
          <w:tcPr>
            <w:tcW w:w="7180" w:type="dxa"/>
            <w:vAlign w:val="bottom"/>
            <w:gridSpan w:val="18"/>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3"/>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22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22</w:t>
            </w:r>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CCEEFF"/>
            </w:tcBorders>
            <w:gridSpan w:val="3"/>
          </w:tcPr>
          <w:p>
            <w:pPr>
              <w:spacing w:after="0"/>
              <w:rPr>
                <w:sz w:val="16"/>
                <w:szCs w:val="16"/>
                <w:color w:val="auto"/>
              </w:rPr>
            </w:pPr>
          </w:p>
        </w:tc>
        <w:tc>
          <w:tcPr>
            <w:tcW w:w="7900" w:type="dxa"/>
            <w:vAlign w:val="bottom"/>
            <w:tcBorders>
              <w:top w:val="single" w:sz="8" w:color="CCEEFF"/>
            </w:tcBorders>
            <w:gridSpan w:val="22"/>
          </w:tcPr>
          <w:p>
            <w:pPr>
              <w:spacing w:after="0" w:line="186"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Shareholder Matters and Issuer Purchases of Equity Securities</w:t>
            </w:r>
          </w:p>
        </w:tc>
        <w:tc>
          <w:tcPr>
            <w:tcW w:w="2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7900" w:type="dxa"/>
            <w:vAlign w:val="bottom"/>
            <w:gridSpan w:val="2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26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7</w:t>
            </w:r>
          </w:p>
        </w:tc>
        <w:tc>
          <w:tcPr>
            <w:tcW w:w="632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8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25</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320" w:type="dxa"/>
            <w:vAlign w:val="bottom"/>
            <w:gridSpan w:val="20"/>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Financial Results Overview</w:t>
            </w:r>
          </w:p>
        </w:tc>
        <w:tc>
          <w:tcPr>
            <w:tcW w:w="1840" w:type="dxa"/>
            <w:vAlign w:val="bottom"/>
            <w:tcBorders>
              <w:left w:val="single" w:sz="8" w:color="CCEEFF"/>
            </w:tcBorders>
            <w:gridSpan w:val="3"/>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26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3"/>
          </w:tcPr>
          <w:p>
            <w:pPr>
              <w:ind w:left="80"/>
              <w:spacing w:after="0" w:line="186" w:lineRule="exact"/>
              <w:rPr>
                <w:sz w:val="20"/>
                <w:szCs w:val="20"/>
                <w:color w:val="auto"/>
              </w:rPr>
            </w:pPr>
            <w:r>
              <w:rPr>
                <w:rFonts w:ascii="Times New Roman" w:cs="Times New Roman" w:eastAsia="Times New Roman" w:hAnsi="Times New Roman"/>
                <w:sz w:val="18"/>
                <w:szCs w:val="18"/>
                <w:color w:val="0000FF"/>
              </w:rPr>
              <w:t>Business Outlook</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160" w:type="dxa"/>
            <w:vAlign w:val="bottom"/>
            <w:gridSpan w:val="23"/>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34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160" w:type="dxa"/>
            <w:vAlign w:val="bottom"/>
            <w:gridSpan w:val="23"/>
          </w:tcPr>
          <w:p>
            <w:pPr>
              <w:ind w:left="80"/>
              <w:spacing w:after="0" w:line="186" w:lineRule="exact"/>
              <w:rPr>
                <w:sz w:val="20"/>
                <w:szCs w:val="20"/>
                <w:color w:val="auto"/>
              </w:rPr>
            </w:pPr>
            <w:r>
              <w:rPr>
                <w:rFonts w:ascii="Times New Roman" w:cs="Times New Roman" w:eastAsia="Times New Roman" w:hAnsi="Times New Roman"/>
                <w:sz w:val="18"/>
                <w:szCs w:val="18"/>
                <w:color w:val="0000FF"/>
              </w:rPr>
              <w:t>Critical Accounting Estimates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37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41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tcPr>
          <w:p>
            <w:pPr>
              <w:spacing w:after="0"/>
              <w:rPr>
                <w:sz w:val="16"/>
                <w:szCs w:val="16"/>
                <w:color w:val="auto"/>
              </w:rPr>
            </w:pPr>
          </w:p>
        </w:tc>
        <w:tc>
          <w:tcPr>
            <w:tcW w:w="3900" w:type="dxa"/>
            <w:vAlign w:val="bottom"/>
            <w:gridSpan w:val="6"/>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42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79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9A</w:t>
            </w:r>
          </w:p>
        </w:tc>
        <w:tc>
          <w:tcPr>
            <w:tcW w:w="6320" w:type="dxa"/>
            <w:vAlign w:val="bottom"/>
            <w:gridSpan w:val="20"/>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8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79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6440" w:type="dxa"/>
            <w:vAlign w:val="bottom"/>
            <w:tcBorders>
              <w:left w:val="single" w:sz="8" w:color="CCEEFF"/>
            </w:tcBorders>
            <w:gridSpan w:val="14"/>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79</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9C</w:t>
            </w:r>
          </w:p>
        </w:tc>
        <w:tc>
          <w:tcPr>
            <w:tcW w:w="8160" w:type="dxa"/>
            <w:vAlign w:val="bottom"/>
            <w:gridSpan w:val="23"/>
          </w:tcPr>
          <w:p>
            <w:pPr>
              <w:spacing w:after="0" w:line="18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9"/>
              </w:rPr>
              <w:t>80</w:t>
            </w:r>
          </w:p>
        </w:tc>
      </w:tr>
      <w:tr>
        <w:trPr>
          <w:trHeight w:val="235"/>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left w:val="single" w:sz="8" w:color="CCEE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left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74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72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80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Executive Compensation</w:t>
            </w:r>
          </w:p>
        </w:tc>
        <w:tc>
          <w:tcPr>
            <w:tcW w:w="416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80</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8160" w:type="dxa"/>
            <w:vAlign w:val="bottom"/>
            <w:gridSpan w:val="2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gridSpan w:val="3"/>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0000FF"/>
                <w:w w:val="99"/>
              </w:rPr>
              <w:t>80</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20" w:type="dxa"/>
            <w:vAlign w:val="bottom"/>
            <w:tcBorders>
              <w:left w:val="single" w:sz="8" w:color="0000FF"/>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92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81</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5340" w:type="dxa"/>
            <w:vAlign w:val="bottom"/>
            <w:gridSpan w:val="1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820" w:type="dxa"/>
            <w:vAlign w:val="bottom"/>
            <w:gridSpan w:val="4"/>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81</w:t>
            </w:r>
          </w:p>
        </w:tc>
      </w:tr>
      <w:tr>
        <w:trPr>
          <w:trHeight w:val="225"/>
        </w:trPr>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r>
      <w:tr>
        <w:trPr>
          <w:trHeight w:val="205"/>
        </w:trPr>
        <w:tc>
          <w:tcPr>
            <w:tcW w:w="2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auto"/>
              </w:rPr>
              <w:t>Item 15</w:t>
            </w:r>
          </w:p>
        </w:tc>
        <w:tc>
          <w:tcPr>
            <w:tcW w:w="1220" w:type="dxa"/>
            <w:vAlign w:val="bottom"/>
            <w:tcBorders>
              <w:top w:val="single" w:sz="8" w:color="CCEEFF"/>
            </w:tcBorders>
            <w:gridSpan w:val="2"/>
          </w:tcPr>
          <w:p>
            <w:pPr>
              <w:spacing w:after="0"/>
              <w:rPr>
                <w:sz w:val="16"/>
                <w:szCs w:val="16"/>
                <w:color w:val="auto"/>
              </w:rPr>
            </w:pPr>
          </w:p>
        </w:tc>
        <w:tc>
          <w:tcPr>
            <w:tcW w:w="3100" w:type="dxa"/>
            <w:vAlign w:val="bottom"/>
            <w:tcBorders>
              <w:top w:val="single" w:sz="8" w:color="CCEE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5060" w:type="dxa"/>
            <w:vAlign w:val="bottom"/>
            <w:tcBorders>
              <w:top w:val="single" w:sz="8" w:color="CCEEFF"/>
            </w:tcBorders>
            <w:gridSpan w:val="9"/>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81</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9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80" w:type="dxa"/>
            <w:vAlign w:val="bottom"/>
            <w:gridSpan w:val="6"/>
            <w:shd w:val="clear" w:color="auto" w:fill="CCEEFF"/>
          </w:tcPr>
          <w:p>
            <w:pPr>
              <w:spacing w:after="0"/>
              <w:rPr>
                <w:sz w:val="16"/>
                <w:szCs w:val="16"/>
                <w:color w:val="auto"/>
              </w:rPr>
            </w:pPr>
          </w:p>
        </w:tc>
        <w:tc>
          <w:tcPr>
            <w:tcW w:w="506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540"/>
              <w:spacing w:after="0" w:line="195" w:lineRule="exact"/>
              <w:rPr>
                <w:sz w:val="20"/>
                <w:szCs w:val="20"/>
                <w:color w:val="auto"/>
              </w:rPr>
            </w:pPr>
            <w:r>
              <w:rPr>
                <w:rFonts w:ascii="Times New Roman" w:cs="Times New Roman" w:eastAsia="Times New Roman" w:hAnsi="Times New Roman"/>
                <w:sz w:val="18"/>
                <w:szCs w:val="18"/>
                <w:color w:val="0000FF"/>
                <w:w w:val="77"/>
              </w:rPr>
              <w:t>87</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4"/>
              </w:rPr>
              <w:t>SIGNATURES</w:t>
            </w:r>
          </w:p>
        </w:tc>
        <w:tc>
          <w:tcPr>
            <w:tcW w:w="440" w:type="dxa"/>
            <w:vAlign w:val="bottom"/>
            <w:gridSpan w:val="2"/>
          </w:tcPr>
          <w:p>
            <w:pPr>
              <w:spacing w:after="0"/>
              <w:rPr>
                <w:sz w:val="16"/>
                <w:szCs w:val="16"/>
                <w:color w:val="auto"/>
              </w:rPr>
            </w:pPr>
          </w:p>
        </w:tc>
        <w:tc>
          <w:tcPr>
            <w:tcW w:w="6640" w:type="dxa"/>
            <w:vAlign w:val="bottom"/>
            <w:gridSpan w:val="15"/>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center"/>
              <w:ind w:right="540"/>
              <w:spacing w:after="0" w:line="186" w:lineRule="exact"/>
              <w:rPr>
                <w:sz w:val="20"/>
                <w:szCs w:val="20"/>
                <w:color w:val="auto"/>
              </w:rPr>
            </w:pPr>
            <w:r>
              <w:rPr>
                <w:rFonts w:ascii="Times New Roman" w:cs="Times New Roman" w:eastAsia="Times New Roman" w:hAnsi="Times New Roman"/>
                <w:sz w:val="18"/>
                <w:szCs w:val="18"/>
                <w:color w:val="0000FF"/>
                <w:w w:val="77"/>
              </w:rPr>
              <w:t>88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 w:name="page3"/>
    <w:bookmarkEnd w:id="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approximately 305 operating locations including manufacturing, research and development, service, and training facilities. Our operational performance is reviewed and managed across the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cycle of the well, and we report in three segments (1) Drilling and Evaluation, (2) Well Construction and Completions, and (3) Production and Intervention.</w:t>
      </w:r>
    </w:p>
    <w:p>
      <w:pPr>
        <w:spacing w:after="0" w:line="244"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objective is to create value for our shareholders across industry cycles by ensuring sustainable profitability and cash flow generation. We aim to accomplish this goal with a comprehensive suite of products and services, differentiated technologies, strong customer focus, operational rigor, disciplined capital management, and a commitment to safety and operational efficiency.</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customers’ objectives are continually evolving and are currently focused on disciplined capital and operational expenditures, generating investor and shareholder returns, reducing emissions, participating in the energy transition, and enhancing safety. We have aligned our technology development, capital spending and operations around these objectives and expanded our role as a market leading provider of solutions that assist our customers in addressing their key operational challenges, not just in conventional reservoirs but also in mature fields, unconventionals, offshore, and in digitalization and automation.</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focus is on the deployment of our five strategic priorities of:</w:t>
      </w:r>
    </w:p>
    <w:p>
      <w:pPr>
        <w:spacing w:after="0" w:line="24" w:lineRule="exact"/>
        <w:rPr>
          <w:sz w:val="20"/>
          <w:szCs w:val="20"/>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enhancement by directly addressing customer needs of improved efficiency, value creation and safety;</w:t>
      </w:r>
    </w:p>
    <w:p>
      <w:pPr>
        <w:spacing w:after="0" w:line="5" w:lineRule="exact"/>
        <w:rPr>
          <w:rFonts w:ascii="Times New Roman" w:cs="Times New Roman" w:eastAsia="Times New Roman" w:hAnsi="Times New Roman"/>
          <w:sz w:val="18"/>
          <w:szCs w:val="18"/>
          <w:color w:val="auto"/>
        </w:rPr>
      </w:pPr>
    </w:p>
    <w:p>
      <w:pPr>
        <w:ind w:left="1280" w:right="204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Creating the Future </w:t>
      </w:r>
      <w:r>
        <w:rPr>
          <w:rFonts w:ascii="Times New Roman" w:cs="Times New Roman" w:eastAsia="Times New Roman" w:hAnsi="Times New Roman"/>
          <w:sz w:val="18"/>
          <w:szCs w:val="18"/>
          <w:color w:val="auto"/>
        </w:rPr>
        <w:t>through continued investment in research and development and building our Digital &amp;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portfolio and capabilities;</w:t>
      </w:r>
    </w:p>
    <w:p>
      <w:pPr>
        <w:spacing w:after="0" w:line="1" w:lineRule="exact"/>
        <w:rPr>
          <w:rFonts w:ascii="Times New Roman" w:cs="Times New Roman" w:eastAsia="Times New Roman" w:hAnsi="Times New Roman"/>
          <w:sz w:val="18"/>
          <w:szCs w:val="18"/>
          <w:color w:val="auto"/>
        </w:rPr>
      </w:pPr>
    </w:p>
    <w:p>
      <w:pPr>
        <w:ind w:left="1280" w:right="250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Vitality </w:t>
      </w:r>
      <w:r>
        <w:rPr>
          <w:rFonts w:ascii="Times New Roman" w:cs="Times New Roman" w:eastAsia="Times New Roman" w:hAnsi="Times New Roman"/>
          <w:sz w:val="18"/>
          <w:szCs w:val="18"/>
          <w:color w:val="auto"/>
        </w:rPr>
        <w:t>to harness employee engagement, attract and retain talent, develop our people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leadership effectiveness;</w:t>
      </w:r>
    </w:p>
    <w:p>
      <w:pPr>
        <w:spacing w:after="0" w:line="1" w:lineRule="exact"/>
        <w:rPr>
          <w:rFonts w:ascii="Times New Roman" w:cs="Times New Roman" w:eastAsia="Times New Roman" w:hAnsi="Times New Roman"/>
          <w:sz w:val="18"/>
          <w:szCs w:val="18"/>
          <w:color w:val="auto"/>
        </w:rPr>
      </w:pPr>
    </w:p>
    <w:p>
      <w:pPr>
        <w:ind w:left="1280" w:right="2700" w:hanging="638"/>
        <w:spacing w:after="0" w:line="245"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Lean Operations </w:t>
      </w:r>
      <w:r>
        <w:rPr>
          <w:rFonts w:ascii="Times New Roman" w:cs="Times New Roman" w:eastAsia="Times New Roman" w:hAnsi="Times New Roman"/>
          <w:sz w:val="18"/>
          <w:szCs w:val="18"/>
          <w:color w:val="auto"/>
        </w:rPr>
        <w:t>to simplify and drive waste out of the business for increased productivity,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service levels; and</w:t>
      </w:r>
    </w:p>
    <w:p>
      <w:pPr>
        <w:spacing w:after="0" w:line="1" w:lineRule="exact"/>
        <w:rPr>
          <w:rFonts w:ascii="Times New Roman" w:cs="Times New Roman" w:eastAsia="Times New Roman" w:hAnsi="Times New Roman"/>
          <w:sz w:val="18"/>
          <w:szCs w:val="18"/>
          <w:color w:val="auto"/>
        </w:rPr>
      </w:pPr>
    </w:p>
    <w:p>
      <w:pPr>
        <w:ind w:left="1280" w:hanging="638"/>
        <w:spacing w:after="0" w:line="251"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Performance </w:t>
      </w:r>
      <w:r>
        <w:rPr>
          <w:rFonts w:ascii="Times New Roman" w:cs="Times New Roman" w:eastAsia="Times New Roman" w:hAnsi="Times New Roman"/>
          <w:sz w:val="18"/>
          <w:szCs w:val="18"/>
          <w:color w:val="auto"/>
        </w:rPr>
        <w:t>that drives value creation across economic cycles with sustainable profitability, cash flow generation and top-tier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on capital.</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strategic focus is enabled by a comprehensive capital allocation framework that includes:</w:t>
      </w:r>
    </w:p>
    <w:p>
      <w:pPr>
        <w:spacing w:after="0" w:line="24" w:lineRule="exact"/>
        <w:rPr>
          <w:sz w:val="20"/>
          <w:szCs w:val="20"/>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through-cycle resilience from a strong balance sheet;</w:t>
      </w:r>
    </w:p>
    <w:p>
      <w:pPr>
        <w:spacing w:after="0" w:line="5" w:lineRule="exact"/>
        <w:rPr>
          <w:rFonts w:ascii="Times New Roman" w:cs="Times New Roman" w:eastAsia="Times New Roman" w:hAnsi="Times New Roman"/>
          <w:sz w:val="18"/>
          <w:szCs w:val="18"/>
          <w:color w:val="auto"/>
        </w:rPr>
      </w:pPr>
    </w:p>
    <w:p>
      <w:pPr>
        <w:ind w:left="1280" w:right="2180" w:hanging="638"/>
        <w:spacing w:after="0" w:line="245"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Judicious business investments in technology and infrastructure upgrades to drive portfolio differentiation and structural cost efficiencies leading to improved returns;</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disciplined mergers and acquisitions that align with our portfolio strategy; and</w:t>
      </w:r>
    </w:p>
    <w:p>
      <w:pPr>
        <w:spacing w:after="0" w:line="5" w:lineRule="exact"/>
        <w:rPr>
          <w:rFonts w:ascii="Times New Roman" w:cs="Times New Roman" w:eastAsia="Times New Roman" w:hAnsi="Times New Roman"/>
          <w:sz w:val="18"/>
          <w:szCs w:val="18"/>
          <w:color w:val="auto"/>
        </w:rPr>
      </w:pPr>
    </w:p>
    <w:p>
      <w:pPr>
        <w:ind w:left="1280" w:right="2380" w:hanging="638"/>
        <w:spacing w:after="0" w:line="251"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returns program as introduced in 2024 with a $500 million share repurchase authorization over three years. Annual dividend program recently increased from $1.00 to $1.10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3" w:name="page4"/>
    <w:bookmarkEnd w:id="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spacing w:after="0" w:line="19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formation evaluation and productivity.</w:t>
      </w:r>
    </w:p>
    <w:p>
      <w:pPr>
        <w:spacing w:after="0" w:line="197"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Managed Pressure Drilling </w:t>
      </w:r>
      <w:r>
        <w:rPr>
          <w:rFonts w:ascii="Times New Roman" w:cs="Times New Roman" w:eastAsia="Times New Roman" w:hAnsi="Times New Roman"/>
          <w:sz w:val="18"/>
          <w:szCs w:val="18"/>
          <w:color w:val="auto"/>
        </w:rPr>
        <w:t>helps to manage wellbore pressures to optimize drilling performance. We incorporate various technologies,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197"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Services </w:t>
      </w:r>
      <w:r>
        <w:rPr>
          <w:rFonts w:ascii="Times New Roman" w:cs="Times New Roman" w:eastAsia="Times New Roman" w:hAnsi="Times New Roman"/>
          <w:sz w:val="18"/>
          <w:szCs w:val="18"/>
          <w:color w:val="auto"/>
        </w:rPr>
        <w:t>includes directional drilling, logging while drilling, measurement while drilling and rotary-steerable systems. We provide a full range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downhole equipment, including high-temperature and high-pressure sensors, drilling reamers and circulation subs.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Wireline </w:t>
      </w:r>
      <w:r>
        <w:rPr>
          <w:rFonts w:ascii="Times New Roman" w:cs="Times New Roman" w:eastAsia="Times New Roman" w:hAnsi="Times New Roman"/>
          <w:sz w:val="18"/>
          <w:szCs w:val="18"/>
          <w:color w:val="auto"/>
        </w:rPr>
        <w:t>includes open-hole and cased-hole logging services that measure the geophysical properties of subsurface formations to determine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locate resources and detect cement and casing integrity issues. We also execute well intervention and remediation operations by conveying equipment via cable into existing wells.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Drilling Fluids </w:t>
      </w:r>
      <w:r>
        <w:rPr>
          <w:rFonts w:ascii="Times New Roman" w:cs="Times New Roman" w:eastAsia="Times New Roman" w:hAnsi="Times New Roman"/>
          <w:sz w:val="18"/>
          <w:szCs w:val="18"/>
          <w:color w:val="auto"/>
        </w:rPr>
        <w:t>provides fluids and chemicals essential to the drilling process.</w:t>
      </w:r>
    </w:p>
    <w:p>
      <w:pPr>
        <w:spacing w:after="0" w:line="23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production phase.</w:t>
      </w:r>
    </w:p>
    <w:p>
      <w:pPr>
        <w:spacing w:after="0" w:line="19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Tubular Running Services </w:t>
      </w:r>
      <w:r>
        <w:rPr>
          <w:rFonts w:ascii="Times New Roman" w:cs="Times New Roman" w:eastAsia="Times New Roman" w:hAnsi="Times New Roman"/>
          <w:sz w:val="18"/>
          <w:szCs w:val="18"/>
          <w:color w:val="auto"/>
        </w:rPr>
        <w:t>provides equipment, tubular handling, tubular management and tubular connection services for the drilling, completions,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spacing w:after="0" w:line="20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Cementation Products </w:t>
      </w:r>
      <w:r>
        <w:rPr>
          <w:rFonts w:ascii="Times New Roman" w:cs="Times New Roman" w:eastAsia="Times New Roman" w:hAnsi="Times New Roman"/>
          <w:sz w:val="18"/>
          <w:szCs w:val="18"/>
          <w:color w:val="auto"/>
        </w:rPr>
        <w:t>enable operators to centralize the casing throughout the wellbore and control the displacement of cement and other fluids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 zonal isolation. Specialized equipment includes plugs, float and stage equipment and torque-and-drag reduction technology. Our cementation engineers analyze customer requirements and provide software enabled design input from pre-job planning to installation.</w:t>
      </w:r>
    </w:p>
    <w:p>
      <w:pPr>
        <w:spacing w:after="0" w:line="197"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Completions </w:t>
      </w:r>
      <w:r>
        <w:rPr>
          <w:rFonts w:ascii="Times New Roman" w:cs="Times New Roman" w:eastAsia="Times New Roman" w:hAnsi="Times New Roman"/>
          <w:sz w:val="18"/>
          <w:szCs w:val="18"/>
          <w:color w:val="auto"/>
        </w:rPr>
        <w:t>offer customers a comprehensive portfolio of completion tools, such as safety valves, production packers, downhole reservoir monitoring,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 control, isolation packers, multistage fracturing systems and sand-control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 w:name="page5"/>
    <w:bookmarkEnd w:id="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ind w:left="480"/>
        <w:spacing w:after="0" w:line="274" w:lineRule="auto"/>
        <w:rPr>
          <w:sz w:val="20"/>
          <w:szCs w:val="20"/>
          <w:color w:val="auto"/>
        </w:rPr>
      </w:pPr>
      <w:r>
        <w:rPr>
          <w:rFonts w:ascii="Times New Roman" w:cs="Times New Roman" w:eastAsia="Times New Roman" w:hAnsi="Times New Roman"/>
          <w:sz w:val="18"/>
          <w:szCs w:val="18"/>
          <w:color w:val="auto"/>
        </w:rPr>
        <w:t>technologies that not only allow our customers to produce optimally from their reservoirs but also monitor and control the reservoirs throughout their productive life.</w:t>
      </w:r>
    </w:p>
    <w:p>
      <w:pPr>
        <w:spacing w:after="0" w:line="186"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Liner Hangers </w:t>
      </w:r>
      <w:r>
        <w:rPr>
          <w:rFonts w:ascii="Times New Roman" w:cs="Times New Roman" w:eastAsia="Times New Roman" w:hAnsi="Times New Roman"/>
          <w:sz w:val="18"/>
          <w:szCs w:val="18"/>
          <w:color w:val="auto"/>
        </w:rPr>
        <w:t>suspend a casing string within a previous casing string thereby eliminating the need to run casing to the surface.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liner-hanger portfolio, along with engineering and execution experience, for a wide range of applications that include high-temperature and high-pressure wells.</w:t>
      </w:r>
    </w:p>
    <w:p>
      <w:pPr>
        <w:spacing w:after="0" w:line="183" w:lineRule="exact"/>
        <w:rPr>
          <w:sz w:val="20"/>
          <w:szCs w:val="20"/>
          <w:color w:val="auto"/>
        </w:rPr>
      </w:pPr>
    </w:p>
    <w:p>
      <w:pPr>
        <w:ind w:left="480" w:right="34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Services </w:t>
      </w:r>
      <w:r>
        <w:rPr>
          <w:rFonts w:ascii="Times New Roman" w:cs="Times New Roman" w:eastAsia="Times New Roman" w:hAnsi="Times New Roman"/>
          <w:sz w:val="18"/>
          <w:szCs w:val="18"/>
          <w:color w:val="auto"/>
        </w:rPr>
        <w:t>provides through tubing products and services which ensure consistent delivery of well solutions that extend the economic life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assets.</w:t>
      </w:r>
    </w:p>
    <w:p>
      <w:pPr>
        <w:spacing w:after="0" w:line="2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includes technologies that deliver a complete production ecosystem ranging from boosting productivity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mature reservoirs.</w:t>
      </w:r>
    </w:p>
    <w:p>
      <w:pPr>
        <w:spacing w:after="0" w:line="190"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Intervention Services &amp; Drilling Tools </w:t>
      </w:r>
      <w:r>
        <w:rPr>
          <w:rFonts w:ascii="Times New Roman" w:cs="Times New Roman" w:eastAsia="Times New Roman" w:hAnsi="Times New Roman"/>
          <w:sz w:val="18"/>
          <w:szCs w:val="18"/>
          <w:color w:val="auto"/>
        </w:rPr>
        <w:t>provides re-entry, fishing and well abandonment services as well as patented downhole tools, tubular-handling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pressure-control equipment and drill pipe and tubulars for various types of wells.</w:t>
      </w:r>
    </w:p>
    <w:p>
      <w:pPr>
        <w:spacing w:after="0" w:line="195"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Lift </w:t>
      </w:r>
      <w:r>
        <w:rPr>
          <w:rFonts w:ascii="Times New Roman" w:cs="Times New Roman" w:eastAsia="Times New Roman" w:hAnsi="Times New Roman"/>
          <w:sz w:val="18"/>
          <w:szCs w:val="18"/>
          <w:color w:val="auto"/>
        </w:rPr>
        <w:t>provides pressure enabling methods to produce reservoir fluids from wells lacking sufficient reservoir pressure for natural flow.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3" w:lineRule="exact"/>
        <w:rPr>
          <w:sz w:val="20"/>
          <w:szCs w:val="20"/>
          <w:color w:val="auto"/>
        </w:rPr>
      </w:pPr>
    </w:p>
    <w:p>
      <w:pPr>
        <w:jc w:val="both"/>
        <w:ind w:left="48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Solutions </w:t>
      </w:r>
      <w:r>
        <w:rPr>
          <w:rFonts w:ascii="Times New Roman" w:cs="Times New Roman" w:eastAsia="Times New Roman" w:hAnsi="Times New Roman"/>
          <w:sz w:val="18"/>
          <w:szCs w:val="18"/>
          <w:color w:val="auto"/>
        </w:rPr>
        <w:t>provides software, automation, and flow measurement solutions. For our customers’ drilling operations, the solutions deliver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aggregation, engineering, and optimization including performance analytics in real-time. For our customers’ production operations, we provide flow measurement, surveillance, and control to deliver production optimization by integrating workflows and data for the well, surface facilities and the reservoir.</w:t>
      </w:r>
    </w:p>
    <w:p>
      <w:pPr>
        <w:spacing w:after="0" w:line="203" w:lineRule="exact"/>
        <w:rPr>
          <w:sz w:val="20"/>
          <w:szCs w:val="20"/>
          <w:color w:val="auto"/>
        </w:rPr>
      </w:pPr>
    </w:p>
    <w:p>
      <w:pPr>
        <w:jc w:val="both"/>
        <w:ind w:lef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Sub-Sea Intervention </w:t>
      </w:r>
      <w:r>
        <w:rPr>
          <w:rFonts w:ascii="Times New Roman" w:cs="Times New Roman" w:eastAsia="Times New Roman" w:hAnsi="Times New Roman"/>
          <w:sz w:val="18"/>
          <w:szCs w:val="18"/>
          <w:color w:val="auto"/>
        </w:rPr>
        <w:t>provides electrical and hydraulic power transmission to subsea equipment in order to facilitate workovers and abandonment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and ultra-deep-water operations in select markets.</w:t>
      </w:r>
    </w:p>
    <w:p>
      <w:pPr>
        <w:spacing w:after="0" w:line="183" w:lineRule="exact"/>
        <w:rPr>
          <w:sz w:val="20"/>
          <w:szCs w:val="20"/>
          <w:color w:val="auto"/>
        </w:rPr>
      </w:pPr>
    </w:p>
    <w:p>
      <w:pPr>
        <w:jc w:val="both"/>
        <w:ind w:lef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 Pumping Services </w:t>
      </w:r>
      <w:r>
        <w:rPr>
          <w:rFonts w:ascii="Times New Roman" w:cs="Times New Roman" w:eastAsia="Times New Roman" w:hAnsi="Times New Roman"/>
          <w:sz w:val="18"/>
          <w:szCs w:val="18"/>
          <w:color w:val="auto"/>
        </w:rPr>
        <w:t>offers advanced engineered fluid chemistry products and solutions and associated pumping services for safe and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enhancement. In select international markets, we provide pressure pumping and reservoir stimulation services, including acidizing, fracturing, cementing, and coiled-tubing intervention.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our products and services worldwide and compete with a number of global and regional competitors. Our principal competitors include SLB, Halliburton, Baker Hughes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purchase a wide variety of raw materials, as well as parts and components. We integrate products and components produced by other parties into the products and systems we offer for sale or service. We continually evaluate and invest in our integrated supply chain in order to reduce materials constraints and impacts from inflationary pressures, while improving lead times and supporting our sustainability efforts.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and include national oil companies, international and independent oil and natural gas companies as well as new energy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5" w:name="page6"/>
    <w:bookmarkEnd w:id="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Patents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operations. In addition, customer spending patterns for our products and services may result in higher activity in the fourth quarter of each calendar year as our customers seek to fully utilize their annual budgets.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Revenues in Russia were approximately 7% of our total revenue for the year ended December 31, 2025, and were approximately 5% of our total revenues for the year ended December 31, 2024 and 6% for the year ended December 31, 2023. As of December 31, 2025, our Russia operations included $107 million in cash, $152 million in other current assets, $91 million in property, plant and equipment, net and other non-current assets, and $80 million in liabilities. As of December 31, 2024, our Russia operations included $82 million in cash, $95 million in other current assets, $56 million in property, plant and equipment, net and other non-current assets, and $45 million in liabilities. Our total revenues in Russia, in addition to our assets and liabilities in country, are subject to volatility based on foreign currency movements and may fluctuate accordingly.</w:t>
      </w:r>
    </w:p>
    <w:p>
      <w:pPr>
        <w:spacing w:after="0" w:line="198"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may continue to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17" w:lineRule="exact"/>
        <w:rPr>
          <w:sz w:val="20"/>
          <w:szCs w:val="20"/>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638"/>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638"/>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 and Environmental Matters</w:t>
      </w:r>
    </w:p>
    <w:p>
      <w:pPr>
        <w:spacing w:after="0" w:line="206"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in the U.S. and globally relating to the energy industry in general and the environment in particular. Our 2025 expenditures to comply with environmental laws and regulations were not material, and we currently do not expect the cost of compliance with environmental laws and regulations for 2026 to be material. We continuously monitor and strive to maintain compliance with changes in laws and regulations that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 w:name="page7"/>
    <w:bookmarkEnd w:id="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recorded as an undiscounted obligation, with balances of $10 million and $11 million as of December 31, 2025 and 2024, respectively, on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People and Culture</w:t>
      </w:r>
    </w:p>
    <w:p>
      <w:pPr>
        <w:spacing w:after="0" w:line="23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spacing w:after="0" w:line="18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w:t>
      </w:r>
    </w:p>
    <w:p>
      <w:pPr>
        <w:spacing w:after="0" w:line="230" w:lineRule="exact"/>
        <w:rPr>
          <w:sz w:val="20"/>
          <w:szCs w:val="20"/>
          <w:color w:val="auto"/>
        </w:rPr>
      </w:pPr>
    </w:p>
    <w:p>
      <w:pPr>
        <w:ind w:left="640" w:hanging="316"/>
        <w:spacing w:after="0" w:line="223"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Passion: We are energized by our work and inspired to make a positive impact in our industry, for our customers, across our Company, and in our communities;</w:t>
      </w:r>
    </w:p>
    <w:p>
      <w:pPr>
        <w:ind w:left="640" w:hanging="316"/>
        <w:spacing w:after="0" w:line="210" w:lineRule="auto"/>
        <w:tabs>
          <w:tab w:leader="none" w:pos="64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Accountability: We operate with integrity, enable our people and teams to be successful, and aim to be true to our word;</w:t>
      </w:r>
    </w:p>
    <w:p>
      <w:pPr>
        <w:spacing w:after="0" w:line="14" w:lineRule="exact"/>
        <w:rPr>
          <w:rFonts w:ascii="Arial" w:cs="Arial" w:eastAsia="Arial" w:hAnsi="Arial"/>
          <w:sz w:val="21"/>
          <w:szCs w:val="21"/>
          <w:color w:val="auto"/>
        </w:rPr>
      </w:pPr>
    </w:p>
    <w:p>
      <w:pPr>
        <w:ind w:left="640" w:hanging="316"/>
        <w:spacing w:after="0" w:line="210" w:lineRule="auto"/>
        <w:tabs>
          <w:tab w:leader="none" w:pos="64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Innovation: We are driven to deliver advancements that propel our Company, industry, and customers forward; and</w:t>
      </w:r>
    </w:p>
    <w:p>
      <w:pPr>
        <w:spacing w:after="0" w:line="13" w:lineRule="exact"/>
        <w:rPr>
          <w:rFonts w:ascii="Arial" w:cs="Arial" w:eastAsia="Arial" w:hAnsi="Arial"/>
          <w:sz w:val="21"/>
          <w:szCs w:val="21"/>
          <w:color w:val="auto"/>
        </w:rPr>
      </w:pPr>
    </w:p>
    <w:p>
      <w:pPr>
        <w:ind w:left="640" w:hanging="316"/>
        <w:spacing w:after="0" w:line="219"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Value Creation: We aspire to achieving long-term value for all our stakeholders by providing compelling and unique benefits through technology differentiation and operational excellence.</w:t>
      </w:r>
    </w:p>
    <w:p>
      <w:pPr>
        <w:spacing w:after="0" w:line="19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believe that ensuring we have the right talent in place is essential to delivering positive results for the business. We remain focused on developing our talent through training, competency, and mentoring, as well as attracting qualified individuals who will bring fresh perspectives and skill sets to the team. Through role-specific competency-based training and leadership development programs, we seek to expand our employees’ expertise and regularly reinforce important topics that align with our Core Values and strategic priorities.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Focus on Safety</w:t>
      </w:r>
    </w:p>
    <w:p>
      <w:pPr>
        <w:spacing w:after="0" w:line="23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upholds a strong commitment to the health, safety, and overall well-being of our employees, customers, and the communities where we operate. We aim to foster an incident-free workplace, consistently honor our responsibilities, and ensure that the environments and communities we interact with are improved through our actions. Our company values are deeply rooted in safety, recognizing that effective safety practices contribute to operational efficiency.</w:t>
      </w:r>
    </w:p>
    <w:p>
      <w:pPr>
        <w:spacing w:after="0" w:line="209"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This commitment is reflected across all aspects of our organization. Our integrated management system, the Operational Excellence and Performance System (“OEPS”), addresses quality, health, safety, security, and environmental standards, meeting requirements such as ISO 45001. OEPS equips our employees in the field with the tools and support they need to fulfill customer expectations while maintaining high standards in every area. We also offer educational programs on best safety practices, and empower our workforce through the Stop Work Authority program to take action whenever unsafe behaviors or conditions are identified, ensuring that safety and service quality remain central to our operations.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 Culture</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operate in a highly collaborative, global organization, and our workplaces must therefore support effective execution, employee engagement, and long-term business performance. Our approach emphasizes respect, collaboration, and the ability for employees at all levels to contribute effectively, leveraging a broad range of perspectives, experiences, and skills across the Company. These principles are embedded in our One Weatherford culture and inform how we attract, develop, and retain talent. We aim to provide learning, engagement, and philanthropic opportunities to help our people and communities flourish. In 2025, we continued these efforts throughout the organization, including conducting celebrations across the Company that foster collaboration and meaningful conversations and connections. We continued our focus on talent development programs, including NextGen, our field engineering graduate program, which accelerates the development of technical and leadership capabilities for future roles. We also continued localization programs to develop local talent in support of customer operations. In addition, we continued to expand participation in the Women of Weatherford (“WOW”), an employee resource group that seeks to engage, support, empower, and inspire women to foster professional growth and advancement across our regions and employee levels, while also promoting volunteerism and giving back to our local communities.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Community Impact and Volunteering</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investing in our employees, we are committed to making a positive impact in the communities in which we live and work. Across our global operations, employees support community organizations through a range of activities, including volunteering time, donating goods, and providing financial contributions. These efforts focus on causes aligned with community needs, such as health and wellness, education, and support for vulnerable populations. Our community engagement initiatives are led locally and reflect the priorities of the regions in which we operate, reinforcing our commitment to responsible corporate citizenship and positive social impact.</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Statistics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Weatherford had approximately 16,700 employees globally. Some of our operations are subject to union contracts and these contracts cover approximately 9%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 w:name="page9"/>
    <w:bookmarkEnd w:id="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Weatherford</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as of February 4, 2026,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r>
      <w:tr>
        <w:trPr>
          <w:trHeight w:val="225"/>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54</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of Weatherford International plc since October 2020</w:t>
            </w:r>
          </w:p>
        </w:tc>
      </w:tr>
      <w:tr>
        <w:trPr>
          <w:trHeight w:val="45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Anuj Dhruv</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Weatherford International plc, since April 2025</w:t>
            </w:r>
          </w:p>
        </w:tc>
      </w:tr>
      <w:tr>
        <w:trPr>
          <w:trHeight w:val="219"/>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of Finance and Strategy for the Global Olefins and Polyolefins segment at LyondellBasell fro</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2022 to April 2025</w:t>
            </w:r>
          </w:p>
        </w:tc>
      </w:tr>
      <w:tr>
        <w:trPr>
          <w:trHeight w:val="252"/>
        </w:trPr>
        <w:tc>
          <w:tcPr>
            <w:tcW w:w="2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Treasurer at LyondellBasell beginning in February 2020</w:t>
            </w:r>
          </w:p>
        </w:tc>
      </w:tr>
      <w:tr>
        <w:trPr>
          <w:trHeight w:val="198"/>
        </w:trPr>
        <w:tc>
          <w:tcPr>
            <w:tcW w:w="2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Scott C. Weatherholt</w:t>
            </w:r>
          </w:p>
        </w:tc>
        <w:tc>
          <w:tcPr>
            <w:tcW w:w="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81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w w:val="99"/>
              </w:rPr>
              <w:t>Executive Vice President, General Counsel, and Chief Compliance Officer of Weatherford International plc, sin</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2020</w:t>
            </w:r>
          </w:p>
        </w:tc>
      </w:tr>
      <w:tr>
        <w:trPr>
          <w:trHeight w:val="22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D. Ward</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57</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Global Field Operations of Weatherford International plc, since January 2024</w:t>
            </w:r>
          </w:p>
        </w:tc>
      </w:tr>
      <w:tr>
        <w:trPr>
          <w:trHeight w:val="225"/>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Subsea Production Systems of Baker Hughes Co, from May 2021 to December 2022</w:t>
            </w:r>
          </w:p>
        </w:tc>
      </w:tr>
      <w:tr>
        <w:trPr>
          <w:trHeight w:val="225"/>
        </w:trPr>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Strategic Planning &amp; Solutions of Baker Hughes Co, from October 2019 to May 2021</w:t>
            </w:r>
          </w:p>
        </w:tc>
      </w:tr>
      <w:tr>
        <w:trPr>
          <w:trHeight w:val="177"/>
        </w:trPr>
        <w:tc>
          <w:tcPr>
            <w:tcW w:w="22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Desmond J. Mills</w:t>
            </w:r>
          </w:p>
        </w:tc>
        <w:tc>
          <w:tcPr>
            <w:tcW w:w="700" w:type="dxa"/>
            <w:vAlign w:val="bottom"/>
          </w:tcPr>
          <w:p>
            <w:pPr>
              <w:ind w:left="280"/>
              <w:spacing w:after="0" w:line="177" w:lineRule="exact"/>
              <w:rPr>
                <w:sz w:val="20"/>
                <w:szCs w:val="20"/>
                <w:color w:val="auto"/>
              </w:rPr>
            </w:pPr>
            <w:r>
              <w:rPr>
                <w:rFonts w:ascii="Times New Roman" w:cs="Times New Roman" w:eastAsia="Times New Roman" w:hAnsi="Times New Roman"/>
                <w:sz w:val="18"/>
                <w:szCs w:val="18"/>
                <w:color w:val="auto"/>
              </w:rPr>
              <w:t>53</w:t>
            </w:r>
          </w:p>
        </w:tc>
        <w:tc>
          <w:tcPr>
            <w:tcW w:w="8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Senior Vice President and Chief Accounting Officer of Weatherford International plc, since November 202</w:t>
            </w:r>
          </w:p>
        </w:tc>
      </w:tr>
      <w:tr>
        <w:trPr>
          <w:trHeight w:val="231"/>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 August 2022 to January 2023)</w:t>
            </w:r>
          </w:p>
        </w:tc>
      </w:tr>
    </w:tbl>
    <w:p>
      <w:pPr>
        <w:spacing w:after="0" w:line="2" w:lineRule="exact"/>
        <w:rPr>
          <w:sz w:val="20"/>
          <w:szCs w:val="20"/>
          <w:color w:val="auto"/>
        </w:rPr>
      </w:pPr>
    </w:p>
    <w:p>
      <w:pPr>
        <w:ind w:left="3320"/>
        <w:spacing w:after="0" w:line="234" w:lineRule="auto"/>
        <w:rPr>
          <w:sz w:val="20"/>
          <w:szCs w:val="20"/>
          <w:color w:val="auto"/>
        </w:rPr>
      </w:pPr>
      <w:r>
        <w:rPr>
          <w:rFonts w:ascii="Times New Roman" w:cs="Times New Roman" w:eastAsia="Times New Roman" w:hAnsi="Times New Roman"/>
          <w:sz w:val="18"/>
          <w:szCs w:val="18"/>
          <w:color w:val="auto"/>
        </w:rPr>
        <w:t>Vice President and Chief Accounting Officer of Weatherford International plc, from March 2021 to Novemb 2021</w:t>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Segment Compliance Manager, Construction Industries Segment, Caterpillar Inc., from July 2020 to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Energy Services Industry Risks</w:t>
      </w:r>
    </w:p>
    <w:p>
      <w:pPr>
        <w:spacing w:after="0" w:line="244" w:lineRule="exact"/>
        <w:rPr>
          <w:sz w:val="20"/>
          <w:szCs w:val="20"/>
          <w:color w:val="auto"/>
        </w:rPr>
      </w:pPr>
    </w:p>
    <w:p>
      <w:pPr>
        <w:jc w:val="both"/>
        <w:ind w:right="10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01"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Weatherford International plc – 2025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9" w:name="page10"/>
    <w:bookmarkEnd w:id="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and natural gas;</w:t>
      </w:r>
    </w:p>
    <w:p>
      <w:pPr>
        <w:spacing w:after="0" w:line="11" w:lineRule="exact"/>
        <w:rPr>
          <w:rFonts w:ascii="Times New Roman" w:cs="Times New Roman" w:eastAsia="Times New Roman" w:hAnsi="Times New Roman"/>
          <w:sz w:val="18"/>
          <w:szCs w:val="18"/>
          <w:color w:val="auto"/>
        </w:rPr>
      </w:pPr>
    </w:p>
    <w:p>
      <w:pPr>
        <w:ind w:left="960" w:hanging="318"/>
        <w:spacing w:after="0" w:line="238"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and the expanded alliance (“OPEC+”) and other high oil exporting non-OPEC+ nations to set and maintain oil production levels;</w:t>
      </w:r>
    </w:p>
    <w:p>
      <w:pPr>
        <w:ind w:left="960" w:hanging="318"/>
        <w:spacing w:after="0" w:line="230"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in the U.S. and by other non-OPEC+ countries;</w:t>
      </w: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spacing w:after="0" w:line="4" w:lineRule="exact"/>
        <w:rPr>
          <w:rFonts w:ascii="Times New Roman" w:cs="Times New Roman" w:eastAsia="Times New Roman" w:hAnsi="Times New Roman"/>
          <w:sz w:val="18"/>
          <w:szCs w:val="18"/>
          <w:color w:val="auto"/>
        </w:rPr>
      </w:pPr>
    </w:p>
    <w:p>
      <w:pPr>
        <w:ind w:left="960" w:hanging="318"/>
        <w:spacing w:after="0" w:line="23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sustainable energy sources, fuel efficiency and the use of natural gas;</w:t>
      </w:r>
    </w:p>
    <w:p>
      <w:pPr>
        <w:ind w:left="960" w:hanging="318"/>
        <w:spacing w:after="0" w:line="230"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constraints associated with, producing and delivering oil and natural gas;</w:t>
      </w: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the policies of governments regarding the exploration for and production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development of their oil and natural gas reserves;</w:t>
      </w:r>
    </w:p>
    <w:p>
      <w:pPr>
        <w:spacing w:after="0" w:line="5" w:lineRule="exact"/>
        <w:rPr>
          <w:sz w:val="20"/>
          <w:szCs w:val="20"/>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unusual wildfires, natural disasters, and health or similar issues, such as pandemics or epidemics;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 and</w:t>
      </w:r>
    </w:p>
    <w:p>
      <w:pPr>
        <w:spacing w:after="0" w:line="5" w:lineRule="exact"/>
        <w:rPr>
          <w:rFonts w:ascii="Times New Roman" w:cs="Times New Roman" w:eastAsia="Times New Roman" w:hAnsi="Times New Roman"/>
          <w:sz w:val="18"/>
          <w:szCs w:val="18"/>
          <w:color w:val="auto"/>
        </w:rPr>
      </w:pPr>
    </w:p>
    <w:p>
      <w:pPr>
        <w:ind w:left="720" w:right="2040" w:hanging="78"/>
        <w:spacing w:after="0" w:line="251" w:lineRule="auto"/>
        <w:tabs>
          <w:tab w:leader="none" w:pos="9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alternative energy and electric vehicles, including government initiatives to promote the use of sustainable, renewable energy sources and public sentiment around alternatives to oil and natural gas.</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on products and services related to fossil fuels.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w:t>
      </w:r>
    </w:p>
    <w:p>
      <w:pPr>
        <w:spacing w:after="0" w:line="21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Our fulfillment system relies on a global network of external suppliers and service providers, which may be impacted by macroeconomic conditions,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spacing w:after="0" w:line="188"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color w:val="auto"/>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Similarly, geopolitical risks, including instability resulting from civil unrest, political demonstrations, strikes and armed conflict or other crises in the oil and gas producing regions, and the resulting sanctions, could change the global supply chain dynamics and demand. A disruption in deliveries to or from suppliers, or decreased availability of materials at acceptable prices or at all, could have an adverse effect on our ability to meet our commitments to customers or increase our operating costs. Also, certain parts and equipment that we use in our operations may be available only from a small number of suppliers, manufacturers or service providers. A disruption in the deliveries from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spacing w:after="0" w:line="20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including to reduce the reliance upon oil and natural gas.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demand for hydrocarbons may be reduced,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0" w:name="page11"/>
    <w:bookmarkEnd w:id="1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imposition and enforcement of stringent greenhouse gas emissions reduction requirements could severely and adversely impact the oil and natural gas industry and therefore significantly reduce the value of our business.</w:t>
      </w:r>
    </w:p>
    <w:p>
      <w:pPr>
        <w:spacing w:after="0" w:line="177"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Certain financial institutions, institutional investors and other sources of capital may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may result in governmental investigations, and public and private litigation, which could increase our costs or otherwise adversely affect our business or results of operations.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spacing w:after="0" w:line="17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20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energy transition could materially adversely affect our business, financial condition and results of operations.</w:t>
      </w:r>
    </w:p>
    <w:p>
      <w:pPr>
        <w:spacing w:after="0" w:line="175"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operations and our access to capital or the market for our securities.</w:t>
      </w:r>
    </w:p>
    <w:p>
      <w:pPr>
        <w:spacing w:after="0" w:line="22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Severe weather, including extreme weather conditions and unusual wildfires, has in the past, and could in the future, adversely affect our business and results of operations.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Liability claims resulting from catastrophic incidents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1" w:name="page12"/>
    <w:bookmarkEnd w:id="1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Consolidation in our industry may impact our results of operations.</w:t>
      </w:r>
    </w:p>
    <w:p>
      <w:pPr>
        <w:spacing w:after="0" w:line="23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There have been significant business consolidations within the oil and gas industry in recent years. Continuing consolidation within the industry may result in reduced capital spending by some of our customers or the acquisition of one or more of our primary customers, which may lead to decreased demand for our products and services.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U.S., which exposes us to risks inherent in doing business in each of the approximately 75 countries in which we operate.</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U.S. accounted for 15%, 15% and 16% of revenues in 2025, 2024 and 2023, respectively. The rest of our revenues were from non-U.S. operations.</w:t>
      </w:r>
    </w:p>
    <w:p>
      <w:pPr>
        <w:spacing w:after="0"/>
        <w:rPr>
          <w:sz w:val="20"/>
          <w:szCs w:val="20"/>
          <w:color w:val="auto"/>
        </w:rPr>
      </w:pPr>
      <w:r>
        <w:rPr>
          <w:rFonts w:ascii="Times New Roman" w:cs="Times New Roman" w:eastAsia="Times New Roman" w:hAnsi="Times New Roman"/>
          <w:sz w:val="18"/>
          <w:szCs w:val="18"/>
          <w:color w:val="auto"/>
        </w:rPr>
        <w:t>Operations in countries other than the U.S. are subject to various risks, including:</w:t>
      </w:r>
    </w:p>
    <w:p>
      <w:pPr>
        <w:spacing w:after="0" w:line="210" w:lineRule="exact"/>
        <w:rPr>
          <w:sz w:val="20"/>
          <w:szCs w:val="20"/>
          <w:color w:val="auto"/>
        </w:rPr>
      </w:pPr>
    </w:p>
    <w:p>
      <w:pPr>
        <w:jc w:val="both"/>
        <w:ind w:left="960" w:hanging="318"/>
        <w:spacing w:after="0" w:line="243"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and tariffs, weak local economic conditions and international currency fluctuations (including the Russia Ukraine Conflict, conflicts in the Middle East and instability in Latin America);</w:t>
      </w: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local standards and requirements from national oil companies;</w:t>
      </w:r>
    </w:p>
    <w:p>
      <w:pPr>
        <w:spacing w:after="0" w:line="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960" w:right="20" w:hanging="318"/>
        <w:spacing w:after="0" w:line="230"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960" w:hanging="318"/>
        <w:spacing w:after="0" w:line="238"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or conflicts in the Middle East or Latin America and the potential for such issues to exacerbate other risks we face;</w:t>
      </w:r>
    </w:p>
    <w:p>
      <w:pPr>
        <w:ind w:left="960" w:hanging="318"/>
        <w:spacing w:after="0" w:line="230"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w:t>
      </w: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5" w:lineRule="exact"/>
        <w:rPr>
          <w:rFonts w:ascii="Times New Roman" w:cs="Times New Roman" w:eastAsia="Times New Roman" w:hAnsi="Times New Roman"/>
          <w:sz w:val="18"/>
          <w:szCs w:val="18"/>
          <w:color w:val="auto"/>
        </w:rPr>
      </w:pPr>
    </w:p>
    <w:p>
      <w:pPr>
        <w:ind w:left="960" w:hanging="318"/>
        <w:spacing w:after="0" w:line="245"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Kingdom, the U.S. or other countries, including in response to the Russia Ukraine Conflict;</w:t>
      </w:r>
    </w:p>
    <w:p>
      <w:pPr>
        <w:spacing w:after="0" w:line="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U.S. Foreign Corrupt Practices Act or similar governmental legislation in other countries; and</w:t>
      </w:r>
    </w:p>
    <w:p>
      <w:pPr>
        <w:spacing w:after="0" w:line="5"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2" w:name="page13"/>
    <w:bookmarkEnd w:id="1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trade policy and uncertainties related to tariffs could adversely affect our business.</w:t>
      </w:r>
    </w:p>
    <w:p>
      <w:pPr>
        <w:spacing w:after="0" w:line="232"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Tariffs imposed by the United States and retaliatory measures from other countries have and may continue to lead to higher prices for, or reduced availability of, raw materials and finished goods, making products less attractive to customers and potentially reducing demand. Further, these actions have and may continue to create uncertainty in financial markets, impact capital spending, and result in operational disruptions, inflation, and diminished profitability. The unpredictable nature of tariff changes and trade restrictions makes it difficult to anticipate and mitigate risks, which could materially affect our business operations, financial condition, and results of operations. While they created some degree of margin dilution, tariffs did not have a material impact on the Company during the year ended December 31, 2025.</w:t>
      </w:r>
    </w:p>
    <w:p>
      <w:pPr>
        <w:spacing w:after="0" w:line="208"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b w:val="1"/>
          <w:bCs w:val="1"/>
          <w:color w:val="auto"/>
        </w:rPr>
        <w:t>A concentration of our accounts receivable was related to one customer and significant changes to the demand or health of the customer could adversely impact our consolidated results of operations, financial condition and statements of cashflows.</w:t>
      </w:r>
    </w:p>
    <w:p>
      <w:pPr>
        <w:spacing w:after="0" w:line="2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Approximately 24% of our December 31, 2025 accounts receivables were related to our largest customer in Mexico, which comprised 5% of our revenue during the twelve months ended December 31,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Additionally, business slowdowns or other items impacting the financial health of the customer could potentially have an adverse impact on our results of operations.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by cybersecurity incidents and other technology disruptions.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2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7"/>
          <w:szCs w:val="17"/>
          <w:color w:val="auto"/>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spacing w:after="0" w:line="20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certain errors or actions could be repeated or compounded before they are discovered and remediated, all or any of which further increase the risks, costs and consequences of a cybersecurity event or other technology disruption.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spacing w:after="0" w:line="21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Depending on the nature and scope of the cybersecurity incident, it could have a material adverse effect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3" w:name="page14"/>
    <w:bookmarkEnd w:id="1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A pandemic could significantly weaken demand for our products and services and have a substantial negative impact on our business, financial condition, results of operations and cash flows.</w:t>
      </w:r>
    </w:p>
    <w:p>
      <w:pPr>
        <w:spacing w:after="0" w:line="20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Pandemics have caused and could again cause volatile regional and global economic conditions that exacerbate the potential negative impact from many of the other risks we face. We believe that a future pandemic may result in significant reduction in the demand for oil and gas, instability in the global work force, increased cybersecurity vulnerability from remote work and the heightening of geopolitical tensions. Our insurance policies may not cover losses associated with pandemics or similar global health threats.</w:t>
      </w:r>
    </w:p>
    <w:p>
      <w:pPr>
        <w:spacing w:after="0" w:line="19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b w:val="1"/>
          <w:bCs w:val="1"/>
          <w:color w:val="auto"/>
        </w:rPr>
        <w:t>Our business is dependent upon our ability to efficiently and effectively deliver for our customers. As such, we are subject to risks associated with cost over-runs, operating cost inflation, supply chain disruptions, inventory management,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spacing w:after="0" w:line="22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w:t>
      </w:r>
    </w:p>
    <w:p>
      <w:pPr>
        <w:spacing w:after="0" w:line="20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spacing w:after="0" w:line="18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operational and financial growth, in part, is dependent upon our ability to meet our liquidity requirements and the adequacy of our capital resources.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economic and/or market conditions such as the condition of capital and equity markets may impact the price of our ordinary shares and our ability to borrow. Furthermore, if our credit rating is downgraded, it could increase our cost of borrowing.</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may not be fully indemnified against financial losses in all circumstances where damage to or loss of property, personal injury, death or environmental harm occur.</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4" w:name="page15"/>
    <w:bookmarkEnd w:id="1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8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indebtedness and liabilities could limit cash flow available for our operations, expose us to risks that could adversely affect our business, financial condition and results of operations.</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we had $30 million of short-term and $1.5 billion of long-term debt, all accruing interest. If business activity declines, or otherwise does not increase, our level of indebtedness could have negative consequences for our business, financial condition and results of operations, including:</w:t>
      </w:r>
    </w:p>
    <w:p>
      <w:pPr>
        <w:spacing w:after="0" w:line="20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refinance our existing debt, on terms that are commercially acceptable to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less leveraged competitors or competitors that may have better access to capital resources; and</w:t>
      </w:r>
    </w:p>
    <w:p>
      <w:pPr>
        <w:spacing w:after="0" w:line="69"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83"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spacing w:after="0" w:line="2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5" w:name="page16"/>
    <w:bookmarkEnd w:id="1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terms of our indebtedness may restrict our current and future operations, particularly our ability to respond to changes or to pursue our business strategies.</w:t>
      </w:r>
    </w:p>
    <w:p>
      <w:pPr>
        <w:spacing w:after="0" w:line="17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 Credit Agreement and the indentures governing our 6.75% Senior Notes maturing October 2033 (the “2033 Senior Notes”) and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spacing w:after="0" w:line="217"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additional indebtedness;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limiting payment of dividends and other distributions;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prepayment, redemption or repurchase certain debt;</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making loans and assets;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selling assets and incur liens</w:t>
      </w:r>
    </w:p>
    <w:p>
      <w:pPr>
        <w:spacing w:after="0" w:line="3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Failure to attract, retain and develop qualified personnel could impede our operations.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future success depends on our ability to attract, retain and develop qualified personnel to operate and to provide services and support for our business. In addition, we operate in jurisdictions with localization requirements where we rely on the local availability of skilled workers.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spacing w:after="0" w:line="21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Failure to make timely investments in technology and to utilize artificial intelligence appropriately and safely could adversely affect our ability to successfully compete with other companies in our industry, and challenges with properly managing such technologies could result in reputational harm and legal liability that could adversely affect our business, financial condition or results of operations.</w:t>
      </w:r>
    </w:p>
    <w:p>
      <w:pPr>
        <w:spacing w:after="0" w:line="188"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business in which we operate is highly competitive and rapidly evolving. Our business may be adversely affected if we fail to make timely investments in new technology, such as artificial intelligence (“AI”), or if we fail to manage such technologies appropriately.</w:t>
      </w:r>
    </w:p>
    <w:p>
      <w:pPr>
        <w:spacing w:after="0" w:line="190"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are integrating AI tools into our systems and certain products, and many of our third-party service providers, as well as our competitors, are also developing and using such tools. AI may become increasingly important to our operations or to our future growth over time. There can be no assurance that we will realize the desired or anticipated benefits, or any benefits, and we may fail to properly implement such technology.</w:t>
      </w:r>
    </w:p>
    <w:p>
      <w:pPr>
        <w:spacing w:after="0" w:line="195"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In addition, our, and our third-party service providers’, AI tools may not meet existing or rapidly evolving regulatory or industry standards with respect to privacy and data protection, compliance, and transparency, among others, which could inhibit our or our service providers’ ability to maintain an adequate level of functionality or service. AI tools used by us or by our service providers could produce inaccurate or unexpected results or behaviors that could harm our business, customers, or reputation. Furthermore, the deployment of AI systems could expose us to increased cybersecurity threats, such as data breaches and unauthorized access leading to financial losses, legal liabilities, and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6" w:name="page17"/>
    <w:bookmarkEnd w:id="1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competitors may incorporate AI in their business operations and products more rapidly or more successfully than we do. Additionally, the complex and rapidly evolving legal and regulatory landscape around AI may expose us to claims, inquiries, demands and proceedings by private parties and global regulatory authorities or subject us to legal liability as well as reputational harm and compliance may impose significant operational costs and may limit our ability to develop, deploy or use AI tools.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There may be circumstances that adversely affect our ability to declare and pay dividends or repurchase shares.</w:t>
      </w: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2024, we announced our shareholder returns program under which we intend to pay regular quarterly cash dividends and have the authorization to repurchase up to $500 million shares over a three year period. Dividends and share repurchases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or make share repurchases at current levels or at all. Any elimination of, or downward revision in, our dividend payout or share repurchase program could have an adverse effect on the market price of our ordinary shares.</w:t>
      </w:r>
    </w:p>
    <w:p>
      <w:pPr>
        <w:spacing w:after="0" w:line="21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Our acquisitions may not result in anticipated benefits and may present risks not originally contemplated, which may have an adverse affect on our business.</w:t>
      </w:r>
    </w:p>
    <w:p>
      <w:pPr>
        <w:spacing w:after="0" w:line="1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acquisition of additional businesses and assets is part of our growth strategy. We may experience difficulties completing acquisitions or integrating new businesses and properties, and we may be unable to achieve the expected benefits from future acquisitions. Additionally, we cannot provide any assurance that we will be able to find complementary acquisition targets or complete such acquisitions, or achieve the desired results from such acquisitions. Any acquired businesses or assets will be subject to many of the same risks as our existing businesses and may not achieve the levels of performance that we anticipate.</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not realize anticipated operating advantages and cost savings. Future acquisitions may require us to structure new financing arrangements, assume additional liabilities and expenses, as well as incur subsequent write-downs of acquired assets. In addition, the integration of acquired businesses or assets involves a number of risks, including (i) the loss of key customers of the acquired business; (ii) demands on management related to the increase in our size; (iii) the diversion of management’s attention from the management of daily operations; (iv) difficulties in implementing or unanticipated costs of accounting, budgeting, reporting, internal controls, cybersecurity and other information technology systems; and (v) difficulties in the retention and assimilation of necessary employees. Difficulties in integration may be magnified if we make multiple acquisitions over a relatively short period of time.</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Because of difficulties in combining and expanding operations, we may not be able to achieve the cost savings and other benefits that we hoped to achieve after these acquisitions, which could negatively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7" w:name="page18"/>
    <w:bookmarkEnd w:id="1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b w:val="1"/>
          <w:bCs w:val="1"/>
          <w:color w:val="auto"/>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spacing w:after="0" w:line="19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could be imposed, and those regulations could limit our business where they are imposed.</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commitments and disclosures may expose us to reputational risks and legal liability.</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spacing w:after="0" w:line="210"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spacing w:after="0" w:line="21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spacing w:after="0" w:line="193"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8" w:name="page19"/>
    <w:bookmarkEnd w:id="1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consistent and may change over time, which could result in significant revisions to our current goals, reported progress in achieving such goals, or ability to achieve such goals in the future.</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in tax laws could significantly increase our tax expense and require us to take actions, at potential significant expense, to seek to preserve our current level of tax expense.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212"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 October 2021, the Organization of Economic Cooperation and Development (“OECD”), which represents a coalition of member countries, advanced reforms focused on global profit allocation and implementing a global minimum tax rate of at least 15% for large multinational corporations on a jurisdiction-by-jurisdiction basis, known as “Pillar Two.” The reform has been agreed upon by the majority of OECD members. The OECD has since issued administrative guidance providing transition and safe harbor rules around the implementation of the Pillar Two Global Minimum Tax. In December 2022, the European Council formally adopted a European Union directive on the implementation of the plan by January 1, 2024. Numerous countries, including Ireland, have enacted legislation implementing Pillar Two effective January 1, 2024. However, the OECD and countries are continuing to evaluate and adjust the Global Minimum Tax rules through administrative guidance, including legislative updates and adoption by additional countries, which could result in an increase in our effective tax rate.</w:t>
      </w:r>
    </w:p>
    <w:p>
      <w:pPr>
        <w:spacing w:after="0" w:line="20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88% of our deferred tax assets.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United States could treat Weatherford International plc (our parent corporation) as a United States taxpayer under IRC Section 7874.</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Weatherford International plc is organized under the laws of Ireland, we would generally be classified as a foreign corporation for U.S. tax purposes under the general rule that a corporation is considered tax resident in the jurisdiction of its organization or incorporation for U.S. federal income tax purposes. However, the IRS may assert that we should be treated as a U.S. corporation (and therefore, a U.S. tax resident) for U.S. federal income tax purposes pursuant to Section 7874 of the U.S. Internal Revenue Code of 1986, as amended. In addition, a retroactive change to U.S. tax laws in this area could change this classification. If we are to be treated as a U.S. corporation for federal tax purposes, we could be subject to substantially greater U.S. tax liability than currently contemplated as a non-U.S. corporation.</w:t>
      </w:r>
    </w:p>
    <w:p>
      <w:pPr>
        <w:spacing w:after="0" w:line="210"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The rights of our shareholders are governed by Irish law; Irish law differs from the laws in effect in the United States and may afford less protection and increased obligations to holders of our securities.</w:t>
      </w:r>
    </w:p>
    <w:p>
      <w:pPr>
        <w:spacing w:after="0" w:line="17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In addition, depending on the circumstances, the acquisition, ownership and/or disposition of our ordinary shares may subject shareholders to different or additional tax consequences under Irish law including, but not limited to, Irish stamp duty, dividend withholding taxes and capital acquisitions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9" w:name="page20"/>
    <w:bookmarkEnd w:id="1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7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8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Similarly, judgments might not be enforceable in countries other than the United States where we have assets.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A failure of our information systems, including the implementation of our new enterprise resource planning system, or other issues with our systems could have a material adverse affect on our business, financial condition, results of operations and cash flows and could adversely impact the effectiveness of our internal control over financial reporting.</w:t>
      </w:r>
    </w:p>
    <w:p>
      <w:pPr>
        <w:spacing w:after="0" w:line="20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information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infrastructure becomes damaged, fails to function properly, or otherwise becomes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begun a multi-year process of implementing a cloud-based enterprise resource planning (“ERP”) system that will assist with the collection, storage, management and interpretation of data from our business activities to support future growth and to integrate significant processes.</w:t>
      </w:r>
    </w:p>
    <w:p>
      <w:pPr>
        <w:spacing w:after="0" w:line="1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ERP system implementations are complex and time-consuming and involve substantial expenditures on system software and implementation activities, as well as changes to business processes and internal control over financial reporting. The implementation of the ERP system may prove to be more difficult, costly, or time consuming than expected, and there can be no assurance that this system will continue to be beneficial to the extent anticipated. Any disruptions, delays or deficiencies in the design and implementation of our new ERP system, particularly ones that impact our financial reporting and accounting systems or our ability to provide services, send invoices, track payments or fulfill contractual obligations, could adversely affect our business, financial condition, results of operations and cash flows. Additionally, if the ERP system does not operate as intended, the effectiveness of our internal control over financial reporting could be adversely affected or our ability to assess it adequately could be impacted, which could cause us to fail to meet our reporting obligations.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certain of our existing information infrastructure is aged and may require periodic modifications, upgrades, and replacements which may subject us to risks, including operating disruptions, substantial capital expenditures, or additional cost to implement. Any of the aforementioned interruptions, as well as the failure to properly or efficiently modify, upgrade, replace or implement our infrastructure on a timely basis could materially disrupt our operations, and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0" w:name="page21"/>
    <w:bookmarkEnd w:id="20"/>
    <w:p>
      <w:pPr>
        <w:spacing w:after="0"/>
        <w:tabs>
          <w:tab w:leader="none" w:pos="164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1B through Item 4 | Unresolved Staff Comments through Mine Safety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Oversight and Governance</w:t>
      </w:r>
    </w:p>
    <w:p>
      <w:pPr>
        <w:spacing w:after="0" w:line="232"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spacing w:after="0" w:line="203"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Weatherford’s cybersecurity program has been developed by the CIO and the information security team with oversight from our Board of Directors and in coordination with key members of our finance, assurance and legal teams. The information security team is comprised of specialists with a mix of government and public-sector cybersecurity experience. Combined, they have years of experience selecting, deploying and operating cybersecurity technologies and initiatives globally, including our CIO, who has over 25 years of experience in engineering and information technology. Many of our professionals hold university degrees in cybersecurity, information technology, management of information systems and related fields, along with industry-recognized certifications such as CISSP, CASP+, CEH and other related certifications. The team leverages a risk-based approach in an effort to facilitate protection, detection and rapid response to threats. We seek to validate our approach through NIST Cyber Security Risk Assessments conducted by third parties and tested through penetration tests and tabletop exercises, as well as internal and external audits.</w:t>
      </w:r>
    </w:p>
    <w:p>
      <w:pPr>
        <w:spacing w:after="0" w:line="208"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 consistent approach to risk mitigation across the enterprise, including risks related to cybersecurity. The ERM Committee is comprised of certain members of our cross-functional executive leadership team.</w:t>
      </w:r>
    </w:p>
    <w:p>
      <w:pPr>
        <w:spacing w:after="0" w:line="209"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of Directors periodically on the cybersecurity landscape, the status of ongoing initiatives and any threats or other issues. The audit committee has ultimate oversight over the cybersecurity of the organization.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Awareness and Training</w:t>
      </w:r>
    </w:p>
    <w:p>
      <w:pPr>
        <w:spacing w:after="0" w:line="234"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Weatherford offers multilingual training sessions and awareness campaigns to better equip our employees with knowledge and tools to safeguard our information systems. Cybersecurity training is an integral part of our employee development program, beginning with comprehensive onboarding sessions to establish foundational knowledge. To ensure ongoing awareness and preparedness, employees complete annual refresher courses, which reinforce best practices and address emerging cybersecurity threats. Additionally, Weatherford performs periodic phishing simulations and training to enhance employee vigilance against social engineering attacks. We also provide industry-specific cybersecurity training to relevant employees to address sector-specific risks and strengthen our organization’s overall security posture. Employees are encouraged to report on cybersecurity threats, data privacy incidents, or any other concerns.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Weatherford also provides guidance to support employees on acceptable use, remote access, encryption, cloud security, and anti-virus best practices.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has long included a safety moment at the beginning of major internal meetings, and cyber safety is an occasional topic.</w:t>
      </w:r>
    </w:p>
    <w:p>
      <w:pPr>
        <w:spacing w:after="0" w:line="21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believe our ongoing training and awareness campaigns reinforce the importance of employees in preventing cybersecurity incidents, and further the goal of continuously promoting Weatherford’s culture of safety, security and compliance.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Protection Systems</w:t>
      </w:r>
    </w:p>
    <w:p>
      <w:pPr>
        <w:spacing w:after="0" w:line="23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Weatherford has made significant investments in cyber protection systems, including by engaging third party service providers to actively search and monitor information systems for vulnerabilities through penetration testing and other means. In addition, we use a comprehensive suite of cybersecurity tools and software, aligned with government and industry best practices,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tabs>
          <w:tab w:leader="none" w:pos="164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1B through Item 4 | Unresolved Staff Comments through Mine Safety</w:t>
      </w: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multi-factor authentication, complex passwords and advanced security controls, across all major Weatherford systems in an effort to strengthen defenses and prevent unauthorized access.</w:t>
      </w:r>
    </w:p>
    <w:p>
      <w:pPr>
        <w:spacing w:after="0" w:line="19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personnel conduct risk assessments on third-party products and platforms through a structured checklist-based review and interview process that aim to validate implemented security controls and mitigate risk to our organization. This process includes evaluating security architecture, verifying certifications and reviewing results of external security assessments. Additional documentation may be requested to clarify technical measures, compliance reports or risk treatment plans. Cybersecurity approval is a key factor in approving a new third-party product or platform.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Response</w:t>
      </w:r>
    </w:p>
    <w:p>
      <w:pPr>
        <w:spacing w:after="0" w:line="21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Weatherford uses multiple internal and external resources to continuously monitor our information systems for evidence of a threat, breach or other incident.</w:t>
      </w:r>
    </w:p>
    <w:p>
      <w:pPr>
        <w:spacing w:after="0" w:line="19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w:t>
      </w:r>
    </w:p>
    <w:p>
      <w:pPr>
        <w:spacing w:after="0" w:line="210"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w:t>
      </w:r>
    </w:p>
    <w:p>
      <w:pPr>
        <w:spacing w:after="0" w:line="209"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While we believe our approach to cybersecurity is reasonable, given the rapidly evolving nature of cybersecurity incidents, there can be no assurance that the controls we have designed and implemented will be sufficient in preventing future incidents or attacks. To date, no cybersecurity incident or issue has had a material impact on us. See “Item 1A –Risk Factors – Our business could be negatively affected by cybersecurity incidents and other technology disruptions” for more information about cybersecurity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2"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Dhahran, Saudi Arabia; Abu Dhabi, United Arab Emirates; Mina Abdulla, Kuwait; Nimr, Oman; Neuquen, Argentina; Al Khobar, Saudi Arabia; Odessa, Texas, U.S.; Doha, Qatar; Broussard, Louisiana, U.S.; and Villavicencio, Colombia. We operate research and technology centers in Houston, Texas, U.S.; Loughborough, United Kingdom; and Mumbai, India and have major manufacturing centers in JiangSu, China; Abu Dhabi, United Arab Emirates; Huntsville, Texas, U.S. and Vadodara, India.</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of our owned material real property located in the U.S. and Canada are mortgaged to the lenders under our Credit Agreement. Our remaining owned real property is unencumbered under the Credit Agreement; however, the lenders could require we mortgage certain owned real property located in the U.S., Canada and the United Kingdom if any such real property were to exceed the materiality threshold specified in the Credit Agreement. We believe the facilities that we currently occupy are suitable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90" w:lineRule="exact"/>
        <w:rPr>
          <w:sz w:val="20"/>
          <w:szCs w:val="20"/>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 Risk Factors- Legal, Tax and Regulatory Risks.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“Item 1. Business” and “Item 8. Financial Statements and Supplementary Data – Notes to Consolidated Financial Statements – Note 13 – Disputes, Litigation and Legal Contingencies.”</w:t>
      </w:r>
    </w:p>
    <w:p>
      <w:pPr>
        <w:spacing w:after="0" w:line="21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23" w:name="page24"/>
    <w:bookmarkEnd w:id="2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Ordinary Shares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June 2021, we became subject to the reporting requirements of the Securities Exchange Act of 1934 (as amended, the “Exchange Act”). Our ordinary shares began trading on the Nasdaq Global Select Market on June 2, 2021 under the ticker symbol “WFRD.” As of January 30, 2026, we had 66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194"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Information related to dividend payments can be found in “Note 15 – Shareholders’ Equity”. Dividends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at current levels or at all. See “Note 19 – Subsequent Events” for details regarding our latest declared dividend.</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2025. The graph assumes $100 was invested in each of the Company’s ordinary shares, in the aforementioned indices, as well as reinvestment of all dividends. Note that past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146050</wp:posOffset>
            </wp:positionV>
            <wp:extent cx="5654040" cy="403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4040" cy="403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5 | Market for Registrants Ordinary Shares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95"/>
        </w:trPr>
        <w:tc>
          <w:tcPr>
            <w:tcW w:w="1260" w:type="dxa"/>
            <w:vAlign w:val="bottom"/>
            <w:tcBorders>
              <w:top w:val="single" w:sz="8" w:color="0000FF"/>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06/02/21</w:t>
            </w: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12/31/25</w:t>
            </w:r>
          </w:p>
        </w:tc>
      </w:tr>
      <w:tr>
        <w:trPr>
          <w:trHeight w:val="218"/>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$398</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Dow Jones U.S. Oil Equipment and Services Index</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Index</w:t>
            </w: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Philadelphia Oil Service Index</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VanEck Oil Services ETF</w:t>
            </w: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1"/>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Standard &amp; Poor’s 500 Index</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repurchases of our ordinary shares during the three months ended December 31,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Total Number of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256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Total Number of Shares</w:t>
            </w:r>
          </w:p>
        </w:tc>
        <w:tc>
          <w:tcPr>
            <w:tcW w:w="224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2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72"/>
        </w:trPr>
        <w:tc>
          <w:tcPr>
            <w:tcW w:w="194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2560" w:type="dxa"/>
            <w:vAlign w:val="bottom"/>
            <w:vMerge w:val="continue"/>
          </w:tcPr>
          <w:p>
            <w:pPr>
              <w:spacing w:after="0"/>
              <w:rPr>
                <w:sz w:val="14"/>
                <w:szCs w:val="14"/>
                <w:color w:val="auto"/>
              </w:rPr>
            </w:pP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2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Purchased as Part of a Publicly</w:t>
            </w:r>
          </w:p>
        </w:tc>
        <w:tc>
          <w:tcPr>
            <w:tcW w:w="22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Purchased Under the Program</w:t>
            </w:r>
          </w:p>
        </w:tc>
        <w:tc>
          <w:tcPr>
            <w:tcW w:w="0" w:type="dxa"/>
            <w:vAlign w:val="bottom"/>
          </w:tcPr>
          <w:p>
            <w:pPr>
              <w:spacing w:after="0"/>
              <w:rPr>
                <w:sz w:val="1"/>
                <w:szCs w:val="1"/>
                <w:color w:val="auto"/>
              </w:rPr>
            </w:pPr>
          </w:p>
        </w:tc>
      </w:tr>
      <w:tr>
        <w:trPr>
          <w:trHeight w:val="212"/>
        </w:trPr>
        <w:tc>
          <w:tcPr>
            <w:tcW w:w="194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Purchased</w:t>
            </w:r>
          </w:p>
        </w:tc>
        <w:tc>
          <w:tcPr>
            <w:tcW w:w="22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xml:space="preserve">Announced Program </w:t>
            </w:r>
            <w:r>
              <w:rPr>
                <w:rFonts w:ascii="Times New Roman" w:cs="Times New Roman" w:eastAsia="Times New Roman" w:hAnsi="Times New Roman"/>
                <w:sz w:val="14"/>
                <w:szCs w:val="14"/>
                <w:color w:val="auto"/>
                <w:w w:val="97"/>
              </w:rPr>
              <w:t>(1)</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$306,792,954</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$303,735,547</w:t>
            </w:r>
          </w:p>
        </w:tc>
        <w:tc>
          <w:tcPr>
            <w:tcW w:w="0" w:type="dxa"/>
            <w:vAlign w:val="bottom"/>
          </w:tcPr>
          <w:p>
            <w:pPr>
              <w:spacing w:after="0"/>
              <w:rPr>
                <w:sz w:val="1"/>
                <w:szCs w:val="1"/>
                <w:color w:val="auto"/>
              </w:rPr>
            </w:pPr>
          </w:p>
        </w:tc>
      </w:tr>
      <w:tr>
        <w:trPr>
          <w:trHeight w:val="225"/>
        </w:trPr>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48,074</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$299,992,570</w:t>
            </w:r>
          </w:p>
        </w:tc>
        <w:tc>
          <w:tcPr>
            <w:tcW w:w="0" w:type="dxa"/>
            <w:vAlign w:val="bottom"/>
          </w:tcPr>
          <w:p>
            <w:pPr>
              <w:spacing w:after="0"/>
              <w:rPr>
                <w:sz w:val="1"/>
                <w:szCs w:val="1"/>
                <w:color w:val="auto"/>
              </w:rPr>
            </w:pPr>
          </w:p>
        </w:tc>
      </w:tr>
      <w:tr>
        <w:trPr>
          <w:trHeight w:val="219"/>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ind w:left="20" w:right="80" w:firstLine="4"/>
        <w:spacing w:after="0" w:line="219" w:lineRule="auto"/>
        <w:tabs>
          <w:tab w:leader="none" w:pos="186"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July 23, 2024, we announced a program under which we may repurchase our ordinary shares from time to time, up to $500 million through June 2027. Approximately $300 million remained authorized for repurchases as of December 31, 2025. From the inception of this program through December 31, 2025, we have repurchased approximately 2.9 million ordinary shares for $200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190"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 The following section generally discusses our financial condition and results of operations for fiscal year ended December 31, 2025 compared to fiscal year ended December 31, 2024. Please refer to our Annual Report on Form 10-K for the year ended December 31, 2024 filed with the SEC on February 6, 2025, for a discussion regarding our financial condition and results of operations for fiscal year ended December 31, 2024 as compared to fiscal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9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 As shown in the following tables, as of December 31, 2025 oil prices and rig counts were notably lower than at December 31, 2024. The drop in oil prices and rig counts since December 31, 2024 has coincided with reduced activity levels across our industry. Henry Hub natural gas prices increased as of December 31, 2025 compared to December 31, 2024, driven by both U.S. domestic gas demand and investment decisions on adding new export liquified natural gas capacity. Gas production additions, largely driven by positive liquified natural gas sentiment ahead of actual capacity additions, were sourced from a backlog of drilled but uncompleted wells and deferred start-ups.</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(“HH”) natural gas.</w:t>
      </w:r>
    </w:p>
    <w:p>
      <w:pPr>
        <w:spacing w:after="0" w:line="4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76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2"/>
        </w:trPr>
        <w:tc>
          <w:tcPr>
            <w:tcW w:w="39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2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r>
      <w:tr>
        <w:trPr>
          <w:trHeight w:val="225"/>
        </w:trPr>
        <w:tc>
          <w:tcPr>
            <w:tcW w:w="39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2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r>
      <w:tr>
        <w:trPr>
          <w:trHeight w:val="225"/>
        </w:trPr>
        <w:tc>
          <w:tcPr>
            <w:tcW w:w="39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HH </w:t>
            </w:r>
            <w:r>
              <w:rPr>
                <w:rFonts w:ascii="Times New Roman" w:cs="Times New Roman" w:eastAsia="Times New Roman" w:hAnsi="Times New Roman"/>
                <w:sz w:val="22"/>
                <w:szCs w:val="22"/>
                <w:color w:val="auto"/>
                <w:vertAlign w:val="superscript"/>
              </w:rPr>
              <w:t>(2)</w:t>
            </w:r>
          </w:p>
        </w:tc>
        <w:tc>
          <w:tcPr>
            <w:tcW w:w="2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bl>
    <w:p>
      <w:pPr>
        <w:ind w:left="500" w:hanging="158"/>
        <w:spacing w:after="0" w:line="216" w:lineRule="auto"/>
        <w:tabs>
          <w:tab w:leader="none" w:pos="5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Oil price measured in dollars per barrel (rounded to the nearest $0.01)</w:t>
      </w:r>
    </w:p>
    <w:p>
      <w:pPr>
        <w:spacing w:after="0" w:line="22" w:lineRule="exact"/>
        <w:rPr>
          <w:rFonts w:ascii="Times New Roman" w:cs="Times New Roman" w:eastAsia="Times New Roman" w:hAnsi="Times New Roman"/>
          <w:sz w:val="20"/>
          <w:szCs w:val="20"/>
          <w:color w:val="auto"/>
          <w:vertAlign w:val="superscript"/>
        </w:rPr>
      </w:pPr>
    </w:p>
    <w:p>
      <w:pPr>
        <w:ind w:left="500" w:hanging="158"/>
        <w:spacing w:after="0" w:line="197" w:lineRule="auto"/>
        <w:tabs>
          <w:tab w:leader="none" w:pos="5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26" w:name="page27"/>
    <w:bookmarkEnd w:id="2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19"/>
                <w:szCs w:val="19"/>
                <w:color w:val="auto"/>
              </w:rPr>
            </w:pPr>
          </w:p>
        </w:tc>
      </w:tr>
      <w:tr>
        <w:trPr>
          <w:trHeight w:val="232"/>
        </w:trPr>
        <w:tc>
          <w:tcPr>
            <w:tcW w:w="4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5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738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5"/>
        </w:trPr>
        <w:tc>
          <w:tcPr>
            <w:tcW w:w="4300" w:type="dxa"/>
            <w:vAlign w:val="bottom"/>
            <w:tcBorders>
              <w:bottom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2"/>
                <w:szCs w:val="22"/>
                <w:color w:val="auto"/>
                <w:vertAlign w:val="superscript"/>
              </w:rPr>
              <w:t>(1)</w:t>
            </w:r>
          </w:p>
        </w:tc>
        <w:tc>
          <w:tcPr>
            <w:tcW w:w="15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rPr>
              <w:t>1,080</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43"/>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56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1,818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ind w:left="20" w:right="5020" w:firstLine="43"/>
        <w:spacing w:after="0" w:line="218" w:lineRule="auto"/>
        <w:tabs>
          <w:tab w:leader="none" w:pos="22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Prior period international rig count figures were retroactively adjusted by Baker Hughes in the third quarter of 2025.</w:t>
      </w:r>
    </w:p>
    <w:p>
      <w:pPr>
        <w:spacing w:after="0" w:line="31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there may be future impacts and effects on our industry in areas relating to global trade policy and tariffs, global conflicts and resulting sanctions, environmental regulation and others. As tariffs and trade policies continue to develop, the Company actively monitors for changes and adjusts operations to mitigate impacts. While they created some degree of margin dilution, tariffs did not have a material impact on the Company during the year ended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32"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Revenues totaled $4,918 million in 2025, a decrease of $595 million, or 11% compared to 2024. Year-over-year in 2025, product revenues decreased 9% and service revenues decreased 12%. DRE, PRI and WCC were responsible for 52%, 19% and 17% of the decrease in revenues, respectively, with the remaining decrease from lower activity in integrated services and projects. Geographically, each region saw a decrease in revenue, with Latin America responsible for 83% of the decline, North America 11%, Europe/Sub-Sahara Africa/Russia 5% and Middle East/North Africa/Asia 1%. Year-over-year revenue decreases were primarily caused by a softening of the overall market which drove a decline in activity across segments and geographies.</w:t>
      </w:r>
    </w:p>
    <w:p>
      <w:pPr>
        <w:spacing w:after="0" w:line="210" w:lineRule="exact"/>
        <w:rPr>
          <w:sz w:val="20"/>
          <w:szCs w:val="20"/>
          <w:color w:val="auto"/>
        </w:rPr>
      </w:pPr>
    </w:p>
    <w:p>
      <w:pPr>
        <w:jc w:val="both"/>
        <w:ind w:firstLine="318"/>
        <w:spacing w:after="0" w:line="229" w:lineRule="auto"/>
        <w:rPr>
          <w:sz w:val="20"/>
          <w:szCs w:val="20"/>
          <w:color w:val="auto"/>
        </w:rPr>
      </w:pPr>
      <w:r>
        <w:rPr>
          <w:rFonts w:ascii="Times New Roman" w:cs="Times New Roman" w:eastAsia="Times New Roman" w:hAnsi="Times New Roman"/>
          <w:sz w:val="18"/>
          <w:szCs w:val="18"/>
          <w:color w:val="auto"/>
        </w:rPr>
        <w:t>Operating income of $756 million in the twelve months ended December 31, 2025, decreased 19% compared to $938 million in the twelve months ended December 31, 2024, primarily due to the decline in revenue, with a partial offset from lower cost of products and services, lower selling general, administrative and research and development costs and a gain on the sale of our pressure pumping business in Argentina. Cost of products and services of $3.38 billion decreased $221 million, or 6%, in 2025 compared to 2024, primarily due to the decline in product sales and a reduction in headcount leading to lower personnel costs. Our cost of products and services as a percentage of revenues was 69% in 2025 compared to 65% in 2024. The higher cost ratio was primarily due to fixed costs decreasing at a slower rate than revenues.</w:t>
      </w:r>
    </w:p>
    <w:p>
      <w:pPr>
        <w:spacing w:after="0" w:line="2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$772 million decreased $142 million primarily due to a decline in amortization expense and a reduction in headcount leading to lower personnel costs. These costs as a percentage of revenues were 16% in 2025, an improvement compared to 17% in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Gain on sale of business was $70 million in 2025 due to the sale of our pressure pumping business in Argentina during the second quarter of 2025. No sale of business occurred in 2024.</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Restructuring charges were $58 million in 2025 and $42 million in 2024. The increase was driven by reductions to facility footprint and headcount as part of optimization and efficiency initiatives implemented in light of softening market conditions. See “Note 4 – Restructuring Charges” for additional information.</w:t>
      </w:r>
    </w:p>
    <w:p>
      <w:pPr>
        <w:spacing w:after="0" w:line="20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charges, net were $18 million in 2025 and $14 million in 2024. Other charges, net primarily included fees to third-party financial institutions related to collections of certain receivables from our largest customer in Mexico and other miscellaneous items. Other charges, net increased primarily due to acquisition and divestiture related expenditures offset by lower fees related to collections of certain receivables from our largest customer in Mexico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Interest expense, net was primarily the result of the interest on our outstanding long-term debt (see “Note 9 – Borrowings and Other Debt Obligations” to our Consolidated Financial Statements for additional details) offset by interest income. Interest expense, net, of $91 million in 2025, decreased $11 million, or 11%, compared to 2024 primarily from lower interest expense due to a reduction in our outstanding long-term debt. This was partly offset by a decline in interest income due to a reduction in our cash holdings in Argentina upon the execution of multiple Blue Chip Swaps (defined below). See “Note 18 – Blue Chip Swap Securities - Argentina” to our Consolidated Financial Statements for additional details.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Extinguishment of Debt and Bond Redemption Premium</w:t>
      </w:r>
    </w:p>
    <w:p>
      <w:pPr>
        <w:spacing w:after="0" w:line="232"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8"/>
          <w:szCs w:val="18"/>
          <w:color w:val="auto"/>
        </w:rPr>
        <w:t>The loss on extinguishment of debt was for charges on unamortized debt issuance costs and bond redemption premiums, both upon the early redemption of debt. During 2025, we issued $1.2 billion in aggregate principal on our 2033 Senior Notes and we repaid $1.36 billion in principal of our 2030 Senior Notes. As such, we recognized a $39 million loss, comprised of an $8 million loss on extinguishment of debt and $31 million bond redemption premium. During 2024, we repaid in full our 6.5% Senior Secured Notes due 2028 (“2028 Senior Secured Notes”) and $4 million in principal of our 2030 Senior Notes, resulting in a bond redemption premium of $9 million. During 2023, we repaid the remaining $125 million in principal on our Exit Notes and made $243 million in repayments and repurchases of our 2028 Senior Secured Notes, and incurred a $5 million bond redemption premium.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During each of the years ended December 31, 2025 and 2024, we entered into a series of BCS securities transactions that resulted in a “Loss on Blue Chip Swap Securities” of $2 million and $10 million, respectively. See “Note 18 – Blue Chip Swap Securities - Argentina” to our Consolidated Financial Statements for additional details.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expense, net, was primarily comprised of foreign exchange losses, letter of credit fees and other financing charges. Other expense, net, of $70 million was $8 million lower in 2025 as compared to 2024, which was primarily attributable to lower foreign currency losses. Foreign currency losses totaled $45 million and $56 million in 2025 and 2024, respectively, with decrease in 2025 primarily due to lower foreign currency losses in the Mexican Peso.</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provision and respective effective tax rate was $97 million and 18% and $189 million and 26% for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16"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income tax provisions in 2025 and 2024 are primarily driven by income in certain jurisdictions, deemed profit countries and withholding taxes on intercompany and third-party transactions that do not directly correlate to ordinary income or loss. Impairments and other charges recognized did not result in significant tax benefit as a result of being attributed to a non-income tax jurisdiction or our inability to forecast realization of the tax benefit of such losses.</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income tax expense was lower than 2024, primarily driven by the release of $70 million in benefits from previously uncertain tax positions due audit settlements and lapses in the statute of limitations, partially offset by a decrease in the amount of valuation allowance releases as compared to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657"/>
        </w:trPr>
        <w:tc>
          <w:tcPr>
            <w:tcW w:w="60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62"/>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2025</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18"/>
        </w:trPr>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40" w:type="dxa"/>
            <w:vAlign w:val="bottom"/>
          </w:tcPr>
          <w:p>
            <w:pPr>
              <w:spacing w:after="0"/>
              <w:rPr>
                <w:sz w:val="19"/>
                <w:szCs w:val="19"/>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All</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860" w:type="dxa"/>
            <w:vAlign w:val="bottom"/>
          </w:tcPr>
          <w:p>
            <w:pPr>
              <w:spacing w:after="0"/>
              <w:rPr>
                <w:sz w:val="19"/>
                <w:szCs w:val="19"/>
                <w:color w:val="auto"/>
              </w:rPr>
            </w:pPr>
          </w:p>
        </w:tc>
        <w:tc>
          <w:tcPr>
            <w:tcW w:w="5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r>
      <w:tr>
        <w:trPr>
          <w:trHeight w:val="159"/>
        </w:trPr>
        <w:tc>
          <w:tcPr>
            <w:tcW w:w="860" w:type="dxa"/>
            <w:vAlign w:val="bottom"/>
          </w:tcPr>
          <w:p>
            <w:pPr>
              <w:spacing w:after="0"/>
              <w:rPr>
                <w:sz w:val="13"/>
                <w:szCs w:val="13"/>
                <w:color w:val="auto"/>
              </w:rPr>
            </w:pPr>
          </w:p>
        </w:tc>
        <w:tc>
          <w:tcPr>
            <w:tcW w:w="51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51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8"/>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5"/>
        </w:trPr>
        <w:tc>
          <w:tcPr>
            <w:tcW w:w="860" w:type="dxa"/>
            <w:vAlign w:val="bottom"/>
          </w:tcPr>
          <w:p>
            <w:pPr>
              <w:spacing w:after="0"/>
              <w:rPr>
                <w:sz w:val="17"/>
                <w:szCs w:val="17"/>
                <w:color w:val="auto"/>
              </w:rPr>
            </w:pPr>
          </w:p>
        </w:tc>
        <w:tc>
          <w:tcPr>
            <w:tcW w:w="51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42</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86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6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860" w:type="dxa"/>
            <w:vAlign w:val="bottom"/>
          </w:tcPr>
          <w:p>
            <w:pPr>
              <w:spacing w:after="0"/>
              <w:rPr>
                <w:sz w:val="19"/>
                <w:szCs w:val="19"/>
                <w:color w:val="auto"/>
              </w:rPr>
            </w:pP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860" w:type="dxa"/>
            <w:vAlign w:val="bottom"/>
          </w:tcPr>
          <w:p>
            <w:pPr>
              <w:spacing w:after="0"/>
              <w:rPr>
                <w:sz w:val="19"/>
                <w:szCs w:val="19"/>
                <w:color w:val="auto"/>
              </w:rPr>
            </w:pPr>
          </w:p>
        </w:tc>
        <w:tc>
          <w:tcPr>
            <w:tcW w:w="5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r>
    </w:tbl>
    <w:p>
      <w:pPr>
        <w:spacing w:after="0" w:line="172" w:lineRule="exact"/>
        <w:rPr>
          <w:sz w:val="20"/>
          <w:szCs w:val="20"/>
          <w:color w:val="auto"/>
        </w:rPr>
      </w:pPr>
    </w:p>
    <w:p>
      <w:pPr>
        <w:ind w:left="1040" w:hanging="239"/>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2024</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18"/>
        </w:trPr>
        <w:tc>
          <w:tcPr>
            <w:tcW w:w="51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40" w:type="dxa"/>
            <w:vAlign w:val="bottom"/>
          </w:tcPr>
          <w:p>
            <w:pPr>
              <w:spacing w:after="0"/>
              <w:rPr>
                <w:sz w:val="19"/>
                <w:szCs w:val="19"/>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All</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8"/>
        </w:trPr>
        <w:tc>
          <w:tcPr>
            <w:tcW w:w="5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w:t>
            </w:r>
          </w:p>
        </w:tc>
      </w:tr>
      <w:tr>
        <w:trPr>
          <w:trHeight w:val="159"/>
        </w:trPr>
        <w:tc>
          <w:tcPr>
            <w:tcW w:w="5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5"/>
        </w:trPr>
        <w:tc>
          <w:tcPr>
            <w:tcW w:w="51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5"/>
        </w:trPr>
        <w:tc>
          <w:tcPr>
            <w:tcW w:w="51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8"/>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5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51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5"/>
        </w:trPr>
        <w:tc>
          <w:tcPr>
            <w:tcW w:w="5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w:t>
            </w:r>
          </w:p>
        </w:tc>
      </w:tr>
      <w:tr>
        <w:trPr>
          <w:trHeight w:val="225"/>
        </w:trPr>
        <w:tc>
          <w:tcPr>
            <w:tcW w:w="5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5"/>
        </w:trPr>
        <w:tc>
          <w:tcPr>
            <w:tcW w:w="51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1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1040" w:hanging="239"/>
        <w:spacing w:after="0"/>
        <w:tabs>
          <w:tab w:leader="none" w:pos="10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5"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95"/>
        </w:trPr>
        <w:tc>
          <w:tcPr>
            <w:tcW w:w="1260" w:type="dxa"/>
            <w:vAlign w:val="bottom"/>
            <w:tcBorders>
              <w:top w:val="single" w:sz="8" w:color="0000FF"/>
            </w:tcBorders>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Year Ended December 31, 2023</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19"/>
        </w:trPr>
        <w:tc>
          <w:tcPr>
            <w:tcW w:w="1260" w:type="dxa"/>
            <w:vAlign w:val="bottom"/>
          </w:tcPr>
          <w:p>
            <w:pPr>
              <w:spacing w:after="0"/>
              <w:rPr>
                <w:sz w:val="19"/>
                <w:szCs w:val="19"/>
                <w:color w:val="auto"/>
              </w:rPr>
            </w:pPr>
          </w:p>
        </w:tc>
        <w:tc>
          <w:tcPr>
            <w:tcW w:w="39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60" w:type="dxa"/>
            <w:vAlign w:val="bottom"/>
          </w:tcPr>
          <w:p>
            <w:pPr>
              <w:spacing w:after="0"/>
              <w:rPr>
                <w:sz w:val="19"/>
                <w:szCs w:val="19"/>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8"/>
        </w:trPr>
        <w:tc>
          <w:tcPr>
            <w:tcW w:w="5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5,135</w:t>
            </w:r>
          </w:p>
        </w:tc>
      </w:tr>
      <w:tr>
        <w:trPr>
          <w:trHeight w:val="159"/>
        </w:trPr>
        <w:tc>
          <w:tcPr>
            <w:tcW w:w="51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5"/>
        </w:trPr>
        <w:tc>
          <w:tcPr>
            <w:tcW w:w="51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51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9"/>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5"/>
        </w:trPr>
        <w:tc>
          <w:tcPr>
            <w:tcW w:w="51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51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5"/>
        </w:trPr>
        <w:tc>
          <w:tcPr>
            <w:tcW w:w="51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w:t>
            </w:r>
          </w:p>
        </w:tc>
      </w:tr>
      <w:tr>
        <w:trPr>
          <w:trHeight w:val="225"/>
        </w:trPr>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5"/>
        </w:trPr>
        <w:tc>
          <w:tcPr>
            <w:tcW w:w="51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Credits, Net</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4"/>
        </w:trPr>
        <w:tc>
          <w:tcPr>
            <w:tcW w:w="516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3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57"/>
        </w:trPr>
        <w:tc>
          <w:tcPr>
            <w:tcW w:w="1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7"/>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76"/>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4"/>
                <w:szCs w:val="24"/>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8"/>
        </w:trPr>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92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9"/>
              </w:rPr>
              <w:t>(34)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bps</w:t>
            </w:r>
          </w:p>
        </w:tc>
      </w:tr>
    </w:tbl>
    <w:p>
      <w:pPr>
        <w:spacing w:after="0" w:line="300"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DRE revenues of $1.4 billion in 2025 decreased by $311 million or 18% compared to 2024 with approximately 50% of the decrease from lower activity in drilling-related services and approximately 25% of the decrease attributable to a decline in activity for managed pressure drilling. Geographically, approximately 85% of the revenue decrease was from the Latin America region primarily due to a decline in activity in Mexico.</w:t>
      </w:r>
    </w:p>
    <w:p>
      <w:pPr>
        <w:spacing w:after="0" w:line="208"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DRE segment adjusted EBITDA of $309 million in 2025 decreased by $158 million or 34% compared to 2024. DRE segment adjusted EBITDA margin was 22.5% in 2025 compared to 27.8% in 2024. The year-over-year decrease in segment adjusted EBITDA was primarily due to a decline in activity in Latin America.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WCC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0"/>
                <w:szCs w:val="20"/>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0"/>
                <w:szCs w:val="20"/>
                <w:color w:val="auto"/>
              </w:rPr>
            </w:pPr>
          </w:p>
        </w:tc>
      </w:tr>
      <w:tr>
        <w:trPr>
          <w:trHeight w:val="219"/>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9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bps</w:t>
            </w:r>
          </w:p>
        </w:tc>
      </w:tr>
    </w:tbl>
    <w:p>
      <w:pPr>
        <w:spacing w:after="0" w:line="300"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WCC revenues of $1.9 billion in 2025 decreased by $101 million or 5% compared to 2024 with approximately 70% of the decrease from lower activity in cementation products and approximately 30% of the decrease attributable to a decline in activity for completions. Geographically, approximately 65% of the decrease was from Latin America due to a decline in activity in Mexico and approximately 30% of the decrease was from the Europe/Sub-Sahara Africa/Russia region. The remainder of the decrease was driven by North America, but mostly offset by a revenue increase of $18 million in the Middle East/North Africa/Asia region.</w:t>
      </w:r>
    </w:p>
    <w:p>
      <w:pPr>
        <w:spacing w:after="0" w:line="196" w:lineRule="exact"/>
        <w:rPr>
          <w:sz w:val="20"/>
          <w:szCs w:val="20"/>
          <w:color w:val="auto"/>
        </w:rPr>
      </w:pPr>
    </w:p>
    <w:p>
      <w:pPr>
        <w:jc w:val="both"/>
        <w:ind w:firstLine="318"/>
        <w:spacing w:after="0" w:line="226" w:lineRule="auto"/>
        <w:rPr>
          <w:sz w:val="20"/>
          <w:szCs w:val="20"/>
          <w:color w:val="auto"/>
        </w:rPr>
      </w:pPr>
      <w:r>
        <w:rPr>
          <w:rFonts w:ascii="Times New Roman" w:cs="Times New Roman" w:eastAsia="Times New Roman" w:hAnsi="Times New Roman"/>
          <w:sz w:val="18"/>
          <w:szCs w:val="18"/>
          <w:color w:val="auto"/>
        </w:rPr>
        <w:t>WCC segment adjusted EBITDA of $515 million in 2025 decreased by $49 million or 9% compared to 2024. WCC segment adjusted EBITDA margin was 27.5% in 2025 compared to 28.5% in 2024. The year-over-year decrease in segment adjusted EBITDA was primarily due to a decline in activity in cementation products across geographies and a decline in completions in the Latin America and Europe/Sub-Sahara Africa/Russia regions. The declines were partly offset by liner hanger activity in the Middle East/North Africa/Asia region.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7 | MD&amp;A</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57"/>
        </w:trPr>
        <w:tc>
          <w:tcPr>
            <w:tcW w:w="1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7"/>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40" w:type="dxa"/>
            <w:vAlign w:val="bottom"/>
          </w:tcPr>
          <w:p>
            <w:pPr>
              <w:spacing w:after="0"/>
              <w:rPr>
                <w:sz w:val="20"/>
                <w:szCs w:val="20"/>
                <w:color w:val="auto"/>
              </w:rPr>
            </w:pPr>
          </w:p>
        </w:tc>
        <w:tc>
          <w:tcPr>
            <w:tcW w:w="160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0"/>
                <w:szCs w:val="20"/>
                <w:color w:val="auto"/>
              </w:rPr>
            </w:pPr>
          </w:p>
        </w:tc>
      </w:tr>
      <w:tr>
        <w:trPr>
          <w:trHeight w:val="218"/>
        </w:trPr>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bps</w:t>
            </w:r>
          </w:p>
        </w:tc>
      </w:tr>
    </w:tbl>
    <w:p>
      <w:pPr>
        <w:spacing w:after="0" w:line="300"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PRI revenues of $1.3 billion in 2025 decreased by $112 million or 8% compared to 2024 with approximately 65% of the decrease from lower activity in intervention services and drilling tools and approximately 45% of the decrease attributable to a decline in activity for pressure pumping. The sale of our pressure pumping business in Argentina in the second quarter was the primary contributor to the decline in pressure pumping activity. The decrease in revenue was partly offset by a revenue increase of $15 million from sub-sea intervention activity. Geographically, approximately 80% of the revenue decrease was from the Latin America region.</w:t>
      </w:r>
    </w:p>
    <w:p>
      <w:pPr>
        <w:spacing w:after="0" w:line="196" w:lineRule="exact"/>
        <w:rPr>
          <w:sz w:val="20"/>
          <w:szCs w:val="20"/>
          <w:color w:val="auto"/>
        </w:rPr>
      </w:pPr>
    </w:p>
    <w:p>
      <w:pPr>
        <w:jc w:val="both"/>
        <w:ind w:firstLine="318"/>
        <w:spacing w:after="0" w:line="228" w:lineRule="auto"/>
        <w:rPr>
          <w:sz w:val="20"/>
          <w:szCs w:val="20"/>
          <w:color w:val="auto"/>
        </w:rPr>
      </w:pPr>
      <w:r>
        <w:rPr>
          <w:rFonts w:ascii="Times New Roman" w:cs="Times New Roman" w:eastAsia="Times New Roman" w:hAnsi="Times New Roman"/>
          <w:sz w:val="18"/>
          <w:szCs w:val="18"/>
          <w:color w:val="auto"/>
        </w:rPr>
        <w:t>PRI segment adjusted EBITDA of $257 million in 2025 decreased by $62 million or 19% compared to 2024. PRI segment adjusted EBITDA margin was 19.2% in 2025 compared to 22.0% in 2024. The year-over-year decrease in segment adjusted EBITDA was primarily due to a decline in activity in intervention services and drilling tools across all geographies and a decline in pressure pumping, primarily in the Latin America region.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other includes results from non-core business activities that do not individually meet the criteria for segment reporting, including integrated services and projects, which includes pass through services and project management services. All other revenues of $332 million, decreased $71 million or 18%, in 2025 compared to 2024 due to a decline in international activity for integrated services and projects.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was a net expense of $56 million in 2025, which was slightly up compared to the net expense of $52 million in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in 2025 was $267 million, a decrease of $76 million compared to 2024 primarily due to certain intangible assets reaching full amortization in the fourth quarter of 2024. See “Note 2 – Segment Information”, “Note 6 – Property, Plant and Equipment, Net” and “Note 7 – Intangible Assets, Net”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record share-based compensation expense in “Selling, General and Administrative” on the accompanying Consolidated Statements of Operations. We recognized $38 million in 2025 and $45 million in 2024. The year-over-year decrease was primarily due to the vesting of previously granted equity awards, resulting in a lower number of unvested awards subject to expense recognition. See “Note 14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32"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7"/>
          <w:szCs w:val="17"/>
          <w:color w:val="auto"/>
        </w:rPr>
        <w:t>Growth and spending in the energy services industry is highly dependent on many external factors. These include but are not limited to; the impact from geopolitical conflicts; our customers’ capital expenditures; environmental, social and governance and other sustainability policies and initiatives; world economic, political, trade, and weather conditions; the price of oil, natural gas, and alternatives; member-country quota compliance within the Organization of Petroleum Exporting Countries and the expanded alliance (OPEC+); non-OPEC+ investments and project timing. Imbalance across geographies driven by geopolitical conflicts, investment variances and demand growth alignment with supply stability are driving a greater focus on energy markets balance. In the short term, we see continued focus on capital discipline and efficiencies across all geographies, which we expect to result in muted activity for our services and products, particularly in the first half of 2026, as our customers regulate activity timing and services spending, relative to macro-driven factors listed above. We expect activity to improve in the second half of 2026, resulting in a full year that is slightly lower to in line with 2025.</w:t>
      </w:r>
    </w:p>
    <w:p>
      <w:pPr>
        <w:spacing w:after="0" w:line="198" w:lineRule="exact"/>
        <w:rPr>
          <w:sz w:val="20"/>
          <w:szCs w:val="20"/>
          <w:color w:val="auto"/>
        </w:rPr>
      </w:pPr>
    </w:p>
    <w:p>
      <w:pPr>
        <w:jc w:val="both"/>
        <w:ind w:firstLine="318"/>
        <w:spacing w:after="0" w:line="226" w:lineRule="auto"/>
        <w:rPr>
          <w:sz w:val="20"/>
          <w:szCs w:val="20"/>
          <w:color w:val="auto"/>
        </w:rPr>
      </w:pPr>
      <w:r>
        <w:rPr>
          <w:rFonts w:ascii="Times New Roman" w:cs="Times New Roman" w:eastAsia="Times New Roman" w:hAnsi="Times New Roman"/>
          <w:sz w:val="18"/>
          <w:szCs w:val="18"/>
          <w:color w:val="auto"/>
        </w:rPr>
        <w:t>We remain constructive on our activity profile over the next several years, as we expect positive macroeconomic conditions coupled with our focus on technology adoption and market penetration, to provide a pathway to multi-year energy demand expansion. The mix of customer spending related to regional and operating environment factors (short-cycle vs. long-cycle projects, offshore vs onshore, reservoir and well development cycles) may also influence the timing, type, and intensity of demand for products and services within our portfolio. We continue to closely monitor macroeconomic conditions, potential supply chain disruptions, inflationary factors, and other labor and logistical constraints that could impact our operations and results. Unpredictable developments—such as the potential opening of Venezuela to foreign oil companies—may increase activity levels in the mid to long term.</w:t>
      </w:r>
    </w:p>
    <w:p>
      <w:pPr>
        <w:spacing w:after="0" w:line="2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as well as new energy platforms to continue to require more advanced technology from the energy service industry. Weatherford delivers innovative energy services that integrate proven technologies with advanced digitization to create sustainable offerings for maximized value and return on investment. We continue to expand our product and services offerings across the well cycle, including well construction and completions remote monitoring, and predictive analytics.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2025, we had cash and cash equivalents of $987 million and $55 million in restricted cash, compared to $916 million of cash and cash equivalents and $59 million of restricted cash at December 31, 2024. The following table summarizes cash provided by (used in) each type of business activity in the periods presented:</w:t>
      </w:r>
    </w:p>
    <w:p>
      <w:pPr>
        <w:spacing w:after="0" w:line="4" w:lineRule="exact"/>
        <w:rPr>
          <w:sz w:val="20"/>
          <w:szCs w:val="20"/>
          <w:color w:val="auto"/>
        </w:rPr>
      </w:pPr>
    </w:p>
    <w:tbl>
      <w:tblPr>
        <w:tblLayout w:type="fixed"/>
        <w:tblInd w:w="1780" w:type="dxa"/>
        <w:tblCellMar>
          <w:top w:w="0" w:type="dxa"/>
          <w:left w:w="0" w:type="dxa"/>
          <w:bottom w:w="0" w:type="dxa"/>
          <w:right w:w="0" w:type="dxa"/>
        </w:tblCellMar>
      </w:tblPr>
      <w:tr>
        <w:trPr>
          <w:trHeight w:val="22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260" w:type="dxa"/>
            <w:vAlign w:val="bottom"/>
          </w:tcPr>
          <w:p>
            <w:pPr>
              <w:spacing w:after="0"/>
              <w:rPr>
                <w:sz w:val="19"/>
                <w:szCs w:val="19"/>
                <w:color w:val="auto"/>
              </w:rPr>
            </w:pPr>
          </w:p>
        </w:tc>
        <w:tc>
          <w:tcPr>
            <w:tcW w:w="278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2"/>
        </w:trPr>
        <w:tc>
          <w:tcPr>
            <w:tcW w:w="39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rPr>
              <w:t>676</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6"/>
              </w:rPr>
              <w:t>792</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(145)</w:t>
            </w:r>
          </w:p>
        </w:tc>
        <w:tc>
          <w:tcPr>
            <w:tcW w:w="360" w:type="dxa"/>
            <w:vAlign w:val="bottom"/>
          </w:tcPr>
          <w:p>
            <w:pPr>
              <w:spacing w:after="0"/>
              <w:rPr>
                <w:sz w:val="19"/>
                <w:szCs w:val="19"/>
                <w:color w:val="auto"/>
              </w:rPr>
            </w:pPr>
          </w:p>
        </w:tc>
        <w:tc>
          <w:tcPr>
            <w:tcW w:w="120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(293)</w:t>
            </w:r>
          </w:p>
        </w:tc>
        <w:tc>
          <w:tcPr>
            <w:tcW w:w="0" w:type="dxa"/>
            <w:vAlign w:val="bottom"/>
          </w:tcPr>
          <w:p>
            <w:pPr>
              <w:spacing w:after="0"/>
              <w:rPr>
                <w:sz w:val="1"/>
                <w:szCs w:val="1"/>
                <w:color w:val="auto"/>
              </w:rPr>
            </w:pPr>
          </w:p>
        </w:tc>
      </w:tr>
      <w:tr>
        <w:trPr>
          <w:trHeight w:val="225"/>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7"/>
              </w:rPr>
              <w:t>(474)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7"/>
              </w:rPr>
              <w:t>(511)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$676 million in 2025 and $792 million in 2024. The primary operating source of cash in each year was collections related to our sales of products and services, partly offset by operating spend. The year-over-year decrease was primarily due to a decrease in collections as a result of decreased revenue, partially offset by lower employee costs and an increase in cash proceeds from factoring arrangements (see “Liquidity and Capital Resources - Accounts Receivable Factoring” below).</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2025 was $145 million. The primary uses of cash in investing activities were for capital expenditures of $226 million and the purchase of Blue Chip Swap securities in Argentina for $117 million (see “Note 18 – Blue Chip Swap Securities - Argentina”). The uses of cash were partially offset by Blue Chip Swap proceeds of $115 million and $97 million of proceeds received from the sale of our pressure pumping business in Argentina (see “Note 2 – Segment Information”).</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in 2024 was $293 million. The uses of cash in investing activities were for capital expenditures of $299 million, business acquisitions net of cash acquired of $51 million and the purchase of Blue Chip Swap securities in Argentina for $50 million (see “Note 18 – Blue Chip Swap Securities - Argentina”). The uses of cash were offset by proceeds from sale of investments of $41 million from our marketable securities in Argentina, Blue Chip Swap proceeds of $40 million and $31 million in proceeds from the disposition of assets.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2025 was $474 million. The primary uses of cash in financing activities were for repayments and repurchases of long-term debt of $1.4 billion (see “Note 9 – Borrowings and Other Debt Obligations”), $101 million for share repurchases (see “Note 15 – Shareholders’ Equity”), $72 million for dividend payments (see “Note 15 – Shareholders’ Equity”), bond redemption premium of $31 million resulting from early redemptions, distributions to noncontrolling interests of $29 million, $21 million in tax remittances on equity awards and $18 million in debt issuance costs. The uses of cash were offset by $1.2 billion in proceeds from the issuance of our 2033 Senior Notes.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2024 was $511 million. The primary uses of cash in financing activities were for repayments and repurchases of long-term debt of $287 million (see “Note 9 – Borrowings and Other Debt Obligations”), $99 million for share repurchases (see “Note 15 – Shareholders’ Equity”), $36 million for dividend payments (see “Note 15 – Shareholders’ Equity”) and distributions to noncontrolling interests of $39 million. In addition, we paid $31 million in tax remittances on equity awards. The remaining financing cash uses were primarily for bond redemption premiums and contingent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and financial obligations,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shareholder returns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11 – Derivative Financial Instruments.”</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we had outstanding debt of $236 million in aggregate principal amount for our 2030 Senior Notes and $1.2 billion in aggregate principal amount for our 2033 Senior Notes. We expect $103 million in interest payments annually in 2026 and $101 million each year thereafter until the maturity of our 2030 and 2033 Senior Notes. See “Note 9 – Borrowings and Other Debt Obligations” for additional information.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months rolling period and our 2026 capital spend is projected to fall within the same framework. Our payments on our operating and finance leases in 2026 are expected to be approximately $91 million, and $232 million in the years thereafter. See “Note 8 – Leases” for additional information.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December 31, 2025 we had approximately $31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(see “Note 18 – Blue Chip Swap Securities - Argentina”), which may contribute to a decrease in cash and cash equivalents. As we continue to conduct business in countries with cash that cannot be immediately repatriated, we may consider infrequent transactions like the BCS transaction in the future to safeguard our cash from exposure to the effects of inflation and currency devaluation.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2025 were upgraded since December 31, 2024 as follows:</w:t>
      </w:r>
    </w:p>
    <w:p>
      <w:pPr>
        <w:spacing w:after="0" w:line="24"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Moody's Investors Service upgraded our Corporate Family Rating from ‘Ba3’ to ‘Ba2;’ with a positive outlook</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upgraded our issuer credit ratings from ‘BB-’ to ‘BB;’ with a stable outlook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 Ratings upgraded our issuer credit ratings from ‘BB-’ to ‘BB;’ with a stable outlook</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34"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2025, and December 31, 2024, Mexico accounted for 27% and 31% of our total net accounts receivables, respectively, of which our largest customer in the country accounted for 24% and 26%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twelve months ended December 31, 2025 and December 31, 2024 we paid an immaterial amount of fees to third-party financial institutions related to collections of certain receivables from our largest customer in Mexico. Pursuant to such arrangements, we received $93 million during the twelve months ended December 31, 2025 and $484 million during the twelve months ended December 31, 2024.</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2025 and 2024, we sold accounts receivable balances of $250 million and $111 million, respectively, and received cash proceeds of $247 million and $110 million, respectively, at the time of factoring. These proceeds are included as operating cash flows in our Consolidated Statements of Cash Flows.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fluctuating exchange rates on future cash flows denominated in a foreign currency. The amounts will fluctuate, depending on exchange rate volatility, the volume of our foreign currency transactions, and our decisions to hedge. During the fourth quarters of 2024 and 2023, we entered into credit default swaps (“CDS”), further described below. The notional amounts of our foreign currency forward contracts and the CDS do not generally represent cash amounts exchanged by the parties and are calculated based on the terms of the derivative instrument. See also “Note 11 – Derivative Financial Instruments” for additional information.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Default Swap</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2025 and December 31, 2024. Under the CDS terms, within five business days upon notification of default, we could be required to pay the then outstanding notional balance net of recoveries. As of December 31, 2025, we had a notional balance of $14 million outstanding under the CDS and as of December 31, 2024 we had a notional balance of $25 million outstanding. Management expects the total notional balance under the CDS to be nil by December 31, 2026.</w:t>
      </w:r>
    </w:p>
    <w:p>
      <w:pPr>
        <w:spacing w:after="0" w:line="210" w:lineRule="exact"/>
        <w:rPr>
          <w:sz w:val="20"/>
          <w:szCs w:val="20"/>
          <w:color w:val="auto"/>
        </w:rPr>
      </w:pPr>
    </w:p>
    <w:p>
      <w:pPr>
        <w:jc w:val="both"/>
        <w:ind w:firstLine="318"/>
        <w:spacing w:after="0" w:line="288" w:lineRule="auto"/>
        <w:rPr>
          <w:sz w:val="20"/>
          <w:szCs w:val="20"/>
          <w:color w:val="auto"/>
        </w:rPr>
      </w:pPr>
      <w:r>
        <w:rPr>
          <w:rFonts w:ascii="Times New Roman" w:cs="Times New Roman" w:eastAsia="Times New Roman" w:hAnsi="Times New Roman"/>
          <w:sz w:val="17"/>
          <w:szCs w:val="17"/>
          <w:color w:val="auto"/>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3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2030 Senior Notes were issued by Weatherford International Ltd., a Bermuda exempted company (“Weatherford Bermuda”), and guaranteed by the Company and other subsidiary guarantors party thereto. On December 1, 2022, the indenture related to our 2030 Senior Notes was amended and supplemented to add Weatherford International, LLC, a Delaware limited liability company (“Weatherford Delaware”) as co-issuer and co-obligor, and concurrently released the guarantee of Weatherford Delaware.</w:t>
      </w:r>
    </w:p>
    <w:p>
      <w:pPr>
        <w:spacing w:after="0" w:line="22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Our 2033 Senior Notes were issued by Weatherford Bermuda and guaranteed by the Company and other subsidiary guarantors party thereto. On October 24, 2025, the indenture related to our 2033 Senior Notes was amended and supplemented to add Weatherford Delaware as co-issuer and co-obligor, and concurrently released the guarantee of Weatherford Delaware. See “Note 9 – Borrowings and Other Debt Obligations”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34"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2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spacing w:after="0" w:line="187"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As of December 31, 2025, under the Credit Agreement we had zero borrowings, $7 million in financial letters of credit and $245 million in performance letters of credit outstanding. Additionally as of December 31, 2025, we had $207 million letters of credit under various uncommitted bi-lateral facilities ($47 million of which was cash collateral held and recorded in “Restricted Cash” on the Consolidated Balance Sheets).</w:t>
      </w: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Consolidated Balance Sheets).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December 31, 2025, we had $629 million of surety bonds outstanding. A breach of certain contractual or performance obligations under our outstanding letters of credit or surety bonds could result in beneficiaries calling such instruments, which could reduce our available liquidity if we are unable to mitigate the issue.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(“PP&amp;E”), definite-lived intangibles and operating lease assets, comprise a significant amount of our assets. The carrying value of our long-lived assets at December 31, 2025 and December 31, 2024 was approximately $1.5 billion. The cost of the long-lived assets is then amortized over their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p>
      <w:pPr>
        <w:spacing w:after="0" w:line="104"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Buildings and Leasehold </w:t>
            </w:r>
            <w:r>
              <w:rPr>
                <w:rFonts w:ascii="Times New Roman" w:cs="Times New Roman" w:eastAsia="Times New Roman" w:hAnsi="Times New Roman"/>
                <w:sz w:val="10"/>
                <w:szCs w:val="10"/>
                <w:color w:val="auto"/>
              </w:rPr>
              <w:t>I</w:t>
            </w:r>
            <w:r>
              <w:rPr>
                <w:rFonts w:ascii="Times New Roman" w:cs="Times New Roman" w:eastAsia="Times New Roman" w:hAnsi="Times New Roman"/>
                <w:sz w:val="18"/>
                <w:szCs w:val="18"/>
                <w:color w:val="auto"/>
              </w:rPr>
              <w:t>mprovements</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10 – 40 years</w:t>
            </w: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2 – 12 years</w:t>
            </w: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5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 – 10 years</w:t>
            </w:r>
          </w:p>
        </w:tc>
      </w:tr>
    </w:tbl>
    <w:p>
      <w:pPr>
        <w:spacing w:after="0" w:line="2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6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an impairment has occurred, the Company recognizes a loss for the difference between the carrying amount and the fair value of the asset group.</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2025, 2024 and 2023.</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17 – Income Taxes” for detailed discussion of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Critical Accounting Policies and Estimates</w:t>
      </w:r>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4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7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31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Effective January 1, 2024,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did not materially increase taxes in 2025 and 2024 and is not expected to materially increase future taxes.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Valuation Allowance for Deferred Tax Assets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$1.1 billion as of December 31, 2025 and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 – Item 1A. Risk Factors”, sets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forth certain risks and uncertainties relating to our forward-looking statements that may cause actual results to be materially different from our present expectations or projections:</w:t>
      </w:r>
    </w:p>
    <w:p>
      <w:pPr>
        <w:spacing w:after="0" w:line="190" w:lineRule="exact"/>
        <w:rPr>
          <w:sz w:val="20"/>
          <w:szCs w:val="20"/>
          <w:color w:val="auto"/>
        </w:rPr>
      </w:pPr>
    </w:p>
    <w:p>
      <w:pPr>
        <w:jc w:val="both"/>
        <w:ind w:left="720" w:hanging="317"/>
        <w:spacing w:after="0" w:line="253"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conflicts in the Middle East and instability in Latin America);</w:t>
      </w: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720" w:right="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jc w:val="both"/>
        <w:ind w:left="720" w:hanging="317"/>
        <w:spacing w:after="0"/>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conflicts in the Middle East or Latin America, such as nationalization of assets, and the potential for such issues to exacerbate other risks and uncertainties listed or referenced;</w:t>
      </w:r>
    </w:p>
    <w:p>
      <w:pPr>
        <w:spacing w:after="0" w:line="2" w:lineRule="exact"/>
        <w:rPr>
          <w:rFonts w:ascii="Times New Roman" w:cs="Times New Roman" w:eastAsia="Times New Roman" w:hAnsi="Times New Roman"/>
          <w:sz w:val="18"/>
          <w:szCs w:val="18"/>
          <w:color w:val="auto"/>
        </w:rPr>
      </w:pPr>
    </w:p>
    <w:p>
      <w:pPr>
        <w:ind w:left="720" w:right="520" w:hanging="317"/>
        <w:spacing w:after="0" w:line="237"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 including due to macroeconomic and geopolitical conditions such as tariffs and changes in trade policies;</w:t>
      </w:r>
    </w:p>
    <w:p>
      <w:pPr>
        <w:spacing w:after="0" w:line="1"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720" w:right="10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2"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720" w:right="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7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and including our digitalization efforts and our incorporation of artificial intelligence tools;</w:t>
      </w:r>
    </w:p>
    <w:p>
      <w:pPr>
        <w:spacing w:after="0" w:line="2"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ind w:left="7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enterprise resource planning system implementation,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720" w:right="520" w:hanging="317"/>
        <w:spacing w:after="0" w:line="245" w:lineRule="auto"/>
        <w:tabs>
          <w:tab w:leader="none" w:pos="7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 and</w:t>
      </w:r>
    </w:p>
    <w:p>
      <w:pPr>
        <w:spacing w:after="0" w:line="5"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pandemics.</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Forward-Looking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related to market risk is included earlier in Item 7. Management's Discussion and Analysis of Financial Condition and Results of Operations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“Other Expense, Net”, “Cash Requirements” and “Derivative Financial Instruments” and later, in the Notes to Consolidated Financial Statements under Item 8. Financial Statements and Supplementary Data, in “Note 1 – Summary of Significant Accounting Policies”, “Note 10 – Fair Value of Financial Instruments, Assets and Other Assets” and “Note 11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07"/>
        </w:trPr>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Financial Statements and Supplementary Data</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57"/>
        </w:trPr>
        <w:tc>
          <w:tcPr>
            <w:tcW w:w="89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7"/>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60" w:type="dxa"/>
            <w:vAlign w:val="bottom"/>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5"/>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4"/>
        </w:trPr>
        <w:tc>
          <w:tcPr>
            <w:tcW w:w="31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(KPMG LLP, Houston, TX Firm ID 185)</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43</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46</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47</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48</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2025, 2024 and 2023</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49</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05"/>
        </w:trPr>
        <w:tc>
          <w:tcPr>
            <w:tcW w:w="898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000" w:type="dxa"/>
            <w:vAlign w:val="bottom"/>
            <w:gridSpan w:val="3"/>
            <w:shd w:val="clear" w:color="auto" w:fill="CCEEFF"/>
          </w:tcPr>
          <w:p>
            <w:pPr>
              <w:jc w:val="center"/>
              <w:ind w:left="1052"/>
              <w:spacing w:after="0" w:line="186" w:lineRule="exact"/>
              <w:rPr>
                <w:sz w:val="20"/>
                <w:szCs w:val="20"/>
                <w:color w:val="auto"/>
              </w:rPr>
            </w:pPr>
            <w:r>
              <w:rPr>
                <w:rFonts w:ascii="Times New Roman" w:cs="Times New Roman" w:eastAsia="Times New Roman" w:hAnsi="Times New Roman"/>
                <w:sz w:val="18"/>
                <w:szCs w:val="18"/>
                <w:color w:val="0000FF"/>
                <w:w w:val="99"/>
              </w:rPr>
              <w:t>50</w:t>
            </w:r>
          </w:p>
        </w:tc>
      </w:tr>
      <w:tr>
        <w:trPr>
          <w:trHeight w:val="265"/>
        </w:trPr>
        <w:tc>
          <w:tcPr>
            <w:tcW w:w="3120" w:type="dxa"/>
            <w:vAlign w:val="bottom"/>
            <w:tcBorders>
              <w:top w:val="single" w:sz="8" w:color="0000FF"/>
            </w:tcBorders>
            <w:gridSpan w:val="2"/>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1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186"/>
        </w:trPr>
        <w:tc>
          <w:tcPr>
            <w:tcW w:w="312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5860" w:type="dxa"/>
            <w:vAlign w:val="bottom"/>
            <w:gridSpan w:val="7"/>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340"/>
              <w:spacing w:after="0" w:line="186" w:lineRule="exact"/>
              <w:rPr>
                <w:sz w:val="20"/>
                <w:szCs w:val="20"/>
                <w:color w:val="auto"/>
              </w:rPr>
            </w:pPr>
            <w:r>
              <w:rPr>
                <w:rFonts w:ascii="Times New Roman" w:cs="Times New Roman" w:eastAsia="Times New Roman" w:hAnsi="Times New Roman"/>
                <w:sz w:val="18"/>
                <w:szCs w:val="18"/>
                <w:color w:val="0000FF"/>
                <w:w w:val="99"/>
              </w:rPr>
              <w:t>51</w:t>
            </w:r>
          </w:p>
        </w:tc>
      </w:tr>
      <w:tr>
        <w:trPr>
          <w:trHeight w:val="40"/>
        </w:trPr>
        <w:tc>
          <w:tcPr>
            <w:tcW w:w="1260" w:type="dxa"/>
            <w:vAlign w:val="bottom"/>
            <w:tcBorders>
              <w:left w:val="single" w:sz="8" w:color="CCEEFF"/>
            </w:tcBorders>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Weatherford International plc and subsidiaries (the Company) as of December 31, 2025 and 2024, the related consolidated statements of operations, comprehensive income,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4,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Assessment of impairment triggering events related to long-lived assets</w:t>
      </w:r>
    </w:p>
    <w:p>
      <w:pPr>
        <w:spacing w:after="0" w:line="232" w:lineRule="exact"/>
        <w:rPr>
          <w:sz w:val="20"/>
          <w:szCs w:val="20"/>
          <w:color w:val="auto"/>
        </w:rPr>
      </w:pPr>
    </w:p>
    <w:p>
      <w:pPr>
        <w:jc w:val="both"/>
        <w:ind w:left="640"/>
        <w:spacing w:after="0" w:line="235"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2025 was $1.5 billion.</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identified the assessment of impairment triggering events related to long-lived asset groups as a critical audit matter. The assessment of whether</w:t>
      </w:r>
    </w:p>
    <w:p>
      <w:pPr>
        <w:spacing w:after="0" w:line="36" w:lineRule="exact"/>
        <w:rPr>
          <w:sz w:val="20"/>
          <w:szCs w:val="20"/>
          <w:color w:val="auto"/>
        </w:rPr>
      </w:pPr>
    </w:p>
    <w:p>
      <w:pPr>
        <w:ind w:left="640" w:right="20" w:firstLine="2"/>
        <w:spacing w:after="0" w:line="251" w:lineRule="auto"/>
        <w:tabs>
          <w:tab w:leader="none" w:pos="8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expected sustained decreases in cash flows generated by an asset group and (ii) negative changes in industry conditions represented a triggering event required a higher degree of subjective auditor judgment.</w:t>
      </w:r>
    </w:p>
    <w:p>
      <w:pPr>
        <w:spacing w:after="0" w:line="210"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E1F"/>
        </w:rPr>
        <w:t>We have served as the Company’s auditor since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33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We have audited Weatherford International plc and subsidiaries' (the Company)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shareholders’ equity, and cash flows for each of the years in the three-year period ended December 31, 2025, and the related notes (collectively, the consolidated financial statements), and our report dated February 4, 2026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 except per share amounts)</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25"/>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5"/>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Products</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5"/>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(70)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Charges (Credits), Net</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18"/>
        </w:trPr>
        <w:tc>
          <w:tcPr>
            <w:tcW w:w="5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2"/>
        </w:trPr>
        <w:tc>
          <w:tcPr>
            <w:tcW w:w="5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 of $46, $56 and $59</w:t>
            </w:r>
          </w:p>
        </w:tc>
        <w:tc>
          <w:tcPr>
            <w:tcW w:w="88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(91)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(39)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(70)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8"/>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5"/>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(97)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5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5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8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5"/>
              </w:rPr>
              <w:t>72.2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65"/>
        </w:trPr>
        <w:tc>
          <w:tcPr>
            <w:tcW w:w="5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5"/>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72.6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14" w:lineRule="exact"/>
        <w:rPr>
          <w:sz w:val="20"/>
          <w:szCs w:val="20"/>
          <w:color w:val="auto"/>
        </w:rPr>
      </w:pPr>
    </w:p>
    <w:tbl>
      <w:tblPr>
        <w:tblLayout w:type="fixed"/>
        <w:tblInd w:w="54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4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r>
      <w:tr>
        <w:trPr>
          <w:trHeight w:val="232"/>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Pension</w:t>
            </w:r>
          </w:p>
        </w:tc>
        <w:tc>
          <w:tcPr>
            <w:tcW w:w="9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9"/>
        </w:trPr>
        <w:tc>
          <w:tcPr>
            <w:tcW w:w="1260" w:type="dxa"/>
            <w:vAlign w:val="bottom"/>
            <w:tcBorders>
              <w:top w:val="single" w:sz="8" w:color="0000FF"/>
            </w:tcBorders>
          </w:tcPr>
          <w:p>
            <w:pPr>
              <w:spacing w:after="0"/>
              <w:rPr>
                <w:sz w:val="24"/>
                <w:szCs w:val="24"/>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7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and shares in millions, except par value)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21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2"/>
        </w:trPr>
        <w:tc>
          <w:tcPr>
            <w:tcW w:w="8320" w:type="dxa"/>
            <w:vAlign w:val="bottom"/>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$10 at December 31, 2025 and $8 at December 31,</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5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147"/>
        </w:trPr>
        <w:tc>
          <w:tcPr>
            <w:tcW w:w="1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7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260" w:type="dxa"/>
            <w:vAlign w:val="bottom"/>
            <w:vMerge w:val="continue"/>
            <w:shd w:val="clear" w:color="auto" w:fill="CCEEFF"/>
          </w:tcPr>
          <w:p>
            <w:pPr>
              <w:spacing w:after="0"/>
              <w:rPr>
                <w:sz w:val="7"/>
                <w:szCs w:val="7"/>
                <w:color w:val="auto"/>
              </w:rPr>
            </w:pPr>
          </w:p>
        </w:tc>
        <w:tc>
          <w:tcPr>
            <w:tcW w:w="70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spacing w:after="0"/>
              <w:rPr>
                <w:sz w:val="12"/>
                <w:szCs w:val="12"/>
                <w:color w:val="auto"/>
              </w:rPr>
            </w:pPr>
          </w:p>
        </w:tc>
        <w:tc>
          <w:tcPr>
            <w:tcW w:w="7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$1,150 at December 31, 2025 and $940 at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47"/>
        </w:trPr>
        <w:tc>
          <w:tcPr>
            <w:tcW w:w="8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 2024</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 of $828 at December 31, 2025 and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47"/>
        </w:trPr>
        <w:tc>
          <w:tcPr>
            <w:tcW w:w="83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$793 at December 31, 2024</w:t>
            </w:r>
          </w:p>
        </w:tc>
        <w:tc>
          <w:tcPr>
            <w:tcW w:w="3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832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7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shd w:val="clear" w:color="auto" w:fill="CCEEFF"/>
          </w:tcPr>
          <w:p>
            <w:pPr>
              <w:spacing w:after="0"/>
              <w:rPr>
                <w:sz w:val="10"/>
                <w:szCs w:val="10"/>
                <w:color w:val="auto"/>
              </w:rPr>
            </w:pPr>
          </w:p>
        </w:tc>
        <w:tc>
          <w:tcPr>
            <w:tcW w:w="70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3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Ordinary Shares - Par value $0.001; Authorized 1,356, Issued and</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8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Outstanding 71.6 at December 31, 2025 and 72.1 at December 31, 2024</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5"/>
        </w:trPr>
        <w:tc>
          <w:tcPr>
            <w:tcW w:w="8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7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6"/>
                <w:szCs w:val="16"/>
                <w:color w:val="auto"/>
              </w:rPr>
            </w:pPr>
          </w:p>
        </w:tc>
        <w:tc>
          <w:tcPr>
            <w:tcW w:w="142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9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Capital In Excess</w:t>
            </w: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w:t>
            </w:r>
          </w:p>
        </w:tc>
        <w:tc>
          <w:tcPr>
            <w:tcW w:w="940" w:type="dxa"/>
            <w:vAlign w:val="bottom"/>
            <w:vMerge w:val="continue"/>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Pr>
          <w:p>
            <w:pPr>
              <w:spacing w:after="0"/>
              <w:rPr>
                <w:sz w:val="13"/>
                <w:szCs w:val="13"/>
                <w:color w:val="auto"/>
              </w:rPr>
            </w:pPr>
          </w:p>
        </w:tc>
        <w:tc>
          <w:tcPr>
            <w:tcW w:w="142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of Par Value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5"/>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(2,371)</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0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417</w:t>
            </w:r>
          </w:p>
        </w:tc>
        <w:tc>
          <w:tcPr>
            <w:tcW w:w="22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(1,954)</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04"/>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506</w:t>
            </w:r>
          </w:p>
        </w:tc>
        <w:tc>
          <w:tcPr>
            <w:tcW w:w="22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61"/>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Issued for Acquisitions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2"/>
        </w:trPr>
        <w:tc>
          <w:tcPr>
            <w:tcW w:w="2620" w:type="dxa"/>
            <w:vAlign w:val="bottom"/>
          </w:tcPr>
          <w:p>
            <w:pPr>
              <w:ind w:left="100"/>
              <w:spacing w:after="0" w:line="212"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Dividends Declared ($0.50 per share)</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39"/>
        </w:trPr>
        <w:tc>
          <w:tcPr>
            <w:tcW w:w="262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(2)</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1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06"/>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3"/>
                <w:szCs w:val="1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3"/>
                <w:szCs w:val="13"/>
                <w:color w:val="auto"/>
              </w:rPr>
            </w:pP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2"/>
        </w:trPr>
        <w:tc>
          <w:tcPr>
            <w:tcW w:w="2620" w:type="dxa"/>
            <w:vAlign w:val="bottom"/>
          </w:tcPr>
          <w:p>
            <w:pPr>
              <w:ind w:left="100"/>
              <w:spacing w:after="0" w:line="212"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Dividends Declared ($1.00 per share)</w:t>
            </w:r>
          </w:p>
        </w:tc>
        <w:tc>
          <w:tcPr>
            <w:tcW w:w="9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39"/>
        </w:trPr>
        <w:tc>
          <w:tcPr>
            <w:tcW w:w="262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(2)</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3"/>
                <w:szCs w:val="1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1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2,815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(1,129)</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5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180" w:hanging="156"/>
        <w:spacing w:after="0" w:line="216" w:lineRule="auto"/>
        <w:tabs>
          <w:tab w:leader="none" w:pos="18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repurchased shares pending settlement.</w:t>
      </w:r>
    </w:p>
    <w:p>
      <w:pPr>
        <w:spacing w:after="0" w:line="22" w:lineRule="exact"/>
        <w:rPr>
          <w:rFonts w:ascii="Times New Roman" w:cs="Times New Roman" w:eastAsia="Times New Roman" w:hAnsi="Times New Roman"/>
          <w:sz w:val="20"/>
          <w:szCs w:val="20"/>
          <w:color w:val="auto"/>
          <w:vertAlign w:val="superscript"/>
        </w:rPr>
      </w:pPr>
    </w:p>
    <w:p>
      <w:pPr>
        <w:ind w:left="180" w:hanging="156"/>
        <w:spacing w:after="0" w:line="197" w:lineRule="auto"/>
        <w:tabs>
          <w:tab w:leader="none" w:pos="18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r>
      <w:tr>
        <w:trPr>
          <w:trHeight w:val="232"/>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Losses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61"/>
        </w:trPr>
        <w:tc>
          <w:tcPr>
            <w:tcW w:w="58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4"/>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4"/>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Changes, Net</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20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Issuance Costs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06"/>
        </w:trPr>
        <w:tc>
          <w:tcPr>
            <w:tcW w:w="5840" w:type="dxa"/>
            <w:vAlign w:val="bottom"/>
            <w:tcBorders>
              <w:bottom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4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1,042</w:t>
            </w:r>
          </w:p>
        </w:tc>
        <w:tc>
          <w:tcPr>
            <w:tcW w:w="300" w:type="dxa"/>
            <w:vAlign w:val="bottom"/>
            <w:tcBorders>
              <w:bottom w:val="single" w:sz="8" w:color="auto"/>
            </w:tcBorders>
            <w:shd w:val="clear" w:color="auto" w:fill="CCEEFF"/>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975</w:t>
            </w:r>
          </w:p>
        </w:tc>
        <w:tc>
          <w:tcPr>
            <w:tcW w:w="400" w:type="dxa"/>
            <w:vAlign w:val="bottom"/>
            <w:tcBorders>
              <w:bottom w:val="single" w:sz="8" w:color="auto"/>
            </w:tcBorders>
            <w:shd w:val="clear" w:color="auto" w:fill="CCEEFF"/>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8"/>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895,119 Ordinary Shares Issued for Acquisitions</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and accompanying footnotes to conform to the Company’s current period presentation.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restricted cash balance of $55 million at December 31, 2025 and $59 million at December 31, 2024 primarily includes cash collateral for certain of our letters of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and Allowance for Credit Losses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December 31, 2025 and December 31, 2024, Mexico accounted for 27% and 31% of our total net outstanding accounts receivables, respectively, of which our largest customer in the country accounted for 24% and 26%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future results of the Company.</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twelve months ended December 31, 2025 and December 31, 2024 we paid an immaterial amount of fees to third-party financial institutions related to collections of certain receivables from our largest customer in Mexico. Pursuant to such arrangements, we received $93 million during the twelve months ended December 31, 2025 and $484 million during the twelve months ended December 31,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and December 31, 2024, the U.S. accounted for 11% and less than 10% of our total net accounts receivables, respectively. No other country or individual customer accounted for more than 10% of our total net outstanding accounts receivables.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using either the first-in, first-out (“FIFO”) or average cost method. Cost represents third-party invoice or production cost, which include materials, labor and applicable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record additional charges when items are determined to have no forecasted demand.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estimate the useful lives of our PP&amp;E over their respective lease terms, if applicable, or as follows:</w:t>
      </w:r>
    </w:p>
    <w:p>
      <w:pPr>
        <w:spacing w:after="0" w:line="43"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10 – 40 years</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 – 10 years</w:t>
            </w: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 – 12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Impairment</w:t>
      </w:r>
    </w:p>
    <w:p>
      <w:pPr>
        <w:spacing w:after="0" w:line="234"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Research and development expenditures are expensed as incurred.</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primarily enter into foreign currency forward contracts to mitigate the volatility of foreign exchange related gains and losses on the income statement and the risk of volatility in future cash flows denominated in a foreign currency. The amounts will fluctuate, depending on exchange rate volatility, the volume of our foreign currency transactions, and our decisions to hedge. During 2024 and 2023 we entered into credit default swaps (“CDSs”). The notional amounts of our foreign currency forward contracts and the CDSs do not generally represent cash amounts exchanged by the parties and are calculated based on the terms of the derivative instrument.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foreign currency forward contracts and the CDS are undesignated hedging instruments under Accounting Standards Codification “ASC” 815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We record these derivative instruments on the balance sheet at their fair value as either assets or liabilities. See “Note 11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Financial Instruments” for additional information.</w:t>
      </w: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our outstanding derivative instruments are determined using models with either Level 2 or Level 3 inputs. See “Note 10 – Fair Value of Financial Instruments, Assets and Other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48"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Results of operations for our foreign subsidiaries with functional currencies other than the U.S. dollar are translated using average exchange rates during the period. Assets and liabilities are translated using the exchange rates in effect at the balance sheet date, and the resulting translation adjustments are included in “Accumulated Other Comprehensive Income (Loss)” on the accompanying Consolidated Statements of Shareholders' Equity.</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The resulting gains and losses are recognized during the period incurred and recognized in “Other Expense, Net” on the accompanying Consolidated Statements of Operations.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3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account for share-based payment awards by recognizing the grant date fair value as an expense, over the service period, which is usually the vesting period, and account for forfeitures as they occur. The fair value and associated expense is updated at each reporting date for share-based awards we intend to settle in cash and for awards where performance targets are established or modified during the performance period. We record share-based compensation in “Selling, General and Administrative” on the accompanying Consolidated Statements of Operations.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Disputes, Litigation and Contingencies</w:t>
      </w:r>
    </w:p>
    <w:p>
      <w:pPr>
        <w:spacing w:after="0" w:line="234"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accrue an estimate of losses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outcomes, assuming a combination of possible litigation and settlement strategies. The accuracy of these estimates is impacted by the complexity of the associated issues.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the terms of a service contract give us the right to invoice the customer for an amount that corresponds directly with the value of our performance completed to date, revenues are recognized at the amount to which we have the right to invoice.</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certain long-term contracts, our revenue is recognized for services over time as the services are rendered and we utilize an output method such as time elapsed or footage drilled, which coincides with how customers receive the benefit.</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are recorded within “Services Revenue”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the weighted average shares outstanding during the period including participating securities. Diluted income per share is computed by dividing net income by our weighted average shares outstanding during the period including participating securities and any potential dilutive shares, when applicable.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Newly Adopted</w:t>
      </w:r>
    </w:p>
    <w:p>
      <w:pPr>
        <w:spacing w:after="0" w:line="24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adopted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 issued by the Financial Accounting Standards Board (“FASB”) in December 2023, which is an update that improves income tax disclosure requirements. Other than providing additional disclosures related to our income taxes, the adoption, which was done on a prospective basis, did not materially impact our financial statements. See “Note 17</w:t>
      </w:r>
    </w:p>
    <w:p>
      <w:pPr>
        <w:spacing w:after="0"/>
        <w:rPr>
          <w:sz w:val="20"/>
          <w:szCs w:val="20"/>
          <w:color w:val="auto"/>
        </w:rPr>
      </w:pPr>
      <w:r>
        <w:rPr>
          <w:rFonts w:ascii="Times New Roman" w:cs="Times New Roman" w:eastAsia="Times New Roman" w:hAnsi="Times New Roman"/>
          <w:sz w:val="18"/>
          <w:szCs w:val="18"/>
          <w:color w:val="auto"/>
        </w:rPr>
        <w:t>– Income Taxes” in our Notes to Consolidated Financial Statements.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an update that improves income statement expense disclosure requirements. Under ASU 2024-03 issuers will be required to incorporate new tabular disclosures disaggregating prescribed expense categories within relevant income statement captions in the notes to their financial statements. These categories include purchases of inventory, employee compensation, depreciation and intangible asset amortization. The amendments are effective for fiscal years beginning after December 15, 2026 and should be applied prospectively. We expect to adopt ASU 2024-03 in our 2027 Form 10-K. The adoption of ASU 2024-03 will require us to provide additional disclosures related to certain income statement expenses, but otherwise will not materially impact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9"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w:t>
      </w:r>
    </w:p>
    <w:p>
      <w:pPr>
        <w:spacing w:after="0" w:line="1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conventional and unconventional wells, deep water, and aging reservoirs. The primary offerings are intervention services &amp; drilling tools, artificial lift, digital solutions, sub-sea intervention and pressure pumping services in select markets.</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are from external customers and segment revenues are specific to our three reportable segments and all other revenues are specific to our non-operating segment revenues. Revenues are further described in “Note 3 – Revenue.”</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CODM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96"/>
        </w:trPr>
        <w:tc>
          <w:tcPr>
            <w:tcW w:w="1260" w:type="dxa"/>
            <w:vAlign w:val="bottom"/>
            <w:tcBorders>
              <w:top w:val="single" w:sz="8" w:color="0000FF"/>
            </w:tcBorders>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8"/>
        </w:trPr>
        <w:tc>
          <w:tcPr>
            <w:tcW w:w="1260" w:type="dxa"/>
            <w:vAlign w:val="bottom"/>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r>
      <w:tr>
        <w:trPr>
          <w:trHeight w:val="159"/>
        </w:trPr>
        <w:tc>
          <w:tcPr>
            <w:tcW w:w="55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5"/>
        </w:trPr>
        <w:tc>
          <w:tcPr>
            <w:tcW w:w="55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5"/>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5"/>
        </w:trPr>
        <w:tc>
          <w:tcPr>
            <w:tcW w:w="5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42</w:t>
            </w:r>
          </w:p>
        </w:tc>
      </w:tr>
      <w:tr>
        <w:trPr>
          <w:trHeight w:val="225"/>
        </w:trPr>
        <w:tc>
          <w:tcPr>
            <w:tcW w:w="5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5"/>
        </w:trPr>
        <w:tc>
          <w:tcPr>
            <w:tcW w:w="55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5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56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5"/>
        </w:trPr>
        <w:tc>
          <w:tcPr>
            <w:tcW w:w="5560" w:type="dxa"/>
            <w:vAlign w:val="bottom"/>
            <w:tcBorders>
              <w:right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0"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96"/>
        </w:trPr>
        <w:tc>
          <w:tcPr>
            <w:tcW w:w="1260" w:type="dxa"/>
            <w:vAlign w:val="bottom"/>
            <w:tcBorders>
              <w:top w:val="single" w:sz="8" w:color="0000FF"/>
            </w:tcBorders>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8"/>
        </w:trPr>
        <w:tc>
          <w:tcPr>
            <w:tcW w:w="1260" w:type="dxa"/>
            <w:vAlign w:val="bottom"/>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4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5,135</w:t>
            </w:r>
          </w:p>
        </w:tc>
      </w:tr>
      <w:tr>
        <w:trPr>
          <w:trHeight w:val="159"/>
        </w:trPr>
        <w:tc>
          <w:tcPr>
            <w:tcW w:w="5560" w:type="dxa"/>
            <w:vAlign w:val="bottom"/>
            <w:tcBorders>
              <w:right w:val="single" w:sz="8" w:color="auto"/>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5"/>
        </w:trPr>
        <w:tc>
          <w:tcPr>
            <w:tcW w:w="55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55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5"/>
        </w:trPr>
        <w:tc>
          <w:tcPr>
            <w:tcW w:w="5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38</w:t>
            </w:r>
          </w:p>
        </w:tc>
      </w:tr>
      <w:tr>
        <w:trPr>
          <w:trHeight w:val="225"/>
        </w:trPr>
        <w:tc>
          <w:tcPr>
            <w:tcW w:w="5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5"/>
        </w:trPr>
        <w:tc>
          <w:tcPr>
            <w:tcW w:w="5560" w:type="dxa"/>
            <w:vAlign w:val="bottom"/>
            <w:tcBorders>
              <w:right w:val="single" w:sz="8" w:color="CCEEFF"/>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2"/>
                <w:szCs w:val="22"/>
                <w:color w:val="auto"/>
                <w:vertAlign w:val="superscript"/>
              </w:rPr>
              <w:t>(c)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5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Credits,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560" w:type="dxa"/>
            <w:vAlign w:val="bottom"/>
            <w:tcBorders>
              <w:bottom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19"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1" w:lineRule="exact"/>
        <w:rPr>
          <w:rFonts w:ascii="Times New Roman" w:cs="Times New Roman" w:eastAsia="Times New Roman" w:hAnsi="Times New Roman"/>
          <w:sz w:val="16"/>
          <w:szCs w:val="16"/>
          <w:color w:val="auto"/>
        </w:rPr>
      </w:pPr>
    </w:p>
    <w:p>
      <w:pPr>
        <w:ind w:left="1040" w:hanging="239"/>
        <w:spacing w:after="0"/>
        <w:tabs>
          <w:tab w:leader="none" w:pos="1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 Share-Based Compensation” for additional information.</w:t>
      </w:r>
    </w:p>
    <w:p>
      <w:pPr>
        <w:spacing w:after="0" w:line="200" w:lineRule="exact"/>
        <w:rPr>
          <w:sz w:val="20"/>
          <w:szCs w:val="20"/>
          <w:color w:val="auto"/>
        </w:rPr>
      </w:pP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900" w:type="dxa"/>
            <w:vAlign w:val="bottom"/>
          </w:tcPr>
          <w:p>
            <w:pPr>
              <w:spacing w:after="0"/>
              <w:rPr>
                <w:sz w:val="19"/>
                <w:szCs w:val="19"/>
                <w:color w:val="auto"/>
              </w:rPr>
            </w:pPr>
          </w:p>
        </w:tc>
        <w:tc>
          <w:tcPr>
            <w:tcW w:w="282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vMerge w:val="continue"/>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9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88"/>
        </w:trPr>
        <w:tc>
          <w:tcPr>
            <w:tcW w:w="7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18"/>
        </w:trPr>
        <w:tc>
          <w:tcPr>
            <w:tcW w:w="720" w:type="dxa"/>
            <w:vAlign w:val="bottom"/>
          </w:tcPr>
          <w:p>
            <w:pPr>
              <w:spacing w:after="0"/>
              <w:rPr>
                <w:sz w:val="19"/>
                <w:szCs w:val="19"/>
                <w:color w:val="auto"/>
              </w:rPr>
            </w:pPr>
          </w:p>
        </w:tc>
        <w:tc>
          <w:tcPr>
            <w:tcW w:w="6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2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931</w:t>
            </w: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5"/>
        </w:trPr>
        <w:tc>
          <w:tcPr>
            <w:tcW w:w="72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1,055</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5"/>
        </w:trPr>
        <w:tc>
          <w:tcPr>
            <w:tcW w:w="72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3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5"/>
        </w:trPr>
        <w:tc>
          <w:tcPr>
            <w:tcW w:w="720" w:type="dxa"/>
            <w:vAlign w:val="bottom"/>
          </w:tcPr>
          <w:p>
            <w:pPr>
              <w:spacing w:after="0"/>
              <w:rPr>
                <w:sz w:val="19"/>
                <w:szCs w:val="19"/>
                <w:color w:val="auto"/>
              </w:rPr>
            </w:pPr>
          </w:p>
        </w:tc>
        <w:tc>
          <w:tcPr>
            <w:tcW w:w="6800" w:type="dxa"/>
            <w:vAlign w:val="bottom"/>
            <w:tcBorders>
              <w:bottom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8"/>
        </w:trPr>
        <w:tc>
          <w:tcPr>
            <w:tcW w:w="720" w:type="dxa"/>
            <w:vAlign w:val="bottom"/>
          </w:tcPr>
          <w:p>
            <w:pPr>
              <w:spacing w:after="0"/>
              <w:rPr>
                <w:sz w:val="19"/>
                <w:szCs w:val="19"/>
                <w:color w:val="auto"/>
              </w:rPr>
            </w:pPr>
          </w:p>
        </w:tc>
        <w:tc>
          <w:tcPr>
            <w:tcW w:w="6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5,197</w:t>
            </w:r>
          </w:p>
        </w:tc>
        <w:tc>
          <w:tcPr>
            <w:tcW w:w="5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900" w:right="820" w:hanging="161"/>
        <w:spacing w:after="0" w:line="202" w:lineRule="auto"/>
        <w:tabs>
          <w:tab w:leader="none" w:pos="912"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 total assets primarily include cash and cash equivalents, certain intangible assets, and centrally managed or shared facilities.</w:t>
      </w: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34" w:lineRule="exact"/>
        <w:rPr>
          <w:sz w:val="20"/>
          <w:szCs w:val="20"/>
          <w:color w:val="auto"/>
        </w:rPr>
      </w:pPr>
    </w:p>
    <w:p>
      <w:pPr>
        <w:jc w:val="both"/>
        <w:ind w:firstLine="238"/>
        <w:spacing w:after="0" w:line="232" w:lineRule="auto"/>
        <w:rPr>
          <w:sz w:val="20"/>
          <w:szCs w:val="20"/>
          <w:color w:val="auto"/>
        </w:rPr>
      </w:pPr>
      <w:r>
        <w:rPr>
          <w:rFonts w:ascii="Times New Roman" w:cs="Times New Roman" w:eastAsia="Times New Roman" w:hAnsi="Times New Roman"/>
          <w:sz w:val="18"/>
          <w:szCs w:val="18"/>
          <w:color w:val="auto"/>
        </w:rPr>
        <w:t>As of December 31, 2025, and 2024 the U.S. accounted for 23% and 22%, respectively, and the Kingdom of Saudi Arabia accounted for 13% and 11%, respectively, of our PP&amp;E, Net and operating lease assets identifiable by geography. No other country accounted for more than 10% of our PP&amp;E, Net and operating lease assets identifiable by geography as of December 31, 2025 and 2024. We had no PP&amp;E, Net and operating lease assets in our country of domicile (Ireland) as of December 31, 2025, and 2024.</w:t>
      </w:r>
    </w:p>
    <w:p>
      <w:pPr>
        <w:spacing w:after="0" w:line="99" w:lineRule="exact"/>
        <w:rPr>
          <w:sz w:val="20"/>
          <w:szCs w:val="20"/>
          <w:color w:val="auto"/>
        </w:rPr>
      </w:pPr>
    </w:p>
    <w:tbl>
      <w:tblPr>
        <w:tblLayout w:type="fixed"/>
        <w:tblInd w:w="1180" w:type="dxa"/>
        <w:tblCellMar>
          <w:top w:w="0" w:type="dxa"/>
          <w:left w:w="0" w:type="dxa"/>
          <w:bottom w:w="0" w:type="dxa"/>
          <w:right w:w="0" w:type="dxa"/>
        </w:tblCellMar>
      </w:tblPr>
      <w:tr>
        <w:trPr>
          <w:trHeight w:val="232"/>
        </w:trPr>
        <w:tc>
          <w:tcPr>
            <w:tcW w:w="5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1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53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5"/>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5"/>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4"/>
        </w:trPr>
        <w:tc>
          <w:tcPr>
            <w:tcW w:w="532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2"/>
                <w:szCs w:val="22"/>
                <w:color w:val="auto"/>
                <w:vertAlign w:val="superscript"/>
              </w:rPr>
              <w:t>(b)</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1,205</w:t>
            </w:r>
          </w:p>
        </w:tc>
        <w:tc>
          <w:tcPr>
            <w:tcW w:w="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ind w:left="1360" w:hanging="164"/>
        <w:spacing w:after="0" w:line="214" w:lineRule="auto"/>
        <w:tabs>
          <w:tab w:leader="none" w:pos="13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North America consists of the U.S. and Canada.</w:t>
      </w:r>
    </w:p>
    <w:p>
      <w:pPr>
        <w:spacing w:after="0" w:line="14" w:lineRule="exact"/>
        <w:rPr>
          <w:rFonts w:ascii="Times New Roman" w:cs="Times New Roman" w:eastAsia="Times New Roman" w:hAnsi="Times New Roman"/>
          <w:sz w:val="22"/>
          <w:szCs w:val="22"/>
          <w:color w:val="auto"/>
          <w:vertAlign w:val="superscript"/>
        </w:rPr>
      </w:pPr>
    </w:p>
    <w:p>
      <w:pPr>
        <w:ind w:left="1380" w:hanging="184"/>
        <w:spacing w:after="0" w:line="191" w:lineRule="auto"/>
        <w:tabs>
          <w:tab w:leader="none" w:pos="13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assets not allocated by geography are excluded from this total.</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of Business</w:t>
      </w:r>
    </w:p>
    <w:p>
      <w:pPr>
        <w:spacing w:after="0" w:line="248" w:lineRule="exact"/>
        <w:rPr>
          <w:sz w:val="20"/>
          <w:szCs w:val="20"/>
          <w:color w:val="auto"/>
        </w:rPr>
      </w:pPr>
    </w:p>
    <w:p>
      <w:pPr>
        <w:ind w:right="160" w:firstLine="238"/>
        <w:spacing w:after="0" w:line="259" w:lineRule="auto"/>
        <w:rPr>
          <w:sz w:val="20"/>
          <w:szCs w:val="20"/>
          <w:color w:val="auto"/>
        </w:rPr>
      </w:pPr>
      <w:r>
        <w:rPr>
          <w:rFonts w:ascii="Times New Roman" w:cs="Times New Roman" w:eastAsia="Times New Roman" w:hAnsi="Times New Roman"/>
          <w:sz w:val="18"/>
          <w:szCs w:val="18"/>
          <w:color w:val="auto"/>
        </w:rPr>
        <w:t>In April 2025, we completed the sale of our pressure pumping business in Argentina for proceeds totaling $104 million consisting of $7 million of proceeds received in the fourth quarter of 2024 and $97 million of proceeds received in the second quarter of 2025. We recognized a gain of $70 million as a result of this transaction during the three months ended June 30,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additional details on our revenue recognition policies see “Note 1 – Summary of Significant Accounting Policies.”</w:t>
      </w:r>
    </w:p>
    <w:p>
      <w:pPr>
        <w:spacing w:after="0" w:line="244"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following tables disaggregate our revenue from contracts with customers by geographic region and includes equipment rental revenue. Equipment rental revenue were $115 million, $151 million and $142 million in 2025, 2024 and 2023, respectively.</w:t>
      </w:r>
    </w:p>
    <w:p>
      <w:pPr>
        <w:spacing w:after="0" w:line="177"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7"/>
          <w:szCs w:val="17"/>
          <w:color w:val="auto"/>
        </w:rPr>
        <w:t>During 2025, 2024 and 2023, the U.S. accounted for 15%, 15% and 16% of total revenue, respectively. During 2025 and 2024, the Kingdom of Saudi Arabia accounted for 10% of total revenue in each period. In addition, during 2024 and 2023, Mexico accounted for 12% and 13% of total revenue, respectively, driven by our largest customer which accounted for 10% of our total revenue in each year, respectively. No other country or individual customer accounted for more than 10% of our total revenue in 2025, 2024 and 2023. We had no revenue in our country of domicile (Ireland) in 2025, 2024 and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Table of Contents  </w:t>
            </w:r>
            <w:r>
              <w:rPr>
                <w:rFonts w:ascii="Times New Roman" w:cs="Times New Roman" w:eastAsia="Times New Roman" w:hAnsi="Times New Roman"/>
                <w:sz w:val="18"/>
                <w:szCs w:val="18"/>
                <w:color w:val="000000"/>
                <w:w w:val="99"/>
              </w:rPr>
              <w:t>Item 8 | Notes to the Consolidated Financial Statements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60" w:type="dxa"/>
            <w:vAlign w:val="bottom"/>
          </w:tcPr>
          <w:p>
            <w:pPr>
              <w:spacing w:after="0"/>
              <w:rPr>
                <w:sz w:val="24"/>
                <w:szCs w:val="24"/>
                <w:color w:val="auto"/>
              </w:rPr>
            </w:pPr>
          </w:p>
        </w:tc>
        <w:tc>
          <w:tcPr>
            <w:tcW w:w="31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65"/>
        </w:trPr>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 xml:space="preserve"> North America consists of the U.S. and Canada.</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timing of our revenue recognition, billings and cash collections result in the recording of accounts receivable, contract assets, and contract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these balances as of December 31, 2025, and December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1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5"/>
        </w:trPr>
        <w:tc>
          <w:tcPr>
            <w:tcW w:w="8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66"/>
        </w:trPr>
        <w:tc>
          <w:tcPr>
            <w:tcW w:w="8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9"/>
              </w:rPr>
              <w:t>Accounts Receivable, Net of Allowance for Credit Losses of $10 at December 31, 2025 and $8 at December 31,</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63"/>
        </w:trPr>
        <w:tc>
          <w:tcPr>
            <w:tcW w:w="8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8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1"/>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1" w:name="page62"/>
    <w:bookmarkEnd w:id="6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4 – Restructuring Charges</w:t>
      </w:r>
    </w:p>
    <w:p>
      <w:pPr>
        <w:spacing w:after="0" w:line="246" w:lineRule="exact"/>
        <w:rPr>
          <w:sz w:val="20"/>
          <w:szCs w:val="20"/>
          <w:color w:val="auto"/>
        </w:rPr>
      </w:pPr>
    </w:p>
    <w:p>
      <w:pPr>
        <w:ind w:right="900" w:firstLine="318"/>
        <w:spacing w:after="0" w:line="274" w:lineRule="auto"/>
        <w:rPr>
          <w:sz w:val="20"/>
          <w:szCs w:val="20"/>
          <w:color w:val="auto"/>
        </w:rPr>
      </w:pPr>
      <w:r>
        <w:rPr>
          <w:rFonts w:ascii="Times New Roman" w:cs="Times New Roman" w:eastAsia="Times New Roman" w:hAnsi="Times New Roman"/>
          <w:sz w:val="18"/>
          <w:szCs w:val="18"/>
          <w:color w:val="auto"/>
        </w:rPr>
        <w:t>During 2025, 2024 and 2023, “Restructuring Charges” on the accompanying Consolidated Statements of Operations were primarily related to optimization and efficiency initiatives throughout the organization.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Restructuring liabilities were $22 million and $35 million as of December 31, 2025 and 2024, respectively, of which $19 million and $31 million were recorded in “Other Current Liabilities” and $3 million and $4 million in “Other Non-current Liabilities” as of December 31, 2025 and 2024, respectively, on the accompanying Consolidated Balance Sheets. The change in liabilities include restructuring charges, primarily offset by cash payments.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restructuring charges by type and by segment (and all other) for the following periods:</w:t>
      </w:r>
    </w:p>
    <w:p>
      <w:pPr>
        <w:spacing w:after="0" w:line="28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780" w:type="dxa"/>
            <w:vAlign w:val="bottom"/>
          </w:tcPr>
          <w:p>
            <w:pPr>
              <w:spacing w:after="0"/>
              <w:rPr>
                <w:sz w:val="19"/>
                <w:szCs w:val="19"/>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8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Facility Exit and Other Charges</w:t>
            </w:r>
          </w:p>
        </w:tc>
        <w:tc>
          <w:tcPr>
            <w:tcW w:w="1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7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860" w:type="dxa"/>
            <w:vAlign w:val="bottom"/>
          </w:tcPr>
          <w:p>
            <w:pPr>
              <w:spacing w:after="0"/>
              <w:rPr>
                <w:sz w:val="19"/>
                <w:szCs w:val="19"/>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860" w:type="dxa"/>
            <w:vAlign w:val="bottom"/>
            <w:shd w:val="clear" w:color="auto" w:fill="CCEEFF"/>
          </w:tcPr>
          <w:p>
            <w:pPr>
              <w:spacing w:after="0"/>
              <w:rPr>
                <w:sz w:val="19"/>
                <w:szCs w:val="19"/>
                <w:color w:val="auto"/>
              </w:rPr>
            </w:pP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5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Inventories,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net of reserves of $118 million and $115 million as of December 31, 2025 and December 31, 2024, respectively, by category were as follows: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8"/>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5"/>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2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7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primarily recorded in “Cost of Products” on our Consolidated Statements of Operations in the amount of $29 million, $32 million and $19 million, in 2025, 2024 and 2023,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 Property, Plant and Equipment,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1"/>
        </w:trPr>
        <w:tc>
          <w:tcPr>
            <w:tcW w:w="280" w:type="dxa"/>
            <w:vAlign w:val="bottom"/>
          </w:tcPr>
          <w:p>
            <w:pPr>
              <w:spacing w:after="0"/>
              <w:rPr>
                <w:sz w:val="24"/>
                <w:szCs w:val="24"/>
                <w:color w:val="auto"/>
              </w:rPr>
            </w:pPr>
          </w:p>
        </w:tc>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was composed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3"/>
        </w:trPr>
        <w:tc>
          <w:tcPr>
            <w:tcW w:w="2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18"/>
        </w:trPr>
        <w:tc>
          <w:tcPr>
            <w:tcW w:w="280" w:type="dxa"/>
            <w:vAlign w:val="bottom"/>
          </w:tcPr>
          <w:p>
            <w:pPr>
              <w:spacing w:after="0"/>
              <w:rPr>
                <w:sz w:val="19"/>
                <w:szCs w:val="19"/>
                <w:color w:val="auto"/>
              </w:rPr>
            </w:pPr>
          </w:p>
        </w:tc>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28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5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5"/>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8"/>
        </w:trPr>
        <w:tc>
          <w:tcPr>
            <w:tcW w:w="2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25"/>
        </w:trPr>
        <w:tc>
          <w:tcPr>
            <w:tcW w:w="280" w:type="dxa"/>
            <w:vAlign w:val="bottom"/>
          </w:tcPr>
          <w:p>
            <w:pPr>
              <w:spacing w:after="0"/>
              <w:rPr>
                <w:sz w:val="19"/>
                <w:szCs w:val="19"/>
                <w:color w:val="auto"/>
              </w:rPr>
            </w:pPr>
          </w:p>
        </w:tc>
        <w:tc>
          <w:tcPr>
            <w:tcW w:w="7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8"/>
        </w:trPr>
        <w:tc>
          <w:tcPr>
            <w:tcW w:w="280" w:type="dxa"/>
            <w:vAlign w:val="bottom"/>
          </w:tcPr>
          <w:p>
            <w:pPr>
              <w:spacing w:after="0"/>
              <w:rPr>
                <w:sz w:val="19"/>
                <w:szCs w:val="19"/>
                <w:color w:val="auto"/>
              </w:rPr>
            </w:pPr>
          </w:p>
        </w:tc>
        <w:tc>
          <w:tcPr>
            <w:tcW w:w="7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280" w:type="dxa"/>
            <w:vAlign w:val="bottom"/>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$208 million, $185 million and $171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 Intangible Assets, Net</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0" w:type="dxa"/>
            <w:vAlign w:val="bottom"/>
          </w:tcPr>
          <w:p>
            <w:pPr>
              <w:spacing w:after="0"/>
              <w:rPr>
                <w:sz w:val="19"/>
                <w:szCs w:val="19"/>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0" w:type="dxa"/>
            <w:vAlign w:val="bottom"/>
          </w:tcPr>
          <w:p>
            <w:pPr>
              <w:spacing w:after="0"/>
              <w:rPr>
                <w:sz w:val="19"/>
                <w:szCs w:val="19"/>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9"/>
                <w:szCs w:val="19"/>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Intangible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36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6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Amortization expense was $59 million, $158 million and $156 million in 2025, 2024, and 2023, respectively. The decrease in amortization expense for 2025 was primarily due to full amortization of certain intangible assets as of December 31, 2024. Based on the carrying value of intangible assets at December 31, 2025, amortization expense for the subsequent five years is estimated as follows (dollars in millions):</w:t>
      </w:r>
    </w:p>
    <w:p>
      <w:pPr>
        <w:spacing w:after="0" w:line="96" w:lineRule="exact"/>
        <w:rPr>
          <w:sz w:val="20"/>
          <w:szCs w:val="20"/>
          <w:color w:val="auto"/>
        </w:rPr>
      </w:pPr>
    </w:p>
    <w:tbl>
      <w:tblPr>
        <w:tblLayout w:type="fixed"/>
        <w:tblInd w:w="2620" w:type="dxa"/>
        <w:tblCellMar>
          <w:top w:w="0" w:type="dxa"/>
          <w:left w:w="0" w:type="dxa"/>
          <w:bottom w:w="0" w:type="dxa"/>
          <w:right w:w="0" w:type="dxa"/>
        </w:tblCellMar>
      </w:tblPr>
      <w:tr>
        <w:trPr>
          <w:trHeight w:val="232"/>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2025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9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1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8 – Leases</w:t>
            </w: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our lease expense components: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Expense Components: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 of Operating Lease Expense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color w:val="auto"/>
              </w:rPr>
              <w:t>Finance Lease Expense: Amortization of Assets and Interest 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commitments under operating and finance leases are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 w:type="dxa"/>
            <w:vAlign w:val="bottom"/>
          </w:tcPr>
          <w:p>
            <w:pPr>
              <w:spacing w:after="0"/>
              <w:rPr>
                <w:sz w:val="24"/>
                <w:szCs w:val="24"/>
                <w:color w:val="auto"/>
              </w:rPr>
            </w:pPr>
          </w:p>
        </w:tc>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5860" w:type="dxa"/>
            <w:vAlign w:val="bottom"/>
            <w:tcBorders>
              <w:bottom w:val="single" w:sz="8" w:color="auto"/>
            </w:tcBorders>
            <w:gridSpan w:val="3"/>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of Lease Liabilities as of December 31, 2025:</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After 2030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58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Table of Contents  </w:t>
            </w:r>
            <w:r>
              <w:rPr>
                <w:rFonts w:ascii="Times New Roman" w:cs="Times New Roman" w:eastAsia="Times New Roman" w:hAnsi="Times New Roman"/>
                <w:sz w:val="18"/>
                <w:szCs w:val="18"/>
                <w:color w:val="000000"/>
              </w:rPr>
              <w:t>Item 8 | Notes to the Consolidated Financial Statements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3"/>
        </w:trPr>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9"/>
        </w:trPr>
        <w:tc>
          <w:tcPr>
            <w:tcW w:w="860" w:type="dxa"/>
            <w:vAlign w:val="bottom"/>
          </w:tcPr>
          <w:p>
            <w:pPr>
              <w:spacing w:after="0"/>
              <w:rPr>
                <w:sz w:val="19"/>
                <w:szCs w:val="19"/>
                <w:color w:val="auto"/>
              </w:rPr>
            </w:pPr>
          </w:p>
        </w:tc>
        <w:tc>
          <w:tcPr>
            <w:tcW w:w="4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 except years and percentages)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18"/>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2"/>
        </w:trPr>
        <w:tc>
          <w:tcPr>
            <w:tcW w:w="860" w:type="dxa"/>
            <w:vAlign w:val="bottom"/>
          </w:tcPr>
          <w:p>
            <w:pPr>
              <w:spacing w:after="0"/>
              <w:rPr>
                <w:sz w:val="14"/>
                <w:szCs w:val="14"/>
                <w:color w:val="auto"/>
              </w:rPr>
            </w:pPr>
          </w:p>
        </w:tc>
        <w:tc>
          <w:tcPr>
            <w:tcW w:w="49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8"/>
        </w:trPr>
        <w:tc>
          <w:tcPr>
            <w:tcW w:w="860" w:type="dxa"/>
            <w:vAlign w:val="bottom"/>
          </w:tcPr>
          <w:p>
            <w:pPr>
              <w:spacing w:after="0"/>
              <w:rPr>
                <w:sz w:val="20"/>
                <w:szCs w:val="20"/>
                <w:color w:val="auto"/>
              </w:rPr>
            </w:pP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5"/>
        </w:trPr>
        <w:tc>
          <w:tcPr>
            <w:tcW w:w="86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8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59"/>
        </w:trPr>
        <w:tc>
          <w:tcPr>
            <w:tcW w:w="860" w:type="dxa"/>
            <w:vAlign w:val="bottom"/>
          </w:tcPr>
          <w:p>
            <w:pPr>
              <w:spacing w:after="0"/>
              <w:rPr>
                <w:sz w:val="13"/>
                <w:szCs w:val="13"/>
                <w:color w:val="auto"/>
              </w:rPr>
            </w:pPr>
          </w:p>
        </w:tc>
        <w:tc>
          <w:tcPr>
            <w:tcW w:w="49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(percentages)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1"/>
        </w:trPr>
        <w:tc>
          <w:tcPr>
            <w:tcW w:w="8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6" w:name="page67"/>
    <w:bookmarkEnd w:id="6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Borrowings and Other Debt Obligations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debt carrying values consisted of the following:</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7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6.75% Senior Notes due 2033 “2033 Senior Notes”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1,181</w:t>
            </w:r>
          </w:p>
        </w:tc>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1,455</w:t>
            </w:r>
          </w:p>
        </w:tc>
        <w:tc>
          <w:tcPr>
            <w:tcW w:w="6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0"/>
        </w:trPr>
        <w:tc>
          <w:tcPr>
            <w:tcW w:w="7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On September 30, 2021, we issued 6.5% Senior Secured Notes in aggregate principal amount of $500 million maturing September 15, 2028 (the “2028 Senior Secured Notes”). Interest accrued at the rate of 6.5% per annum and was payable semiannually on September 15 and March 15. Proceeds from the issuance were reduced by debt issuance costs. In 2024, we fully redeemed the remaining $248 million principal amount.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Our 2030 Senior Notes were issued by Weatherford International Ltd., a Bermuda exempted company (“Weatherford Bermuda”) and guaranteed by the Company and Weatherford International, LLC, a Delaware limited liability company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12"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 2025, we repurchased approximately $61 million of principal of our 2030 Senior Notes and acquired an additional $1.3 billion of principal through a tender offer and redemption. In connection with the tender offer and redemption, we also paid $41 million of accrued interest and a $30 million redemption premium. We recognized a non-cash loss on extinguishment of debt of $8 million, primarily related to the write-off of unamortized debt issuance costs. The tender offer and redemption used net proceeds from the issuance of $1.2 billion of 2033 Senior Notes (defined below) and cash on hand. In 2024, we repurchased $4 million in principal of our 2030 Senior Notes. At December 31, 2025 and December 31, 2024, the carrying value represents the remaining unpaid principal of $236 million and $1.6 billion, respectively, offset by unamortized deferred issuance cost of $2 million and $11 million, respectively.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2033 Senior Notes</w:t>
      </w:r>
    </w:p>
    <w:p>
      <w:pPr>
        <w:spacing w:after="0" w:line="246"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October 6, 2025, we issued 6.75% Senior Note in aggregate principal amount of $1.2 billion maturing October 15, 2033 (the “2033 Senior Notes’). Interest accrues at the rate of 6.75% per annum and is payable semiannually on April 15th and October 15th of each year commencing April 15, 2026. Our 2033 Senior Notes were issued by Weatherford Bermuda and guaranteed by the Company and Weatherford Delaware and other subsidiary guarantors party thereto. On October 24, 2025, the indenture related to our 2033 Senior Notes was amended and supplemented to add Weatherford Delaware as co-issuer and co-obligor, and concurrently released the guarantee of Weatherford Delaware. At December 31, 2025, the carrying value represents the remaining unpaid principal of $1.2 billion, offset by unamortized deferred issuance cost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Weatherford International plc – 2025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67" w:name="page68"/>
    <w:bookmarkEnd w:id="6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32"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2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September 18, 2025, we amended the Credit Agreement to (i) allow for an increase in total commitment amount from $720 million to $1 billion comprised of $600 million to be used either for revolving loans or financial letters of credit and $400 million to be used for performance letters of credit, (ii) extend the maturity date to the earlier of September 18, 2030 or January 29, 2030 if more than $200 million of 2030 Senior Notes or Permitted Refinancing Indebtedness are outstanding on that date and (iii) include an accordion feature that will allow for further increases of commitments up to $1.15 billion.</w:t>
      </w:r>
    </w:p>
    <w:p>
      <w:pPr>
        <w:spacing w:after="0" w:line="187"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As of December 31, 2025, under the Credit Agreement we had zero borrowings, $7 million in financial letters of credit and $245 million in performance letters of credit outstanding. Additionally as of December 31, 2025, we had $207 million letters of credit under various uncommitted bi-lateral facilities ($47 million of which was cash collateral held and recorded in “Restricted Cash” on the Consolidated Balance Sheets).</w:t>
      </w: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under the Credit Agreement we had zero borrowings, $12 million in financial letters of credit and $279 million in performance letters of credit outstanding. Additionally as of December 31, 2024, we had $91 million of letters of credit under various uncommitted bi-lateral facilities ($49 million of which was cash collateral held and recorded in “Restricted Cash” on the Consolidated Balance Sheets).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Covenants for the Senior Notes and Credit Agreement</w:t>
      </w:r>
    </w:p>
    <w:p>
      <w:pPr>
        <w:spacing w:after="0" w:line="246"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The Credit Agreement and indentures governing the 2030 Senior Notes and 2033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scheduled debt maturities by year:</w:t>
      </w:r>
    </w:p>
    <w:p>
      <w:pPr>
        <w:spacing w:after="0" w:line="122" w:lineRule="exact"/>
        <w:rPr>
          <w:sz w:val="20"/>
          <w:szCs w:val="20"/>
          <w:color w:val="auto"/>
        </w:rPr>
      </w:pPr>
    </w:p>
    <w:tbl>
      <w:tblPr>
        <w:tblLayout w:type="fixed"/>
        <w:tblInd w:w="1100" w:type="dxa"/>
        <w:tblCellMar>
          <w:top w:w="0" w:type="dxa"/>
          <w:left w:w="0" w:type="dxa"/>
          <w:bottom w:w="0" w:type="dxa"/>
          <w:right w:w="0" w:type="dxa"/>
        </w:tblCellMar>
      </w:tblPr>
      <w:tr>
        <w:trPr>
          <w:trHeight w:val="232"/>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7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8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7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7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7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5"/>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7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19"/>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Maturities</w:t>
            </w:r>
          </w:p>
        </w:tc>
        <w:tc>
          <w:tcPr>
            <w:tcW w:w="27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1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and Discount</w:t>
            </w:r>
          </w:p>
        </w:tc>
        <w:tc>
          <w:tcPr>
            <w:tcW w:w="278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7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8" w:name="page69"/>
    <w:bookmarkEnd w:id="6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Fair Value of Financial Instruments, Assets and Other Assets</w:t>
      </w:r>
    </w:p>
    <w:p>
      <w:pPr>
        <w:spacing w:after="0" w:line="232"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11 – Derivative Financial Instruments”), warrants (before their expiration in 2023, see “Note 16 – Income per Share”), and plan assets of defined benefit pension plans (see “Note 12 – Employee Benefit Plans”) are all Level 2 valuations and the fair value of the credit default swap is a Level 3 valuation (see “Note 11 – Derivative Financial Instruments”).</w:t>
      </w:r>
    </w:p>
    <w:p>
      <w:pPr>
        <w:spacing w:after="0" w:line="2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short-term borrowings and long-term debt. The carrying values of these financial instruments (excluding long-term debt) approximate their fair value due to their short maturities.</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5"/>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6.75% Senior Notes due 2033</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Derivative Financial Instruments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Both our foreign currency forward contracts and the credit default swap are undesignated hedging instruments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enter into foreign currency forward contracts to economically hedge our exposure to currency fluctuations in various foreign currencies. At December 31, 2025 and December 31, 2024, we had outstanding foreign currency forward contracts with notional amounts aggregating to $608 million and $543 million, respectively. The fair values of these derivatives were not material as of December 31, 2025 and December 31, 2024.</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Default Swap</w:t>
      </w:r>
    </w:p>
    <w:p>
      <w:pPr>
        <w:spacing w:after="0" w:line="23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2025 and December 31, 2024. Under the CDS terms, within five business days upon notification of default, we could be required to pay the then outstanding notional balance net of recoveries. As of December 31, 2025, we had a notional balance of $14 million outstanding under the CDS and as of December 31, 2024 we had a notional balance of $25 million outstanding. Management expects the total notional balance under the CDS to be nil by December 31, 2026.</w:t>
      </w:r>
    </w:p>
    <w:p>
      <w:pPr>
        <w:spacing w:after="0" w:line="210" w:lineRule="exact"/>
        <w:rPr>
          <w:sz w:val="20"/>
          <w:szCs w:val="20"/>
          <w:color w:val="auto"/>
        </w:rPr>
      </w:pPr>
    </w:p>
    <w:p>
      <w:pPr>
        <w:jc w:val="both"/>
        <w:ind w:firstLine="318"/>
        <w:spacing w:after="0" w:line="288" w:lineRule="auto"/>
        <w:rPr>
          <w:sz w:val="20"/>
          <w:szCs w:val="20"/>
          <w:color w:val="auto"/>
        </w:rPr>
      </w:pPr>
      <w:r>
        <w:rPr>
          <w:rFonts w:ascii="Times New Roman" w:cs="Times New Roman" w:eastAsia="Times New Roman" w:hAnsi="Times New Roman"/>
          <w:sz w:val="17"/>
          <w:szCs w:val="17"/>
          <w:color w:val="auto"/>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9" w:name="page70"/>
    <w:bookmarkEnd w:id="6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Employee Benefit Plans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defined contribution plans covering certain employees. Contribution expenses related to these plans totaled $20 million, $20 million and $18 million for the years ended December 31, 2025, 2024 and 2023, respectively.</w:t>
      </w:r>
    </w:p>
    <w:p>
      <w:pPr>
        <w:spacing w:after="0" w:line="190"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have defined benefit pension and other post-retirement benefit plans covering certain current and former U.S. and international employees. Plan benefits are generally based on factors such as age, compensation levels and years of service. Net periodic benefit cost related to these plans totaled less than $1 million, $3 million, and $3 million for the years ended December 31, 2025, 2024 and 2023, respectively. The projected benefit obligations on a consolidated basis were $128 million and $126 million as of December 31, 2025 and December 31, 2024, respectively. The fair values of plan assets on a consolidated basis were $107 million and $100 million as of December 31, 2025 and December 31, 2024, respectively. The increase in both the projected benefit obligation and the plan assets year over year is due primarily to the weakening of the U.S. Dollar, partially offset by the settlement and payment of benefit obligations and annual interest and return activity. As of December 31, 2025, the net underfunded obligation consisted of $20 million of funded obligations recorded to “Other Non-current Assets” and $41 million of underfunded obligations substantially all recorded to “Other Non-current Liabilities” on our Consolidated Balance Sheets. As of December 31, 2024, the net underfunded obligation consisted of $17 million of funded obligations recorded to “Other Non-current Assets” and $43 million of underfunded obligations substantially all recorded to “Other Non-current Liabilities” on our Consolidated Balance Sheets. Additionally, the consolidated pre-tax amount in accumulated other comprehensive income as of December 31, 2025 and December 31, 2024, that has not yet been recognized as a component of net periodic benefit cost was a net gain of $12 million and $6 million, respectively. The increase is due to the deferral of actuarial gains for 2025, the weakening of the U.S. Dollar for our non-U.S. plans offset by the recognition of prior actuarial gains in net periodic benefit costs.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assumption rates used for benefit obligations were as follows:</w:t>
            </w: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0"/>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3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8"/>
        </w:trPr>
        <w:tc>
          <w:tcPr>
            <w:tcW w:w="58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8"/>
        </w:trPr>
        <w:tc>
          <w:tcPr>
            <w:tcW w:w="5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 - 5.25%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3.30% - 11.50%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3.13% - 10.60%</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6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58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Plans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580" w:type="dxa"/>
            <w:vAlign w:val="bottom"/>
          </w:tcPr>
          <w:p>
            <w:pPr>
              <w:spacing w:after="0"/>
              <w:rPr>
                <w:sz w:val="19"/>
                <w:szCs w:val="19"/>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Plans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 - 3.00%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 - 3.00%</w:t>
            </w:r>
          </w:p>
        </w:tc>
      </w:tr>
    </w:tbl>
    <w:p>
      <w:pPr>
        <w:spacing w:after="0" w:line="3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2025, 2024 and 2023, we made contributions and paid direct benefits of $3 million, $4 million and $5 million, respectively, in connection with our defined benefit pension and other post-retirement benefit plans. In 2026, we expect to fund approximately $2 million related to those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Disputes, Litigation and Legal Contingencies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0" w:name="page71"/>
    <w:bookmarkEnd w:id="70"/>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Share-Based Compensation</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Plan</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Weatherford International plc Fourth Amended and Restated 2019 Equity Incentive Plan, (“2019 Equity Plan”) authorizes the issuance of 9.9 million shares of ordinary shares by the Board of Directors in the form of options, share appreciation rights, restricted share awards, restricted share units (“RSUs”), performance-based restricted share units (“PSUs”) and other share-based and performance-based awards to any employee, consultant, or non-employee director (“Grantees”). The provisions of each award vary based on the type of award granted. Awards made under the 2019 Equity Plan vest and settle in shares of newly issued ordinary shares or cash. As of December 31, 2025, there were 2.4 million shares available for future grants.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granted RSUs and PSUs under the 2019 Equity Plan during 2025, 2024 and 2023. All awards generally require continued employment and vest over one to three years. The Grantees do not have the rights of a shareholder under these awards until such date as the shares are issued. Dividend equivalent rights are accrued during the vesting period and paid upon distribution of the shares.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Share-based compensation expense was $38 million, $45 million and $35 million for the year ended December 31, 2025, December 31, 2024 and December 31, 2023, respectively. As of December 31, 2025, there was $46 million of unrecognized compensation cost, which is expected to be recognized over a weighted-average period of less than two years.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RSUs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RSUs generally vest based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2025, 2024 and 2023 was $56.54, $93.98 and $54.85, respectively. The fair value of RSUs vested during 2025, 2024 and 2023 was $25 million, $28 million and $34 million, respectively. RSUs were primarily settled in shares, with cash settlements, including dividend equivalent rights, totaling less than $1 million each in 2025, 2024, and 2023.</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PSUs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PSUs generally vest based on continued employment and the achievement of an established target. The actual number of PSUs earned may range from 0% to 200%. The fair value of PSUs depends on whether the established target is a performance condition defined solely by reference to our own operations (“operational performance”) or the market performance of our shares (“market condition”). The total fair value, less forfeitures, is expensed over the vesting period. The WAGD FV per unit of PSUs granted during 2025, 2024 and 2023 was $55.53, $120.13 and $70.91, respectively. The fair value of PSUs vested during 2025 was $112 million, nil for 2024 and $118 million for 2023, PSUs were primarily settled in shares, with $1 million settled in cash, including dividend equivalent rights, in 2025 and no cash settlements in 2024 or 2023.</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PSUs subject to operational performance conditions is determined based on the closing price of our shares on the date of grant. The units are adjusted periodically based on the metric’s expected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1" w:name="page72"/>
    <w:bookmarkEnd w:id="7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PSUs subject to market conditions was determined based on a Monte Carlo simulation method. Compensation cost is fully recognized if the employment condition is met, even if the market condition is not achieved, as the likelihood of achieving the market condition is incorporated into the fair value of the award. The weighted average of assumptions used in the models were as follows:</w:t>
      </w:r>
    </w:p>
    <w:p>
      <w:pPr>
        <w:spacing w:after="0" w:line="4" w:lineRule="exact"/>
        <w:rPr>
          <w:sz w:val="20"/>
          <w:szCs w:val="20"/>
          <w:color w:val="auto"/>
        </w:rPr>
      </w:pPr>
    </w:p>
    <w:tbl>
      <w:tblPr>
        <w:tblLayout w:type="fixed"/>
        <w:tblInd w:w="278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286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47.0 %</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risk-free rate is obtained as of the grant date with terms matching the performance period. The dividend yield is based on historical dividend payments and expectations of management. For the years ended December 31, 2025 and December 31, 2024, expected volatility was based on our NASDAQ trading history, and for the year ended December 31, 2023, also incorporated the volatility of our constituents. The expected life in years is based on the time to vest from the grant date through the end of the performance measurement period.</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Awards Activity</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activity for non-vested RSUs, and PSUs at target and their respective WAGD FV during 2025 is presented below.</w:t>
      </w:r>
    </w:p>
    <w:p>
      <w:pPr>
        <w:sectPr>
          <w:pgSz w:w="11900" w:h="16838" w:orient="portrait"/>
          <w:cols w:equalWidth="0" w:num="1">
            <w:col w:w="11240"/>
          </w:cols>
          <w:pgMar w:left="320" w:top="413" w:right="339" w:bottom="1440" w:gutter="0" w:footer="0" w:header="0"/>
        </w:sectPr>
      </w:pP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(Units in thousands, except dollars)</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Non-Vested at December 31, 2024</w:t>
      </w:r>
    </w:p>
    <w:p>
      <w:pPr>
        <w:spacing w:after="0" w:line="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Granted</w:t>
      </w:r>
    </w:p>
    <w:p>
      <w:pPr>
        <w:spacing w:after="0" w:line="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1540" w:right="120"/>
        <w:spacing w:after="0" w:line="320" w:lineRule="auto"/>
        <w:rPr>
          <w:sz w:val="20"/>
          <w:szCs w:val="20"/>
          <w:color w:val="auto"/>
        </w:rPr>
      </w:pPr>
      <w:r>
        <w:rPr>
          <w:rFonts w:ascii="Times New Roman" w:cs="Times New Roman" w:eastAsia="Times New Roman" w:hAnsi="Times New Roman"/>
          <w:sz w:val="18"/>
          <w:szCs w:val="18"/>
          <w:color w:val="auto"/>
        </w:rPr>
        <w:t>Cancelled or Forfeited Non-Vested at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spacing w:after="0"/>
              <w:rPr>
                <w:sz w:val="17"/>
                <w:szCs w:val="17"/>
                <w:color w:val="auto"/>
              </w:rPr>
            </w:pP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WAGD</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22"/>
                <w:szCs w:val="22"/>
                <w:b w:val="1"/>
                <w:bCs w:val="1"/>
                <w:color w:val="auto"/>
                <w:vertAlign w:val="superscript"/>
              </w:rPr>
              <w:t>(2)</w:t>
            </w:r>
          </w:p>
        </w:tc>
        <w:tc>
          <w:tcPr>
            <w:tcW w:w="280" w:type="dxa"/>
            <w:vAlign w:val="bottom"/>
          </w:tcPr>
          <w:p>
            <w:pPr>
              <w:spacing w:after="0"/>
              <w:rPr>
                <w:sz w:val="17"/>
                <w:szCs w:val="17"/>
                <w:color w:val="auto"/>
              </w:rPr>
            </w:pPr>
          </w:p>
        </w:tc>
        <w:tc>
          <w:tcPr>
            <w:tcW w:w="98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WAGD</w:t>
            </w:r>
          </w:p>
        </w:tc>
        <w:tc>
          <w:tcPr>
            <w:tcW w:w="0" w:type="dxa"/>
            <w:vAlign w:val="bottom"/>
          </w:tcPr>
          <w:p>
            <w:pPr>
              <w:spacing w:after="0"/>
              <w:rPr>
                <w:sz w:val="1"/>
                <w:szCs w:val="1"/>
                <w:color w:val="auto"/>
              </w:rPr>
            </w:pPr>
          </w:p>
        </w:tc>
      </w:tr>
      <w:tr>
        <w:trPr>
          <w:trHeight w:val="260"/>
        </w:trPr>
        <w:tc>
          <w:tcPr>
            <w:tcW w:w="12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277"/>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FV</w:t>
            </w:r>
            <w:r>
              <w:rPr>
                <w:rFonts w:ascii="Times New Roman" w:cs="Times New Roman" w:eastAsia="Times New Roman" w:hAnsi="Times New Roman"/>
                <w:sz w:val="11"/>
                <w:szCs w:val="11"/>
                <w:b w:val="1"/>
                <w:bCs w:val="1"/>
                <w:color w:val="auto"/>
              </w:rPr>
              <w:t>(1)</w:t>
            </w:r>
          </w:p>
        </w:tc>
        <w:tc>
          <w:tcPr>
            <w:tcW w:w="12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37"/>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FV</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31"/>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5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5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51"/>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r>
        <w:trPr>
          <w:trHeight w:val="245"/>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-840740</wp:posOffset>
            </wp:positionV>
            <wp:extent cx="5401310" cy="160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1310" cy="16002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-521335</wp:posOffset>
            </wp:positionV>
            <wp:extent cx="5401310" cy="160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1310" cy="16002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-201295</wp:posOffset>
            </wp:positionV>
            <wp:extent cx="5401310" cy="185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01310" cy="1854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80" w:space="720"/>
            <w:col w:w="6440"/>
          </w:cols>
          <w:pgMar w:left="320" w:top="413" w:right="339" w:bottom="1440" w:gutter="0" w:footer="0" w:header="0"/>
          <w:type w:val="continuous"/>
        </w:sectPr>
      </w:pPr>
    </w:p>
    <w:p>
      <w:pPr>
        <w:ind w:left="1280" w:right="3320" w:hanging="161"/>
        <w:spacing w:after="0" w:line="239" w:lineRule="auto"/>
        <w:tabs>
          <w:tab w:leader="none" w:pos="13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WAGD FV for granted awards has been adjusted on a net basis for RSUs and PSUs that require remeasurement to fair value at each balance sheet date.</w:t>
      </w:r>
    </w:p>
    <w:p>
      <w:pPr>
        <w:jc w:val="both"/>
        <w:ind w:left="1120" w:right="1040" w:hanging="1"/>
        <w:spacing w:after="0" w:line="147" w:lineRule="exact"/>
        <w:tabs>
          <w:tab w:leader="none" w:pos="130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presents PSUs at the target level; however; under the award terms, a maximum of 1,299 PSUs may vest, consisting of 715 PSUs at target 105 PSUs that have already been earned and 479 additional PSUs that may be earned under applicable performance multipliers. Due to above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target performance, an additional 218 PSUs vested, resulting in 1,584 PSUs vesting during 2025 compared to 1,366 at target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72" w:name="page73"/>
    <w:bookmarkEnd w:id="72"/>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Shareholders’ Equity</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ordinary shares outstanding balance decreased from 72.1 million as of December 31, 2024 to 71.6 million as of December 31, 2025. The decrease was due to the cancellation of 1.8 million of our ordinary shares repurchased during the year, partially offset by the issuance of 1.3 million of our ordinary shares for equity awards vested and delivered, net of shares withheld for taxes. Cash paid for repurchases of our ordinary shares during the year totaled $101 million, including $1 million settled in 2025 related to repurchases with a trade date of December 31, 2024. Ordinary shares for the year ended December 31, 2024 remained consistent with the year ended December 31, 2023, as issuances of our ordinary shares related to acquisitions and vesting and settlement of equity awards were offset by repurchases of our ordinary shares. Ordinary shares for the year ended December 31, 2023 primarily increased upon the vesting and settlement of awards made under the 2019 Equity Plan.</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23, 2024, we announced our Board authorization of a dividend program under which we intend to pay regular quarterly cash dividends, subject to our Board’s discretion and continuing determination that it is in the best interest of the Company and complies with applicable legal requirements. During the twelve months ended December 31, 2025, we declared and paid $72 million in dividends and accrued $2 million in accrued dividend equivalent rights on share-based awards. During the twelve months ended December 31, 2024, we declared and paid $36 million in dividends and accrued $2 million in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3" w:name="page74"/>
    <w:bookmarkEnd w:id="73"/>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Income per Share</w:t>
      </w:r>
    </w:p>
    <w:p>
      <w:pPr>
        <w:spacing w:after="0" w:line="246" w:lineRule="exact"/>
        <w:rPr>
          <w:sz w:val="20"/>
          <w:szCs w:val="20"/>
          <w:color w:val="auto"/>
        </w:rPr>
      </w:pPr>
    </w:p>
    <w:p>
      <w:pPr>
        <w:ind w:right="280" w:firstLine="318"/>
        <w:spacing w:after="0" w:line="258" w:lineRule="auto"/>
        <w:rPr>
          <w:sz w:val="20"/>
          <w:szCs w:val="20"/>
          <w:color w:val="auto"/>
        </w:rPr>
      </w:pPr>
      <w:r>
        <w:rPr>
          <w:rFonts w:ascii="Times New Roman" w:cs="Times New Roman" w:eastAsia="Times New Roman" w:hAnsi="Times New Roman"/>
          <w:sz w:val="18"/>
          <w:szCs w:val="18"/>
          <w:color w:val="auto"/>
        </w:rPr>
        <w:t>A reconciliation of the number of weighted average shares used for the basic and diluted income per share calculation for the periods presented was as follows:</w:t>
      </w:r>
    </w:p>
    <w:p>
      <w:pPr>
        <w:spacing w:after="0" w:line="83" w:lineRule="exact"/>
        <w:rPr>
          <w:sz w:val="20"/>
          <w:szCs w:val="20"/>
          <w:color w:val="auto"/>
        </w:rPr>
      </w:pPr>
    </w:p>
    <w:tbl>
      <w:tblPr>
        <w:tblLayout w:type="fixed"/>
        <w:tblInd w:w="24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9"/>
                <w:szCs w:val="19"/>
                <w:color w:val="auto"/>
              </w:rPr>
            </w:pPr>
          </w:p>
        </w:tc>
      </w:tr>
      <w:tr>
        <w:trPr>
          <w:trHeight w:val="232"/>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in millions)</w:t>
            </w:r>
          </w:p>
        </w:tc>
        <w:tc>
          <w:tcPr>
            <w:tcW w:w="1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65"/>
        </w:trPr>
        <w:tc>
          <w:tcPr>
            <w:tcW w:w="5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Plans</w:t>
            </w:r>
          </w:p>
        </w:tc>
        <w:tc>
          <w:tcPr>
            <w:tcW w:w="1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14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5"/>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65"/>
        </w:trPr>
        <w:tc>
          <w:tcPr>
            <w:tcW w:w="53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5"/>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1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4"/>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4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shares represent securities that could dilute income per share in the future, and are excluded from the computation of income per share.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Warrants to purchase 7.8 million ordinary shares at $99.96 per share were issued on December 13, 2019 and expired on December 13, 2023. For the year ended December 31, 2023 the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4" w:name="page75"/>
    <w:bookmarkEnd w:id="74"/>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Income Taxes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tax provision consisted of the following:</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225"/>
        </w:trPr>
        <w:tc>
          <w:tcPr>
            <w:tcW w:w="3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8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19"/>
                <w:szCs w:val="19"/>
                <w:color w:val="auto"/>
              </w:rPr>
            </w:pPr>
          </w:p>
        </w:tc>
      </w:tr>
      <w:tr>
        <w:trPr>
          <w:trHeight w:val="23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The difference between the Irish income tax provision and the consolidated income tax provision is analyzed below. During the fourth quarter of 2025, we adopted ASU 2023-09 (see "Note 1 Summary of Significant Accounting Policies" for further discussion on ASU 2023-09) on a prospective basis. As such, we have updated income tax disclosure presentations as of and for the year ended December 31, 2025 in order to comply with ASU 2023-09, but have not retrospectively applied these presentational changes to any of the prior periods presented. This adoption of ASU 2023-09 resulted in presentational differences of our income tax disclosures and did not result in a change to the calculations of our income before income taxes, current tax expense, deferred tax expense or effective tax rates for the year ended December 31, 2025. The Company is domiciled in Ireland and is subject to Ireland corporate income tax. In addition, we are subject to other income taxes, including those in the U.S. and in various foreign jurisdictions. Our consolidated effective tax rate reconciliation for the year ended December 31, 2025 is summarized below (in millions,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5" w:name="page76"/>
    <w:bookmarkEnd w:id="75"/>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1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Irish Income Tax Provision Tax Rate of 25%</w:t>
            </w:r>
          </w:p>
        </w:tc>
        <w:tc>
          <w:tcPr>
            <w:tcW w:w="16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(138)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2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 income tax effect</w:t>
            </w: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Angola</w:t>
            </w:r>
          </w:p>
        </w:tc>
        <w:tc>
          <w:tcPr>
            <w:tcW w:w="166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Bermuda</w:t>
            </w: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Statutory tax rate difference</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166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5"/>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Iraq</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Saudi Arabia</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Switzerland</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Statutory tax rate difference</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United Arab Emirates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Statutory tax rate difference</w:t>
            </w:r>
          </w:p>
        </w:tc>
        <w:tc>
          <w:tcPr>
            <w:tcW w:w="166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60" w:type="dxa"/>
            <w:vAlign w:val="bottom"/>
          </w:tcPr>
          <w:p>
            <w:pPr>
              <w:spacing w:after="0"/>
              <w:rPr>
                <w:sz w:val="19"/>
                <w:szCs w:val="19"/>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foreign jurisdictions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 border tax laws</w:t>
            </w:r>
          </w:p>
        </w:tc>
        <w:tc>
          <w:tcPr>
            <w:tcW w:w="166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66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8"/>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1600" w:type="dxa"/>
        <w:tblCellMar>
          <w:top w:w="0" w:type="dxa"/>
          <w:left w:w="0" w:type="dxa"/>
          <w:bottom w:w="0" w:type="dxa"/>
          <w:right w:w="0" w:type="dxa"/>
        </w:tblCellMar>
      </w:tblPr>
      <w:tr>
        <w:trPr>
          <w:trHeight w:val="22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Irish Income Tax Provision Tax Rate of 25%</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Tax Provision on Operating Earnings/Losses Subject to Rates Different</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the Irish Income Tax Rate</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80"/>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(Provision) Benefit on Swiss Loss from internal liquidation of</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 and internal restructuring</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Decrease (Increase) in Valuation Allowance on Operating</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Earnings/Losses</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6" w:name="page77"/>
    <w:bookmarkEnd w:id="76"/>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200" w:lineRule="exact"/>
        <w:rPr>
          <w:sz w:val="20"/>
          <w:szCs w:val="20"/>
          <w:color w:val="auto"/>
        </w:rPr>
      </w:pPr>
    </w:p>
    <w:p>
      <w:pPr>
        <w:spacing w:after="0" w:line="256"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w:t>
      </w:r>
    </w:p>
    <w:p>
      <w:pPr>
        <w:spacing w:after="0" w:line="219"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For the year ended December 31, 2025, income tax expense was lower than 2024, primarily driven by the lower earnings and the release of $70 million in benefits from previously uncertain tax positions due to audit settlements and lapses in the statute of limitations, partially offset by a decrease in the amount of valuation allowance releases as compared to 2024. During the year ended December 31, 2024, income tax expense was primarily driven by increased activity and operating profits, profit mix in various jurisdictions that we operate and lower valuation allowance releases. During the year ended December 31, 2023, income tax expense includes a one-time benefit of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18 – Blue Chip Swap Securities - Argentina).</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1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3"/>
        </w:trPr>
        <w:tc>
          <w:tcPr>
            <w:tcW w:w="3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360" w:type="dxa"/>
            <w:vAlign w:val="bottom"/>
          </w:tcPr>
          <w:p>
            <w:pPr>
              <w:spacing w:after="0"/>
              <w:rPr>
                <w:sz w:val="20"/>
                <w:szCs w:val="20"/>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3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360" w:type="dxa"/>
            <w:vAlign w:val="bottom"/>
          </w:tcPr>
          <w:p>
            <w:pPr>
              <w:spacing w:after="0"/>
              <w:rPr>
                <w:sz w:val="19"/>
                <w:szCs w:val="19"/>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5"/>
        </w:trPr>
        <w:tc>
          <w:tcPr>
            <w:tcW w:w="360" w:type="dxa"/>
            <w:vAlign w:val="bottom"/>
          </w:tcPr>
          <w:p>
            <w:pPr>
              <w:spacing w:after="0"/>
              <w:rPr>
                <w:sz w:val="19"/>
                <w:szCs w:val="19"/>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Unused Recognized Built in Losses</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360" w:type="dxa"/>
            <w:vAlign w:val="bottom"/>
          </w:tcPr>
          <w:p>
            <w:pPr>
              <w:spacing w:after="0"/>
              <w:rPr>
                <w:sz w:val="19"/>
                <w:szCs w:val="19"/>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360" w:type="dxa"/>
            <w:vAlign w:val="bottom"/>
          </w:tcPr>
          <w:p>
            <w:pPr>
              <w:spacing w:after="0"/>
              <w:rPr>
                <w:sz w:val="19"/>
                <w:szCs w:val="19"/>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360" w:type="dxa"/>
            <w:vAlign w:val="bottom"/>
          </w:tcPr>
          <w:p>
            <w:pPr>
              <w:spacing w:after="0"/>
              <w:rPr>
                <w:sz w:val="19"/>
                <w:szCs w:val="19"/>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Interest Deferral</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Base Adjustment</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360" w:type="dxa"/>
            <w:vAlign w:val="bottom"/>
          </w:tcPr>
          <w:p>
            <w:pPr>
              <w:spacing w:after="0"/>
              <w:rPr>
                <w:sz w:val="19"/>
                <w:szCs w:val="19"/>
                <w:color w:val="auto"/>
              </w:rPr>
            </w:pPr>
          </w:p>
        </w:tc>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Deferred</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5"/>
        </w:trPr>
        <w:tc>
          <w:tcPr>
            <w:tcW w:w="36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18"/>
        </w:trPr>
        <w:tc>
          <w:tcPr>
            <w:tcW w:w="360" w:type="dxa"/>
            <w:vAlign w:val="bottom"/>
          </w:tcPr>
          <w:p>
            <w:pPr>
              <w:spacing w:after="0"/>
              <w:rPr>
                <w:sz w:val="19"/>
                <w:szCs w:val="19"/>
                <w:color w:val="auto"/>
              </w:rPr>
            </w:pPr>
          </w:p>
        </w:tc>
        <w:tc>
          <w:tcPr>
            <w:tcW w:w="5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9"/>
        </w:trPr>
        <w:tc>
          <w:tcPr>
            <w:tcW w:w="3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3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36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360" w:type="dxa"/>
            <w:vAlign w:val="bottom"/>
          </w:tcPr>
          <w:p>
            <w:pPr>
              <w:spacing w:after="0"/>
              <w:rPr>
                <w:sz w:val="19"/>
                <w:szCs w:val="19"/>
                <w:color w:val="auto"/>
              </w:rPr>
            </w:pPr>
          </w:p>
        </w:tc>
        <w:tc>
          <w:tcPr>
            <w:tcW w:w="5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60" w:type="dxa"/>
            <w:vAlign w:val="bottom"/>
          </w:tcPr>
          <w:p>
            <w:pPr>
              <w:spacing w:after="0"/>
              <w:rPr>
                <w:sz w:val="20"/>
                <w:szCs w:val="20"/>
                <w:color w:val="auto"/>
              </w:rPr>
            </w:pPr>
          </w:p>
        </w:tc>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60" w:type="dxa"/>
            <w:vAlign w:val="bottom"/>
          </w:tcPr>
          <w:p>
            <w:pPr>
              <w:spacing w:after="0" w:line="20" w:lineRule="exact"/>
              <w:rPr>
                <w:sz w:val="1"/>
                <w:szCs w:val="1"/>
                <w:color w:val="auto"/>
              </w:rPr>
            </w:pPr>
          </w:p>
        </w:tc>
        <w:tc>
          <w:tcPr>
            <w:tcW w:w="5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7"/>
          <w:szCs w:val="17"/>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with emphasis on our past operating</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results, the existence of cumulative losses in the most recent years and our forecast of near- term taxable income. The Company evaluates possible sources of taxable income that may be available to realize the benefit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7" w:name="page78"/>
    <w:bookmarkEnd w:id="77"/>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tax assets, including projected future taxable income, the reversal of existing temporary differences, taxable income in carryback years and available tax planning strategies, in making this assessment.</w:t>
      </w:r>
    </w:p>
    <w:p>
      <w:pPr>
        <w:spacing w:after="0" w:line="191" w:lineRule="exact"/>
        <w:rPr>
          <w:sz w:val="20"/>
          <w:szCs w:val="20"/>
          <w:color w:val="auto"/>
        </w:rPr>
      </w:pPr>
    </w:p>
    <w:p>
      <w:pPr>
        <w:ind w:right="140" w:firstLine="318"/>
        <w:spacing w:after="0" w:line="236" w:lineRule="auto"/>
        <w:rPr>
          <w:sz w:val="20"/>
          <w:szCs w:val="20"/>
          <w:color w:val="auto"/>
        </w:rPr>
      </w:pPr>
      <w:r>
        <w:rPr>
          <w:rFonts w:ascii="Times New Roman" w:cs="Times New Roman" w:eastAsia="Times New Roman" w:hAnsi="Times New Roman"/>
          <w:sz w:val="18"/>
          <w:szCs w:val="18"/>
          <w:color w:val="auto"/>
        </w:rPr>
        <w:t>The valuation allowance decreased by $65 million in 2025. The decrease is primarily driven by $24 million of remeasurement of net deferred tax assets and $12 million due to the release of valuation allowances where deferred tax assets are now considered more likely than not to be realized in the future. The remaining net decrease in the valuation allowance during the year relates to the movement in our underlying valued net deferred tax assets based on current year activity as well as changes attributable to foreign currency translation.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Due to complexities in the tax laws and the manner of repatriation, it is not practicable to estimate the unrecognized amount of deferred income taxes and the related dividend withholding taxes associated with these undistributed earnings.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2025, we had approximately $3.1 billion of net operating losses (“NOLs”) in various jurisdictions. Our non-indefinite loss carryforwards, which are limited by Internal Revenue Code section 382 and total $0.4 billion as of December 31, 2025, and if not utilized, will mostly expire for U.S. subsidiaries from 2035 through 2036. Our non-indefinite loss carryforwards for our non-US subsidiaries will mostly expire at various dates from 2026 through 2044.</w:t>
      </w:r>
    </w:p>
    <w:p>
      <w:pPr>
        <w:spacing w:after="0" w:line="19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$2.7 billion was deemed worthless and is not included in the deferred tax table as of December 31, 2025.</w:t>
      </w:r>
    </w:p>
    <w:p>
      <w:pPr>
        <w:spacing w:after="0" w:line="2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 tabular reconciliation of the total amounts of uncertain tax positions at the beginning and end of the period is as follows:</w:t>
      </w:r>
    </w:p>
    <w:p>
      <w:pPr>
        <w:spacing w:after="0" w:line="4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1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for the current period</w:t>
            </w:r>
          </w:p>
        </w:tc>
        <w:tc>
          <w:tcPr>
            <w:tcW w:w="1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1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relating to settlements with taxing authorities</w:t>
            </w:r>
          </w:p>
        </w:tc>
        <w:tc>
          <w:tcPr>
            <w:tcW w:w="1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due to a lapse of the statute of limitations</w:t>
            </w:r>
          </w:p>
        </w:tc>
        <w:tc>
          <w:tcPr>
            <w:tcW w:w="1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5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1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Substantially all of the uncertain tax positions, if released in future periods, would impact our effective tax rate. Within the total balance is $51 million and $48 million as of December 31, 2025 and 2024, respectively, that would be offset by net operating losses and other tax attributes if settled. Our income tax provision includes penalties and interest expense (benefit) on uncertain tax positions of $5 million, $1 million and $12 million for years ended December 31, 2025, 2024, and 2023, respectively. The expense of $5 million in 2025 includes $21 million of interest and penalty release related to benefit from previously uncertain tax positions. The amounts in the table above exclude cumulative accrued interest and penalties of $114 million and $112 million at December 31, 2025 and 2024, respectively, which are included in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8" w:name="page79"/>
    <w:bookmarkEnd w:id="78"/>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the Consolidated Financial Statements</w:t>
      </w:r>
    </w:p>
    <w:p>
      <w:pPr>
        <w:spacing w:after="0" w:line="37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We are subject to income tax in many of the approximately 75 countries where we operate. We are continuously under tax examination in various jurisdictions and cannot predict the timing or outcome regarding the resolutions or if they will have a material impact on our financial statements. As of December 31, 2025, the following table summarizes the tax years that remain subject to examination for the major jurisdictions in which we operate:</w:t>
      </w:r>
    </w:p>
    <w:p>
      <w:pPr>
        <w:spacing w:after="0" w:line="34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Tax Years under Examinati</w:t>
            </w:r>
          </w:p>
        </w:tc>
      </w:tr>
      <w:tr>
        <w:trPr>
          <w:trHeight w:val="21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2022 - 20</w:t>
            </w:r>
          </w:p>
        </w:tc>
      </w:tr>
      <w:tr>
        <w:trPr>
          <w:trHeight w:val="2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2006 - 20</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2021 - 20</w:t>
            </w:r>
          </w:p>
        </w:tc>
      </w:tr>
      <w:tr>
        <w:trPr>
          <w:trHeight w:val="23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2021 - 20</w:t>
            </w:r>
          </w:p>
        </w:tc>
      </w:tr>
    </w:tbl>
    <w:p>
      <w:pPr>
        <w:spacing w:after="0" w:line="307"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summarizes income taxes paid during the year ended December 31, 2025, net of refunds, by jurisdiction. Federal and state taxes paid did not meet the 5% disclosure threshold as required by ASU 2023-09. Cash taxes, net of refunds, were $168 million and $132 million for 2024 and 2023, respectively.</w:t>
      </w:r>
    </w:p>
    <w:p>
      <w:pPr>
        <w:spacing w:after="0" w:line="200" w:lineRule="exact"/>
        <w:rPr>
          <w:sz w:val="20"/>
          <w:szCs w:val="20"/>
          <w:color w:val="auto"/>
        </w:rPr>
      </w:pPr>
    </w:p>
    <w:p>
      <w:pPr>
        <w:spacing w:after="0" w:line="281" w:lineRule="exact"/>
        <w:rPr>
          <w:sz w:val="20"/>
          <w:szCs w:val="20"/>
          <w:color w:val="auto"/>
        </w:rPr>
      </w:pPr>
    </w:p>
    <w:tbl>
      <w:tblPr>
        <w:tblLayout w:type="fixed"/>
        <w:tblInd w:w="3460" w:type="dxa"/>
        <w:tblCellMar>
          <w:top w:w="0" w:type="dxa"/>
          <w:left w:w="0" w:type="dxa"/>
          <w:bottom w:w="0" w:type="dxa"/>
          <w:right w:w="0" w:type="dxa"/>
        </w:tblCellMar>
      </w:tblPr>
      <w:tr>
        <w:trPr>
          <w:trHeight w:val="232"/>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0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Russia</w:t>
            </w:r>
          </w:p>
        </w:tc>
        <w:tc>
          <w:tcPr>
            <w:tcW w:w="10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0"/>
        </w:trPr>
        <w:tc>
          <w:tcPr>
            <w:tcW w:w="1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Blue Chip Swap Securities - Argentina</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w:t>
      </w:r>
    </w:p>
    <w:p>
      <w:pPr>
        <w:spacing w:after="0" w:line="204"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An indirect foreign exchange mechanism known as a Blue Chip Swap (“BCS”) allows entities to remit U.S. dollars from Argentina through the purchase and sale of BCS securities. During each of the years ended December 31, 2025 and 2024, we completed a series of BCS transactions at implied exchange rates (“BCS rates”) that were approximately 2% and 26% higher, respectively, than the official exchange rate, resulting in a loss of $2 million and $10 million, respectively. We continue to use the official exchange rate for remeasurement of our Argentine peso-denominated net monetary assets under U.S. GAAP as the BCS rates do not meet the criteria for remeasurement under U.S.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Subsequent Events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Declaration of cash dividend</w:t>
      </w:r>
    </w:p>
    <w:p>
      <w:pPr>
        <w:spacing w:after="0" w:line="246" w:lineRule="exact"/>
        <w:rPr>
          <w:sz w:val="20"/>
          <w:szCs w:val="20"/>
          <w:color w:val="auto"/>
        </w:rPr>
      </w:pPr>
    </w:p>
    <w:p>
      <w:pPr>
        <w:jc w:val="both"/>
        <w:ind w:right="120" w:firstLine="318"/>
        <w:spacing w:after="0" w:line="274" w:lineRule="auto"/>
        <w:rPr>
          <w:sz w:val="20"/>
          <w:szCs w:val="20"/>
          <w:color w:val="auto"/>
        </w:rPr>
      </w:pPr>
      <w:r>
        <w:rPr>
          <w:rFonts w:ascii="Times New Roman" w:cs="Times New Roman" w:eastAsia="Times New Roman" w:hAnsi="Times New Roman"/>
          <w:sz w:val="18"/>
          <w:szCs w:val="18"/>
          <w:color w:val="auto"/>
        </w:rPr>
        <w:t>On January 26, 2026, our Board of Directors declared a cash dividend of $0.275 per share of the Company’s ordinary shares, payable on March 5, 2026 to shareholders of record as of 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Weatherford International plc – 2025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13" w:right="239" w:bottom="1440" w:gutter="0" w:footer="0" w:header="0"/>
        </w:sectPr>
      </w:pPr>
    </w:p>
    <w:bookmarkStart w:id="79" w:name="page80"/>
    <w:bookmarkEnd w:id="79"/>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9 | Changes in and Disagreement with Accountants on Accounting and Financial Disclosure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2025. Based on that evaluation, our CEO and CFO concluded that our disclosure controls and procedures were effective as of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using the criteria set forth by the Committee of Sponsoring Organizations of the Treadway Commission in Internal Control – An Integrated Framework (2013). As a result of this assessment, management concluded that as of December 31, 2025, our internal control over financial reporting was effective based on these criteria.</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KPMG LLP has issued an attestation report dated February 4, 2026, on our internal control over financial reporting, which is contained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ended December 31, 2025,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2" w:lineRule="exact"/>
        <w:rPr>
          <w:sz w:val="20"/>
          <w:szCs w:val="20"/>
          <w:color w:val="auto"/>
        </w:rPr>
      </w:pPr>
    </w:p>
    <w:p>
      <w:pPr>
        <w:ind w:right="580" w:firstLine="318"/>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0" w:name="page81"/>
    <w:bookmarkEnd w:id="80"/>
    <w:p>
      <w:pPr>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10 | Directors, Executive Officers and Corporate Governance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2026 Annual General Meeting of Shareholders. See also “Item 1. Business.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Weatherford” of this report.</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adopted a code of ethics entitled “Weatherford Code of Business Conduct English,” which applies to all our employees, officers and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these codes can also be found at www.weatherford.com.</w:t>
      </w:r>
    </w:p>
    <w:p>
      <w:pPr>
        <w:spacing w:after="0" w:line="1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Weatherford Code of Business Conduct and any waiver from any provision to it by posting such information on our website at www.weatherford.com.</w:t>
      </w:r>
    </w:p>
    <w:p>
      <w:pPr>
        <w:spacing w:after="0" w:line="17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Weatherford’s securities that applies to Weatherford and all personnel of Weatherford and its subsidiaries, including directors, officers, employees and other covered persons. Weatherford believes that its insider trading policy is reasonably designed to promote compliance with insider trading laws, rules and regulations, as well as applicable listing standards. A copy of Weatherford’s insider trading policy is filed as Exhibit 19 to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2026 Annual General Meeting of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2026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15 | Exhibits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2026 Annual General Meeting of Shareholders.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2026 Annual General Meeting of Shareholders.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325"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58"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listed on page </w:t>
      </w:r>
      <w:r>
        <w:rPr>
          <w:rFonts w:ascii="Times New Roman" w:cs="Times New Roman" w:eastAsia="Times New Roman" w:hAnsi="Times New Roman"/>
          <w:sz w:val="18"/>
          <w:szCs w:val="18"/>
          <w:u w:val="single" w:color="auto"/>
          <w:color w:val="0000FF"/>
        </w:rPr>
        <w:t>41</w:t>
      </w:r>
      <w:r>
        <w:rPr>
          <w:rFonts w:ascii="Times New Roman" w:cs="Times New Roman" w:eastAsia="Times New Roman" w:hAnsi="Times New Roman"/>
          <w:sz w:val="18"/>
          <w:szCs w:val="18"/>
          <w:color w:val="auto"/>
        </w:rPr>
        <w:t xml:space="preserve"> of this report.</w:t>
      </w:r>
    </w:p>
    <w:p>
      <w:pPr>
        <w:spacing w:after="0" w:line="11" w:lineRule="exact"/>
        <w:rPr>
          <w:rFonts w:ascii="Times New Roman" w:cs="Times New Roman" w:eastAsia="Times New Roman" w:hAnsi="Times New Roman"/>
          <w:sz w:val="18"/>
          <w:szCs w:val="18"/>
          <w:color w:val="auto"/>
        </w:rPr>
      </w:pPr>
    </w:p>
    <w:p>
      <w:pPr>
        <w:ind w:left="320" w:right="400" w:hanging="314"/>
        <w:spacing w:after="0" w:line="230"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listed in Rule 5-04 of Regulation S-X (17 CFR 210.5-04) have been omitted because they are not applicable or the required information is shown in the consolidated financial statements or notes thereto.</w:t>
      </w:r>
    </w:p>
    <w:p>
      <w:pPr>
        <w:spacing w:after="0" w:line="33" w:lineRule="exact"/>
        <w:rPr>
          <w:rFonts w:ascii="Times New Roman" w:cs="Times New Roman" w:eastAsia="Times New Roman" w:hAnsi="Times New Roman"/>
          <w:sz w:val="18"/>
          <w:szCs w:val="18"/>
          <w:color w:val="auto"/>
        </w:rPr>
      </w:pPr>
    </w:p>
    <w:p>
      <w:pPr>
        <w:ind w:left="320" w:right="700" w:hanging="314"/>
        <w:spacing w:after="0" w:line="274"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the Company listed below under Item 15(b); all exhibits are incorporated herein by reference to a prior filing as indicated, unless designated by a dagger (†) or double dagger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Exhibits:</w:t>
            </w:r>
          </w:p>
        </w:tc>
        <w:tc>
          <w:tcPr>
            <w:tcW w:w="1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7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jc w:val="center"/>
              <w:ind w:right="72"/>
              <w:spacing w:after="0" w:line="179" w:lineRule="exact"/>
              <w:rPr>
                <w:sz w:val="20"/>
                <w:szCs w:val="20"/>
                <w:color w:val="auto"/>
              </w:rPr>
            </w:pPr>
            <w:r>
              <w:rPr>
                <w:rFonts w:ascii="Times New Roman" w:cs="Times New Roman" w:eastAsia="Times New Roman" w:hAnsi="Times New Roman"/>
                <w:sz w:val="18"/>
                <w:szCs w:val="18"/>
                <w:color w:val="auto"/>
                <w:w w:val="97"/>
              </w:rPr>
              <w:t>3.1</w:t>
            </w:r>
          </w:p>
        </w:tc>
        <w:tc>
          <w:tcPr>
            <w:tcW w:w="4800" w:type="dxa"/>
            <w:vAlign w:val="bottom"/>
            <w:gridSpan w:val="12"/>
            <w:shd w:val="clear" w:color="auto" w:fill="CCEEFF"/>
          </w:tcPr>
          <w:p>
            <w:pPr>
              <w:spacing w:after="0" w:line="17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Memorandum and Articles of Association</w:t>
              </w:r>
            </w:hyperlink>
          </w:p>
        </w:tc>
        <w:tc>
          <w:tcPr>
            <w:tcW w:w="2880" w:type="dxa"/>
            <w:vAlign w:val="bottom"/>
            <w:shd w:val="clear" w:color="auto" w:fill="CCEEFF"/>
          </w:tcPr>
          <w:p>
            <w:pPr>
              <w:jc w:val="center"/>
              <w:ind w:right="53"/>
              <w:spacing w:after="0" w:line="179" w:lineRule="exact"/>
              <w:rPr>
                <w:sz w:val="20"/>
                <w:szCs w:val="20"/>
                <w:color w:val="auto"/>
              </w:rPr>
            </w:pPr>
            <w:r>
              <w:rPr>
                <w:rFonts w:ascii="Times New Roman" w:cs="Times New Roman" w:eastAsia="Times New Roman" w:hAnsi="Times New Roman"/>
                <w:sz w:val="18"/>
                <w:szCs w:val="18"/>
                <w:color w:val="auto"/>
                <w:w w:val="96"/>
              </w:rPr>
              <w:t>Exhibit 3.1 of the</w:t>
            </w:r>
          </w:p>
        </w:tc>
        <w:tc>
          <w:tcPr>
            <w:tcW w:w="172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of Weatherford International public limited company</w:t>
              </w:r>
            </w:hyperlink>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jc w:val="center"/>
              <w:ind w:right="93"/>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6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0000FF"/>
            </w:tcBorders>
            <w:shd w:val="clear" w:color="auto" w:fill="CCEEFF"/>
          </w:tcPr>
          <w:p>
            <w:pPr>
              <w:spacing w:after="0"/>
              <w:rPr>
                <w:sz w:val="12"/>
                <w:szCs w:val="12"/>
                <w:color w:val="auto"/>
              </w:rPr>
            </w:pPr>
          </w:p>
        </w:tc>
        <w:tc>
          <w:tcPr>
            <w:tcW w:w="19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jc w:val="center"/>
              <w:ind w:right="53"/>
              <w:spacing w:after="0" w:line="147" w:lineRule="exact"/>
              <w:rPr>
                <w:sz w:val="20"/>
                <w:szCs w:val="20"/>
                <w:color w:val="auto"/>
              </w:rPr>
            </w:pPr>
            <w:r>
              <w:rPr>
                <w:rFonts w:ascii="Times New Roman" w:cs="Times New Roman" w:eastAsia="Times New Roman" w:hAnsi="Times New Roman"/>
                <w:sz w:val="17"/>
                <w:szCs w:val="17"/>
                <w:color w:val="auto"/>
              </w:rPr>
              <w:t>Report on Form 8-K</w:t>
            </w:r>
          </w:p>
        </w:tc>
        <w:tc>
          <w:tcPr>
            <w:tcW w:w="17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7"/>
              </w:rPr>
              <w:t>filed December 18, 2019</w:t>
            </w: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46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7"/>
              </w:rPr>
              <w:t>4.1</w:t>
            </w:r>
          </w:p>
        </w:tc>
        <w:tc>
          <w:tcPr>
            <w:tcW w:w="4800" w:type="dxa"/>
            <w:vAlign w:val="bottom"/>
            <w:gridSpan w:val="12"/>
          </w:tcPr>
          <w:p>
            <w:pPr>
              <w:spacing w:after="0" w:line="18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Description of Securities</w:t>
              </w:r>
            </w:hyperlink>
          </w:p>
        </w:tc>
        <w:tc>
          <w:tcPr>
            <w:tcW w:w="2880" w:type="dxa"/>
            <w:vAlign w:val="bottom"/>
          </w:tcPr>
          <w:p>
            <w:pPr>
              <w:jc w:val="center"/>
              <w:ind w:right="53"/>
              <w:spacing w:after="0" w:line="186"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2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39"/>
        </w:trPr>
        <w:tc>
          <w:tcPr>
            <w:tcW w:w="1460" w:type="dxa"/>
            <w:vAlign w:val="bottom"/>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jc w:val="center"/>
              <w:ind w:right="53"/>
              <w:spacing w:after="0" w:line="139" w:lineRule="exact"/>
              <w:rPr>
                <w:sz w:val="20"/>
                <w:szCs w:val="20"/>
                <w:color w:val="auto"/>
              </w:rPr>
            </w:pPr>
            <w:r>
              <w:rPr>
                <w:rFonts w:ascii="Times New Roman" w:cs="Times New Roman" w:eastAsia="Times New Roman" w:hAnsi="Times New Roman"/>
                <w:sz w:val="15"/>
                <w:szCs w:val="15"/>
                <w:color w:val="auto"/>
              </w:rPr>
              <w:t>Annual Report on Form 10-K filed</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8"/>
              </w:rPr>
              <w:t>February 17, 2022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jc w:val="center"/>
              <w:ind w:right="72"/>
              <w:spacing w:after="0" w:line="170" w:lineRule="exact"/>
              <w:rPr>
                <w:sz w:val="20"/>
                <w:szCs w:val="20"/>
                <w:color w:val="auto"/>
              </w:rPr>
            </w:pPr>
            <w:r>
              <w:rPr>
                <w:rFonts w:ascii="Times New Roman" w:cs="Times New Roman" w:eastAsia="Times New Roman" w:hAnsi="Times New Roman"/>
                <w:sz w:val="18"/>
                <w:szCs w:val="18"/>
                <w:color w:val="auto"/>
                <w:w w:val="97"/>
              </w:rPr>
              <w:t>4.2</w:t>
            </w:r>
          </w:p>
        </w:tc>
        <w:tc>
          <w:tcPr>
            <w:tcW w:w="4800" w:type="dxa"/>
            <w:vAlign w:val="bottom"/>
            <w:gridSpan w:val="12"/>
            <w:shd w:val="clear" w:color="auto" w:fill="CCEEFF"/>
          </w:tcPr>
          <w:p>
            <w:pPr>
              <w:spacing w:after="0" w:line="170"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Indenture, dated October 27, 2021, by and among Weatherford</w:t>
              </w:r>
            </w:hyperlink>
          </w:p>
        </w:tc>
        <w:tc>
          <w:tcPr>
            <w:tcW w:w="2880" w:type="dxa"/>
            <w:vAlign w:val="bottom"/>
            <w:shd w:val="clear" w:color="auto" w:fill="CCEEFF"/>
          </w:tcPr>
          <w:p>
            <w:pPr>
              <w:jc w:val="center"/>
              <w:ind w:right="53"/>
              <w:spacing w:after="0" w:line="170" w:lineRule="exact"/>
              <w:rPr>
                <w:sz w:val="20"/>
                <w:szCs w:val="20"/>
                <w:color w:val="auto"/>
              </w:rPr>
            </w:pPr>
            <w:r>
              <w:rPr>
                <w:rFonts w:ascii="Times New Roman" w:cs="Times New Roman" w:eastAsia="Times New Roman" w:hAnsi="Times New Roman"/>
                <w:sz w:val="18"/>
                <w:szCs w:val="18"/>
                <w:color w:val="auto"/>
                <w:w w:val="98"/>
              </w:rPr>
              <w:t>Exhibit 4.1 of the Company’s</w:t>
            </w:r>
          </w:p>
        </w:tc>
        <w:tc>
          <w:tcPr>
            <w:tcW w:w="172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52"/>
        </w:trPr>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4260" w:type="dxa"/>
            <w:vAlign w:val="bottom"/>
            <w:tcBorders>
              <w:top w:val="single" w:sz="8" w:color="0000FF"/>
              <w:bottom w:val="single" w:sz="8" w:color="0000FF"/>
            </w:tcBorders>
            <w:gridSpan w:val="5"/>
            <w:shd w:val="clear" w:color="auto" w:fill="CCEEFF"/>
          </w:tcPr>
          <w:p>
            <w:pPr>
              <w:spacing w:after="0" w:line="139" w:lineRule="exact"/>
              <w:rPr>
                <w:rFonts w:ascii="Times New Roman" w:cs="Times New Roman" w:eastAsia="Times New Roman" w:hAnsi="Times New Roman"/>
                <w:sz w:val="15"/>
                <w:szCs w:val="15"/>
                <w:color w:val="0000FF"/>
              </w:rPr>
            </w:pPr>
            <w:hyperlink r:id="rId97">
              <w:r>
                <w:rPr>
                  <w:rFonts w:ascii="Times New Roman" w:cs="Times New Roman" w:eastAsia="Times New Roman" w:hAnsi="Times New Roman"/>
                  <w:sz w:val="15"/>
                  <w:szCs w:val="15"/>
                  <w:color w:val="0000FF"/>
                </w:rPr>
                <w:t>International Ltd., as issuer, the guarantors party thereto and</w:t>
              </w:r>
            </w:hyperlink>
          </w:p>
        </w:tc>
        <w:tc>
          <w:tcPr>
            <w:tcW w:w="18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CCEEFF"/>
              <w:bottom w:val="single" w:sz="8" w:color="CCEEFF"/>
            </w:tcBorders>
            <w:vMerge w:val="restart"/>
            <w:shd w:val="clear" w:color="auto" w:fill="CCEEFF"/>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4800" w:type="dxa"/>
            <w:vAlign w:val="bottom"/>
            <w:gridSpan w:val="12"/>
            <w:vMerge w:val="restart"/>
            <w:shd w:val="clear" w:color="auto" w:fill="CCEEFF"/>
          </w:tcPr>
          <w:p>
            <w:pPr>
              <w:spacing w:after="0" w:line="15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Deutsche Bank Trust Company Americas, as trustee</w:t>
              </w:r>
            </w:hyperlink>
          </w:p>
        </w:tc>
        <w:tc>
          <w:tcPr>
            <w:tcW w:w="2880" w:type="dxa"/>
            <w:vAlign w:val="bottom"/>
            <w:vMerge w:val="continue"/>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60" w:type="dxa"/>
            <w:vAlign w:val="bottom"/>
            <w:shd w:val="clear" w:color="auto" w:fill="CCEEFF"/>
          </w:tcPr>
          <w:p>
            <w:pPr>
              <w:spacing w:after="0"/>
              <w:rPr>
                <w:sz w:val="10"/>
                <w:szCs w:val="10"/>
                <w:color w:val="auto"/>
              </w:rPr>
            </w:pPr>
          </w:p>
        </w:tc>
        <w:tc>
          <w:tcPr>
            <w:tcW w:w="4800" w:type="dxa"/>
            <w:vAlign w:val="bottom"/>
            <w:gridSpan w:val="12"/>
            <w:vMerge w:val="continue"/>
            <w:shd w:val="clear" w:color="auto" w:fill="CCEEFF"/>
          </w:tcPr>
          <w:p>
            <w:pPr>
              <w:spacing w:after="0"/>
              <w:rPr>
                <w:sz w:val="10"/>
                <w:szCs w:val="10"/>
                <w:color w:val="auto"/>
              </w:rPr>
            </w:pPr>
          </w:p>
        </w:tc>
        <w:tc>
          <w:tcPr>
            <w:tcW w:w="2880" w:type="dxa"/>
            <w:vAlign w:val="bottom"/>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7"/>
              </w:rPr>
              <w:t>October 27, 2021</w:t>
            </w:r>
          </w:p>
        </w:tc>
        <w:tc>
          <w:tcPr>
            <w:tcW w:w="1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460" w:type="dxa"/>
            <w:vAlign w:val="bottom"/>
            <w:tcBorders>
              <w:top w:val="single" w:sz="8" w:color="CCEEFF"/>
              <w:bottom w:val="single" w:sz="8" w:color="CCEEFF"/>
            </w:tcBorders>
            <w:shd w:val="clear" w:color="auto" w:fill="CCEEFF"/>
          </w:tcPr>
          <w:p>
            <w:pPr>
              <w:spacing w:after="0"/>
              <w:rPr>
                <w:sz w:val="8"/>
                <w:szCs w:val="8"/>
                <w:color w:val="auto"/>
              </w:rPr>
            </w:pPr>
          </w:p>
        </w:tc>
        <w:tc>
          <w:tcPr>
            <w:tcW w:w="1760" w:type="dxa"/>
            <w:vAlign w:val="bottom"/>
            <w:tcBorders>
              <w:top w:val="single" w:sz="8" w:color="0000FF"/>
              <w:bottom w:val="single" w:sz="8" w:color="CCEEFF"/>
            </w:tcBorders>
            <w:shd w:val="clear" w:color="auto" w:fill="CCEEFF"/>
          </w:tcPr>
          <w:p>
            <w:pPr>
              <w:spacing w:after="0"/>
              <w:rPr>
                <w:sz w:val="8"/>
                <w:szCs w:val="8"/>
                <w:color w:val="auto"/>
              </w:rPr>
            </w:pPr>
          </w:p>
        </w:tc>
        <w:tc>
          <w:tcPr>
            <w:tcW w:w="1940" w:type="dxa"/>
            <w:vAlign w:val="bottom"/>
            <w:tcBorders>
              <w:top w:val="single" w:sz="8" w:color="0000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88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172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460" w:type="dxa"/>
            <w:vAlign w:val="bottom"/>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7"/>
              </w:rPr>
              <w:t>4.3</w:t>
            </w:r>
          </w:p>
        </w:tc>
        <w:tc>
          <w:tcPr>
            <w:tcW w:w="4800" w:type="dxa"/>
            <w:vAlign w:val="bottom"/>
            <w:gridSpan w:val="12"/>
          </w:tcPr>
          <w:p>
            <w:pPr>
              <w:spacing w:after="0" w:line="16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 xml:space="preserve">Form of 8.625% Senior Note due 2030 (included in Exhibit </w:t>
              </w:r>
            </w:hyperlink>
            <w:r>
              <w:rPr>
                <w:rFonts w:ascii="Times New Roman" w:cs="Times New Roman" w:eastAsia="Times New Roman" w:hAnsi="Times New Roman"/>
                <w:sz w:val="18"/>
                <w:szCs w:val="18"/>
                <w:color w:val="0000FF"/>
              </w:rPr>
              <w:t>4.2)</w:t>
            </w:r>
          </w:p>
        </w:tc>
        <w:tc>
          <w:tcPr>
            <w:tcW w:w="2880" w:type="dxa"/>
            <w:vAlign w:val="bottom"/>
          </w:tcPr>
          <w:p>
            <w:pPr>
              <w:jc w:val="center"/>
              <w:ind w:right="33"/>
              <w:spacing w:after="0" w:line="165" w:lineRule="exact"/>
              <w:rPr>
                <w:sz w:val="20"/>
                <w:szCs w:val="20"/>
                <w:color w:val="auto"/>
              </w:rPr>
            </w:pPr>
            <w:r>
              <w:rPr>
                <w:rFonts w:ascii="Times New Roman" w:cs="Times New Roman" w:eastAsia="Times New Roman" w:hAnsi="Times New Roman"/>
                <w:sz w:val="18"/>
                <w:szCs w:val="18"/>
                <w:color w:val="auto"/>
                <w:w w:val="98"/>
              </w:rPr>
              <w:t>Included in Exhibit 4.1 of the</w:t>
            </w:r>
          </w:p>
        </w:tc>
        <w:tc>
          <w:tcPr>
            <w:tcW w:w="17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9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7"/>
              </w:rPr>
              <w:t>Company’s Current Report on Form</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8"/>
              </w:rPr>
              <w:t>8-K filed October 27, 2021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shd w:val="clear" w:color="auto" w:fill="CCEEFF"/>
          </w:tcPr>
          <w:p>
            <w:pPr>
              <w:jc w:val="center"/>
              <w:ind w:right="72"/>
              <w:spacing w:after="0" w:line="165" w:lineRule="exact"/>
              <w:rPr>
                <w:sz w:val="20"/>
                <w:szCs w:val="20"/>
                <w:color w:val="auto"/>
              </w:rPr>
            </w:pPr>
            <w:r>
              <w:rPr>
                <w:rFonts w:ascii="Times New Roman" w:cs="Times New Roman" w:eastAsia="Times New Roman" w:hAnsi="Times New Roman"/>
                <w:sz w:val="18"/>
                <w:szCs w:val="18"/>
                <w:color w:val="auto"/>
                <w:w w:val="97"/>
              </w:rPr>
              <w:t>4.4</w:t>
            </w:r>
          </w:p>
        </w:tc>
        <w:tc>
          <w:tcPr>
            <w:tcW w:w="4800" w:type="dxa"/>
            <w:vAlign w:val="bottom"/>
            <w:gridSpan w:val="12"/>
            <w:shd w:val="clear" w:color="auto" w:fill="CCEEFF"/>
          </w:tcPr>
          <w:p>
            <w:pPr>
              <w:spacing w:after="0" w:line="16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Supplemental Indenture, dated as of December 1, 2022, by and</w:t>
              </w:r>
            </w:hyperlink>
          </w:p>
        </w:tc>
        <w:tc>
          <w:tcPr>
            <w:tcW w:w="2880" w:type="dxa"/>
            <w:vAlign w:val="bottom"/>
            <w:shd w:val="clear" w:color="auto" w:fill="CCEEFF"/>
          </w:tcPr>
          <w:p>
            <w:pPr>
              <w:jc w:val="center"/>
              <w:ind w:right="53"/>
              <w:spacing w:after="0" w:line="165" w:lineRule="exact"/>
              <w:rPr>
                <w:sz w:val="20"/>
                <w:szCs w:val="20"/>
                <w:color w:val="auto"/>
              </w:rPr>
            </w:pPr>
            <w:r>
              <w:rPr>
                <w:rFonts w:ascii="Times New Roman" w:cs="Times New Roman" w:eastAsia="Times New Roman" w:hAnsi="Times New Roman"/>
                <w:sz w:val="18"/>
                <w:szCs w:val="18"/>
                <w:color w:val="auto"/>
                <w:w w:val="98"/>
              </w:rPr>
              <w:t>Exhibit 4.2 of the Company’s</w:t>
            </w:r>
          </w:p>
        </w:tc>
        <w:tc>
          <w:tcPr>
            <w:tcW w:w="17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46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0000FF"/>
            </w:tcBorders>
            <w:gridSpan w:val="11"/>
            <w:shd w:val="clear" w:color="auto" w:fill="CCEEFF"/>
          </w:tcPr>
          <w:p>
            <w:pPr>
              <w:spacing w:after="0" w:line="139" w:lineRule="exact"/>
              <w:rPr>
                <w:rFonts w:ascii="Times New Roman" w:cs="Times New Roman" w:eastAsia="Times New Roman" w:hAnsi="Times New Roman"/>
                <w:sz w:val="15"/>
                <w:szCs w:val="15"/>
                <w:color w:val="0000FF"/>
              </w:rPr>
            </w:pPr>
            <w:hyperlink r:id="rId98">
              <w:r>
                <w:rPr>
                  <w:rFonts w:ascii="Times New Roman" w:cs="Times New Roman" w:eastAsia="Times New Roman" w:hAnsi="Times New Roman"/>
                  <w:sz w:val="15"/>
                  <w:szCs w:val="15"/>
                  <w:color w:val="0000FF"/>
                </w:rPr>
                <w:t>among Weatherford International, LLC, Weatherford International</w:t>
              </w:r>
            </w:hyperlink>
          </w:p>
        </w:tc>
        <w:tc>
          <w:tcPr>
            <w:tcW w:w="100" w:type="dxa"/>
            <w:vAlign w:val="bottom"/>
            <w:tcBorders>
              <w:bottom w:val="single" w:sz="8" w:color="CCEEFF"/>
            </w:tcBorders>
            <w:shd w:val="clear" w:color="auto" w:fill="CCEEFF"/>
          </w:tcPr>
          <w:p>
            <w:pPr>
              <w:spacing w:after="0"/>
              <w:rPr>
                <w:sz w:val="13"/>
                <w:szCs w:val="13"/>
                <w:color w:val="auto"/>
              </w:rPr>
            </w:pPr>
          </w:p>
        </w:tc>
        <w:tc>
          <w:tcPr>
            <w:tcW w:w="2880" w:type="dxa"/>
            <w:vAlign w:val="bottom"/>
            <w:tcBorders>
              <w:bottom w:val="single" w:sz="8" w:color="CCEEFF"/>
            </w:tcBorders>
            <w:vMerge w:val="restart"/>
            <w:shd w:val="clear" w:color="auto" w:fill="CCEEFF"/>
          </w:tcPr>
          <w:p>
            <w:pPr>
              <w:jc w:val="center"/>
              <w:ind w:right="33"/>
              <w:spacing w:after="0" w:line="201"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4640" w:type="dxa"/>
            <w:vAlign w:val="bottom"/>
            <w:gridSpan w:val="9"/>
            <w:vMerge w:val="restart"/>
            <w:shd w:val="clear" w:color="auto" w:fill="CCEEFF"/>
          </w:tcPr>
          <w:p>
            <w:pPr>
              <w:spacing w:after="0" w:line="15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plc, as parent guarantor, Weatherford International Ltd., as issuer,</w:t>
              </w:r>
            </w:hyperlink>
          </w:p>
        </w:tc>
        <w:tc>
          <w:tcPr>
            <w:tcW w:w="160" w:type="dxa"/>
            <w:vAlign w:val="bottom"/>
            <w:gridSpan w:val="3"/>
            <w:vMerge w:val="restart"/>
            <w:shd w:val="clear" w:color="auto" w:fill="CCEEFF"/>
          </w:tcPr>
          <w:p>
            <w:pPr>
              <w:spacing w:after="0"/>
              <w:rPr>
                <w:sz w:val="2"/>
                <w:szCs w:val="2"/>
                <w:color w:val="auto"/>
              </w:rPr>
            </w:pPr>
          </w:p>
        </w:tc>
        <w:tc>
          <w:tcPr>
            <w:tcW w:w="2880" w:type="dxa"/>
            <w:vAlign w:val="bottom"/>
            <w:vMerge w:val="continue"/>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460" w:type="dxa"/>
            <w:vAlign w:val="bottom"/>
            <w:tcBorders>
              <w:bottom w:val="single" w:sz="8" w:color="CCEEFF"/>
            </w:tcBorders>
            <w:shd w:val="clear" w:color="auto" w:fill="CCEEFF"/>
          </w:tcPr>
          <w:p>
            <w:pPr>
              <w:spacing w:after="0"/>
              <w:rPr>
                <w:sz w:val="10"/>
                <w:szCs w:val="10"/>
                <w:color w:val="auto"/>
              </w:rPr>
            </w:pPr>
          </w:p>
        </w:tc>
        <w:tc>
          <w:tcPr>
            <w:tcW w:w="4640" w:type="dxa"/>
            <w:vAlign w:val="bottom"/>
            <w:tcBorders>
              <w:bottom w:val="single" w:sz="8" w:color="0000FF"/>
            </w:tcBorders>
            <w:gridSpan w:val="9"/>
            <w:vMerge w:val="continue"/>
            <w:shd w:val="clear" w:color="auto" w:fill="CCEEFF"/>
          </w:tcPr>
          <w:p>
            <w:pPr>
              <w:spacing w:after="0"/>
              <w:rPr>
                <w:sz w:val="10"/>
                <w:szCs w:val="10"/>
                <w:color w:val="auto"/>
              </w:rPr>
            </w:pPr>
          </w:p>
        </w:tc>
        <w:tc>
          <w:tcPr>
            <w:tcW w:w="160" w:type="dxa"/>
            <w:vAlign w:val="bottom"/>
            <w:tcBorders>
              <w:bottom w:val="single" w:sz="8" w:color="CCEEFF"/>
            </w:tcBorders>
            <w:gridSpan w:val="3"/>
            <w:vMerge w:val="continue"/>
            <w:shd w:val="clear" w:color="auto" w:fill="CCEEFF"/>
          </w:tcPr>
          <w:p>
            <w:pPr>
              <w:spacing w:after="0"/>
              <w:rPr>
                <w:sz w:val="10"/>
                <w:szCs w:val="10"/>
                <w:color w:val="auto"/>
              </w:rPr>
            </w:pPr>
          </w:p>
        </w:tc>
        <w:tc>
          <w:tcPr>
            <w:tcW w:w="2880" w:type="dxa"/>
            <w:vAlign w:val="bottom"/>
            <w:tcBorders>
              <w:bottom w:val="single" w:sz="8" w:color="CCEEFF"/>
            </w:tcBorders>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8"/>
              </w:rPr>
              <w:t>December 5, 2022</w:t>
            </w:r>
          </w:p>
        </w:tc>
        <w:tc>
          <w:tcPr>
            <w:tcW w:w="17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460" w:type="dxa"/>
            <w:vAlign w:val="bottom"/>
            <w:shd w:val="clear" w:color="auto" w:fill="CCEEFF"/>
          </w:tcPr>
          <w:p>
            <w:pPr>
              <w:spacing w:after="0"/>
              <w:rPr>
                <w:sz w:val="7"/>
                <w:szCs w:val="7"/>
                <w:color w:val="auto"/>
              </w:rPr>
            </w:pPr>
          </w:p>
        </w:tc>
        <w:tc>
          <w:tcPr>
            <w:tcW w:w="4000" w:type="dxa"/>
            <w:vAlign w:val="bottom"/>
            <w:gridSpan w:val="4"/>
            <w:vMerge w:val="restart"/>
            <w:shd w:val="clear" w:color="auto" w:fill="CCEEFF"/>
          </w:tcPr>
          <w:p>
            <w:pPr>
              <w:spacing w:after="0" w:line="165" w:lineRule="exact"/>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and Deutsche Bank Trust Company Americas, as trustee</w:t>
              </w:r>
            </w:hyperlink>
          </w:p>
        </w:tc>
        <w:tc>
          <w:tcPr>
            <w:tcW w:w="800" w:type="dxa"/>
            <w:vAlign w:val="bottom"/>
            <w:gridSpan w:val="8"/>
            <w:vMerge w:val="restart"/>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60" w:type="dxa"/>
            <w:vAlign w:val="bottom"/>
            <w:tcBorders>
              <w:bottom w:val="single" w:sz="8" w:color="CCEEFF"/>
            </w:tcBorders>
            <w:shd w:val="clear" w:color="auto" w:fill="CCEEFF"/>
          </w:tcPr>
          <w:p>
            <w:pPr>
              <w:spacing w:after="0"/>
              <w:rPr>
                <w:sz w:val="8"/>
                <w:szCs w:val="8"/>
                <w:color w:val="auto"/>
              </w:rPr>
            </w:pPr>
          </w:p>
        </w:tc>
        <w:tc>
          <w:tcPr>
            <w:tcW w:w="4000" w:type="dxa"/>
            <w:vAlign w:val="bottom"/>
            <w:tcBorders>
              <w:bottom w:val="single" w:sz="8" w:color="0000FF"/>
            </w:tcBorders>
            <w:gridSpan w:val="4"/>
            <w:vMerge w:val="continue"/>
            <w:shd w:val="clear" w:color="auto" w:fill="CCEEFF"/>
          </w:tcPr>
          <w:p>
            <w:pPr>
              <w:spacing w:after="0"/>
              <w:rPr>
                <w:sz w:val="8"/>
                <w:szCs w:val="8"/>
                <w:color w:val="auto"/>
              </w:rPr>
            </w:pPr>
          </w:p>
        </w:tc>
        <w:tc>
          <w:tcPr>
            <w:tcW w:w="800" w:type="dxa"/>
            <w:vAlign w:val="bottom"/>
            <w:tcBorders>
              <w:bottom w:val="single" w:sz="8" w:color="CCEEFF"/>
            </w:tcBorders>
            <w:gridSpan w:val="8"/>
            <w:vMerge w:val="continue"/>
            <w:shd w:val="clear" w:color="auto" w:fill="CCEEFF"/>
          </w:tcPr>
          <w:p>
            <w:pPr>
              <w:spacing w:after="0"/>
              <w:rPr>
                <w:sz w:val="8"/>
                <w:szCs w:val="8"/>
                <w:color w:val="auto"/>
              </w:rPr>
            </w:pPr>
          </w:p>
        </w:tc>
        <w:tc>
          <w:tcPr>
            <w:tcW w:w="2880" w:type="dxa"/>
            <w:vAlign w:val="bottom"/>
            <w:tcBorders>
              <w:bottom w:val="single" w:sz="8" w:color="CCEEFF"/>
            </w:tcBorders>
            <w:shd w:val="clear" w:color="auto" w:fill="CCEEFF"/>
          </w:tcPr>
          <w:p>
            <w:pPr>
              <w:spacing w:after="0"/>
              <w:rPr>
                <w:sz w:val="8"/>
                <w:szCs w:val="8"/>
                <w:color w:val="auto"/>
              </w:rPr>
            </w:pPr>
          </w:p>
        </w:tc>
        <w:tc>
          <w:tcPr>
            <w:tcW w:w="17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0" w:right="339" w:bottom="1440" w:gutter="0" w:footer="0" w:header="0"/>
        </w:sectPr>
      </w:pPr>
    </w:p>
    <w:tbl>
      <w:tblPr>
        <w:tblLayout w:type="fixed"/>
        <w:tblInd w:w="540" w:type="dxa"/>
        <w:tblCellMar>
          <w:top w:w="0" w:type="dxa"/>
          <w:left w:w="0" w:type="dxa"/>
          <w:bottom w:w="0" w:type="dxa"/>
          <w:right w:w="0" w:type="dxa"/>
        </w:tblCellMar>
      </w:tblPr>
      <w:tr>
        <w:trPr>
          <w:trHeight w:val="185"/>
        </w:trPr>
        <w:tc>
          <w:tcPr>
            <w:tcW w:w="920" w:type="dxa"/>
            <w:vAlign w:val="bottom"/>
          </w:tcPr>
          <w:p>
            <w:pPr>
              <w:jc w:val="right"/>
              <w:ind w:right="612"/>
              <w:spacing w:after="0" w:line="186" w:lineRule="exact"/>
              <w:rPr>
                <w:sz w:val="20"/>
                <w:szCs w:val="20"/>
                <w:color w:val="auto"/>
              </w:rPr>
            </w:pPr>
            <w:r>
              <w:rPr>
                <w:rFonts w:ascii="Times New Roman" w:cs="Times New Roman" w:eastAsia="Times New Roman" w:hAnsi="Times New Roman"/>
                <w:sz w:val="18"/>
                <w:szCs w:val="18"/>
                <w:color w:val="auto"/>
                <w:w w:val="88"/>
              </w:rPr>
              <w:t>4.5</w:t>
            </w:r>
          </w:p>
        </w:tc>
        <w:tc>
          <w:tcPr>
            <w:tcW w:w="4440" w:type="dxa"/>
            <w:vAlign w:val="bottom"/>
            <w:gridSpan w:val="4"/>
          </w:tcPr>
          <w:p>
            <w:pPr>
              <w:spacing w:after="0" w:line="18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as of October 6, 2025, by and among</w:t>
              </w:r>
            </w:hyperlink>
          </w:p>
        </w:tc>
      </w:tr>
      <w:tr>
        <w:trPr>
          <w:trHeight w:val="152"/>
        </w:trPr>
        <w:tc>
          <w:tcPr>
            <w:tcW w:w="920" w:type="dxa"/>
            <w:vAlign w:val="bottom"/>
          </w:tcPr>
          <w:p>
            <w:pPr>
              <w:spacing w:after="0"/>
              <w:rPr>
                <w:sz w:val="13"/>
                <w:szCs w:val="13"/>
                <w:color w:val="auto"/>
              </w:rPr>
            </w:pPr>
          </w:p>
        </w:tc>
        <w:tc>
          <w:tcPr>
            <w:tcW w:w="3820" w:type="dxa"/>
            <w:vAlign w:val="bottom"/>
            <w:tcBorders>
              <w:top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Weatherford International Ltd., as issuer, UMB Bank,</w:t>
              </w:r>
            </w:hyperlink>
          </w:p>
        </w:tc>
        <w:tc>
          <w:tcPr>
            <w:tcW w:w="620" w:type="dxa"/>
            <w:vAlign w:val="bottom"/>
            <w:gridSpan w:val="2"/>
          </w:tcPr>
          <w:p>
            <w:pPr>
              <w:ind w:left="20"/>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N.A., as</w:t>
              </w:r>
            </w:hyperlink>
          </w:p>
        </w:tc>
      </w:tr>
      <w:tr>
        <w:trPr>
          <w:trHeight w:val="152"/>
        </w:trPr>
        <w:tc>
          <w:tcPr>
            <w:tcW w:w="920" w:type="dxa"/>
            <w:vAlign w:val="bottom"/>
          </w:tcPr>
          <w:p>
            <w:pPr>
              <w:spacing w:after="0"/>
              <w:rPr>
                <w:sz w:val="13"/>
                <w:szCs w:val="13"/>
                <w:color w:val="auto"/>
              </w:rPr>
            </w:pPr>
          </w:p>
        </w:tc>
        <w:tc>
          <w:tcPr>
            <w:tcW w:w="28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trustee, and the Guarantors party thereto</w:t>
              </w:r>
            </w:hyperlink>
          </w:p>
        </w:tc>
        <w:tc>
          <w:tcPr>
            <w:tcW w:w="15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Exhibit 4.1 of the Company’s</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File No. 1-36504</w:t>
            </w:r>
          </w:p>
        </w:tc>
      </w:tr>
      <w:tr>
        <w:trPr>
          <w:trHeight w:val="199"/>
        </w:trPr>
        <w:tc>
          <w:tcPr>
            <w:tcW w:w="2660" w:type="dxa"/>
            <w:vAlign w:val="bottom"/>
          </w:tcPr>
          <w:p>
            <w:pPr>
              <w:jc w:val="center"/>
              <w:ind w:right="172"/>
              <w:spacing w:after="0" w:line="19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480" w:type="dxa"/>
            <w:vAlign w:val="bottom"/>
          </w:tcPr>
          <w:p>
            <w:pPr>
              <w:spacing w:after="0"/>
              <w:rPr>
                <w:sz w:val="17"/>
                <w:szCs w:val="17"/>
                <w:color w:val="auto"/>
              </w:rPr>
            </w:pPr>
          </w:p>
        </w:tc>
      </w:tr>
      <w:tr>
        <w:trPr>
          <w:trHeight w:val="231"/>
        </w:trPr>
        <w:tc>
          <w:tcPr>
            <w:tcW w:w="26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October 6, 2025</w:t>
            </w:r>
          </w:p>
        </w:tc>
        <w:tc>
          <w:tcPr>
            <w:tcW w:w="1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880" w:space="560"/>
            <w:col w:w="4800"/>
          </w:cols>
          <w:pgMar w:left="320" w:top="360"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3360" w:val="left"/>
          <w:tab w:leader="none" w:pos="6780" w:val="left"/>
          <w:tab w:leader="none" w:pos="948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891020" cy="429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891020" cy="42926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6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4.6</w:t>
            </w:r>
          </w:p>
        </w:tc>
        <w:tc>
          <w:tcPr>
            <w:tcW w:w="4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Form of 6.750% Senior Note due 2033 (included in Exhibit 4.5)</w:t>
              </w:r>
            </w:hyperlink>
          </w:p>
        </w:tc>
        <w:tc>
          <w:tcPr>
            <w:tcW w:w="160" w:type="dxa"/>
            <w:vAlign w:val="bottom"/>
          </w:tcPr>
          <w:p>
            <w:pPr>
              <w:spacing w:after="0"/>
              <w:rPr>
                <w:sz w:val="17"/>
                <w:szCs w:val="17"/>
                <w:color w:val="auto"/>
              </w:rPr>
            </w:pPr>
          </w:p>
        </w:tc>
      </w:tr>
      <w:tr>
        <w:trPr>
          <w:trHeight w:val="643"/>
        </w:trPr>
        <w:tc>
          <w:tcPr>
            <w:tcW w:w="9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5"/>
              </w:rPr>
              <w:t>†4.7</w:t>
            </w:r>
          </w:p>
        </w:tc>
        <w:tc>
          <w:tcPr>
            <w:tcW w:w="4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Supplemental Indenture, dated as of October 24, 2025, by and</w:t>
            </w:r>
          </w:p>
        </w:tc>
        <w:tc>
          <w:tcPr>
            <w:tcW w:w="300" w:type="dxa"/>
            <w:vAlign w:val="bottom"/>
            <w:gridSpan w:val="2"/>
          </w:tcPr>
          <w:p>
            <w:pPr>
              <w:spacing w:after="0"/>
              <w:rPr>
                <w:sz w:val="24"/>
                <w:szCs w:val="24"/>
                <w:color w:val="auto"/>
              </w:rPr>
            </w:pPr>
          </w:p>
        </w:tc>
      </w:tr>
      <w:tr>
        <w:trPr>
          <w:trHeight w:val="152"/>
        </w:trPr>
        <w:tc>
          <w:tcPr>
            <w:tcW w:w="960" w:type="dxa"/>
            <w:vAlign w:val="bottom"/>
          </w:tcPr>
          <w:p>
            <w:pPr>
              <w:spacing w:after="0"/>
              <w:rPr>
                <w:sz w:val="13"/>
                <w:szCs w:val="13"/>
                <w:color w:val="auto"/>
              </w:rPr>
            </w:pPr>
          </w:p>
        </w:tc>
        <w:tc>
          <w:tcPr>
            <w:tcW w:w="470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7"/>
                <w:szCs w:val="17"/>
                <w:color w:val="0000FF"/>
              </w:rPr>
              <w:t>among Weatherford International, LLC, Weatherford International</w:t>
            </w:r>
          </w:p>
        </w:tc>
      </w:tr>
    </w:tbl>
    <w:p>
      <w:pPr>
        <w:ind w:left="1460" w:right="60"/>
        <w:spacing w:after="0" w:line="221" w:lineRule="auto"/>
        <w:rPr>
          <w:sz w:val="20"/>
          <w:szCs w:val="20"/>
          <w:color w:val="auto"/>
        </w:rPr>
      </w:pPr>
      <w:r>
        <w:rPr>
          <w:rFonts w:ascii="Times New Roman" w:cs="Times New Roman" w:eastAsia="Times New Roman" w:hAnsi="Times New Roman"/>
          <w:sz w:val="18"/>
          <w:szCs w:val="18"/>
          <w:u w:val="single" w:color="auto"/>
          <w:color w:val="0000FF"/>
        </w:rPr>
        <w:t>plc, as parent guarantor, Weatherford International Ltd., as issuer, and UMB Bank, N.A., as trustee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Exhibit 4.2 of the Company’s</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File No. 1-36504</w:t>
            </w:r>
          </w:p>
        </w:tc>
      </w:tr>
      <w:tr>
        <w:trPr>
          <w:trHeight w:val="212"/>
        </w:trPr>
        <w:tc>
          <w:tcPr>
            <w:tcW w:w="266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Current Report on Form 8-K filed</w:t>
            </w:r>
          </w:p>
        </w:tc>
        <w:tc>
          <w:tcPr>
            <w:tcW w:w="1480" w:type="dxa"/>
            <w:vAlign w:val="bottom"/>
          </w:tcPr>
          <w:p>
            <w:pPr>
              <w:spacing w:after="0"/>
              <w:rPr>
                <w:sz w:val="18"/>
                <w:szCs w:val="18"/>
                <w:color w:val="auto"/>
              </w:rPr>
            </w:pPr>
          </w:p>
        </w:tc>
      </w:tr>
      <w:tr>
        <w:trPr>
          <w:trHeight w:val="231"/>
        </w:trPr>
        <w:tc>
          <w:tcPr>
            <w:tcW w:w="26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October 6, 2025</w:t>
            </w:r>
          </w:p>
        </w:tc>
        <w:tc>
          <w:tcPr>
            <w:tcW w:w="1480" w:type="dxa"/>
            <w:vAlign w:val="bottom"/>
          </w:tcPr>
          <w:p>
            <w:pPr>
              <w:spacing w:after="0"/>
              <w:rPr>
                <w:sz w:val="20"/>
                <w:szCs w:val="20"/>
                <w:color w:val="auto"/>
              </w:rPr>
            </w:pPr>
          </w:p>
        </w:tc>
      </w:tr>
    </w:tbl>
    <w:p>
      <w:pPr>
        <w:spacing w:after="0" w:line="765" w:lineRule="exact"/>
        <w:rPr>
          <w:sz w:val="20"/>
          <w:szCs w:val="20"/>
          <w:color w:val="auto"/>
        </w:rPr>
      </w:pPr>
    </w:p>
    <w:p>
      <w:pPr>
        <w:sectPr>
          <w:pgSz w:w="11900" w:h="16838" w:orient="portrait"/>
          <w:cols w:equalWidth="0" w:num="2">
            <w:col w:w="6160" w:space="280"/>
            <w:col w:w="4800"/>
          </w:cols>
          <w:pgMar w:left="320" w:top="41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460" w:type="dxa"/>
            <w:vAlign w:val="bottom"/>
            <w:tcBorders>
              <w:bottom w:val="single" w:sz="8" w:color="CCEEFF"/>
            </w:tcBorders>
            <w:shd w:val="clear" w:color="auto" w:fill="CCEEFF"/>
          </w:tcPr>
          <w:p>
            <w:pPr>
              <w:jc w:val="right"/>
              <w:ind w:right="512"/>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4280" w:type="dxa"/>
            <w:vAlign w:val="bottom"/>
            <w:tcBorders>
              <w:bottom w:val="single" w:sz="8" w:color="0000FF"/>
            </w:tcBorders>
            <w:gridSpan w:val="8"/>
            <w:shd w:val="clear" w:color="auto" w:fill="CCEEFF"/>
          </w:tcPr>
          <w:p>
            <w:pPr>
              <w:spacing w:after="0" w:line="189"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Form of Deed of Indemnity of Weatherford International plc</w:t>
              </w:r>
            </w:hyperlink>
          </w:p>
        </w:tc>
        <w:tc>
          <w:tcPr>
            <w:tcW w:w="440" w:type="dxa"/>
            <w:vAlign w:val="bottom"/>
            <w:tcBorders>
              <w:bottom w:val="single" w:sz="8" w:color="CCEEFF"/>
            </w:tcBorders>
            <w:gridSpan w:val="9"/>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jc w:val="center"/>
              <w:ind w:right="34"/>
              <w:spacing w:after="0" w:line="189" w:lineRule="exact"/>
              <w:rPr>
                <w:sz w:val="20"/>
                <w:szCs w:val="20"/>
                <w:color w:val="auto"/>
              </w:rPr>
            </w:pPr>
            <w:r>
              <w:rPr>
                <w:rFonts w:ascii="Times New Roman" w:cs="Times New Roman" w:eastAsia="Times New Roman" w:hAnsi="Times New Roman"/>
                <w:sz w:val="18"/>
                <w:szCs w:val="18"/>
                <w:color w:val="auto"/>
                <w:w w:val="98"/>
              </w:rPr>
              <w:t>Exhibit 10.11 of the</w:t>
            </w:r>
          </w:p>
        </w:tc>
        <w:tc>
          <w:tcPr>
            <w:tcW w:w="170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File No. 1-36504</w:t>
            </w:r>
          </w:p>
        </w:tc>
      </w:tr>
      <w:tr>
        <w:trPr>
          <w:trHeight w:val="152"/>
        </w:trPr>
        <w:tc>
          <w:tcPr>
            <w:tcW w:w="1460" w:type="dxa"/>
            <w:vAlign w:val="bottom"/>
            <w:shd w:val="clear" w:color="auto" w:fill="CCEEFF"/>
          </w:tcPr>
          <w:p>
            <w:pPr>
              <w:spacing w:after="0"/>
              <w:rPr>
                <w:sz w:val="13"/>
                <w:szCs w:val="13"/>
                <w:color w:val="auto"/>
              </w:rPr>
            </w:pPr>
          </w:p>
        </w:tc>
        <w:tc>
          <w:tcPr>
            <w:tcW w:w="4720" w:type="dxa"/>
            <w:vAlign w:val="bottom"/>
            <w:gridSpan w:val="17"/>
            <w:shd w:val="clear" w:color="auto" w:fill="CCEEFF"/>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entered into by each director of Weatherford International plc and</w:t>
              </w:r>
            </w:hyperlink>
          </w:p>
        </w:tc>
        <w:tc>
          <w:tcPr>
            <w:tcW w:w="2980" w:type="dxa"/>
            <w:vAlign w:val="bottom"/>
            <w:shd w:val="clear" w:color="auto" w:fill="CCEEFF"/>
          </w:tcPr>
          <w:p>
            <w:pPr>
              <w:jc w:val="center"/>
              <w:ind w:right="3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shd w:val="clear" w:color="auto" w:fill="CCEEFF"/>
          </w:tcPr>
          <w:p>
            <w:pPr>
              <w:spacing w:after="0"/>
              <w:rPr>
                <w:sz w:val="13"/>
                <w:szCs w:val="13"/>
                <w:color w:val="auto"/>
              </w:rPr>
            </w:pPr>
          </w:p>
        </w:tc>
      </w:tr>
      <w:tr>
        <w:trPr>
          <w:trHeight w:val="165"/>
        </w:trPr>
        <w:tc>
          <w:tcPr>
            <w:tcW w:w="146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0000FF"/>
            </w:tcBorders>
            <w:gridSpan w:val="15"/>
            <w:shd w:val="clear" w:color="auto" w:fill="CCEEFF"/>
          </w:tcPr>
          <w:p>
            <w:pPr>
              <w:spacing w:after="0" w:line="16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each of the following executive officers of Weatherford</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980" w:type="dxa"/>
            <w:vAlign w:val="bottom"/>
            <w:tcBorders>
              <w:top w:val="single" w:sz="8" w:color="CCEEFF"/>
            </w:tcBorders>
            <w:shd w:val="clear" w:color="auto" w:fill="CCEEFF"/>
          </w:tcPr>
          <w:p>
            <w:pPr>
              <w:jc w:val="center"/>
              <w:ind w:right="34"/>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Borders>
              <w:top w:val="single" w:sz="8" w:color="CCEEFF"/>
            </w:tcBorders>
            <w:shd w:val="clear" w:color="auto" w:fill="CCEEFF"/>
          </w:tcPr>
          <w:p>
            <w:pPr>
              <w:spacing w:after="0"/>
              <w:rPr>
                <w:sz w:val="14"/>
                <w:szCs w:val="14"/>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3920" w:type="dxa"/>
            <w:vAlign w:val="bottom"/>
            <w:tcBorders>
              <w:top w:val="single" w:sz="8" w:color="0000FF"/>
            </w:tcBorders>
            <w:gridSpan w:val="7"/>
            <w:shd w:val="clear" w:color="auto" w:fill="CCEEFF"/>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International plc: Scott C. Weatherholt (July 23, 2020),</w:t>
              </w:r>
            </w:hyperlink>
          </w:p>
        </w:tc>
        <w:tc>
          <w:tcPr>
            <w:tcW w:w="800" w:type="dxa"/>
            <w:vAlign w:val="bottom"/>
            <w:tcBorders>
              <w:top w:val="single" w:sz="8" w:color="CCEEFF"/>
            </w:tcBorders>
            <w:gridSpan w:val="10"/>
            <w:shd w:val="clear" w:color="auto" w:fill="CCEEFF"/>
          </w:tcPr>
          <w:p>
            <w:pPr>
              <w:jc w:val="right"/>
              <w:ind w:right="120"/>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Girish K.</w:t>
              </w:r>
            </w:hyperlink>
          </w:p>
        </w:tc>
        <w:tc>
          <w:tcPr>
            <w:tcW w:w="298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Borders>
              <w:top w:val="single" w:sz="8" w:color="CCEEFF"/>
            </w:tcBorders>
            <w:shd w:val="clear" w:color="auto" w:fill="CCEEFF"/>
          </w:tcPr>
          <w:p>
            <w:pPr>
              <w:spacing w:after="0"/>
              <w:rPr>
                <w:sz w:val="13"/>
                <w:szCs w:val="13"/>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13"/>
            <w:shd w:val="clear" w:color="auto" w:fill="CCEEFF"/>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Saligram (October 12, 2020), Desmond J. Mills (November 2,</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r>
      <w:tr>
        <w:trPr>
          <w:trHeight w:val="165"/>
        </w:trPr>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4400" w:type="dxa"/>
            <w:vAlign w:val="bottom"/>
            <w:tcBorders>
              <w:top w:val="single" w:sz="8" w:color="0000FF"/>
              <w:bottom w:val="single" w:sz="8" w:color="0000FF"/>
            </w:tcBorders>
            <w:gridSpan w:val="11"/>
            <w:shd w:val="clear" w:color="auto" w:fill="CCEEFF"/>
          </w:tcPr>
          <w:p>
            <w:pPr>
              <w:spacing w:after="0" w:line="165" w:lineRule="exact"/>
              <w:rPr>
                <w:rFonts w:ascii="Times New Roman" w:cs="Times New Roman" w:eastAsia="Times New Roman" w:hAnsi="Times New Roman"/>
                <w:sz w:val="18"/>
                <w:szCs w:val="18"/>
                <w:color w:val="0000FF"/>
                <w:w w:val="96"/>
              </w:rPr>
            </w:pPr>
            <w:hyperlink r:id="rId102">
              <w:r>
                <w:rPr>
                  <w:rFonts w:ascii="Times New Roman" w:cs="Times New Roman" w:eastAsia="Times New Roman" w:hAnsi="Times New Roman"/>
                  <w:sz w:val="18"/>
                  <w:szCs w:val="18"/>
                  <w:color w:val="0000FF"/>
                  <w:w w:val="96"/>
                </w:rPr>
                <w:t>2022), Richard Ward (January 8, 2024) and Anuj Dhruv (April</w:t>
              </w:r>
            </w:hyperlink>
          </w:p>
        </w:tc>
        <w:tc>
          <w:tcPr>
            <w:tcW w:w="300" w:type="dxa"/>
            <w:vAlign w:val="bottom"/>
            <w:tcBorders>
              <w:top w:val="single" w:sz="8" w:color="CCEEFF"/>
              <w:bottom w:val="single" w:sz="8" w:color="0000FF"/>
            </w:tcBorders>
            <w:gridSpan w:val="5"/>
            <w:shd w:val="clear" w:color="auto" w:fill="CCEEFF"/>
          </w:tcPr>
          <w:p>
            <w:pPr>
              <w:jc w:val="right"/>
              <w:spacing w:after="0" w:line="16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21,</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98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2"/>
        </w:trPr>
        <w:tc>
          <w:tcPr>
            <w:tcW w:w="14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0000FF"/>
            </w:tcBorders>
            <w:shd w:val="clear" w:color="auto" w:fill="CCEEFF"/>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2025)</w:t>
              </w:r>
            </w:hyperlink>
          </w:p>
        </w:tc>
        <w:tc>
          <w:tcPr>
            <w:tcW w:w="6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98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r>
      <w:tr>
        <w:trPr>
          <w:trHeight w:val="185"/>
        </w:trPr>
        <w:tc>
          <w:tcPr>
            <w:tcW w:w="1460" w:type="dxa"/>
            <w:vAlign w:val="bottom"/>
          </w:tcPr>
          <w:p>
            <w:pPr>
              <w:jc w:val="right"/>
              <w:ind w:right="512"/>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4720" w:type="dxa"/>
            <w:vAlign w:val="bottom"/>
            <w:gridSpan w:val="17"/>
          </w:tcPr>
          <w:p>
            <w:pPr>
              <w:spacing w:after="0" w:line="18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Deed of Indemnity of Weatherford International Ltd</w:t>
              </w:r>
            </w:hyperlink>
          </w:p>
        </w:tc>
        <w:tc>
          <w:tcPr>
            <w:tcW w:w="2980" w:type="dxa"/>
            <w:vAlign w:val="bottom"/>
          </w:tcPr>
          <w:p>
            <w:pPr>
              <w:jc w:val="center"/>
              <w:ind w:right="34"/>
              <w:spacing w:after="0" w:line="186" w:lineRule="exact"/>
              <w:rPr>
                <w:sz w:val="20"/>
                <w:szCs w:val="20"/>
                <w:color w:val="auto"/>
              </w:rPr>
            </w:pPr>
            <w:r>
              <w:rPr>
                <w:rFonts w:ascii="Times New Roman" w:cs="Times New Roman" w:eastAsia="Times New Roman" w:hAnsi="Times New Roman"/>
                <w:sz w:val="18"/>
                <w:szCs w:val="18"/>
                <w:color w:val="auto"/>
                <w:w w:val="98"/>
              </w:rPr>
              <w:t>Exhibit 10.12 of the</w:t>
            </w:r>
          </w:p>
        </w:tc>
        <w:tc>
          <w:tcPr>
            <w:tcW w:w="170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File No. 1-36504</w:t>
            </w:r>
          </w:p>
        </w:tc>
      </w:tr>
      <w:tr>
        <w:trPr>
          <w:trHeight w:val="152"/>
        </w:trPr>
        <w:tc>
          <w:tcPr>
            <w:tcW w:w="1460" w:type="dxa"/>
            <w:vAlign w:val="bottom"/>
          </w:tcPr>
          <w:p>
            <w:pPr>
              <w:spacing w:after="0"/>
              <w:rPr>
                <w:sz w:val="13"/>
                <w:szCs w:val="13"/>
                <w:color w:val="auto"/>
              </w:rPr>
            </w:pPr>
          </w:p>
        </w:tc>
        <w:tc>
          <w:tcPr>
            <w:tcW w:w="430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entered into by each director of Weatherford International plc</w:t>
              </w:r>
            </w:hyperlink>
          </w:p>
        </w:tc>
        <w:tc>
          <w:tcPr>
            <w:tcW w:w="20" w:type="dxa"/>
            <w:vAlign w:val="bottom"/>
          </w:tcPr>
          <w:p>
            <w:pPr>
              <w:spacing w:after="0"/>
              <w:rPr>
                <w:sz w:val="13"/>
                <w:szCs w:val="13"/>
                <w:color w:val="auto"/>
              </w:rPr>
            </w:pPr>
          </w:p>
        </w:tc>
        <w:tc>
          <w:tcPr>
            <w:tcW w:w="400" w:type="dxa"/>
            <w:vAlign w:val="bottom"/>
            <w:gridSpan w:val="7"/>
          </w:tcPr>
          <w:p>
            <w:pPr>
              <w:jc w:val="right"/>
              <w:ind w:right="80"/>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and</w:t>
              </w:r>
            </w:hyperlink>
          </w:p>
        </w:tc>
        <w:tc>
          <w:tcPr>
            <w:tcW w:w="2980" w:type="dxa"/>
            <w:vAlign w:val="bottom"/>
          </w:tcPr>
          <w:p>
            <w:pPr>
              <w:jc w:val="center"/>
              <w:ind w:right="34"/>
              <w:spacing w:after="0" w:line="152" w:lineRule="exact"/>
              <w:rPr>
                <w:sz w:val="20"/>
                <w:szCs w:val="20"/>
                <w:color w:val="auto"/>
              </w:rPr>
            </w:pPr>
            <w:r>
              <w:rPr>
                <w:rFonts w:ascii="Times New Roman" w:cs="Times New Roman" w:eastAsia="Times New Roman" w:hAnsi="Times New Roman"/>
                <w:sz w:val="17"/>
                <w:szCs w:val="17"/>
                <w:color w:val="auto"/>
              </w:rPr>
              <w:t>Company’s Current</w:t>
            </w:r>
          </w:p>
        </w:tc>
        <w:tc>
          <w:tcPr>
            <w:tcW w:w="1700" w:type="dxa"/>
            <w:vAlign w:val="bottom"/>
          </w:tcPr>
          <w:p>
            <w:pPr>
              <w:spacing w:after="0"/>
              <w:rPr>
                <w:sz w:val="13"/>
                <w:szCs w:val="13"/>
                <w:color w:val="auto"/>
              </w:rPr>
            </w:pPr>
          </w:p>
        </w:tc>
      </w:tr>
      <w:tr>
        <w:trPr>
          <w:trHeight w:val="165"/>
        </w:trPr>
        <w:tc>
          <w:tcPr>
            <w:tcW w:w="1460" w:type="dxa"/>
            <w:vAlign w:val="bottom"/>
          </w:tcPr>
          <w:p>
            <w:pPr>
              <w:spacing w:after="0"/>
              <w:rPr>
                <w:sz w:val="14"/>
                <w:szCs w:val="14"/>
                <w:color w:val="auto"/>
              </w:rPr>
            </w:pPr>
          </w:p>
        </w:tc>
        <w:tc>
          <w:tcPr>
            <w:tcW w:w="4640" w:type="dxa"/>
            <w:vAlign w:val="bottom"/>
            <w:tcBorders>
              <w:top w:val="single" w:sz="8" w:color="0000FF"/>
            </w:tcBorders>
            <w:gridSpan w:val="15"/>
          </w:tcPr>
          <w:p>
            <w:pPr>
              <w:spacing w:after="0" w:line="16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each of the following executive officers of Weatherford</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jc w:val="center"/>
              <w:ind w:right="34"/>
              <w:spacing w:after="0" w:line="165" w:lineRule="exact"/>
              <w:rPr>
                <w:sz w:val="20"/>
                <w:szCs w:val="20"/>
                <w:color w:val="auto"/>
              </w:rPr>
            </w:pPr>
            <w:r>
              <w:rPr>
                <w:rFonts w:ascii="Times New Roman" w:cs="Times New Roman" w:eastAsia="Times New Roman" w:hAnsi="Times New Roman"/>
                <w:sz w:val="18"/>
                <w:szCs w:val="18"/>
                <w:color w:val="auto"/>
                <w:w w:val="98"/>
              </w:rPr>
              <w:t>Report on Form 8-K12B</w:t>
            </w:r>
          </w:p>
        </w:tc>
        <w:tc>
          <w:tcPr>
            <w:tcW w:w="1700" w:type="dxa"/>
            <w:vAlign w:val="bottom"/>
          </w:tcPr>
          <w:p>
            <w:pPr>
              <w:spacing w:after="0"/>
              <w:rPr>
                <w:sz w:val="14"/>
                <w:szCs w:val="14"/>
                <w:color w:val="auto"/>
              </w:rPr>
            </w:pPr>
          </w:p>
        </w:tc>
      </w:tr>
      <w:tr>
        <w:trPr>
          <w:trHeight w:val="152"/>
        </w:trPr>
        <w:tc>
          <w:tcPr>
            <w:tcW w:w="1460" w:type="dxa"/>
            <w:vAlign w:val="bottom"/>
          </w:tcPr>
          <w:p>
            <w:pPr>
              <w:spacing w:after="0"/>
              <w:rPr>
                <w:sz w:val="13"/>
                <w:szCs w:val="13"/>
                <w:color w:val="auto"/>
              </w:rPr>
            </w:pPr>
          </w:p>
        </w:tc>
        <w:tc>
          <w:tcPr>
            <w:tcW w:w="3920" w:type="dxa"/>
            <w:vAlign w:val="bottom"/>
            <w:tcBorders>
              <w:top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International plc: Scott C. Weatherholt (July 23, 2020),</w:t>
              </w:r>
            </w:hyperlink>
          </w:p>
        </w:tc>
        <w:tc>
          <w:tcPr>
            <w:tcW w:w="800" w:type="dxa"/>
            <w:vAlign w:val="bottom"/>
            <w:gridSpan w:val="10"/>
          </w:tcPr>
          <w:p>
            <w:pPr>
              <w:jc w:val="right"/>
              <w:ind w:right="120"/>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Girish K.</w:t>
              </w:r>
            </w:hyperlink>
          </w:p>
        </w:tc>
        <w:tc>
          <w:tcPr>
            <w:tcW w:w="298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rPr>
              <w:t>filed June 17, 2014</w:t>
            </w:r>
          </w:p>
        </w:tc>
        <w:tc>
          <w:tcPr>
            <w:tcW w:w="1700" w:type="dxa"/>
            <w:vAlign w:val="bottom"/>
          </w:tcPr>
          <w:p>
            <w:pPr>
              <w:spacing w:after="0"/>
              <w:rPr>
                <w:sz w:val="13"/>
                <w:szCs w:val="13"/>
                <w:color w:val="auto"/>
              </w:rPr>
            </w:pPr>
          </w:p>
        </w:tc>
      </w:tr>
      <w:tr>
        <w:trPr>
          <w:trHeight w:val="152"/>
        </w:trPr>
        <w:tc>
          <w:tcPr>
            <w:tcW w:w="1460" w:type="dxa"/>
            <w:vAlign w:val="bottom"/>
          </w:tcPr>
          <w:p>
            <w:pPr>
              <w:spacing w:after="0"/>
              <w:rPr>
                <w:sz w:val="13"/>
                <w:szCs w:val="13"/>
                <w:color w:val="auto"/>
              </w:rPr>
            </w:pPr>
          </w:p>
        </w:tc>
        <w:tc>
          <w:tcPr>
            <w:tcW w:w="460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Saligram (October 12, 2020), Desmond J. Mills (November 2,</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6"/>
        </w:trPr>
        <w:tc>
          <w:tcPr>
            <w:tcW w:w="146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11"/>
          </w:tcPr>
          <w:p>
            <w:pPr>
              <w:spacing w:after="0" w:line="165" w:lineRule="exact"/>
              <w:rPr>
                <w:rFonts w:ascii="Times New Roman" w:cs="Times New Roman" w:eastAsia="Times New Roman" w:hAnsi="Times New Roman"/>
                <w:sz w:val="18"/>
                <w:szCs w:val="18"/>
                <w:color w:val="0000FF"/>
                <w:w w:val="96"/>
              </w:rPr>
            </w:pPr>
            <w:hyperlink r:id="rId103">
              <w:r>
                <w:rPr>
                  <w:rFonts w:ascii="Times New Roman" w:cs="Times New Roman" w:eastAsia="Times New Roman" w:hAnsi="Times New Roman"/>
                  <w:sz w:val="18"/>
                  <w:szCs w:val="18"/>
                  <w:color w:val="0000FF"/>
                  <w:w w:val="96"/>
                </w:rPr>
                <w:t>2022)</w:t>
              </w:r>
              <w:r>
                <w:rPr>
                  <w:rFonts w:ascii="Times New Roman" w:cs="Times New Roman" w:eastAsia="Times New Roman" w:hAnsi="Times New Roman"/>
                  <w:sz w:val="18"/>
                  <w:szCs w:val="18"/>
                  <w:u w:val="single" w:color="auto"/>
                  <w:color w:val="0000FF"/>
                  <w:w w:val="96"/>
                </w:rPr>
                <w:t>,</w:t>
              </w:r>
              <w:r>
                <w:rPr>
                  <w:rFonts w:ascii="Times New Roman" w:cs="Times New Roman" w:eastAsia="Times New Roman" w:hAnsi="Times New Roman"/>
                  <w:sz w:val="18"/>
                  <w:szCs w:val="18"/>
                  <w:color w:val="0000FF"/>
                  <w:w w:val="96"/>
                </w:rPr>
                <w:t xml:space="preserve"> Richard Ward (January 8, 2024) and Anuj Dhruv (April</w:t>
              </w:r>
            </w:hyperlink>
          </w:p>
        </w:tc>
        <w:tc>
          <w:tcPr>
            <w:tcW w:w="320" w:type="dxa"/>
            <w:vAlign w:val="bottom"/>
            <w:tcBorders>
              <w:bottom w:val="single" w:sz="8" w:color="0000FF"/>
            </w:tcBorders>
            <w:gridSpan w:val="6"/>
          </w:tcPr>
          <w:p>
            <w:pPr>
              <w:jc w:val="right"/>
              <w:ind w:right="20"/>
              <w:spacing w:after="0" w:line="16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21,</w:t>
              </w:r>
            </w:hyperlink>
          </w:p>
        </w:tc>
        <w:tc>
          <w:tcPr>
            <w:tcW w:w="29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42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2025)</w:t>
              </w:r>
            </w:hyperlink>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5"/>
        </w:trPr>
        <w:tc>
          <w:tcPr>
            <w:tcW w:w="1460" w:type="dxa"/>
            <w:vAlign w:val="bottom"/>
            <w:shd w:val="clear" w:color="auto" w:fill="CCEEFF"/>
          </w:tcPr>
          <w:p>
            <w:pPr>
              <w:jc w:val="right"/>
              <w:ind w:right="512"/>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4720" w:type="dxa"/>
            <w:vAlign w:val="bottom"/>
            <w:gridSpan w:val="17"/>
            <w:shd w:val="clear" w:color="auto" w:fill="CCEEFF"/>
          </w:tcPr>
          <w:p>
            <w:pPr>
              <w:spacing w:after="0" w:line="19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Third Amended and Restated Weatherford International PLC</w:t>
              </w:r>
            </w:hyperlink>
          </w:p>
        </w:tc>
        <w:tc>
          <w:tcPr>
            <w:tcW w:w="29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File No. 1-36504</w:t>
            </w: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32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Change in Control Severance Plan</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7"/>
                <w:szCs w:val="17"/>
                <w:color w:val="auto"/>
              </w:rPr>
              <w:t>Current Report on Form 8-K filed on</w:t>
            </w:r>
          </w:p>
        </w:tc>
        <w:tc>
          <w:tcPr>
            <w:tcW w:w="1700" w:type="dxa"/>
            <w:vAlign w:val="bottom"/>
            <w:tcBorders>
              <w:top w:val="single" w:sz="8" w:color="CCEEFF"/>
            </w:tcBorders>
            <w:shd w:val="clear" w:color="auto" w:fill="CCEEFF"/>
          </w:tcPr>
          <w:p>
            <w:pPr>
              <w:spacing w:after="0"/>
              <w:rPr>
                <w:sz w:val="13"/>
                <w:szCs w:val="13"/>
                <w:color w:val="auto"/>
              </w:rPr>
            </w:pPr>
          </w:p>
        </w:tc>
      </w:tr>
      <w:tr>
        <w:trPr>
          <w:trHeight w:val="205"/>
        </w:trPr>
        <w:tc>
          <w:tcPr>
            <w:tcW w:w="1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68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900" w:type="dxa"/>
            <w:vAlign w:val="bottom"/>
            <w:tcBorders>
              <w:top w:val="single" w:sz="8" w:color="0000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January 23, 2023</w:t>
            </w:r>
          </w:p>
        </w:tc>
        <w:tc>
          <w:tcPr>
            <w:tcW w:w="1700" w:type="dxa"/>
            <w:vAlign w:val="bottom"/>
            <w:tcBorders>
              <w:top w:val="single" w:sz="8" w:color="CCEEFF"/>
            </w:tcBorders>
            <w:shd w:val="clear" w:color="auto" w:fill="CCEEFF"/>
          </w:tcPr>
          <w:p>
            <w:pPr>
              <w:spacing w:after="0"/>
              <w:rPr>
                <w:sz w:val="17"/>
                <w:szCs w:val="17"/>
                <w:color w:val="auto"/>
              </w:rPr>
            </w:pPr>
          </w:p>
        </w:tc>
      </w:tr>
      <w:tr>
        <w:trPr>
          <w:trHeight w:val="186"/>
        </w:trPr>
        <w:tc>
          <w:tcPr>
            <w:tcW w:w="1460" w:type="dxa"/>
            <w:vAlign w:val="bottom"/>
          </w:tcPr>
          <w:p>
            <w:pPr>
              <w:jc w:val="right"/>
              <w:ind w:right="512"/>
              <w:spacing w:after="0" w:line="186" w:lineRule="exact"/>
              <w:rPr>
                <w:sz w:val="20"/>
                <w:szCs w:val="20"/>
                <w:color w:val="auto"/>
              </w:rPr>
            </w:pPr>
            <w:r>
              <w:rPr>
                <w:rFonts w:ascii="Times New Roman" w:cs="Times New Roman" w:eastAsia="Times New Roman" w:hAnsi="Times New Roman"/>
                <w:sz w:val="18"/>
                <w:szCs w:val="18"/>
                <w:color w:val="auto"/>
              </w:rPr>
              <w:t>*10.4</w:t>
            </w:r>
          </w:p>
        </w:tc>
        <w:tc>
          <w:tcPr>
            <w:tcW w:w="4720" w:type="dxa"/>
            <w:vAlign w:val="bottom"/>
            <w:gridSpan w:val="17"/>
          </w:tcPr>
          <w:p>
            <w:pPr>
              <w:spacing w:after="0" w:line="18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Weatherford International plc Executive</w:t>
              </w:r>
            </w:hyperlink>
          </w:p>
        </w:tc>
        <w:tc>
          <w:tcPr>
            <w:tcW w:w="29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Exhibit 10.10 of the Company’s</w:t>
            </w:r>
          </w:p>
        </w:tc>
        <w:tc>
          <w:tcPr>
            <w:tcW w:w="1700" w:type="dxa"/>
            <w:vAlign w:val="bottom"/>
          </w:tcPr>
          <w:p>
            <w:pPr>
              <w:ind w:left="220"/>
              <w:spacing w:after="0" w:line="186" w:lineRule="exact"/>
              <w:rPr>
                <w:sz w:val="20"/>
                <w:szCs w:val="20"/>
                <w:color w:val="auto"/>
              </w:rPr>
            </w:pPr>
            <w:r>
              <w:rPr>
                <w:rFonts w:ascii="Times New Roman" w:cs="Times New Roman" w:eastAsia="Times New Roman" w:hAnsi="Times New Roman"/>
                <w:sz w:val="18"/>
                <w:szCs w:val="18"/>
                <w:color w:val="auto"/>
              </w:rPr>
              <w:t>File No. 1-36504</w:t>
            </w:r>
          </w:p>
        </w:tc>
      </w:tr>
      <w:tr>
        <w:trPr>
          <w:trHeight w:val="152"/>
        </w:trPr>
        <w:tc>
          <w:tcPr>
            <w:tcW w:w="1460" w:type="dxa"/>
            <w:vAlign w:val="bottom"/>
          </w:tcPr>
          <w:p>
            <w:pPr>
              <w:spacing w:after="0"/>
              <w:rPr>
                <w:sz w:val="13"/>
                <w:szCs w:val="13"/>
                <w:color w:val="auto"/>
              </w:rPr>
            </w:pPr>
          </w:p>
        </w:tc>
        <w:tc>
          <w:tcPr>
            <w:tcW w:w="452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Severance Plan</w:t>
              </w:r>
            </w:hyperlink>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rPr>
              <w:t>Annual Report on Form 10-K for the</w:t>
            </w:r>
          </w:p>
        </w:tc>
        <w:tc>
          <w:tcPr>
            <w:tcW w:w="1700" w:type="dxa"/>
            <w:vAlign w:val="bottom"/>
          </w:tcPr>
          <w:p>
            <w:pPr>
              <w:spacing w:after="0"/>
              <w:rPr>
                <w:sz w:val="13"/>
                <w:szCs w:val="13"/>
                <w:color w:val="auto"/>
              </w:rPr>
            </w:pPr>
          </w:p>
        </w:tc>
      </w:tr>
      <w:tr>
        <w:trPr>
          <w:trHeight w:val="152"/>
        </w:trPr>
        <w:tc>
          <w:tcPr>
            <w:tcW w:w="146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rPr>
              <w:t>year ended December 31, 2022, filed</w:t>
            </w:r>
          </w:p>
        </w:tc>
        <w:tc>
          <w:tcPr>
            <w:tcW w:w="1700" w:type="dxa"/>
            <w:vAlign w:val="bottom"/>
          </w:tcPr>
          <w:p>
            <w:pPr>
              <w:spacing w:after="0"/>
              <w:rPr>
                <w:sz w:val="13"/>
                <w:szCs w:val="13"/>
                <w:color w:val="auto"/>
              </w:rPr>
            </w:pPr>
          </w:p>
        </w:tc>
      </w:tr>
      <w:tr>
        <w:trPr>
          <w:trHeight w:val="225"/>
        </w:trPr>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1700" w:type="dxa"/>
            <w:vAlign w:val="bottom"/>
          </w:tcPr>
          <w:p>
            <w:pPr>
              <w:spacing w:after="0"/>
              <w:rPr>
                <w:sz w:val="19"/>
                <w:szCs w:val="19"/>
                <w:color w:val="auto"/>
              </w:rPr>
            </w:pPr>
          </w:p>
        </w:tc>
      </w:tr>
      <w:tr>
        <w:trPr>
          <w:trHeight w:val="186"/>
        </w:trPr>
        <w:tc>
          <w:tcPr>
            <w:tcW w:w="1460" w:type="dxa"/>
            <w:vAlign w:val="bottom"/>
            <w:shd w:val="clear" w:color="auto" w:fill="CCEEFF"/>
          </w:tcPr>
          <w:p>
            <w:pPr>
              <w:jc w:val="right"/>
              <w:ind w:right="512"/>
              <w:spacing w:after="0" w:line="186" w:lineRule="exact"/>
              <w:rPr>
                <w:sz w:val="20"/>
                <w:szCs w:val="20"/>
                <w:color w:val="auto"/>
              </w:rPr>
            </w:pPr>
            <w:r>
              <w:rPr>
                <w:rFonts w:ascii="Times New Roman" w:cs="Times New Roman" w:eastAsia="Times New Roman" w:hAnsi="Times New Roman"/>
                <w:sz w:val="18"/>
                <w:szCs w:val="18"/>
                <w:color w:val="auto"/>
              </w:rPr>
              <w:t>*10.5</w:t>
            </w:r>
          </w:p>
        </w:tc>
        <w:tc>
          <w:tcPr>
            <w:tcW w:w="4720" w:type="dxa"/>
            <w:vAlign w:val="bottom"/>
            <w:gridSpan w:val="17"/>
            <w:shd w:val="clear" w:color="auto" w:fill="CCEEFF"/>
          </w:tcPr>
          <w:p>
            <w:pPr>
              <w:spacing w:after="0" w:line="18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Weatherford International plc</w:t>
              </w:r>
            </w:hyperlink>
          </w:p>
        </w:tc>
        <w:tc>
          <w:tcPr>
            <w:tcW w:w="298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Exhibit 10.11 of the Company’s</w:t>
            </w:r>
          </w:p>
        </w:tc>
        <w:tc>
          <w:tcPr>
            <w:tcW w:w="1700" w:type="dxa"/>
            <w:vAlign w:val="bottom"/>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color w:val="auto"/>
              </w:rPr>
              <w:t>File No. 1-36504</w:t>
            </w: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378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Nonqualified Deferred Compensation Plan</w:t>
              </w:r>
            </w:hyperlink>
          </w:p>
        </w:tc>
        <w:tc>
          <w:tcPr>
            <w:tcW w:w="84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7"/>
                <w:szCs w:val="17"/>
                <w:color w:val="auto"/>
              </w:rPr>
              <w:t>Annual Report on Form 10-K for the</w:t>
            </w:r>
          </w:p>
        </w:tc>
        <w:tc>
          <w:tcPr>
            <w:tcW w:w="1700" w:type="dxa"/>
            <w:vAlign w:val="bottom"/>
            <w:tcBorders>
              <w:top w:val="single" w:sz="8" w:color="CCEEFF"/>
            </w:tcBorders>
            <w:shd w:val="clear" w:color="auto" w:fill="CCEEFF"/>
          </w:tcPr>
          <w:p>
            <w:pPr>
              <w:spacing w:after="0"/>
              <w:rPr>
                <w:sz w:val="13"/>
                <w:szCs w:val="13"/>
                <w:color w:val="auto"/>
              </w:rPr>
            </w:pPr>
          </w:p>
        </w:tc>
      </w:tr>
      <w:tr>
        <w:trPr>
          <w:trHeight w:val="152"/>
        </w:trPr>
        <w:tc>
          <w:tcPr>
            <w:tcW w:w="1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7"/>
                <w:szCs w:val="17"/>
                <w:color w:val="auto"/>
              </w:rPr>
              <w:t>year ended December 31, 2022, filed</w:t>
            </w:r>
          </w:p>
        </w:tc>
        <w:tc>
          <w:tcPr>
            <w:tcW w:w="1700" w:type="dxa"/>
            <w:vAlign w:val="bottom"/>
            <w:tcBorders>
              <w:top w:val="single" w:sz="8" w:color="CCEEFF"/>
            </w:tcBorders>
            <w:shd w:val="clear" w:color="auto" w:fill="CCEEFF"/>
          </w:tcPr>
          <w:p>
            <w:pPr>
              <w:spacing w:after="0"/>
              <w:rPr>
                <w:sz w:val="13"/>
                <w:szCs w:val="13"/>
                <w:color w:val="auto"/>
              </w:rPr>
            </w:pPr>
          </w:p>
        </w:tc>
      </w:tr>
      <w:tr>
        <w:trPr>
          <w:trHeight w:val="225"/>
        </w:trPr>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1700" w:type="dxa"/>
            <w:vAlign w:val="bottom"/>
            <w:shd w:val="clear" w:color="auto" w:fill="CCEEFF"/>
          </w:tcPr>
          <w:p>
            <w:pPr>
              <w:spacing w:after="0"/>
              <w:rPr>
                <w:sz w:val="19"/>
                <w:szCs w:val="19"/>
                <w:color w:val="auto"/>
              </w:rPr>
            </w:pPr>
          </w:p>
        </w:tc>
      </w:tr>
      <w:tr>
        <w:trPr>
          <w:trHeight w:val="199"/>
        </w:trPr>
        <w:tc>
          <w:tcPr>
            <w:tcW w:w="1460" w:type="dxa"/>
            <w:vAlign w:val="bottom"/>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rPr>
              <w:t>*10.6</w:t>
            </w:r>
          </w:p>
        </w:tc>
        <w:tc>
          <w:tcPr>
            <w:tcW w:w="4720" w:type="dxa"/>
            <w:vAlign w:val="bottom"/>
            <w:gridSpan w:val="17"/>
          </w:tcPr>
          <w:p>
            <w:pPr>
              <w:spacing w:after="0" w:line="19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Weatherford International plc Third Amended and Restated 2019</w:t>
              </w:r>
            </w:hyperlink>
          </w:p>
        </w:tc>
        <w:tc>
          <w:tcPr>
            <w:tcW w:w="298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Exhibit 10.2 of the</w:t>
            </w:r>
          </w:p>
        </w:tc>
        <w:tc>
          <w:tcPr>
            <w:tcW w:w="170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4620" w:type="dxa"/>
            <w:vAlign w:val="bottom"/>
            <w:tcBorders>
              <w:top w:val="single" w:sz="8" w:color="0000FF"/>
            </w:tcBorders>
            <w:gridSpan w:val="14"/>
          </w:tcPr>
          <w:p>
            <w:pPr>
              <w:spacing w:after="0" w:line="17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Equity Incentive Plan</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6"/>
              </w:rPr>
              <w:t>Company’s Current</w:t>
            </w:r>
          </w:p>
        </w:tc>
        <w:tc>
          <w:tcPr>
            <w:tcW w:w="1700" w:type="dxa"/>
            <w:vAlign w:val="bottom"/>
          </w:tcPr>
          <w:p>
            <w:pPr>
              <w:spacing w:after="0"/>
              <w:rPr>
                <w:sz w:val="15"/>
                <w:szCs w:val="15"/>
                <w:color w:val="auto"/>
              </w:rPr>
            </w:pPr>
          </w:p>
        </w:tc>
      </w:tr>
      <w:tr>
        <w:trPr>
          <w:trHeight w:val="200"/>
        </w:trPr>
        <w:tc>
          <w:tcPr>
            <w:tcW w:w="146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Report on Form 8-K filed January</w:t>
            </w:r>
          </w:p>
        </w:tc>
        <w:tc>
          <w:tcPr>
            <w:tcW w:w="1700" w:type="dxa"/>
            <w:vAlign w:val="bottom"/>
          </w:tcPr>
          <w:p>
            <w:pPr>
              <w:spacing w:after="0"/>
              <w:rPr>
                <w:sz w:val="17"/>
                <w:szCs w:val="17"/>
                <w:color w:val="auto"/>
              </w:rPr>
            </w:pPr>
          </w:p>
        </w:tc>
      </w:tr>
      <w:tr>
        <w:trPr>
          <w:trHeight w:val="237"/>
        </w:trPr>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23, 2023</w:t>
            </w:r>
          </w:p>
        </w:tc>
        <w:tc>
          <w:tcPr>
            <w:tcW w:w="1700" w:type="dxa"/>
            <w:vAlign w:val="bottom"/>
          </w:tcPr>
          <w:p>
            <w:pPr>
              <w:spacing w:after="0"/>
              <w:rPr>
                <w:sz w:val="20"/>
                <w:szCs w:val="20"/>
                <w:color w:val="auto"/>
              </w:rPr>
            </w:pPr>
          </w:p>
        </w:tc>
      </w:tr>
      <w:tr>
        <w:trPr>
          <w:trHeight w:val="205"/>
        </w:trPr>
        <w:tc>
          <w:tcPr>
            <w:tcW w:w="1460" w:type="dxa"/>
            <w:vAlign w:val="bottom"/>
            <w:shd w:val="clear" w:color="auto" w:fill="CCEEFF"/>
          </w:tcPr>
          <w:p>
            <w:pPr>
              <w:jc w:val="right"/>
              <w:ind w:right="512"/>
              <w:spacing w:after="0" w:line="205" w:lineRule="exact"/>
              <w:rPr>
                <w:sz w:val="20"/>
                <w:szCs w:val="20"/>
                <w:color w:val="auto"/>
              </w:rPr>
            </w:pPr>
            <w:r>
              <w:rPr>
                <w:rFonts w:ascii="Times New Roman" w:cs="Times New Roman" w:eastAsia="Times New Roman" w:hAnsi="Times New Roman"/>
                <w:sz w:val="18"/>
                <w:szCs w:val="18"/>
                <w:color w:val="auto"/>
              </w:rPr>
              <w:t>*10.7</w:t>
            </w:r>
          </w:p>
        </w:tc>
        <w:tc>
          <w:tcPr>
            <w:tcW w:w="4720" w:type="dxa"/>
            <w:vAlign w:val="bottom"/>
            <w:gridSpan w:val="17"/>
            <w:shd w:val="clear" w:color="auto" w:fill="CCEEFF"/>
          </w:tcPr>
          <w:p>
            <w:pPr>
              <w:spacing w:after="0" w:line="205"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Weatherford International plc Fourth Amended and Restated 2019</w:t>
              </w:r>
            </w:hyperlink>
          </w:p>
        </w:tc>
        <w:tc>
          <w:tcPr>
            <w:tcW w:w="29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700" w:type="dxa"/>
            <w:vAlign w:val="bottom"/>
            <w:tcBorders>
              <w:top w:val="single" w:sz="8" w:color="0000FF"/>
            </w:tcBorders>
            <w:gridSpan w:val="16"/>
            <w:shd w:val="clear" w:color="auto" w:fill="CCEEFF"/>
          </w:tcPr>
          <w:p>
            <w:pPr>
              <w:spacing w:after="0" w:line="17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Equity Incentive Plan</w:t>
              </w:r>
            </w:hyperlink>
          </w:p>
        </w:tc>
        <w:tc>
          <w:tcPr>
            <w:tcW w:w="20" w:type="dxa"/>
            <w:vAlign w:val="bottom"/>
            <w:tcBorders>
              <w:top w:val="single" w:sz="8" w:color="CCEEFF"/>
            </w:tcBorders>
            <w:shd w:val="clear" w:color="auto" w:fill="CCEEFF"/>
          </w:tcPr>
          <w:p>
            <w:pPr>
              <w:spacing w:after="0"/>
              <w:rPr>
                <w:sz w:val="15"/>
                <w:szCs w:val="15"/>
                <w:color w:val="auto"/>
              </w:rPr>
            </w:pPr>
          </w:p>
        </w:tc>
        <w:tc>
          <w:tcPr>
            <w:tcW w:w="2980" w:type="dxa"/>
            <w:vAlign w:val="bottom"/>
            <w:tcBorders>
              <w:top w:val="single" w:sz="8" w:color="CCEEFF"/>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Borders>
              <w:top w:val="single" w:sz="8" w:color="CCEEFF"/>
            </w:tcBorders>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0000FF"/>
            </w:tcBorders>
            <w:shd w:val="clear" w:color="auto" w:fill="CCEEFF"/>
          </w:tcPr>
          <w:p>
            <w:pPr>
              <w:spacing w:after="0"/>
              <w:rPr>
                <w:sz w:val="21"/>
                <w:szCs w:val="21"/>
                <w:color w:val="auto"/>
              </w:rPr>
            </w:pPr>
          </w:p>
        </w:tc>
        <w:tc>
          <w:tcPr>
            <w:tcW w:w="680" w:type="dxa"/>
            <w:vAlign w:val="bottom"/>
            <w:tcBorders>
              <w:top w:val="single" w:sz="8" w:color="0000FF"/>
            </w:tcBorders>
            <w:shd w:val="clear" w:color="auto" w:fill="CCEEFF"/>
          </w:tcPr>
          <w:p>
            <w:pPr>
              <w:spacing w:after="0"/>
              <w:rPr>
                <w:sz w:val="21"/>
                <w:szCs w:val="21"/>
                <w:color w:val="auto"/>
              </w:rPr>
            </w:pPr>
          </w:p>
        </w:tc>
        <w:tc>
          <w:tcPr>
            <w:tcW w:w="440" w:type="dxa"/>
            <w:vAlign w:val="bottom"/>
            <w:tcBorders>
              <w:top w:val="single" w:sz="8" w:color="0000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9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13, 2025</w:t>
            </w:r>
          </w:p>
        </w:tc>
        <w:tc>
          <w:tcPr>
            <w:tcW w:w="1700" w:type="dxa"/>
            <w:vAlign w:val="bottom"/>
            <w:tcBorders>
              <w:top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3360" w:val="left"/>
          <w:tab w:leader="none" w:pos="6780" w:val="left"/>
          <w:tab w:leader="none" w:pos="948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68910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91020" cy="825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3"/>
              </w:rPr>
              <w:t>*10.8</w:t>
            </w:r>
          </w:p>
        </w:tc>
        <w:tc>
          <w:tcPr>
            <w:tcW w:w="4360" w:type="dxa"/>
            <w:vAlign w:val="bottom"/>
            <w:gridSpan w:val="3"/>
          </w:tcPr>
          <w:p>
            <w:pPr>
              <w:spacing w:after="0"/>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Second Amended and Restated Weatherford International plc</w:t>
              </w:r>
            </w:hyperlink>
          </w:p>
        </w:tc>
      </w:tr>
      <w:tr>
        <w:trPr>
          <w:trHeight w:val="179"/>
        </w:trPr>
        <w:tc>
          <w:tcPr>
            <w:tcW w:w="1000" w:type="dxa"/>
            <w:vAlign w:val="bottom"/>
          </w:tcPr>
          <w:p>
            <w:pPr>
              <w:spacing w:after="0"/>
              <w:rPr>
                <w:sz w:val="15"/>
                <w:szCs w:val="15"/>
                <w:color w:val="auto"/>
              </w:rPr>
            </w:pPr>
          </w:p>
        </w:tc>
        <w:tc>
          <w:tcPr>
            <w:tcW w:w="1880" w:type="dxa"/>
            <w:vAlign w:val="bottom"/>
            <w:tcBorders>
              <w:top w:val="single" w:sz="8" w:color="0000FF"/>
              <w:bottom w:val="single" w:sz="8" w:color="0000FF"/>
            </w:tcBorders>
          </w:tcPr>
          <w:p>
            <w:pPr>
              <w:spacing w:after="0" w:line="179" w:lineRule="exact"/>
              <w:rPr>
                <w:rFonts w:ascii="Times New Roman" w:cs="Times New Roman" w:eastAsia="Times New Roman" w:hAnsi="Times New Roman"/>
                <w:sz w:val="18"/>
                <w:szCs w:val="18"/>
                <w:color w:val="0000FF"/>
                <w:w w:val="96"/>
              </w:rPr>
            </w:pPr>
            <w:hyperlink r:id="rId111">
              <w:r>
                <w:rPr>
                  <w:rFonts w:ascii="Times New Roman" w:cs="Times New Roman" w:eastAsia="Times New Roman" w:hAnsi="Times New Roman"/>
                  <w:sz w:val="18"/>
                  <w:szCs w:val="18"/>
                  <w:color w:val="0000FF"/>
                  <w:w w:val="96"/>
                </w:rPr>
                <w:t>Short-Term Incentive Plan</w:t>
              </w:r>
            </w:hyperlink>
          </w:p>
        </w:tc>
        <w:tc>
          <w:tcPr>
            <w:tcW w:w="24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ind w:left="140"/>
        <w:spacing w:after="0"/>
        <w:tabs>
          <w:tab w:leader="none" w:pos="2960" w:val="left"/>
        </w:tabs>
        <w:rPr>
          <w:sz w:val="20"/>
          <w:szCs w:val="20"/>
          <w:color w:val="auto"/>
        </w:rPr>
      </w:pPr>
      <w:r>
        <w:rPr>
          <w:rFonts w:ascii="Times New Roman" w:cs="Times New Roman" w:eastAsia="Times New Roman" w:hAnsi="Times New Roman"/>
          <w:sz w:val="18"/>
          <w:szCs w:val="18"/>
          <w:color w:val="auto"/>
        </w:rPr>
        <w:t>Exhibit 10.4 of the Company’s</w:t>
      </w:r>
      <w:r>
        <w:rPr>
          <w:sz w:val="20"/>
          <w:szCs w:val="20"/>
          <w:color w:val="auto"/>
        </w:rPr>
        <w:tab/>
      </w:r>
      <w:r>
        <w:rPr>
          <w:rFonts w:ascii="Times New Roman" w:cs="Times New Roman" w:eastAsia="Times New Roman" w:hAnsi="Times New Roman"/>
          <w:sz w:val="17"/>
          <w:szCs w:val="17"/>
          <w:color w:val="auto"/>
        </w:rPr>
        <w:t>File No. 1-36504</w:t>
      </w:r>
    </w:p>
    <w:p>
      <w:pPr>
        <w:ind w:left="12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199" w:lineRule="auto"/>
        <w:rPr>
          <w:sz w:val="20"/>
          <w:szCs w:val="20"/>
          <w:color w:val="auto"/>
        </w:rPr>
      </w:pPr>
      <w:r>
        <w:rPr>
          <w:rFonts w:ascii="Times New Roman" w:cs="Times New Roman" w:eastAsia="Times New Roman" w:hAnsi="Times New Roman"/>
          <w:sz w:val="18"/>
          <w:szCs w:val="18"/>
          <w:color w:val="auto"/>
        </w:rPr>
        <w:t>ending June 30, 2024 filed July 24,</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2024</w:t>
      </w:r>
    </w:p>
    <w:p>
      <w:pPr>
        <w:spacing w:after="0" w:line="1" w:lineRule="exact"/>
        <w:rPr>
          <w:sz w:val="20"/>
          <w:szCs w:val="20"/>
          <w:color w:val="auto"/>
        </w:rPr>
      </w:pPr>
    </w:p>
    <w:p>
      <w:pPr>
        <w:sectPr>
          <w:pgSz w:w="11900" w:h="16838" w:orient="portrait"/>
          <w:cols w:equalWidth="0" w:num="2">
            <w:col w:w="5800" w:space="600"/>
            <w:col w:w="4840"/>
          </w:cols>
          <w:pgMar w:left="320" w:top="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460" w:type="dxa"/>
            <w:vAlign w:val="bottom"/>
            <w:shd w:val="clear" w:color="auto" w:fill="CCEEFF"/>
          </w:tcPr>
          <w:p>
            <w:pPr>
              <w:jc w:val="center"/>
              <w:ind w:right="52"/>
              <w:spacing w:after="0" w:line="202" w:lineRule="exact"/>
              <w:rPr>
                <w:sz w:val="20"/>
                <w:szCs w:val="20"/>
                <w:color w:val="auto"/>
              </w:rPr>
            </w:pPr>
            <w:r>
              <w:rPr>
                <w:rFonts w:ascii="Times New Roman" w:cs="Times New Roman" w:eastAsia="Times New Roman" w:hAnsi="Times New Roman"/>
                <w:sz w:val="18"/>
                <w:szCs w:val="18"/>
                <w:color w:val="auto"/>
                <w:w w:val="98"/>
              </w:rPr>
              <w:t>*10.9</w:t>
            </w:r>
          </w:p>
        </w:tc>
        <w:tc>
          <w:tcPr>
            <w:tcW w:w="4140" w:type="dxa"/>
            <w:vAlign w:val="bottom"/>
            <w:gridSpan w:val="4"/>
            <w:shd w:val="clear" w:color="auto" w:fill="CCEEFF"/>
          </w:tcPr>
          <w:p>
            <w:pPr>
              <w:spacing w:after="0" w:line="20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Executive Officer Restricted Share Unit Award</w:t>
              </w:r>
            </w:hyperlink>
          </w:p>
        </w:tc>
        <w:tc>
          <w:tcPr>
            <w:tcW w:w="3500" w:type="dxa"/>
            <w:vAlign w:val="bottom"/>
            <w:shd w:val="clear" w:color="auto" w:fill="CCEEFF"/>
          </w:tcPr>
          <w:p>
            <w:pPr>
              <w:jc w:val="center"/>
              <w:ind w:left="472"/>
              <w:spacing w:after="0" w:line="202"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6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Agreement</w:t>
              </w:r>
            </w:hyperlink>
          </w:p>
        </w:tc>
        <w:tc>
          <w:tcPr>
            <w:tcW w:w="18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CCEEFF"/>
            </w:tcBorders>
            <w:shd w:val="clear" w:color="auto" w:fill="CCEEFF"/>
          </w:tcPr>
          <w:p>
            <w:pPr>
              <w:jc w:val="center"/>
              <w:ind w:left="49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tcBorders>
            <w:shd w:val="clear" w:color="auto" w:fill="CCEEFF"/>
          </w:tcPr>
          <w:p>
            <w:pPr>
              <w:spacing w:after="0"/>
              <w:rPr>
                <w:sz w:val="15"/>
                <w:szCs w:val="15"/>
                <w:color w:val="auto"/>
              </w:rPr>
            </w:pPr>
          </w:p>
        </w:tc>
      </w:tr>
      <w:tr>
        <w:trPr>
          <w:trHeight w:val="212"/>
        </w:trPr>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0000FF"/>
              <w:bottom w:val="single" w:sz="8" w:color="CCEEFF"/>
            </w:tcBorders>
            <w:shd w:val="clear" w:color="auto" w:fill="CCEEFF"/>
          </w:tcPr>
          <w:p>
            <w:pPr>
              <w:spacing w:after="0"/>
              <w:rPr>
                <w:sz w:val="18"/>
                <w:szCs w:val="18"/>
                <w:color w:val="auto"/>
              </w:rPr>
            </w:pP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9"/>
        </w:trPr>
        <w:tc>
          <w:tcPr>
            <w:tcW w:w="146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6"/>
              </w:rPr>
              <w:t>*10.10</w:t>
            </w:r>
          </w:p>
        </w:tc>
        <w:tc>
          <w:tcPr>
            <w:tcW w:w="4140" w:type="dxa"/>
            <w:vAlign w:val="bottom"/>
            <w:gridSpan w:val="4"/>
          </w:tcPr>
          <w:p>
            <w:pPr>
              <w:spacing w:after="0" w:line="19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Executive Officer Restricted Share Unit Award</w:t>
              </w:r>
            </w:hyperlink>
          </w:p>
        </w:tc>
        <w:tc>
          <w:tcPr>
            <w:tcW w:w="3500" w:type="dxa"/>
            <w:vAlign w:val="bottom"/>
          </w:tcPr>
          <w:p>
            <w:pPr>
              <w:jc w:val="center"/>
              <w:ind w:left="47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60" w:type="dxa"/>
            <w:vAlign w:val="bottom"/>
          </w:tcPr>
          <w:p>
            <w:pPr>
              <w:ind w:left="280"/>
              <w:spacing w:after="0" w:line="199"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tcPr>
          <w:p>
            <w:pPr>
              <w:spacing w:after="0"/>
              <w:rPr>
                <w:sz w:val="15"/>
                <w:szCs w:val="15"/>
                <w:color w:val="auto"/>
              </w:rPr>
            </w:pPr>
          </w:p>
        </w:tc>
        <w:tc>
          <w:tcPr>
            <w:tcW w:w="3960" w:type="dxa"/>
            <w:vAlign w:val="bottom"/>
            <w:tcBorders>
              <w:top w:val="single" w:sz="8" w:color="0000FF"/>
            </w:tcBorders>
            <w:gridSpan w:val="3"/>
          </w:tcPr>
          <w:p>
            <w:pPr>
              <w:spacing w:after="0" w:line="17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Agreement adopted January 18, 2023</w:t>
              </w:r>
            </w:hyperlink>
          </w:p>
        </w:tc>
        <w:tc>
          <w:tcPr>
            <w:tcW w:w="180" w:type="dxa"/>
            <w:vAlign w:val="bottom"/>
          </w:tcPr>
          <w:p>
            <w:pPr>
              <w:spacing w:after="0"/>
              <w:rPr>
                <w:sz w:val="15"/>
                <w:szCs w:val="15"/>
                <w:color w:val="auto"/>
              </w:rPr>
            </w:pPr>
          </w:p>
        </w:tc>
        <w:tc>
          <w:tcPr>
            <w:tcW w:w="3500" w:type="dxa"/>
            <w:vAlign w:val="bottom"/>
          </w:tcPr>
          <w:p>
            <w:pPr>
              <w:jc w:val="center"/>
              <w:ind w:left="49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Pr>
          <w:p>
            <w:pPr>
              <w:spacing w:after="0"/>
              <w:rPr>
                <w:sz w:val="15"/>
                <w:szCs w:val="15"/>
                <w:color w:val="auto"/>
              </w:rPr>
            </w:pPr>
          </w:p>
        </w:tc>
      </w:tr>
      <w:tr>
        <w:trPr>
          <w:trHeight w:val="239"/>
        </w:trPr>
        <w:tc>
          <w:tcPr>
            <w:tcW w:w="1460" w:type="dxa"/>
            <w:vAlign w:val="bottom"/>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1860" w:type="dxa"/>
            <w:vAlign w:val="bottom"/>
            <w:tcBorders>
              <w:top w:val="single" w:sz="8" w:color="0000FF"/>
            </w:tcBorders>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Pr>
          <w:p>
            <w:pPr>
              <w:spacing w:after="0"/>
              <w:rPr>
                <w:sz w:val="20"/>
                <w:szCs w:val="20"/>
                <w:color w:val="auto"/>
              </w:rPr>
            </w:pPr>
          </w:p>
        </w:tc>
      </w:tr>
      <w:tr>
        <w:trPr>
          <w:trHeight w:val="205"/>
        </w:trPr>
        <w:tc>
          <w:tcPr>
            <w:tcW w:w="1460" w:type="dxa"/>
            <w:vAlign w:val="bottom"/>
            <w:tcBorders>
              <w:bottom w:val="single" w:sz="8" w:color="CCEEFF"/>
            </w:tcBorders>
            <w:shd w:val="clear" w:color="auto" w:fill="CCEEFF"/>
          </w:tcPr>
          <w:p>
            <w:pPr>
              <w:jc w:val="center"/>
              <w:ind w:right="52"/>
              <w:spacing w:after="0" w:line="205" w:lineRule="exact"/>
              <w:rPr>
                <w:sz w:val="20"/>
                <w:szCs w:val="20"/>
                <w:color w:val="auto"/>
              </w:rPr>
            </w:pPr>
            <w:r>
              <w:rPr>
                <w:rFonts w:ascii="Times New Roman" w:cs="Times New Roman" w:eastAsia="Times New Roman" w:hAnsi="Times New Roman"/>
                <w:sz w:val="18"/>
                <w:szCs w:val="18"/>
                <w:color w:val="auto"/>
                <w:w w:val="96"/>
              </w:rPr>
              <w:t>*10.11</w:t>
            </w:r>
          </w:p>
        </w:tc>
        <w:tc>
          <w:tcPr>
            <w:tcW w:w="4140" w:type="dxa"/>
            <w:vAlign w:val="bottom"/>
            <w:tcBorders>
              <w:bottom w:val="single" w:sz="8" w:color="0000FF"/>
            </w:tcBorders>
            <w:gridSpan w:val="4"/>
            <w:shd w:val="clear" w:color="auto" w:fill="CCEEFF"/>
          </w:tcPr>
          <w:p>
            <w:pPr>
              <w:spacing w:after="0" w:line="205" w:lineRule="exact"/>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Form of Executive Officer Performance Share Unit Award</w:t>
              </w:r>
            </w:hyperlink>
          </w:p>
        </w:tc>
        <w:tc>
          <w:tcPr>
            <w:tcW w:w="3500" w:type="dxa"/>
            <w:vAlign w:val="bottom"/>
            <w:tcBorders>
              <w:bottom w:val="single" w:sz="8" w:color="CCEEFF"/>
            </w:tcBorders>
            <w:shd w:val="clear" w:color="auto" w:fill="CCEEFF"/>
          </w:tcPr>
          <w:p>
            <w:pPr>
              <w:jc w:val="center"/>
              <w:ind w:left="472"/>
              <w:spacing w:after="0" w:line="205" w:lineRule="exact"/>
              <w:rPr>
                <w:sz w:val="20"/>
                <w:szCs w:val="20"/>
                <w:color w:val="auto"/>
              </w:rPr>
            </w:pPr>
            <w:r>
              <w:rPr>
                <w:rFonts w:ascii="Times New Roman" w:cs="Times New Roman" w:eastAsia="Times New Roman" w:hAnsi="Times New Roman"/>
                <w:sz w:val="18"/>
                <w:szCs w:val="18"/>
                <w:color w:val="auto"/>
                <w:w w:val="97"/>
              </w:rPr>
              <w:t>Exhibit 10.4 of the Company’s</w:t>
            </w:r>
          </w:p>
        </w:tc>
        <w:tc>
          <w:tcPr>
            <w:tcW w:w="1760" w:type="dxa"/>
            <w:vAlign w:val="bottom"/>
            <w:tcBorders>
              <w:bottom w:val="single" w:sz="8" w:color="CCEEFF"/>
            </w:tcBorders>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File No. 1-36504</w:t>
            </w:r>
          </w:p>
        </w:tc>
      </w:tr>
      <w:tr>
        <w:trPr>
          <w:trHeight w:val="179"/>
        </w:trPr>
        <w:tc>
          <w:tcPr>
            <w:tcW w:w="1460" w:type="dxa"/>
            <w:vAlign w:val="bottom"/>
            <w:shd w:val="clear" w:color="auto" w:fill="CCEEFF"/>
          </w:tcPr>
          <w:p>
            <w:pPr>
              <w:spacing w:after="0"/>
              <w:rPr>
                <w:sz w:val="15"/>
                <w:szCs w:val="15"/>
                <w:color w:val="auto"/>
              </w:rPr>
            </w:pPr>
          </w:p>
        </w:tc>
        <w:tc>
          <w:tcPr>
            <w:tcW w:w="4140" w:type="dxa"/>
            <w:vAlign w:val="bottom"/>
            <w:gridSpan w:val="4"/>
            <w:shd w:val="clear" w:color="auto" w:fill="CCEEFF"/>
          </w:tcPr>
          <w:p>
            <w:pPr>
              <w:spacing w:after="0" w:line="17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Agreement adopted January 18, 2023</w:t>
              </w:r>
            </w:hyperlink>
          </w:p>
        </w:tc>
        <w:tc>
          <w:tcPr>
            <w:tcW w:w="3500" w:type="dxa"/>
            <w:vAlign w:val="bottom"/>
            <w:shd w:val="clear" w:color="auto" w:fill="CCEEFF"/>
          </w:tcPr>
          <w:p>
            <w:pPr>
              <w:jc w:val="center"/>
              <w:ind w:left="49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shd w:val="clear" w:color="auto" w:fill="CCEEFF"/>
          </w:tcPr>
          <w:p>
            <w:pPr>
              <w:spacing w:after="0"/>
              <w:rPr>
                <w:sz w:val="15"/>
                <w:szCs w:val="15"/>
                <w:color w:val="auto"/>
              </w:rPr>
            </w:pPr>
          </w:p>
        </w:tc>
      </w:tr>
      <w:tr>
        <w:trPr>
          <w:trHeight w:val="245"/>
        </w:trPr>
        <w:tc>
          <w:tcPr>
            <w:tcW w:w="14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0000FF"/>
            </w:tcBorders>
            <w:shd w:val="clear" w:color="auto" w:fill="CCEEFF"/>
          </w:tcPr>
          <w:p>
            <w:pPr>
              <w:spacing w:after="0"/>
              <w:rPr>
                <w:sz w:val="21"/>
                <w:szCs w:val="21"/>
                <w:color w:val="auto"/>
              </w:rPr>
            </w:pPr>
          </w:p>
        </w:tc>
        <w:tc>
          <w:tcPr>
            <w:tcW w:w="1860" w:type="dxa"/>
            <w:vAlign w:val="bottom"/>
            <w:tcBorders>
              <w:top w:val="single" w:sz="8" w:color="0000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500" w:type="dxa"/>
            <w:vAlign w:val="bottom"/>
            <w:tcBorders>
              <w:top w:val="single" w:sz="8" w:color="CCEEFF"/>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60" w:type="dxa"/>
            <w:vAlign w:val="bottom"/>
            <w:tcBorders>
              <w:top w:val="single" w:sz="8" w:color="CCEEFF"/>
            </w:tcBorders>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413" w:right="339" w:bottom="1440" w:gutter="0" w:footer="0" w:header="0"/>
          <w:type w:val="continuous"/>
        </w:sect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15">
        <w:r>
          <w:rPr>
            <w:rFonts w:ascii="Times New Roman" w:cs="Times New Roman" w:eastAsia="Times New Roman" w:hAnsi="Times New Roman"/>
            <w:sz w:val="17"/>
            <w:szCs w:val="17"/>
            <w:u w:val="single" w:color="auto"/>
            <w:color w:val="0000FF"/>
          </w:rPr>
          <w:t>Form of Executive Officer Restricted Share Unit Award</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6891020" cy="479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line="229" w:lineRule="auto"/>
        <w:tabs>
          <w:tab w:leader="none" w:pos="288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ind w:left="4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200" w:lineRule="auto"/>
        <w:rPr>
          <w:sz w:val="20"/>
          <w:szCs w:val="20"/>
          <w:color w:val="auto"/>
        </w:rPr>
      </w:pPr>
      <w:r>
        <w:rPr>
          <w:rFonts w:ascii="Times New Roman" w:cs="Times New Roman" w:eastAsia="Times New Roman" w:hAnsi="Times New Roman"/>
          <w:sz w:val="18"/>
          <w:szCs w:val="18"/>
          <w:color w:val="auto"/>
        </w:rPr>
        <w:t>ending September 30, 2024 filed</w:t>
      </w:r>
    </w:p>
    <w:p>
      <w:pPr>
        <w:ind w:left="540"/>
        <w:spacing w:after="0"/>
        <w:rPr>
          <w:sz w:val="20"/>
          <w:szCs w:val="20"/>
          <w:color w:val="auto"/>
        </w:rPr>
      </w:pPr>
      <w:r>
        <w:rPr>
          <w:rFonts w:ascii="Times New Roman" w:cs="Times New Roman" w:eastAsia="Times New Roman" w:hAnsi="Times New Roman"/>
          <w:sz w:val="18"/>
          <w:szCs w:val="18"/>
          <w:color w:val="auto"/>
        </w:rPr>
        <w:t>October 23, 2024</w:t>
      </w:r>
    </w:p>
    <w:p>
      <w:pPr>
        <w:spacing w:after="0" w:line="1" w:lineRule="exact"/>
        <w:rPr>
          <w:sz w:val="20"/>
          <w:szCs w:val="20"/>
          <w:color w:val="auto"/>
        </w:rPr>
      </w:pPr>
    </w:p>
    <w:p>
      <w:pPr>
        <w:sectPr>
          <w:pgSz w:w="11900" w:h="16838" w:orient="portrait"/>
          <w:cols w:equalWidth="0" w:num="2">
            <w:col w:w="6100" w:space="380"/>
            <w:col w:w="4760"/>
          </w:cols>
          <w:pgMar w:left="320" w:top="413" w:right="339" w:bottom="1440" w:gutter="0" w:footer="0" w:header="0"/>
          <w:type w:val="continuous"/>
        </w:sectPr>
      </w:pPr>
    </w:p>
    <w:p>
      <w:pPr>
        <w:spacing w:after="0" w:line="3" w:lineRule="exact"/>
        <w:rPr>
          <w:sz w:val="20"/>
          <w:szCs w:val="20"/>
          <w:color w:val="auto"/>
        </w:r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17">
        <w:r>
          <w:rPr>
            <w:rFonts w:ascii="Times New Roman" w:cs="Times New Roman" w:eastAsia="Times New Roman" w:hAnsi="Times New Roman"/>
            <w:sz w:val="17"/>
            <w:szCs w:val="17"/>
            <w:u w:val="single" w:color="auto"/>
            <w:color w:val="0000FF"/>
          </w:rPr>
          <w:t>Form of Executive Officer Performance Share Unit Award</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80" w:lineRule="exact"/>
        <w:rPr>
          <w:sz w:val="20"/>
          <w:szCs w:val="20"/>
          <w:color w:val="auto"/>
        </w:rPr>
      </w:pPr>
    </w:p>
    <w:p>
      <w:pPr>
        <w:ind w:left="1460" w:hanging="1054"/>
        <w:spacing w:after="0" w:line="288" w:lineRule="auto"/>
        <w:tabs>
          <w:tab w:leader="none" w:pos="1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18">
        <w:r>
          <w:rPr>
            <w:rFonts w:ascii="Times New Roman" w:cs="Times New Roman" w:eastAsia="Times New Roman" w:hAnsi="Times New Roman"/>
            <w:sz w:val="17"/>
            <w:szCs w:val="17"/>
            <w:u w:val="single" w:color="auto"/>
            <w:color w:val="0000FF"/>
          </w:rPr>
          <w:t>Form of Non-Executive Director Restricted Share Unit Award</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Agreement adopted January 18, 2024 and amended July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6891020" cy="4794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720" w:type="dxa"/>
            <w:vAlign w:val="bottom"/>
          </w:tcPr>
          <w:p>
            <w:pPr>
              <w:jc w:val="center"/>
              <w:ind w:right="172"/>
              <w:spacing w:after="0" w:line="176"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46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80"/>
        </w:trPr>
        <w:tc>
          <w:tcPr>
            <w:tcW w:w="2720" w:type="dxa"/>
            <w:vAlign w:val="bottom"/>
          </w:tcPr>
          <w:p>
            <w:pPr>
              <w:jc w:val="center"/>
              <w:ind w:right="172"/>
              <w:spacing w:after="0" w:line="181" w:lineRule="exact"/>
              <w:rPr>
                <w:sz w:val="20"/>
                <w:szCs w:val="20"/>
                <w:color w:val="auto"/>
              </w:rPr>
            </w:pPr>
            <w:r>
              <w:rPr>
                <w:rFonts w:ascii="Times New Roman" w:cs="Times New Roman" w:eastAsia="Times New Roman" w:hAnsi="Times New Roman"/>
                <w:sz w:val="18"/>
                <w:szCs w:val="18"/>
                <w:color w:val="auto"/>
                <w:w w:val="98"/>
              </w:rPr>
              <w:t>Quarterly Report for the period</w:t>
            </w:r>
          </w:p>
        </w:tc>
        <w:tc>
          <w:tcPr>
            <w:tcW w:w="1460" w:type="dxa"/>
            <w:vAlign w:val="bottom"/>
          </w:tcPr>
          <w:p>
            <w:pPr>
              <w:spacing w:after="0"/>
              <w:rPr>
                <w:sz w:val="15"/>
                <w:szCs w:val="15"/>
                <w:color w:val="auto"/>
              </w:rPr>
            </w:pPr>
          </w:p>
        </w:tc>
      </w:tr>
      <w:tr>
        <w:trPr>
          <w:trHeight w:val="177"/>
        </w:trPr>
        <w:tc>
          <w:tcPr>
            <w:tcW w:w="2720" w:type="dxa"/>
            <w:vAlign w:val="bottom"/>
          </w:tcPr>
          <w:p>
            <w:pPr>
              <w:jc w:val="center"/>
              <w:ind w:right="172"/>
              <w:spacing w:after="0" w:line="177" w:lineRule="exact"/>
              <w:rPr>
                <w:sz w:val="20"/>
                <w:szCs w:val="20"/>
                <w:color w:val="auto"/>
              </w:rPr>
            </w:pPr>
            <w:r>
              <w:rPr>
                <w:rFonts w:ascii="Times New Roman" w:cs="Times New Roman" w:eastAsia="Times New Roman" w:hAnsi="Times New Roman"/>
                <w:sz w:val="18"/>
                <w:szCs w:val="18"/>
                <w:color w:val="auto"/>
                <w:w w:val="97"/>
              </w:rPr>
              <w:t>ending September 30, 2024 filed</w:t>
            </w:r>
          </w:p>
        </w:tc>
        <w:tc>
          <w:tcPr>
            <w:tcW w:w="1460" w:type="dxa"/>
            <w:vAlign w:val="bottom"/>
          </w:tcPr>
          <w:p>
            <w:pPr>
              <w:spacing w:after="0"/>
              <w:rPr>
                <w:sz w:val="15"/>
                <w:szCs w:val="15"/>
                <w:color w:val="auto"/>
              </w:rPr>
            </w:pPr>
          </w:p>
        </w:tc>
      </w:tr>
      <w:tr>
        <w:trPr>
          <w:trHeight w:val="220"/>
        </w:trPr>
        <w:tc>
          <w:tcPr>
            <w:tcW w:w="27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October 23, 2024</w:t>
            </w:r>
          </w:p>
        </w:tc>
        <w:tc>
          <w:tcPr>
            <w:tcW w:w="1460" w:type="dxa"/>
            <w:vAlign w:val="bottom"/>
          </w:tcPr>
          <w:p>
            <w:pPr>
              <w:spacing w:after="0"/>
              <w:rPr>
                <w:sz w:val="19"/>
                <w:szCs w:val="19"/>
                <w:color w:val="auto"/>
              </w:rPr>
            </w:pPr>
          </w:p>
        </w:tc>
      </w:tr>
      <w:tr>
        <w:trPr>
          <w:trHeight w:val="177"/>
        </w:trPr>
        <w:tc>
          <w:tcPr>
            <w:tcW w:w="2720" w:type="dxa"/>
            <w:vAlign w:val="bottom"/>
          </w:tcPr>
          <w:p>
            <w:pPr>
              <w:jc w:val="center"/>
              <w:ind w:right="172"/>
              <w:spacing w:after="0" w:line="177" w:lineRule="exact"/>
              <w:rPr>
                <w:sz w:val="20"/>
                <w:szCs w:val="20"/>
                <w:color w:val="auto"/>
              </w:rPr>
            </w:pPr>
            <w:r>
              <w:rPr>
                <w:rFonts w:ascii="Times New Roman" w:cs="Times New Roman" w:eastAsia="Times New Roman" w:hAnsi="Times New Roman"/>
                <w:sz w:val="18"/>
                <w:szCs w:val="18"/>
                <w:color w:val="auto"/>
                <w:w w:val="97"/>
              </w:rPr>
              <w:t>Exhibit 10.7 of the Company’s</w:t>
            </w:r>
          </w:p>
        </w:tc>
        <w:tc>
          <w:tcPr>
            <w:tcW w:w="146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80"/>
        </w:trPr>
        <w:tc>
          <w:tcPr>
            <w:tcW w:w="2720" w:type="dxa"/>
            <w:vAlign w:val="bottom"/>
          </w:tcPr>
          <w:p>
            <w:pPr>
              <w:jc w:val="center"/>
              <w:ind w:right="172"/>
              <w:spacing w:after="0" w:line="181" w:lineRule="exact"/>
              <w:rPr>
                <w:sz w:val="20"/>
                <w:szCs w:val="20"/>
                <w:color w:val="auto"/>
              </w:rPr>
            </w:pPr>
            <w:r>
              <w:rPr>
                <w:rFonts w:ascii="Times New Roman" w:cs="Times New Roman" w:eastAsia="Times New Roman" w:hAnsi="Times New Roman"/>
                <w:sz w:val="18"/>
                <w:szCs w:val="18"/>
                <w:color w:val="auto"/>
                <w:w w:val="98"/>
              </w:rPr>
              <w:t>Quarterly Report for the period</w:t>
            </w:r>
          </w:p>
        </w:tc>
        <w:tc>
          <w:tcPr>
            <w:tcW w:w="1460" w:type="dxa"/>
            <w:vAlign w:val="bottom"/>
          </w:tcPr>
          <w:p>
            <w:pPr>
              <w:spacing w:after="0"/>
              <w:rPr>
                <w:sz w:val="15"/>
                <w:szCs w:val="15"/>
                <w:color w:val="auto"/>
              </w:rPr>
            </w:pPr>
          </w:p>
        </w:tc>
      </w:tr>
      <w:tr>
        <w:trPr>
          <w:trHeight w:val="177"/>
        </w:trPr>
        <w:tc>
          <w:tcPr>
            <w:tcW w:w="2720" w:type="dxa"/>
            <w:vAlign w:val="bottom"/>
          </w:tcPr>
          <w:p>
            <w:pPr>
              <w:jc w:val="center"/>
              <w:ind w:right="152"/>
              <w:spacing w:after="0" w:line="177" w:lineRule="exact"/>
              <w:rPr>
                <w:sz w:val="20"/>
                <w:szCs w:val="20"/>
                <w:color w:val="auto"/>
              </w:rPr>
            </w:pPr>
            <w:r>
              <w:rPr>
                <w:rFonts w:ascii="Times New Roman" w:cs="Times New Roman" w:eastAsia="Times New Roman" w:hAnsi="Times New Roman"/>
                <w:sz w:val="18"/>
                <w:szCs w:val="18"/>
                <w:color w:val="auto"/>
                <w:w w:val="98"/>
              </w:rPr>
              <w:t>ending June 30, 2024 filed July 24,</w:t>
            </w:r>
          </w:p>
        </w:tc>
        <w:tc>
          <w:tcPr>
            <w:tcW w:w="1460" w:type="dxa"/>
            <w:vAlign w:val="bottom"/>
          </w:tcPr>
          <w:p>
            <w:pPr>
              <w:spacing w:after="0"/>
              <w:rPr>
                <w:sz w:val="15"/>
                <w:szCs w:val="15"/>
                <w:color w:val="auto"/>
              </w:rPr>
            </w:pPr>
          </w:p>
        </w:tc>
      </w:tr>
      <w:tr>
        <w:trPr>
          <w:trHeight w:val="231"/>
        </w:trPr>
        <w:tc>
          <w:tcPr>
            <w:tcW w:w="27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4"/>
              </w:rPr>
              <w:t>2024</w:t>
            </w:r>
          </w:p>
        </w:tc>
        <w:tc>
          <w:tcPr>
            <w:tcW w:w="14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6100" w:space="300"/>
            <w:col w:w="4840"/>
          </w:cols>
          <w:pgMar w:left="320" w:top="413" w:right="339" w:bottom="1440" w:gutter="0" w:footer="0" w:header="0"/>
          <w:type w:val="continuous"/>
        </w:sectPr>
      </w:pPr>
    </w:p>
    <w:p>
      <w:pPr>
        <w:ind w:left="1460" w:right="280" w:hanging="1054"/>
        <w:spacing w:after="0" w:line="258" w:lineRule="auto"/>
        <w:tabs>
          <w:tab w:leader="none" w:pos="1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20">
        <w:r>
          <w:rPr>
            <w:rFonts w:ascii="Times New Roman" w:cs="Times New Roman" w:eastAsia="Times New Roman" w:hAnsi="Times New Roman"/>
            <w:sz w:val="18"/>
            <w:szCs w:val="18"/>
            <w:u w:val="single" w:color="auto"/>
            <w:color w:val="0000FF"/>
          </w:rPr>
          <w:t>Form of Executive Officer Restricted Share Unit Award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Agreement adopted March 7, 2025</w:t>
        </w:r>
      </w:hyperlink>
    </w:p>
    <w:p>
      <w:pPr>
        <w:spacing w:after="0" w:line="20" w:lineRule="exact"/>
        <w:rPr>
          <w:sz w:val="20"/>
          <w:szCs w:val="20"/>
          <w:color w:val="auto"/>
        </w:rPr>
      </w:pPr>
      <w:r>
        <w:rPr>
          <w:sz w:val="20"/>
          <w:szCs w:val="20"/>
          <w:color w:val="auto"/>
        </w:rPr>
        <w:br w:type="column"/>
      </w:r>
    </w:p>
    <w:p>
      <w:pPr>
        <w:ind w:left="120"/>
        <w:spacing w:after="0" w:line="222" w:lineRule="auto"/>
        <w:tabs>
          <w:tab w:leader="none" w:pos="294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ind w:left="10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200" w:lineRule="auto"/>
        <w:rPr>
          <w:sz w:val="20"/>
          <w:szCs w:val="20"/>
          <w:color w:val="auto"/>
        </w:rPr>
      </w:pPr>
      <w:r>
        <w:rPr>
          <w:rFonts w:ascii="Times New Roman" w:cs="Times New Roman" w:eastAsia="Times New Roman" w:hAnsi="Times New Roman"/>
          <w:sz w:val="18"/>
          <w:szCs w:val="18"/>
          <w:color w:val="auto"/>
        </w:rPr>
        <w:t>ending March 31, 2025 filed April</w:t>
      </w:r>
    </w:p>
    <w:p>
      <w:pPr>
        <w:ind w:left="900"/>
        <w:spacing w:after="0"/>
        <w:rPr>
          <w:sz w:val="20"/>
          <w:szCs w:val="20"/>
          <w:color w:val="auto"/>
        </w:rPr>
      </w:pPr>
      <w:r>
        <w:rPr>
          <w:rFonts w:ascii="Times New Roman" w:cs="Times New Roman" w:eastAsia="Times New Roman" w:hAnsi="Times New Roman"/>
          <w:sz w:val="18"/>
          <w:szCs w:val="18"/>
          <w:color w:val="auto"/>
        </w:rPr>
        <w:t>23, 2025</w:t>
      </w:r>
    </w:p>
    <w:p>
      <w:pPr>
        <w:spacing w:after="0" w:line="1" w:lineRule="exact"/>
        <w:rPr>
          <w:sz w:val="20"/>
          <w:szCs w:val="20"/>
          <w:color w:val="auto"/>
        </w:rPr>
      </w:pPr>
    </w:p>
    <w:p>
      <w:pPr>
        <w:sectPr>
          <w:pgSz w:w="11900" w:h="16838" w:orient="portrait"/>
          <w:cols w:equalWidth="0" w:num="2">
            <w:col w:w="5700" w:space="720"/>
            <w:col w:w="4820"/>
          </w:cols>
          <w:pgMar w:left="320" w:top="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460" w:type="dxa"/>
            <w:vAlign w:val="bottom"/>
          </w:tcPr>
          <w:p>
            <w:pPr>
              <w:jc w:val="right"/>
              <w:ind w:right="512"/>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4780" w:type="dxa"/>
            <w:vAlign w:val="bottom"/>
            <w:gridSpan w:val="10"/>
          </w:tcPr>
          <w:p>
            <w:pPr>
              <w:spacing w:after="0" w:line="20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Credit Agreement, dated October 17,</w:t>
              </w:r>
            </w:hyperlink>
          </w:p>
        </w:tc>
        <w:tc>
          <w:tcPr>
            <w:tcW w:w="2920" w:type="dxa"/>
            <w:vAlign w:val="bottom"/>
          </w:tcPr>
          <w:p>
            <w:pPr>
              <w:jc w:val="center"/>
              <w:ind w:right="52"/>
              <w:spacing w:after="0" w:line="202"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vMerge w:val="restart"/>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tcPr>
          <w:p>
            <w:pPr>
              <w:spacing w:after="0"/>
              <w:rPr>
                <w:sz w:val="15"/>
                <w:szCs w:val="15"/>
                <w:color w:val="auto"/>
              </w:rPr>
            </w:pPr>
          </w:p>
        </w:tc>
        <w:tc>
          <w:tcPr>
            <w:tcW w:w="4620" w:type="dxa"/>
            <w:vAlign w:val="bottom"/>
            <w:tcBorders>
              <w:bottom w:val="single" w:sz="8" w:color="0000FF"/>
            </w:tcBorders>
            <w:gridSpan w:val="8"/>
          </w:tcPr>
          <w:p>
            <w:pPr>
              <w:spacing w:after="0" w:line="179"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2022, by and among Weatherford International Ltd., Weatherford</w:t>
              </w:r>
            </w:hyperlink>
          </w:p>
        </w:tc>
        <w:tc>
          <w:tcPr>
            <w:tcW w:w="160" w:type="dxa"/>
            <w:vAlign w:val="bottom"/>
            <w:gridSpan w:val="2"/>
          </w:tcPr>
          <w:p>
            <w:pPr>
              <w:spacing w:after="0"/>
              <w:rPr>
                <w:sz w:val="15"/>
                <w:szCs w:val="15"/>
                <w:color w:val="auto"/>
              </w:rPr>
            </w:pPr>
          </w:p>
        </w:tc>
        <w:tc>
          <w:tcPr>
            <w:tcW w:w="29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780" w:type="dxa"/>
            <w:vAlign w:val="bottom"/>
            <w:gridSpan w:val="10"/>
          </w:tcPr>
          <w:p>
            <w:pPr>
              <w:spacing w:after="0" w:line="19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International, LLC, Weatherford International plc, Wells Fargo</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October 18,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440" w:type="dxa"/>
            <w:vAlign w:val="bottom"/>
            <w:tcBorders>
              <w:top w:val="single" w:sz="8" w:color="0000FF"/>
            </w:tcBorders>
            <w:gridSpan w:val="5"/>
          </w:tcPr>
          <w:p>
            <w:pPr>
              <w:spacing w:after="0" w:line="17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Bank, National Association, as administrative agent, and the</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300" w:type="dxa"/>
            <w:vAlign w:val="bottom"/>
            <w:tcBorders>
              <w:top w:val="single" w:sz="8" w:color="0000FF"/>
            </w:tcBorders>
            <w:gridSpan w:val="4"/>
          </w:tcPr>
          <w:p>
            <w:pPr>
              <w:spacing w:after="0" w:line="17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lenders party thereto from time to time</w:t>
              </w:r>
            </w:hyperlink>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460" w:type="dxa"/>
            <w:vAlign w:val="bottom"/>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460" w:type="dxa"/>
            <w:vAlign w:val="bottom"/>
            <w:shd w:val="clear" w:color="auto" w:fill="CCEEFF"/>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rPr>
              <w:t>10.17</w:t>
            </w:r>
          </w:p>
        </w:tc>
        <w:tc>
          <w:tcPr>
            <w:tcW w:w="4780" w:type="dxa"/>
            <w:vAlign w:val="bottom"/>
            <w:gridSpan w:val="10"/>
            <w:shd w:val="clear" w:color="auto" w:fill="CCEEFF"/>
          </w:tcPr>
          <w:p>
            <w:pPr>
              <w:spacing w:after="0" w:line="19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Amendment to Amended and Restated Credit Agreement,</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ind w:left="220"/>
              <w:spacing w:after="0" w:line="199"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4240" w:type="dxa"/>
            <w:vAlign w:val="bottom"/>
            <w:tcBorders>
              <w:top w:val="single" w:sz="8" w:color="0000FF"/>
              <w:bottom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dated as of November 22, 2022, by and among Weatherford</w:t>
              </w:r>
            </w:hyperlink>
          </w:p>
        </w:tc>
        <w:tc>
          <w:tcPr>
            <w:tcW w:w="24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spacing w:after="0"/>
              <w:rPr>
                <w:sz w:val="16"/>
                <w:szCs w:val="16"/>
                <w:color w:val="auto"/>
              </w:rPr>
            </w:pPr>
          </w:p>
        </w:tc>
        <w:tc>
          <w:tcPr>
            <w:tcW w:w="4780" w:type="dxa"/>
            <w:vAlign w:val="bottom"/>
            <w:gridSpan w:val="10"/>
            <w:shd w:val="clear" w:color="auto" w:fill="CCEEFF"/>
          </w:tcPr>
          <w:p>
            <w:pPr>
              <w:spacing w:after="0" w:line="19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60" w:type="dxa"/>
            <w:vAlign w:val="bottom"/>
            <w:shd w:val="clear" w:color="auto" w:fill="CCEEFF"/>
          </w:tcPr>
          <w:p>
            <w:pPr>
              <w:spacing w:after="0"/>
              <w:rPr>
                <w:sz w:val="15"/>
                <w:szCs w:val="15"/>
                <w:color w:val="auto"/>
              </w:rPr>
            </w:pPr>
          </w:p>
        </w:tc>
        <w:tc>
          <w:tcPr>
            <w:tcW w:w="4780" w:type="dxa"/>
            <w:vAlign w:val="bottom"/>
            <w:gridSpan w:val="10"/>
            <w:shd w:val="clear" w:color="auto" w:fill="CCEEFF"/>
          </w:tcPr>
          <w:p>
            <w:pPr>
              <w:spacing w:after="0" w:line="179"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Canada Ltd., Weatherford International plc and Wells Fargo Bank,</w:t>
              </w:r>
            </w:hyperlink>
          </w:p>
        </w:tc>
        <w:tc>
          <w:tcPr>
            <w:tcW w:w="29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shd w:val="clear" w:color="auto" w:fill="CCEEFF"/>
          </w:tcPr>
          <w:p>
            <w:pPr>
              <w:spacing w:after="0"/>
              <w:rPr>
                <w:sz w:val="15"/>
                <w:szCs w:val="15"/>
                <w:color w:val="auto"/>
              </w:rPr>
            </w:pPr>
          </w:p>
        </w:tc>
        <w:tc>
          <w:tcPr>
            <w:tcW w:w="4700" w:type="dxa"/>
            <w:vAlign w:val="bottom"/>
            <w:tcBorders>
              <w:top w:val="single" w:sz="8" w:color="0000FF"/>
            </w:tcBorders>
            <w:gridSpan w:val="9"/>
            <w:shd w:val="clear" w:color="auto" w:fill="CCEEFF"/>
          </w:tcPr>
          <w:p>
            <w:pPr>
              <w:spacing w:after="0" w:line="17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National Association, as administrative agent</w:t>
              </w:r>
            </w:hyperlink>
          </w:p>
        </w:tc>
        <w:tc>
          <w:tcPr>
            <w:tcW w:w="8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46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9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3"/>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1"/>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92"/>
        </w:trPr>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10.18</w:t>
            </w: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Additional Lender Supplement, dated as of November 22, 2022,</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7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7"/>
          </w:tcPr>
          <w:p>
            <w:pPr>
              <w:spacing w:after="0" w:line="179" w:lineRule="exact"/>
              <w:rPr>
                <w:rFonts w:ascii="Times New Roman" w:cs="Times New Roman" w:eastAsia="Times New Roman" w:hAnsi="Times New Roman"/>
                <w:sz w:val="18"/>
                <w:szCs w:val="18"/>
                <w:color w:val="0000FF"/>
                <w:w w:val="97"/>
              </w:rPr>
            </w:pPr>
            <w:hyperlink r:id="rId124">
              <w:r>
                <w:rPr>
                  <w:rFonts w:ascii="Times New Roman" w:cs="Times New Roman" w:eastAsia="Times New Roman" w:hAnsi="Times New Roman"/>
                  <w:sz w:val="18"/>
                  <w:szCs w:val="18"/>
                  <w:color w:val="0000FF"/>
                  <w:w w:val="97"/>
                </w:rPr>
                <w:t>by and among Weatherford International Ltd., Weatherford</w:t>
              </w:r>
            </w:hyperlink>
          </w:p>
        </w:tc>
        <w:tc>
          <w:tcPr>
            <w:tcW w:w="3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International, LLC, Weatherford International plc, ATB Financial</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tcBorders>
              <w:top w:val="single" w:sz="8" w:color="0000FF"/>
            </w:tcBorders>
            <w:gridSpan w:val="20"/>
          </w:tcPr>
          <w:p>
            <w:pPr>
              <w:spacing w:after="0" w:line="17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and Wells Fargo Bank, National Association, as administrative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agent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10.19</w:t>
            </w:r>
          </w:p>
        </w:tc>
        <w:tc>
          <w:tcPr>
            <w:tcW w:w="20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line="19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Canadian Borrower Joinder, dated as of November 22, 2022, by</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340" w:type="dxa"/>
            <w:vAlign w:val="bottom"/>
            <w:tcBorders>
              <w:top w:val="single" w:sz="8" w:color="0000FF"/>
              <w:bottom w:val="single" w:sz="8" w:color="0000FF"/>
            </w:tcBorders>
            <w:gridSpan w:val="9"/>
            <w:shd w:val="clear" w:color="auto" w:fill="CCEEFF"/>
          </w:tcPr>
          <w:p>
            <w:pPr>
              <w:spacing w:after="0" w:line="17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Weatherford Canada Ltd. and delivered to Wells Fargo Bank,</w:t>
              </w:r>
            </w:hyperlink>
          </w:p>
        </w:tc>
        <w:tc>
          <w:tcPr>
            <w:tcW w:w="18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 on</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25"/>
        </w:trPr>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0000FF"/>
            </w:tcBorders>
            <w:gridSpan w:val="3"/>
            <w:shd w:val="clear" w:color="auto" w:fill="CCEEFF"/>
          </w:tcPr>
          <w:p>
            <w:pPr>
              <w:spacing w:after="0" w:line="192"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National Association, as administrative agent</w:t>
              </w:r>
            </w:hyperlink>
          </w:p>
        </w:tc>
        <w:tc>
          <w:tcPr>
            <w:tcW w:w="1560" w:type="dxa"/>
            <w:vAlign w:val="bottom"/>
            <w:tcBorders>
              <w:bottom w:val="single" w:sz="8" w:color="CCEEFF"/>
            </w:tcBorders>
            <w:gridSpan w:val="20"/>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November 28, 2022</w:t>
            </w:r>
          </w:p>
        </w:tc>
        <w:tc>
          <w:tcPr>
            <w:tcW w:w="1700" w:type="dxa"/>
            <w:vAlign w:val="bottom"/>
            <w:tcBorders>
              <w:bottom w:val="single" w:sz="8" w:color="CCEEFF"/>
            </w:tcBorders>
            <w:shd w:val="clear" w:color="auto" w:fill="CCEEFF"/>
          </w:tcPr>
          <w:p>
            <w:pPr>
              <w:spacing w:after="0"/>
              <w:rPr>
                <w:sz w:val="19"/>
                <w:szCs w:val="19"/>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10.20</w:t>
            </w:r>
          </w:p>
        </w:tc>
        <w:tc>
          <w:tcPr>
            <w:tcW w:w="200" w:type="dxa"/>
            <w:vAlign w:val="bottom"/>
          </w:tcPr>
          <w:p>
            <w:pPr>
              <w:spacing w:after="0"/>
              <w:rPr>
                <w:sz w:val="17"/>
                <w:szCs w:val="17"/>
                <w:color w:val="auto"/>
              </w:rPr>
            </w:pPr>
          </w:p>
        </w:tc>
        <w:tc>
          <w:tcPr>
            <w:tcW w:w="4780" w:type="dxa"/>
            <w:vAlign w:val="bottom"/>
            <w:gridSpan w:val="23"/>
          </w:tcPr>
          <w:p>
            <w:pPr>
              <w:spacing w:after="0" w:line="19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Amendment to Amended and Restated Credit Agreement,</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10.44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80" w:type="dxa"/>
            <w:vAlign w:val="bottom"/>
            <w:tcBorders>
              <w:top w:val="single" w:sz="8" w:color="0000FF"/>
            </w:tcBorders>
            <w:gridSpan w:val="21"/>
          </w:tcPr>
          <w:p>
            <w:pPr>
              <w:spacing w:after="0" w:line="17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dated as of January 6, 2023 by and among Weatherford</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Annual Report on Form 10-K for the</w:t>
            </w:r>
          </w:p>
        </w:tc>
        <w:tc>
          <w:tcPr>
            <w:tcW w:w="170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8"/>
              </w:rPr>
              <w:t>year ended December 31, 2022, filed</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Borders>
              <w:top w:val="single" w:sz="8" w:color="0000FF"/>
            </w:tcBorders>
            <w:gridSpan w:val="16"/>
          </w:tcPr>
          <w:p>
            <w:pPr>
              <w:spacing w:after="0" w:line="17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Canada Ltd., and Wells Fargo Bank, National Association,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jc w:val="center"/>
              <w:ind w:right="52"/>
              <w:spacing w:after="0" w:line="179" w:lineRule="exact"/>
              <w:rPr>
                <w:sz w:val="20"/>
                <w:szCs w:val="20"/>
                <w:color w:val="auto"/>
              </w:rPr>
            </w:pPr>
            <w:r>
              <w:rPr>
                <w:rFonts w:ascii="Times New Roman" w:cs="Times New Roman" w:eastAsia="Times New Roman" w:hAnsi="Times New Roman"/>
                <w:sz w:val="18"/>
                <w:szCs w:val="18"/>
                <w:color w:val="auto"/>
                <w:w w:val="98"/>
              </w:rPr>
              <w:t>February 8, 2023</w:t>
            </w: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Borders>
              <w:top w:val="single" w:sz="8" w:color="0000FF"/>
            </w:tcBorders>
            <w:gridSpan w:val="9"/>
          </w:tcPr>
          <w:p>
            <w:pPr>
              <w:spacing w:after="0" w:line="17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administrative agent</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46"/>
        </w:trPr>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99"/>
        </w:trPr>
        <w:tc>
          <w:tcPr>
            <w:tcW w:w="126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10.21</w:t>
            </w:r>
          </w:p>
        </w:tc>
        <w:tc>
          <w:tcPr>
            <w:tcW w:w="200" w:type="dxa"/>
            <w:vAlign w:val="bottom"/>
            <w:shd w:val="clear" w:color="auto" w:fill="CCEEFF"/>
          </w:tcPr>
          <w:p>
            <w:pPr>
              <w:spacing w:after="0"/>
              <w:rPr>
                <w:sz w:val="17"/>
                <w:szCs w:val="17"/>
                <w:color w:val="auto"/>
              </w:rPr>
            </w:pPr>
          </w:p>
        </w:tc>
        <w:tc>
          <w:tcPr>
            <w:tcW w:w="4780" w:type="dxa"/>
            <w:vAlign w:val="bottom"/>
            <w:gridSpan w:val="23"/>
            <w:shd w:val="clear" w:color="auto" w:fill="CCEEFF"/>
          </w:tcPr>
          <w:p>
            <w:pPr>
              <w:spacing w:after="0" w:line="19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Third Amendment to Amended and Restated Credit Agreement,</w:t>
              </w:r>
            </w:hyperlink>
          </w:p>
        </w:tc>
        <w:tc>
          <w:tcPr>
            <w:tcW w:w="292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960" w:type="dxa"/>
            <w:vAlign w:val="bottom"/>
            <w:tcBorders>
              <w:top w:val="single" w:sz="8" w:color="0000FF"/>
              <w:bottom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dated as of March 24, 2023, by and among Weatherford</w:t>
              </w:r>
            </w:hyperlink>
          </w:p>
        </w:tc>
        <w:tc>
          <w:tcPr>
            <w:tcW w:w="58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CCEEFF"/>
              <w:bottom w:val="single" w:sz="8" w:color="CCEEFF"/>
            </w:tcBorders>
            <w:shd w:val="clear" w:color="auto" w:fill="CCEEFF"/>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2"/>
        </w:trPr>
        <w:tc>
          <w:tcPr>
            <w:tcW w:w="1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0000FF"/>
            </w:tcBorders>
            <w:gridSpan w:val="17"/>
            <w:shd w:val="clear" w:color="auto" w:fill="CCEEFF"/>
          </w:tcPr>
          <w:p>
            <w:pPr>
              <w:spacing w:after="0" w:line="192"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International Ltd., Weatherford International, LLC, Weatherford</w:t>
              </w:r>
            </w:hyperlink>
          </w:p>
        </w:tc>
        <w:tc>
          <w:tcPr>
            <w:tcW w:w="180" w:type="dxa"/>
            <w:vAlign w:val="bottom"/>
            <w:tcBorders>
              <w:bottom w:val="single" w:sz="8" w:color="CCEEFF"/>
            </w:tcBorders>
            <w:gridSpan w:val="6"/>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center"/>
              <w:ind w:right="32"/>
              <w:spacing w:after="0" w:line="192" w:lineRule="exact"/>
              <w:rPr>
                <w:sz w:val="20"/>
                <w:szCs w:val="20"/>
                <w:color w:val="auto"/>
              </w:rPr>
            </w:pPr>
            <w:r>
              <w:rPr>
                <w:rFonts w:ascii="Times New Roman" w:cs="Times New Roman" w:eastAsia="Times New Roman" w:hAnsi="Times New Roman"/>
                <w:sz w:val="18"/>
                <w:szCs w:val="18"/>
                <w:color w:val="auto"/>
                <w:w w:val="97"/>
              </w:rPr>
              <w:t>March 24, 2023</w:t>
            </w:r>
          </w:p>
        </w:tc>
        <w:tc>
          <w:tcPr>
            <w:tcW w:w="1700" w:type="dxa"/>
            <w:vAlign w:val="bottom"/>
            <w:tcBorders>
              <w:bottom w:val="single" w:sz="8" w:color="CCEEFF"/>
            </w:tcBorders>
            <w:shd w:val="clear" w:color="auto" w:fill="CCEEFF"/>
          </w:tcPr>
          <w:p>
            <w:pPr>
              <w:spacing w:after="0"/>
              <w:rPr>
                <w:sz w:val="16"/>
                <w:szCs w:val="16"/>
                <w:color w:val="auto"/>
              </w:rPr>
            </w:pPr>
          </w:p>
        </w:tc>
      </w:tr>
      <w:tr>
        <w:trPr>
          <w:trHeight w:val="179"/>
        </w:trPr>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780" w:type="dxa"/>
            <w:vAlign w:val="bottom"/>
            <w:gridSpan w:val="23"/>
            <w:shd w:val="clear" w:color="auto" w:fill="CCEEFF"/>
          </w:tcPr>
          <w:p>
            <w:pPr>
              <w:spacing w:after="0" w:line="179"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Canada Ltd., Weatherford International plc and Wells Fargo Bank,</w:t>
              </w:r>
            </w:hyperlink>
          </w:p>
        </w:tc>
        <w:tc>
          <w:tcPr>
            <w:tcW w:w="29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25"/>
        </w:trPr>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20" w:type="dxa"/>
            <w:vAlign w:val="bottom"/>
            <w:tcBorders>
              <w:top w:val="single" w:sz="8" w:color="0000FF"/>
              <w:bottom w:val="single" w:sz="8" w:color="0000FF"/>
            </w:tcBorders>
            <w:gridSpan w:val="3"/>
            <w:shd w:val="clear" w:color="auto" w:fill="CCEEFF"/>
          </w:tcPr>
          <w:p>
            <w:pPr>
              <w:spacing w:after="0" w:line="179"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National Association, as administrative agent</w:t>
              </w:r>
            </w:hyperlink>
          </w:p>
        </w:tc>
        <w:tc>
          <w:tcPr>
            <w:tcW w:w="1480" w:type="dxa"/>
            <w:vAlign w:val="bottom"/>
            <w:tcBorders>
              <w:top w:val="single" w:sz="8" w:color="0000FF"/>
              <w:bottom w:val="single" w:sz="8" w:color="CCEEFF"/>
            </w:tcBorders>
            <w:gridSpan w:val="19"/>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9"/>
        </w:trPr>
        <w:tc>
          <w:tcPr>
            <w:tcW w:w="12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10.22</w:t>
            </w:r>
          </w:p>
        </w:tc>
        <w:tc>
          <w:tcPr>
            <w:tcW w:w="200" w:type="dxa"/>
            <w:vAlign w:val="bottom"/>
          </w:tcPr>
          <w:p>
            <w:pPr>
              <w:spacing w:after="0"/>
              <w:rPr>
                <w:sz w:val="17"/>
                <w:szCs w:val="17"/>
                <w:color w:val="auto"/>
              </w:rPr>
            </w:pPr>
          </w:p>
        </w:tc>
        <w:tc>
          <w:tcPr>
            <w:tcW w:w="4780" w:type="dxa"/>
            <w:vAlign w:val="bottom"/>
            <w:gridSpan w:val="23"/>
          </w:tcPr>
          <w:p>
            <w:pPr>
              <w:spacing w:after="0" w:line="19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Fourth Amendment to Amended and Restated Credit Agreement,</w:t>
              </w:r>
            </w:hyperlink>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6"/>
          </w:tcPr>
          <w:p>
            <w:pPr>
              <w:spacing w:after="0" w:line="17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dated as of October 24, 2023, by and among Weatherford</w:t>
              </w:r>
            </w:hyperlink>
          </w:p>
        </w:tc>
        <w:tc>
          <w:tcPr>
            <w:tcW w:w="5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920" w:type="dxa"/>
            <w:vAlign w:val="bottom"/>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80" w:type="dxa"/>
            <w:vAlign w:val="bottom"/>
            <w:gridSpan w:val="23"/>
          </w:tcPr>
          <w:p>
            <w:pPr>
              <w:spacing w:after="0" w:line="19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International Ltd., Weatherford International, LLC, Weatherford</w:t>
              </w:r>
            </w:hyperlink>
          </w:p>
        </w:tc>
        <w:tc>
          <w:tcPr>
            <w:tcW w:w="292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October 24, 2023</w:t>
            </w:r>
          </w:p>
        </w:tc>
        <w:tc>
          <w:tcPr>
            <w:tcW w:w="1700" w:type="dxa"/>
            <w:vAlign w:val="bottom"/>
          </w:tcPr>
          <w:p>
            <w:pPr>
              <w:spacing w:after="0"/>
              <w:rPr>
                <w:sz w:val="16"/>
                <w:szCs w:val="16"/>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1"/>
          </w:tcPr>
          <w:p>
            <w:pPr>
              <w:spacing w:after="0" w:line="17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Canada Ltd. WOFS International Finance GmbH, Weatherford</w:t>
              </w:r>
            </w:hyperlink>
          </w:p>
        </w:tc>
        <w:tc>
          <w:tcPr>
            <w:tcW w:w="120" w:type="dxa"/>
            <w:vAlign w:val="bottom"/>
            <w:tcBorders>
              <w:top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40" w:type="dxa"/>
            <w:vAlign w:val="bottom"/>
            <w:tcBorders>
              <w:bottom w:val="single" w:sz="8" w:color="0000FF"/>
            </w:tcBorders>
            <w:gridSpan w:val="19"/>
          </w:tcPr>
          <w:p>
            <w:pPr>
              <w:spacing w:after="0" w:line="179"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International plc, the lenders party thereto and Wells Fargo Bank,</w:t>
              </w:r>
            </w:hyperlink>
          </w:p>
        </w:tc>
        <w:tc>
          <w:tcPr>
            <w:tcW w:w="140" w:type="dxa"/>
            <w:vAlign w:val="bottom"/>
            <w:gridSpan w:val="4"/>
          </w:tcPr>
          <w:p>
            <w:pPr>
              <w:spacing w:after="0"/>
              <w:rPr>
                <w:sz w:val="15"/>
                <w:szCs w:val="15"/>
                <w:color w:val="auto"/>
              </w:rPr>
            </w:pPr>
          </w:p>
        </w:tc>
        <w:tc>
          <w:tcPr>
            <w:tcW w:w="29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tcBorders>
              <w:bottom w:val="single" w:sz="8" w:color="0000FF"/>
            </w:tcBorders>
            <w:gridSpan w:val="3"/>
          </w:tcPr>
          <w:p>
            <w:pPr>
              <w:spacing w:after="0" w:line="192"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National Association, as administrative agent</w:t>
              </w:r>
            </w:hyperlink>
          </w:p>
        </w:tc>
        <w:tc>
          <w:tcPr>
            <w:tcW w:w="1560" w:type="dxa"/>
            <w:vAlign w:val="bottom"/>
            <w:gridSpan w:val="20"/>
          </w:tcPr>
          <w:p>
            <w:pPr>
              <w:spacing w:after="0"/>
              <w:rPr>
                <w:sz w:val="16"/>
                <w:szCs w:val="16"/>
                <w:color w:val="auto"/>
              </w:rPr>
            </w:pPr>
          </w:p>
        </w:tc>
        <w:tc>
          <w:tcPr>
            <w:tcW w:w="29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200" w:type="dxa"/>
            <w:vAlign w:val="bottom"/>
          </w:tcPr>
          <w:p>
            <w:pPr>
              <w:spacing w:after="0"/>
              <w:rPr>
                <w:sz w:val="19"/>
                <w:szCs w:val="19"/>
                <w:color w:val="auto"/>
              </w:rPr>
            </w:pPr>
          </w:p>
        </w:tc>
        <w:tc>
          <w:tcPr>
            <w:tcW w:w="4780" w:type="dxa"/>
            <w:vAlign w:val="bottom"/>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Fifth Amendment to Amended and Restated Credit Agreement,</w:t>
              </w:r>
            </w:hyperlink>
          </w:p>
        </w:tc>
        <w:tc>
          <w:tcPr>
            <w:tcW w:w="29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Exhibit 10.33 of the Company’s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8"/>
          </w:tcPr>
          <w:p>
            <w:pPr>
              <w:spacing w:after="0" w:line="172"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dated as of December 20, 2023, by and among Weatherford</w:t>
              </w:r>
            </w:hyperlink>
          </w:p>
        </w:tc>
        <w:tc>
          <w:tcPr>
            <w:tcW w:w="280" w:type="dxa"/>
            <w:vAlign w:val="bottom"/>
            <w:tcBorders>
              <w:top w:val="single" w:sz="8" w:color="0000FF"/>
            </w:tcBorders>
            <w:gridSpan w:val="4"/>
          </w:tcPr>
          <w:p>
            <w:pPr>
              <w:spacing w:after="0"/>
              <w:rPr>
                <w:sz w:val="15"/>
                <w:szCs w:val="15"/>
                <w:color w:val="auto"/>
              </w:rPr>
            </w:pPr>
          </w:p>
        </w:tc>
        <w:tc>
          <w:tcPr>
            <w:tcW w:w="280" w:type="dxa"/>
            <w:vAlign w:val="bottom"/>
            <w:gridSpan w:val="11"/>
          </w:tcPr>
          <w:p>
            <w:pPr>
              <w:spacing w:after="0"/>
              <w:rPr>
                <w:sz w:val="15"/>
                <w:szCs w:val="15"/>
                <w:color w:val="auto"/>
              </w:rPr>
            </w:pPr>
          </w:p>
        </w:tc>
        <w:tc>
          <w:tcPr>
            <w:tcW w:w="292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7"/>
              </w:rPr>
              <w:t>Annual Report on Form 10-K filed</w:t>
            </w:r>
          </w:p>
        </w:tc>
        <w:tc>
          <w:tcPr>
            <w:tcW w:w="1700" w:type="dxa"/>
            <w:vAlign w:val="bottom"/>
          </w:tcPr>
          <w:p>
            <w:pPr>
              <w:spacing w:after="0"/>
              <w:rPr>
                <w:sz w:val="15"/>
                <w:szCs w:val="15"/>
                <w:color w:val="auto"/>
              </w:rPr>
            </w:pPr>
          </w:p>
        </w:tc>
      </w:tr>
      <w:tr>
        <w:trPr>
          <w:trHeight w:val="199"/>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bottom w:val="single" w:sz="8" w:color="0000FF"/>
            </w:tcBorders>
            <w:gridSpan w:val="17"/>
          </w:tcPr>
          <w:p>
            <w:pPr>
              <w:spacing w:after="0" w:line="199"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International Ltd., Weatherford International, LLC, Weatherford</w:t>
              </w:r>
            </w:hyperlink>
          </w:p>
        </w:tc>
        <w:tc>
          <w:tcPr>
            <w:tcW w:w="180" w:type="dxa"/>
            <w:vAlign w:val="bottom"/>
            <w:gridSpan w:val="6"/>
          </w:tcPr>
          <w:p>
            <w:pPr>
              <w:spacing w:after="0"/>
              <w:rPr>
                <w:sz w:val="17"/>
                <w:szCs w:val="17"/>
                <w:color w:val="auto"/>
              </w:rPr>
            </w:pPr>
          </w:p>
        </w:tc>
        <w:tc>
          <w:tcPr>
            <w:tcW w:w="2920" w:type="dxa"/>
            <w:vAlign w:val="bottom"/>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8"/>
              </w:rPr>
              <w:t>February 7, 2024</w:t>
            </w: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6891020" cy="807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p>
      <w:pPr>
        <w:ind w:left="146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Canada Ltd. WOFS International Finance GmbH, Weatherford</w:t>
        </w:r>
      </w:hyperlink>
    </w:p>
    <w:p>
      <w:pPr>
        <w:spacing w:after="0" w:line="7" w:lineRule="exact"/>
        <w:rPr>
          <w:sz w:val="20"/>
          <w:szCs w:val="20"/>
          <w:color w:val="auto"/>
        </w:rPr>
      </w:pPr>
    </w:p>
    <w:p>
      <w:pPr>
        <w:ind w:left="146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International plc, the lenders party thereto and Wells Fargo Bank,</w:t>
        </w:r>
      </w:hyperlink>
    </w:p>
    <w:p>
      <w:pPr>
        <w:spacing w:after="0" w:line="4" w:lineRule="exact"/>
        <w:rPr>
          <w:sz w:val="20"/>
          <w:szCs w:val="20"/>
          <w:color w:val="auto"/>
        </w:rPr>
      </w:pPr>
    </w:p>
    <w:p>
      <w:pPr>
        <w:ind w:left="146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National Association, as administrative agent</w:t>
        </w:r>
      </w:hyperlink>
    </w:p>
    <w:p>
      <w:pPr>
        <w:sectPr>
          <w:pgSz w:w="11900" w:h="16838" w:orient="portrait"/>
          <w:cols w:equalWidth="0" w:num="1">
            <w:col w:w="11240"/>
          </w:cols>
          <w:pgMar w:left="320" w:top="396" w:right="339" w:bottom="1440" w:gutter="0" w:footer="0" w:header="0"/>
        </w:sectPr>
      </w:pP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3"/>
              </w:rPr>
              <w:t>10.24</w:t>
            </w:r>
          </w:p>
        </w:tc>
        <w:tc>
          <w:tcPr>
            <w:tcW w:w="4720" w:type="dxa"/>
            <w:vAlign w:val="bottom"/>
            <w:gridSpan w:val="3"/>
          </w:tcPr>
          <w:p>
            <w:pP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Additional Lender Supplement, dated as of April 22, 2024, by and</w:t>
              </w:r>
            </w:hyperlink>
          </w:p>
        </w:tc>
      </w:tr>
      <w:tr>
        <w:trPr>
          <w:trHeight w:val="179"/>
        </w:trPr>
        <w:tc>
          <w:tcPr>
            <w:tcW w:w="1000" w:type="dxa"/>
            <w:vAlign w:val="bottom"/>
          </w:tcPr>
          <w:p>
            <w:pPr>
              <w:spacing w:after="0"/>
              <w:rPr>
                <w:sz w:val="15"/>
                <w:szCs w:val="15"/>
                <w:color w:val="auto"/>
              </w:rPr>
            </w:pPr>
          </w:p>
        </w:tc>
        <w:tc>
          <w:tcPr>
            <w:tcW w:w="4700" w:type="dxa"/>
            <w:vAlign w:val="bottom"/>
            <w:tcBorders>
              <w:top w:val="single" w:sz="8" w:color="0000FF"/>
            </w:tcBorders>
            <w:gridSpan w:val="2"/>
          </w:tcPr>
          <w:p>
            <w:pPr>
              <w:spacing w:after="0" w:line="179"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among Weatherford International Ltd., Weatherford International,</w:t>
              </w:r>
            </w:hyperlink>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 w:lineRule="exact"/>
        <w:rPr>
          <w:sz w:val="20"/>
          <w:szCs w:val="20"/>
          <w:color w:val="auto"/>
        </w:rPr>
      </w:pPr>
    </w:p>
    <w:p>
      <w:pPr>
        <w:ind w:left="1460" w:right="1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LLC, Weatherford Canada Ltd., WOFS International Finance</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GmbH, Weatherford International plc, JPMorgan Chase Bank,</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N.A., as an Additional Lender and Issuing Bank, DNB Bank</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ASA, New York Branch, as an Issuing Bank, DNB Capital LLC,</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as an Additional Lender, the other Lenders and Issuing Banks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party thereto and Wells Fargo Bank, National Association, as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administrative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left="120"/>
        <w:spacing w:after="0"/>
        <w:tabs>
          <w:tab w:leader="none" w:pos="294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ind w:left="100"/>
        <w:spacing w:after="0" w:line="215" w:lineRule="auto"/>
        <w:rPr>
          <w:sz w:val="20"/>
          <w:szCs w:val="20"/>
          <w:color w:val="auto"/>
        </w:rPr>
      </w:pPr>
      <w:r>
        <w:rPr>
          <w:rFonts w:ascii="Times New Roman" w:cs="Times New Roman" w:eastAsia="Times New Roman" w:hAnsi="Times New Roman"/>
          <w:sz w:val="18"/>
          <w:szCs w:val="18"/>
          <w:color w:val="auto"/>
        </w:rPr>
        <w:t>Quarterly Report for the period</w:t>
      </w:r>
    </w:p>
    <w:p>
      <w:pPr>
        <w:spacing w:after="0" w:line="199" w:lineRule="auto"/>
        <w:rPr>
          <w:sz w:val="20"/>
          <w:szCs w:val="20"/>
          <w:color w:val="auto"/>
        </w:rPr>
      </w:pPr>
      <w:r>
        <w:rPr>
          <w:rFonts w:ascii="Times New Roman" w:cs="Times New Roman" w:eastAsia="Times New Roman" w:hAnsi="Times New Roman"/>
          <w:sz w:val="18"/>
          <w:szCs w:val="18"/>
          <w:color w:val="auto"/>
        </w:rPr>
        <w:t>ending March 31, 2024 filed April</w:t>
      </w:r>
    </w:p>
    <w:p>
      <w:pPr>
        <w:spacing w:after="0" w:line="1" w:lineRule="exact"/>
        <w:rPr>
          <w:rFonts w:ascii="Times New Roman" w:cs="Times New Roman" w:eastAsia="Times New Roman" w:hAnsi="Times New Roman"/>
          <w:sz w:val="18"/>
          <w:szCs w:val="18"/>
          <w:u w:val="single" w:color="auto"/>
          <w:color w:val="0000FF"/>
        </w:rPr>
      </w:pPr>
    </w:p>
    <w:p>
      <w:pPr>
        <w:ind w:left="900"/>
        <w:spacing w:after="0"/>
        <w:rPr>
          <w:sz w:val="20"/>
          <w:szCs w:val="20"/>
          <w:color w:val="auto"/>
        </w:rPr>
      </w:pPr>
      <w:r>
        <w:rPr>
          <w:rFonts w:ascii="Times New Roman" w:cs="Times New Roman" w:eastAsia="Times New Roman" w:hAnsi="Times New Roman"/>
          <w:sz w:val="18"/>
          <w:szCs w:val="18"/>
          <w:color w:val="auto"/>
        </w:rPr>
        <w:t>24, 2024</w:t>
      </w:r>
    </w:p>
    <w:p>
      <w:pPr>
        <w:spacing w:after="0" w:line="131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60" w:space="260"/>
            <w:col w:w="4820"/>
          </w:cols>
          <w:pgMar w:left="320" w:top="396"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51" w:lineRule="exact"/>
        <w:rPr>
          <w:rFonts w:ascii="Times New Roman" w:cs="Times New Roman" w:eastAsia="Times New Roman" w:hAnsi="Times New Roman"/>
          <w:sz w:val="18"/>
          <w:szCs w:val="18"/>
          <w:u w:val="single" w:color="auto"/>
          <w:color w:val="0000FF"/>
        </w:rPr>
      </w:pPr>
    </w:p>
    <w:p>
      <w:pPr>
        <w:ind w:left="7500"/>
        <w:spacing w:after="0"/>
        <w:rPr>
          <w:sz w:val="20"/>
          <w:szCs w:val="20"/>
          <w:color w:val="auto"/>
        </w:rPr>
      </w:pPr>
      <w:r>
        <w:rPr>
          <w:rFonts w:ascii="Times New Roman" w:cs="Times New Roman" w:eastAsia="Times New Roman" w:hAnsi="Times New Roman"/>
          <w:sz w:val="17"/>
          <w:szCs w:val="17"/>
          <w:color w:val="auto"/>
        </w:rPr>
        <w:t>Weatherford International plc – 2025 Form 10-K | 84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643"/>
        </w:trPr>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4820" w:type="dxa"/>
            <w:vAlign w:val="bottom"/>
            <w:tcBorders>
              <w:bottom w:val="single" w:sz="8" w:color="auto"/>
            </w:tcBorders>
            <w:gridSpan w:val="7"/>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85"/>
        </w:trPr>
        <w:tc>
          <w:tcPr>
            <w:tcW w:w="12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10.25</w:t>
            </w:r>
          </w:p>
        </w:tc>
        <w:tc>
          <w:tcPr>
            <w:tcW w:w="200" w:type="dxa"/>
            <w:vAlign w:val="bottom"/>
            <w:shd w:val="clear" w:color="auto" w:fill="CCEEFF"/>
          </w:tcPr>
          <w:p>
            <w:pPr>
              <w:spacing w:after="0"/>
              <w:rPr>
                <w:sz w:val="16"/>
                <w:szCs w:val="16"/>
                <w:color w:val="auto"/>
              </w:rPr>
            </w:pPr>
          </w:p>
        </w:tc>
        <w:tc>
          <w:tcPr>
            <w:tcW w:w="4820" w:type="dxa"/>
            <w:vAlign w:val="bottom"/>
            <w:gridSpan w:val="7"/>
            <w:shd w:val="clear" w:color="auto" w:fill="CCEEFF"/>
          </w:tcPr>
          <w:p>
            <w:pPr>
              <w:spacing w:after="0" w:line="17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Sixth Amendment to Amended and Restated Credit Agreement,</w:t>
              </w:r>
            </w:hyperlink>
          </w:p>
        </w:tc>
        <w:tc>
          <w:tcPr>
            <w:tcW w:w="2820" w:type="dxa"/>
            <w:vAlign w:val="bottom"/>
            <w:shd w:val="clear" w:color="auto" w:fill="CCEEFF"/>
          </w:tcPr>
          <w:p>
            <w:pPr>
              <w:jc w:val="center"/>
              <w:ind w:right="32"/>
              <w:spacing w:after="0" w:line="179" w:lineRule="exact"/>
              <w:rPr>
                <w:sz w:val="20"/>
                <w:szCs w:val="20"/>
                <w:color w:val="auto"/>
              </w:rPr>
            </w:pPr>
            <w:r>
              <w:rPr>
                <w:rFonts w:ascii="Times New Roman" w:cs="Times New Roman" w:eastAsia="Times New Roman" w:hAnsi="Times New Roman"/>
                <w:sz w:val="18"/>
                <w:szCs w:val="18"/>
                <w:color w:val="auto"/>
                <w:w w:val="98"/>
              </w:rPr>
              <w:t>Exhibit 10.1 to the Company’s</w:t>
            </w:r>
          </w:p>
        </w:tc>
        <w:tc>
          <w:tcPr>
            <w:tcW w:w="17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520" w:type="dxa"/>
            <w:vAlign w:val="bottom"/>
            <w:tcBorders>
              <w:top w:val="single" w:sz="8" w:color="0000FF"/>
              <w:bottom w:val="single" w:sz="8" w:color="0000FF"/>
            </w:tcBorders>
            <w:gridSpan w:val="4"/>
            <w:shd w:val="clear" w:color="auto" w:fill="CCEEFF"/>
          </w:tcPr>
          <w:p>
            <w:pPr>
              <w:spacing w:after="0" w:line="172" w:lineRule="exact"/>
              <w:rPr>
                <w:rFonts w:ascii="Times New Roman" w:cs="Times New Roman" w:eastAsia="Times New Roman" w:hAnsi="Times New Roman"/>
                <w:sz w:val="18"/>
                <w:szCs w:val="18"/>
                <w:color w:val="0000FF"/>
                <w:w w:val="94"/>
              </w:rPr>
            </w:pPr>
            <w:hyperlink r:id="rId133">
              <w:r>
                <w:rPr>
                  <w:rFonts w:ascii="Times New Roman" w:cs="Times New Roman" w:eastAsia="Times New Roman" w:hAnsi="Times New Roman"/>
                  <w:sz w:val="18"/>
                  <w:szCs w:val="18"/>
                  <w:color w:val="0000FF"/>
                  <w:w w:val="94"/>
                </w:rPr>
                <w:t>dated as of June 6, 2024, by and among Weatherford International</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0000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20" w:type="dxa"/>
            <w:vAlign w:val="bottom"/>
            <w:tcBorders>
              <w:top w:val="single" w:sz="8" w:color="CCEEFF"/>
              <w:bottom w:val="single" w:sz="8" w:color="CCEEFF"/>
            </w:tcBorders>
            <w:shd w:val="clear" w:color="auto" w:fill="CCEEFF"/>
          </w:tcPr>
          <w:p>
            <w:pPr>
              <w:jc w:val="center"/>
              <w:ind w:right="12"/>
              <w:spacing w:after="0" w:line="172"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9"/>
        </w:trPr>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20" w:type="dxa"/>
            <w:vAlign w:val="bottom"/>
            <w:gridSpan w:val="7"/>
            <w:shd w:val="clear" w:color="auto" w:fill="CCEEFF"/>
          </w:tcPr>
          <w:p>
            <w:pPr>
              <w:spacing w:after="0" w:line="19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Ltd., Weatherford International, LLC, Weatherford Canada Ltd.,</w:t>
              </w:r>
            </w:hyperlink>
          </w:p>
        </w:tc>
        <w:tc>
          <w:tcPr>
            <w:tcW w:w="2820" w:type="dxa"/>
            <w:vAlign w:val="bottom"/>
            <w:shd w:val="clear" w:color="auto" w:fill="CCEEFF"/>
          </w:tcPr>
          <w:p>
            <w:pPr>
              <w:jc w:val="center"/>
              <w:ind w:right="32"/>
              <w:spacing w:after="0" w:line="199" w:lineRule="exact"/>
              <w:rPr>
                <w:sz w:val="20"/>
                <w:szCs w:val="20"/>
                <w:color w:val="auto"/>
              </w:rPr>
            </w:pPr>
            <w:r>
              <w:rPr>
                <w:rFonts w:ascii="Times New Roman" w:cs="Times New Roman" w:eastAsia="Times New Roman" w:hAnsi="Times New Roman"/>
                <w:sz w:val="18"/>
                <w:szCs w:val="18"/>
                <w:color w:val="auto"/>
                <w:w w:val="97"/>
              </w:rPr>
              <w:t>June 11, 2024.</w:t>
            </w:r>
          </w:p>
        </w:tc>
        <w:tc>
          <w:tcPr>
            <w:tcW w:w="1760" w:type="dxa"/>
            <w:vAlign w:val="bottom"/>
            <w:shd w:val="clear" w:color="auto" w:fill="CCEEFF"/>
          </w:tcPr>
          <w:p>
            <w:pPr>
              <w:spacing w:after="0"/>
              <w:rPr>
                <w:sz w:val="17"/>
                <w:szCs w:val="17"/>
                <w:color w:val="auto"/>
              </w:rPr>
            </w:pPr>
          </w:p>
        </w:tc>
      </w:tr>
      <w:tr>
        <w:trPr>
          <w:trHeight w:val="179"/>
        </w:trPr>
        <w:tc>
          <w:tcPr>
            <w:tcW w:w="1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540" w:type="dxa"/>
            <w:vAlign w:val="bottom"/>
            <w:tcBorders>
              <w:top w:val="single" w:sz="8" w:color="0000FF"/>
            </w:tcBorders>
            <w:gridSpan w:val="5"/>
            <w:shd w:val="clear" w:color="auto" w:fill="CCEEFF"/>
          </w:tcPr>
          <w:p>
            <w:pPr>
              <w:spacing w:after="0" w:line="179"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WOFS International Finance GmbH, Weatherford International</w:t>
              </w:r>
            </w:hyperlink>
          </w:p>
        </w:tc>
        <w:tc>
          <w:tcPr>
            <w:tcW w:w="280" w:type="dxa"/>
            <w:vAlign w:val="bottom"/>
            <w:tcBorders>
              <w:top w:val="single" w:sz="8" w:color="CCEEFF"/>
            </w:tcBorders>
            <w:gridSpan w:val="2"/>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CCEEFF"/>
            </w:tcBorders>
            <w:shd w:val="clear" w:color="auto" w:fill="CCEEFF"/>
          </w:tcPr>
          <w:p>
            <w:pPr>
              <w:spacing w:after="0"/>
              <w:rPr>
                <w:sz w:val="15"/>
                <w:szCs w:val="15"/>
                <w:color w:val="auto"/>
              </w:rPr>
            </w:pPr>
          </w:p>
        </w:tc>
      </w:tr>
      <w:tr>
        <w:trPr>
          <w:trHeight w:val="179"/>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340" w:type="dxa"/>
            <w:vAlign w:val="bottom"/>
            <w:tcBorders>
              <w:top w:val="single" w:sz="8" w:color="0000FF"/>
              <w:bottom w:val="single" w:sz="8" w:color="0000FF"/>
            </w:tcBorders>
            <w:gridSpan w:val="2"/>
            <w:shd w:val="clear" w:color="auto" w:fill="CCEEFF"/>
          </w:tcPr>
          <w:p>
            <w:pPr>
              <w:spacing w:after="0" w:line="179"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plc, the lenders party thereto and Wells Fargo Bank, National</w:t>
              </w:r>
            </w:hyperlink>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82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92"/>
        </w:trPr>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20" w:type="dxa"/>
            <w:vAlign w:val="bottom"/>
            <w:gridSpan w:val="7"/>
            <w:shd w:val="clear" w:color="auto" w:fill="CCEEFF"/>
          </w:tcPr>
          <w:p>
            <w:pPr>
              <w:spacing w:after="0" w:line="19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Association, as administrative agent</w:t>
              </w:r>
            </w:hyperlink>
          </w:p>
        </w:tc>
        <w:tc>
          <w:tcPr>
            <w:tcW w:w="28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396" w:right="339" w:bottom="1440" w:gutter="0" w:footer="0" w:header="0"/>
        </w:sectPr>
      </w:pPr>
    </w:p>
    <w:tbl>
      <w:tblPr>
        <w:tblLayout w:type="fixed"/>
        <w:tblInd w:w="460" w:type="dxa"/>
        <w:tblCellMar>
          <w:top w:w="0" w:type="dxa"/>
          <w:left w:w="0" w:type="dxa"/>
          <w:bottom w:w="0" w:type="dxa"/>
          <w:right w:w="0" w:type="dxa"/>
        </w:tblCellMar>
      </w:tblPr>
      <w:tr>
        <w:trPr>
          <w:trHeight w:val="199"/>
        </w:trPr>
        <w:tc>
          <w:tcPr>
            <w:tcW w:w="1000" w:type="dxa"/>
            <w:vAlign w:val="bottom"/>
          </w:tcPr>
          <w:p>
            <w:pPr>
              <w:jc w:val="right"/>
              <w:ind w:right="512"/>
              <w:spacing w:after="0" w:line="199" w:lineRule="exact"/>
              <w:rPr>
                <w:sz w:val="20"/>
                <w:szCs w:val="20"/>
                <w:color w:val="auto"/>
              </w:rPr>
            </w:pPr>
            <w:r>
              <w:rPr>
                <w:rFonts w:ascii="Times New Roman" w:cs="Times New Roman" w:eastAsia="Times New Roman" w:hAnsi="Times New Roman"/>
                <w:sz w:val="18"/>
                <w:szCs w:val="18"/>
                <w:color w:val="auto"/>
                <w:w w:val="93"/>
              </w:rPr>
              <w:t>10.26</w:t>
            </w:r>
          </w:p>
        </w:tc>
        <w:tc>
          <w:tcPr>
            <w:tcW w:w="4640" w:type="dxa"/>
            <w:vAlign w:val="bottom"/>
            <w:gridSpan w:val="2"/>
          </w:tcPr>
          <w:p>
            <w:pPr>
              <w:spacing w:after="0" w:line="19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Additional Lender Supplement, dated as of June 6, 2024, by and</w:t>
              </w:r>
            </w:hyperlink>
          </w:p>
        </w:tc>
      </w:tr>
      <w:tr>
        <w:trPr>
          <w:trHeight w:val="179"/>
        </w:trPr>
        <w:tc>
          <w:tcPr>
            <w:tcW w:w="1000" w:type="dxa"/>
            <w:vAlign w:val="bottom"/>
          </w:tcPr>
          <w:p>
            <w:pPr>
              <w:spacing w:after="0"/>
              <w:rPr>
                <w:sz w:val="15"/>
                <w:szCs w:val="15"/>
                <w:color w:val="auto"/>
              </w:rPr>
            </w:pPr>
          </w:p>
        </w:tc>
        <w:tc>
          <w:tcPr>
            <w:tcW w:w="4560" w:type="dxa"/>
            <w:vAlign w:val="bottom"/>
            <w:tcBorders>
              <w:top w:val="single" w:sz="8" w:color="0000FF"/>
              <w:bottom w:val="single" w:sz="8" w:color="0000FF"/>
            </w:tcBorders>
          </w:tcPr>
          <w:p>
            <w:pPr>
              <w:spacing w:after="0" w:line="179" w:lineRule="exact"/>
              <w:rPr>
                <w:rFonts w:ascii="Times New Roman" w:cs="Times New Roman" w:eastAsia="Times New Roman" w:hAnsi="Times New Roman"/>
                <w:sz w:val="18"/>
                <w:szCs w:val="18"/>
                <w:color w:val="0000FF"/>
                <w:w w:val="95"/>
              </w:rPr>
            </w:pPr>
            <w:hyperlink r:id="rId134">
              <w:r>
                <w:rPr>
                  <w:rFonts w:ascii="Times New Roman" w:cs="Times New Roman" w:eastAsia="Times New Roman" w:hAnsi="Times New Roman"/>
                  <w:sz w:val="18"/>
                  <w:szCs w:val="18"/>
                  <w:color w:val="0000FF"/>
                  <w:w w:val="95"/>
                </w:rPr>
                <w:t>among Weatherford International Ltd., Weatherford International,</w:t>
              </w:r>
            </w:hyperlink>
          </w:p>
        </w:tc>
        <w:tc>
          <w:tcPr>
            <w:tcW w:w="80" w:type="dxa"/>
            <w:vAlign w:val="bottom"/>
            <w:tcBorders>
              <w:bottom w:val="single" w:sz="8" w:color="0000FF"/>
            </w:tcBorders>
          </w:tcPr>
          <w:p>
            <w:pPr>
              <w:spacing w:after="0"/>
              <w:rPr>
                <w:sz w:val="15"/>
                <w:szCs w:val="15"/>
                <w:color w:val="auto"/>
              </w:rPr>
            </w:pPr>
          </w:p>
        </w:tc>
      </w:tr>
    </w:tbl>
    <w:p>
      <w:pPr>
        <w:spacing w:after="0" w:line="8" w:lineRule="exact"/>
        <w:rPr>
          <w:sz w:val="20"/>
          <w:szCs w:val="20"/>
          <w:color w:val="auto"/>
        </w:rPr>
      </w:pPr>
    </w:p>
    <w:p>
      <w:pPr>
        <w:ind w:left="1460"/>
        <w:spacing w:after="0" w:line="253"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LLC, Weatherford Canada Ltd., WOFS International Finance</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GmbH, Weatherford International plc, Arab Banking Corporation</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(B.S.C.) New York Branch, as an Additional Lender, the other</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Issuing Banks party thereto and Wells Fargo Bank, National</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Association, as administrative agent. *Schedules and similar</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attachments have been omitted pursuant to Regulation S-K Item</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601(a)(5). Weatherford agrees to furnish a supplemental copy of</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any omitted schedule or attachment to the Securities and</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Exchange Commission upon request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left="100"/>
        <w:spacing w:after="0" w:line="229" w:lineRule="auto"/>
        <w:tabs>
          <w:tab w:leader="none" w:pos="2920" w:val="left"/>
        </w:tabs>
        <w:rPr>
          <w:sz w:val="20"/>
          <w:szCs w:val="20"/>
          <w:color w:val="auto"/>
        </w:rPr>
      </w:pPr>
      <w:r>
        <w:rPr>
          <w:rFonts w:ascii="Times New Roman" w:cs="Times New Roman" w:eastAsia="Times New Roman" w:hAnsi="Times New Roman"/>
          <w:sz w:val="18"/>
          <w:szCs w:val="18"/>
          <w:color w:val="auto"/>
        </w:rPr>
        <w:t>Exhibit 10.2 to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28" w:lineRule="auto"/>
        <w:rPr>
          <w:sz w:val="20"/>
          <w:szCs w:val="20"/>
          <w:color w:val="auto"/>
        </w:rPr>
      </w:pPr>
      <w:r>
        <w:rPr>
          <w:rFonts w:ascii="Times New Roman" w:cs="Times New Roman" w:eastAsia="Times New Roman" w:hAnsi="Times New Roman"/>
          <w:sz w:val="17"/>
          <w:szCs w:val="17"/>
          <w:color w:val="auto"/>
        </w:rPr>
        <w:t>Current Report on Form 8-K filed</w:t>
      </w:r>
    </w:p>
    <w:p>
      <w:pPr>
        <w:jc w:val="center"/>
        <w:ind w:right="2400"/>
        <w:spacing w:after="0"/>
        <w:rPr>
          <w:sz w:val="20"/>
          <w:szCs w:val="20"/>
          <w:color w:val="auto"/>
        </w:rPr>
      </w:pPr>
      <w:r>
        <w:rPr>
          <w:rFonts w:ascii="Times New Roman" w:cs="Times New Roman" w:eastAsia="Times New Roman" w:hAnsi="Times New Roman"/>
          <w:sz w:val="18"/>
          <w:szCs w:val="18"/>
          <w:color w:val="auto"/>
        </w:rPr>
        <w:t>June 11, 2024.</w:t>
      </w:r>
    </w:p>
    <w:p>
      <w:pPr>
        <w:spacing w:after="0" w:line="1694"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100" w:space="340"/>
            <w:col w:w="4800"/>
          </w:cols>
          <w:pgMar w:left="320" w:top="396" w:right="339" w:bottom="1440" w:gutter="0" w:footer="0" w:header="0"/>
          <w:type w:val="continuous"/>
        </w:sectPr>
      </w:pPr>
    </w:p>
    <w:tbl>
      <w:tblPr>
        <w:tblLayout w:type="fixed"/>
        <w:tblInd w:w="460" w:type="dxa"/>
        <w:tblCellMar>
          <w:top w:w="0" w:type="dxa"/>
          <w:left w:w="0" w:type="dxa"/>
          <w:bottom w:w="0" w:type="dxa"/>
          <w:right w:w="0" w:type="dxa"/>
        </w:tblCellMar>
      </w:tblPr>
      <w:tr>
        <w:trPr>
          <w:trHeight w:val="211"/>
        </w:trPr>
        <w:tc>
          <w:tcPr>
            <w:tcW w:w="1000" w:type="dxa"/>
            <w:vAlign w:val="bottom"/>
          </w:tcPr>
          <w:p>
            <w:pPr>
              <w:jc w:val="right"/>
              <w:ind w:right="512"/>
              <w:spacing w:after="0" w:line="204" w:lineRule="exact"/>
              <w:rPr>
                <w:sz w:val="20"/>
                <w:szCs w:val="20"/>
                <w:color w:val="auto"/>
              </w:rPr>
            </w:pPr>
            <w:r>
              <w:rPr>
                <w:rFonts w:ascii="Times New Roman" w:cs="Times New Roman" w:eastAsia="Times New Roman" w:hAnsi="Times New Roman"/>
                <w:sz w:val="18"/>
                <w:szCs w:val="18"/>
                <w:color w:val="auto"/>
                <w:w w:val="93"/>
              </w:rPr>
              <w:t>10.27</w:t>
            </w:r>
          </w:p>
        </w:tc>
        <w:tc>
          <w:tcPr>
            <w:tcW w:w="4820" w:type="dxa"/>
            <w:vAlign w:val="bottom"/>
            <w:gridSpan w:val="3"/>
          </w:tcPr>
          <w:p>
            <w:pPr>
              <w:spacing w:after="0" w:line="20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Seventh Amendment to Amended and Restated Credit Agreement,</w:t>
              </w:r>
            </w:hyperlink>
          </w:p>
        </w:tc>
        <w:tc>
          <w:tcPr>
            <w:tcW w:w="2840" w:type="dxa"/>
            <w:vAlign w:val="bottom"/>
          </w:tcPr>
          <w:p>
            <w:pPr>
              <w:jc w:val="center"/>
              <w:ind w:right="52"/>
              <w:spacing w:after="0" w:line="204" w:lineRule="exact"/>
              <w:rPr>
                <w:sz w:val="20"/>
                <w:szCs w:val="20"/>
                <w:color w:val="auto"/>
              </w:rPr>
            </w:pPr>
            <w:r>
              <w:rPr>
                <w:rFonts w:ascii="Times New Roman" w:cs="Times New Roman" w:eastAsia="Times New Roman" w:hAnsi="Times New Roman"/>
                <w:sz w:val="18"/>
                <w:szCs w:val="18"/>
                <w:color w:val="auto"/>
                <w:w w:val="97"/>
              </w:rPr>
              <w:t>Exhibit 10.3 of the Company’s</w:t>
            </w:r>
          </w:p>
        </w:tc>
        <w:tc>
          <w:tcPr>
            <w:tcW w:w="1460" w:type="dxa"/>
            <w:vAlign w:val="bottom"/>
          </w:tcPr>
          <w:p>
            <w:pPr>
              <w:ind w:left="260"/>
              <w:spacing w:after="0" w:line="204"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79"/>
        </w:trPr>
        <w:tc>
          <w:tcPr>
            <w:tcW w:w="1000" w:type="dxa"/>
            <w:vAlign w:val="bottom"/>
          </w:tcPr>
          <w:p>
            <w:pPr>
              <w:spacing w:after="0"/>
              <w:rPr>
                <w:sz w:val="15"/>
                <w:szCs w:val="15"/>
                <w:color w:val="auto"/>
              </w:rPr>
            </w:pPr>
          </w:p>
        </w:tc>
        <w:tc>
          <w:tcPr>
            <w:tcW w:w="3820" w:type="dxa"/>
            <w:vAlign w:val="bottom"/>
            <w:tcBorders>
              <w:top w:val="single" w:sz="8" w:color="0000FF"/>
              <w:bottom w:val="single" w:sz="8" w:color="0000FF"/>
            </w:tcBorders>
          </w:tcPr>
          <w:p>
            <w:pPr>
              <w:spacing w:after="0" w:line="172"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dated as of June 24, 2024, by and among Weatherford</w:t>
              </w:r>
            </w:hyperlink>
          </w:p>
        </w:tc>
        <w:tc>
          <w:tcPr>
            <w:tcW w:w="9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8"/>
              </w:rPr>
              <w:t>Quarterly Report for the period</w:t>
            </w:r>
          </w:p>
        </w:tc>
        <w:tc>
          <w:tcPr>
            <w:tcW w:w="1460" w:type="dxa"/>
            <w:vAlign w:val="bottom"/>
          </w:tcPr>
          <w:p>
            <w:pPr>
              <w:spacing w:after="0"/>
              <w:rPr>
                <w:sz w:val="15"/>
                <w:szCs w:val="15"/>
                <w:color w:val="auto"/>
              </w:rPr>
            </w:pPr>
          </w:p>
        </w:tc>
      </w:tr>
      <w:tr>
        <w:trPr>
          <w:trHeight w:val="186"/>
        </w:trPr>
        <w:tc>
          <w:tcPr>
            <w:tcW w:w="1000" w:type="dxa"/>
            <w:vAlign w:val="bottom"/>
          </w:tcPr>
          <w:p>
            <w:pPr>
              <w:spacing w:after="0"/>
              <w:rPr>
                <w:sz w:val="16"/>
                <w:szCs w:val="16"/>
                <w:color w:val="auto"/>
              </w:rPr>
            </w:pPr>
          </w:p>
        </w:tc>
        <w:tc>
          <w:tcPr>
            <w:tcW w:w="4820" w:type="dxa"/>
            <w:vAlign w:val="bottom"/>
            <w:gridSpan w:val="3"/>
          </w:tcPr>
          <w:p>
            <w:pPr>
              <w:spacing w:after="0" w:line="134" w:lineRule="exact"/>
              <w:rPr>
                <w:rFonts w:ascii="Times New Roman" w:cs="Times New Roman" w:eastAsia="Times New Roman" w:hAnsi="Times New Roman"/>
                <w:sz w:val="15"/>
                <w:szCs w:val="15"/>
                <w:color w:val="0000FF"/>
              </w:rPr>
            </w:pPr>
            <w:hyperlink r:id="rId135">
              <w:r>
                <w:rPr>
                  <w:rFonts w:ascii="Times New Roman" w:cs="Times New Roman" w:eastAsia="Times New Roman" w:hAnsi="Times New Roman"/>
                  <w:sz w:val="15"/>
                  <w:szCs w:val="15"/>
                  <w:color w:val="0000FF"/>
                </w:rPr>
                <w:t>International Ltd., Weatherford International, LLC, Weatherford</w:t>
              </w:r>
            </w:hyperlink>
          </w:p>
        </w:tc>
        <w:tc>
          <w:tcPr>
            <w:tcW w:w="2840" w:type="dxa"/>
            <w:vAlign w:val="bottom"/>
          </w:tcPr>
          <w:p>
            <w:pPr>
              <w:jc w:val="center"/>
              <w:ind w:right="32"/>
              <w:spacing w:after="0" w:line="186" w:lineRule="exact"/>
              <w:rPr>
                <w:sz w:val="20"/>
                <w:szCs w:val="20"/>
                <w:color w:val="auto"/>
              </w:rPr>
            </w:pPr>
            <w:r>
              <w:rPr>
                <w:rFonts w:ascii="Times New Roman" w:cs="Times New Roman" w:eastAsia="Times New Roman" w:hAnsi="Times New Roman"/>
                <w:sz w:val="18"/>
                <w:szCs w:val="18"/>
                <w:color w:val="auto"/>
                <w:w w:val="98"/>
              </w:rPr>
              <w:t>ending June 30, 2024 filed July 24,</w:t>
            </w: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6891020" cy="807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65"/>
        </w:trPr>
        <w:tc>
          <w:tcPr>
            <w:tcW w:w="3220" w:type="dxa"/>
            <w:vAlign w:val="bottom"/>
            <w:tcBorders>
              <w:bottom w:val="single" w:sz="8" w:color="0000FF"/>
            </w:tcBorders>
          </w:tcPr>
          <w:p>
            <w:pPr>
              <w:spacing w:after="0"/>
              <w:rPr>
                <w:sz w:val="5"/>
                <w:szCs w:val="5"/>
                <w:color w:val="auto"/>
              </w:rPr>
            </w:pPr>
          </w:p>
        </w:tc>
        <w:tc>
          <w:tcPr>
            <w:tcW w:w="1280" w:type="dxa"/>
            <w:vAlign w:val="bottom"/>
            <w:tcBorders>
              <w:bottom w:val="single" w:sz="8" w:color="0000FF"/>
            </w:tcBorders>
          </w:tcPr>
          <w:p>
            <w:pPr>
              <w:spacing w:after="0"/>
              <w:rPr>
                <w:sz w:val="5"/>
                <w:szCs w:val="5"/>
                <w:color w:val="auto"/>
              </w:rPr>
            </w:pPr>
          </w:p>
        </w:tc>
        <w:tc>
          <w:tcPr>
            <w:tcW w:w="40" w:type="dxa"/>
            <w:vAlign w:val="bottom"/>
            <w:tcBorders>
              <w:bottom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0000FF"/>
            </w:tcBorders>
            <w:gridSpan w:val="2"/>
          </w:tcPr>
          <w:p>
            <w:pPr>
              <w:spacing w:after="0" w:line="17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Canada Ltd., WOFS International Finance GmbH, Weatherford</w:t>
              </w:r>
            </w:hyperlink>
          </w:p>
        </w:tc>
        <w:tc>
          <w:tcPr>
            <w:tcW w:w="120" w:type="dxa"/>
            <w:vAlign w:val="bottom"/>
            <w:gridSpan w:val="2"/>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20" w:type="dxa"/>
            <w:vAlign w:val="bottom"/>
            <w:tcBorders>
              <w:bottom w:val="single" w:sz="8" w:color="0000FF"/>
            </w:tcBorders>
            <w:gridSpan w:val="4"/>
          </w:tcPr>
          <w:p>
            <w:pPr>
              <w:spacing w:after="0" w:line="179"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International plc, the lenders party thereto and Wells Fargo Bank,</w:t>
              </w:r>
            </w:hyperlink>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20" w:type="dxa"/>
            <w:vAlign w:val="bottom"/>
            <w:tcBorders>
              <w:bottom w:val="single" w:sz="8" w:color="0000FF"/>
            </w:tcBorders>
          </w:tcPr>
          <w:p>
            <w:pPr>
              <w:spacing w:after="0" w:line="192"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National Association, as administrative agent</w:t>
              </w:r>
            </w:hyperlink>
          </w:p>
        </w:tc>
        <w:tc>
          <w:tcPr>
            <w:tcW w:w="1400" w:type="dxa"/>
            <w:vAlign w:val="bottom"/>
            <w:gridSpan w:val="3"/>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396" w:right="339" w:bottom="1440" w:gutter="0" w:footer="0" w:header="0"/>
          <w:type w:val="continuous"/>
        </w:sectPr>
      </w:pPr>
    </w:p>
    <w:p>
      <w:pPr>
        <w:spacing w:after="0" w:line="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3"/>
              </w:rPr>
              <w:t>10.28</w:t>
            </w:r>
          </w:p>
        </w:tc>
        <w:tc>
          <w:tcPr>
            <w:tcW w:w="46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Eighth Amendment to Amended and Restated Credit Agreement,</w:t>
              </w:r>
            </w:hyperlink>
          </w:p>
        </w:tc>
      </w:tr>
      <w:tr>
        <w:trPr>
          <w:trHeight w:val="179"/>
        </w:trPr>
        <w:tc>
          <w:tcPr>
            <w:tcW w:w="1000" w:type="dxa"/>
            <w:vAlign w:val="bottom"/>
          </w:tcPr>
          <w:p>
            <w:pPr>
              <w:spacing w:after="0"/>
              <w:rPr>
                <w:sz w:val="15"/>
                <w:szCs w:val="15"/>
                <w:color w:val="auto"/>
              </w:rPr>
            </w:pPr>
          </w:p>
        </w:tc>
        <w:tc>
          <w:tcPr>
            <w:tcW w:w="4240" w:type="dxa"/>
            <w:vAlign w:val="bottom"/>
            <w:tcBorders>
              <w:bottom w:val="single" w:sz="8" w:color="0000FF"/>
            </w:tcBorders>
          </w:tcPr>
          <w:p>
            <w:pPr>
              <w:spacing w:after="0" w:line="179"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dated as of November 22, 2024, by and among Weatherford</w:t>
              </w:r>
            </w:hyperlink>
          </w:p>
        </w:tc>
        <w:tc>
          <w:tcPr>
            <w:tcW w:w="380" w:type="dxa"/>
            <w:vAlign w:val="bottom"/>
          </w:tcPr>
          <w:p>
            <w:pPr>
              <w:spacing w:after="0"/>
              <w:rPr>
                <w:sz w:val="15"/>
                <w:szCs w:val="15"/>
                <w:color w:val="auto"/>
              </w:rPr>
            </w:pPr>
          </w:p>
        </w:tc>
      </w:tr>
    </w:tbl>
    <w:p>
      <w:pPr>
        <w:spacing w:after="0" w:line="8" w:lineRule="exact"/>
        <w:rPr>
          <w:sz w:val="20"/>
          <w:szCs w:val="20"/>
          <w:color w:val="auto"/>
        </w:rPr>
      </w:pPr>
    </w:p>
    <w:p>
      <w:pPr>
        <w:ind w:left="1460"/>
        <w:spacing w:after="0" w:line="260" w:lineRule="auto"/>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International Ltd., Weatherford International, LLC, Weatherford</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Canada Ltd., WOFS International Finance GmbH, Weatherford</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International plc, the lenders party thereto and Wells Fargo Bank,</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National Association, as administrative agent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left="180"/>
        <w:spacing w:after="0"/>
        <w:tabs>
          <w:tab w:leader="none" w:pos="3040" w:val="left"/>
        </w:tabs>
        <w:rPr>
          <w:sz w:val="20"/>
          <w:szCs w:val="20"/>
          <w:color w:val="auto"/>
        </w:rPr>
      </w:pPr>
      <w:r>
        <w:rPr>
          <w:rFonts w:ascii="Times New Roman" w:cs="Times New Roman" w:eastAsia="Times New Roman" w:hAnsi="Times New Roman"/>
          <w:sz w:val="18"/>
          <w:szCs w:val="18"/>
          <w:color w:val="auto"/>
        </w:rPr>
        <w:t>Exhibit 10.37 of the Company’s</w:t>
      </w:r>
      <w:r>
        <w:rPr>
          <w:sz w:val="20"/>
          <w:szCs w:val="20"/>
          <w:color w:val="auto"/>
        </w:rPr>
        <w:tab/>
      </w:r>
      <w:r>
        <w:rPr>
          <w:rFonts w:ascii="Times New Roman" w:cs="Times New Roman" w:eastAsia="Times New Roman" w:hAnsi="Times New Roman"/>
          <w:sz w:val="17"/>
          <w:szCs w:val="17"/>
          <w:color w:val="auto"/>
        </w:rPr>
        <w:t>File No. 1-36504</w:t>
      </w:r>
    </w:p>
    <w:p>
      <w:pPr>
        <w:spacing w:after="0" w:line="215" w:lineRule="auto"/>
        <w:rPr>
          <w:sz w:val="20"/>
          <w:szCs w:val="20"/>
          <w:color w:val="auto"/>
        </w:rPr>
      </w:pPr>
      <w:r>
        <w:rPr>
          <w:rFonts w:ascii="Times New Roman" w:cs="Times New Roman" w:eastAsia="Times New Roman" w:hAnsi="Times New Roman"/>
          <w:sz w:val="18"/>
          <w:szCs w:val="18"/>
          <w:color w:val="auto"/>
        </w:rPr>
        <w:t>Annual Report on Form 10-K for the</w:t>
      </w:r>
    </w:p>
    <w:p>
      <w:pPr>
        <w:ind w:left="100"/>
        <w:spacing w:after="0" w:line="199" w:lineRule="auto"/>
        <w:rPr>
          <w:sz w:val="20"/>
          <w:szCs w:val="20"/>
          <w:color w:val="auto"/>
        </w:rPr>
      </w:pPr>
      <w:r>
        <w:rPr>
          <w:rFonts w:ascii="Times New Roman" w:cs="Times New Roman" w:eastAsia="Times New Roman" w:hAnsi="Times New Roman"/>
          <w:sz w:val="18"/>
          <w:szCs w:val="18"/>
          <w:color w:val="auto"/>
        </w:rPr>
        <w:t>period ending December 31, 2024</w:t>
      </w:r>
    </w:p>
    <w:p>
      <w:pPr>
        <w:spacing w:after="0" w:line="1" w:lineRule="exact"/>
        <w:rPr>
          <w:rFonts w:ascii="Times New Roman" w:cs="Times New Roman" w:eastAsia="Times New Roman" w:hAnsi="Times New Roman"/>
          <w:sz w:val="17"/>
          <w:szCs w:val="17"/>
          <w:u w:val="single" w:color="auto"/>
          <w:color w:val="0000FF"/>
        </w:rPr>
      </w:pPr>
    </w:p>
    <w:p>
      <w:pPr>
        <w:ind w:left="520"/>
        <w:spacing w:after="0"/>
        <w:rPr>
          <w:sz w:val="20"/>
          <w:szCs w:val="20"/>
          <w:color w:val="auto"/>
        </w:rPr>
      </w:pPr>
      <w:r>
        <w:rPr>
          <w:rFonts w:ascii="Times New Roman" w:cs="Times New Roman" w:eastAsia="Times New Roman" w:hAnsi="Times New Roman"/>
          <w:sz w:val="18"/>
          <w:szCs w:val="18"/>
          <w:color w:val="auto"/>
        </w:rPr>
        <w:t>filed February 6, 2025</w:t>
      </w:r>
    </w:p>
    <w:p>
      <w:pPr>
        <w:spacing w:after="0" w:line="515"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080" w:space="240"/>
            <w:col w:w="4920"/>
          </w:cols>
          <w:pgMar w:left="320" w:top="396" w:right="339" w:bottom="1440" w:gutter="0" w:footer="0" w:header="0"/>
          <w:type w:val="continuous"/>
        </w:sectPr>
      </w:pPr>
    </w:p>
    <w:tbl>
      <w:tblPr>
        <w:tblLayout w:type="fixed"/>
        <w:tblInd w:w="460" w:type="dxa"/>
        <w:tblCellMar>
          <w:top w:w="0" w:type="dxa"/>
          <w:left w:w="0" w:type="dxa"/>
          <w:bottom w:w="0" w:type="dxa"/>
          <w:right w:w="0" w:type="dxa"/>
        </w:tblCellMar>
      </w:tblPr>
      <w:tr>
        <w:trPr>
          <w:trHeight w:val="198"/>
        </w:trPr>
        <w:tc>
          <w:tcPr>
            <w:tcW w:w="1000" w:type="dxa"/>
            <w:vAlign w:val="bottom"/>
          </w:tcPr>
          <w:p>
            <w:pPr>
              <w:jc w:val="right"/>
              <w:ind w:right="512"/>
              <w:spacing w:after="0" w:line="192" w:lineRule="exact"/>
              <w:rPr>
                <w:sz w:val="20"/>
                <w:szCs w:val="20"/>
                <w:color w:val="auto"/>
              </w:rPr>
            </w:pPr>
            <w:r>
              <w:rPr>
                <w:rFonts w:ascii="Times New Roman" w:cs="Times New Roman" w:eastAsia="Times New Roman" w:hAnsi="Times New Roman"/>
                <w:sz w:val="18"/>
                <w:szCs w:val="18"/>
                <w:color w:val="auto"/>
                <w:w w:val="93"/>
              </w:rPr>
              <w:t>10.29</w:t>
            </w:r>
          </w:p>
        </w:tc>
        <w:tc>
          <w:tcPr>
            <w:tcW w:w="4820" w:type="dxa"/>
            <w:vAlign w:val="bottom"/>
            <w:gridSpan w:val="3"/>
          </w:tcPr>
          <w:p>
            <w:pPr>
              <w:spacing w:after="0" w:line="19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Ninth Amendment to Amended and Restated Credit Agreement,</w:t>
              </w:r>
            </w:hyperlink>
          </w:p>
        </w:tc>
        <w:tc>
          <w:tcPr>
            <w:tcW w:w="2840" w:type="dxa"/>
            <w:vAlign w:val="bottom"/>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w w:val="97"/>
              </w:rPr>
              <w:t>Exhibit 10.2 of the Company’s</w:t>
            </w:r>
          </w:p>
        </w:tc>
        <w:tc>
          <w:tcPr>
            <w:tcW w:w="1460" w:type="dxa"/>
            <w:vAlign w:val="bottom"/>
          </w:tcPr>
          <w:p>
            <w:pPr>
              <w:ind w:left="260"/>
              <w:spacing w:after="0" w:line="192" w:lineRule="exact"/>
              <w:rPr>
                <w:sz w:val="20"/>
                <w:szCs w:val="20"/>
                <w:color w:val="auto"/>
              </w:rPr>
            </w:pPr>
            <w:r>
              <w:rPr>
                <w:rFonts w:ascii="Times New Roman" w:cs="Times New Roman" w:eastAsia="Times New Roman" w:hAnsi="Times New Roman"/>
                <w:sz w:val="18"/>
                <w:szCs w:val="18"/>
                <w:color w:val="auto"/>
                <w:w w:val="95"/>
              </w:rPr>
              <w:t>File No. 1-36504</w:t>
            </w:r>
          </w:p>
        </w:tc>
      </w:tr>
      <w:tr>
        <w:trPr>
          <w:trHeight w:val="179"/>
        </w:trPr>
        <w:tc>
          <w:tcPr>
            <w:tcW w:w="1000" w:type="dxa"/>
            <w:vAlign w:val="bottom"/>
          </w:tcPr>
          <w:p>
            <w:pPr>
              <w:spacing w:after="0"/>
              <w:rPr>
                <w:sz w:val="15"/>
                <w:szCs w:val="15"/>
                <w:color w:val="auto"/>
              </w:rPr>
            </w:pPr>
          </w:p>
        </w:tc>
        <w:tc>
          <w:tcPr>
            <w:tcW w:w="4540" w:type="dxa"/>
            <w:vAlign w:val="bottom"/>
            <w:tcBorders>
              <w:top w:val="single" w:sz="8" w:color="0000FF"/>
              <w:bottom w:val="single" w:sz="8" w:color="0000FF"/>
            </w:tcBorders>
          </w:tcPr>
          <w:p>
            <w:pPr>
              <w:spacing w:after="0" w:line="172" w:lineRule="exact"/>
              <w:rPr>
                <w:rFonts w:ascii="Times New Roman" w:cs="Times New Roman" w:eastAsia="Times New Roman" w:hAnsi="Times New Roman"/>
                <w:sz w:val="18"/>
                <w:szCs w:val="18"/>
                <w:color w:val="0000FF"/>
                <w:w w:val="94"/>
              </w:rPr>
            </w:pPr>
            <w:hyperlink r:id="rId138">
              <w:r>
                <w:rPr>
                  <w:rFonts w:ascii="Times New Roman" w:cs="Times New Roman" w:eastAsia="Times New Roman" w:hAnsi="Times New Roman"/>
                  <w:sz w:val="18"/>
                  <w:szCs w:val="18"/>
                  <w:color w:val="0000FF"/>
                  <w:w w:val="94"/>
                </w:rPr>
                <w:t>dated as of May 2, 2025, by and among Weatherford International</w:t>
              </w:r>
            </w:hyperlink>
          </w:p>
        </w:tc>
        <w:tc>
          <w:tcPr>
            <w:tcW w:w="14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color w:val="auto"/>
                <w:w w:val="98"/>
              </w:rPr>
              <w:t>Quarterly Report for the period</w:t>
            </w:r>
          </w:p>
        </w:tc>
        <w:tc>
          <w:tcPr>
            <w:tcW w:w="1460" w:type="dxa"/>
            <w:vAlign w:val="bottom"/>
          </w:tcPr>
          <w:p>
            <w:pPr>
              <w:spacing w:after="0"/>
              <w:rPr>
                <w:sz w:val="15"/>
                <w:szCs w:val="15"/>
                <w:color w:val="auto"/>
              </w:rPr>
            </w:pPr>
          </w:p>
        </w:tc>
      </w:tr>
      <w:tr>
        <w:trPr>
          <w:trHeight w:val="185"/>
        </w:trPr>
        <w:tc>
          <w:tcPr>
            <w:tcW w:w="1000" w:type="dxa"/>
            <w:vAlign w:val="bottom"/>
          </w:tcPr>
          <w:p>
            <w:pPr>
              <w:spacing w:after="0"/>
              <w:rPr>
                <w:sz w:val="16"/>
                <w:szCs w:val="16"/>
                <w:color w:val="auto"/>
              </w:rPr>
            </w:pPr>
          </w:p>
        </w:tc>
        <w:tc>
          <w:tcPr>
            <w:tcW w:w="4820" w:type="dxa"/>
            <w:vAlign w:val="bottom"/>
            <w:gridSpan w:val="3"/>
          </w:tcPr>
          <w:p>
            <w:pPr>
              <w:spacing w:after="0" w:line="134" w:lineRule="exact"/>
              <w:rPr>
                <w:rFonts w:ascii="Times New Roman" w:cs="Times New Roman" w:eastAsia="Times New Roman" w:hAnsi="Times New Roman"/>
                <w:sz w:val="15"/>
                <w:szCs w:val="15"/>
                <w:color w:val="0000FF"/>
              </w:rPr>
            </w:pPr>
            <w:hyperlink r:id="rId138">
              <w:r>
                <w:rPr>
                  <w:rFonts w:ascii="Times New Roman" w:cs="Times New Roman" w:eastAsia="Times New Roman" w:hAnsi="Times New Roman"/>
                  <w:sz w:val="15"/>
                  <w:szCs w:val="15"/>
                  <w:color w:val="0000FF"/>
                </w:rPr>
                <w:t>Ltd., Weatherford International, LLC, Weatherford Canada Ltd.,</w:t>
              </w:r>
            </w:hyperlink>
          </w:p>
        </w:tc>
        <w:tc>
          <w:tcPr>
            <w:tcW w:w="2840" w:type="dxa"/>
            <w:vAlign w:val="bottom"/>
          </w:tcPr>
          <w:p>
            <w:pPr>
              <w:jc w:val="center"/>
              <w:ind w:right="52"/>
              <w:spacing w:after="0" w:line="186" w:lineRule="exact"/>
              <w:rPr>
                <w:sz w:val="20"/>
                <w:szCs w:val="20"/>
                <w:color w:val="auto"/>
              </w:rPr>
            </w:pPr>
            <w:r>
              <w:rPr>
                <w:rFonts w:ascii="Times New Roman" w:cs="Times New Roman" w:eastAsia="Times New Roman" w:hAnsi="Times New Roman"/>
                <w:sz w:val="18"/>
                <w:szCs w:val="18"/>
                <w:color w:val="auto"/>
                <w:w w:val="97"/>
              </w:rPr>
              <w:t>ended June 30, 2025 filed July 23,</w:t>
            </w: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-377825</wp:posOffset>
            </wp:positionV>
            <wp:extent cx="6891020" cy="807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6891020" cy="8077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65"/>
        </w:trPr>
        <w:tc>
          <w:tcPr>
            <w:tcW w:w="1460" w:type="dxa"/>
            <w:vAlign w:val="bottom"/>
          </w:tcPr>
          <w:p>
            <w:pPr>
              <w:spacing w:after="0"/>
              <w:rPr>
                <w:sz w:val="5"/>
                <w:szCs w:val="5"/>
                <w:color w:val="auto"/>
              </w:rPr>
            </w:pPr>
          </w:p>
        </w:tc>
        <w:tc>
          <w:tcPr>
            <w:tcW w:w="2560" w:type="dxa"/>
            <w:vAlign w:val="bottom"/>
            <w:tcBorders>
              <w:bottom w:val="single" w:sz="8" w:color="0000FF"/>
            </w:tcBorders>
          </w:tcPr>
          <w:p>
            <w:pPr>
              <w:spacing w:after="0"/>
              <w:rPr>
                <w:sz w:val="5"/>
                <w:szCs w:val="5"/>
                <w:color w:val="auto"/>
              </w:rPr>
            </w:pPr>
          </w:p>
        </w:tc>
        <w:tc>
          <w:tcPr>
            <w:tcW w:w="1780" w:type="dxa"/>
            <w:vAlign w:val="bottom"/>
            <w:tcBorders>
              <w:bottom w:val="single" w:sz="8" w:color="0000FF"/>
            </w:tcBorders>
          </w:tcPr>
          <w:p>
            <w:pPr>
              <w:spacing w:after="0"/>
              <w:rPr>
                <w:sz w:val="5"/>
                <w:szCs w:val="5"/>
                <w:color w:val="auto"/>
              </w:rPr>
            </w:pPr>
          </w:p>
        </w:tc>
        <w:tc>
          <w:tcPr>
            <w:tcW w:w="140" w:type="dxa"/>
            <w:vAlign w:val="bottom"/>
            <w:tcBorders>
              <w:bottom w:val="single" w:sz="8" w:color="0000FF"/>
            </w:tcBorders>
          </w:tcPr>
          <w:p>
            <w:pPr>
              <w:spacing w:after="0"/>
              <w:rPr>
                <w:sz w:val="5"/>
                <w:szCs w:val="5"/>
                <w:color w:val="auto"/>
              </w:rPr>
            </w:pPr>
          </w:p>
        </w:tc>
        <w:tc>
          <w:tcPr>
            <w:tcW w:w="60" w:type="dxa"/>
            <w:vAlign w:val="bottom"/>
            <w:tcBorders>
              <w:bottom w:val="single" w:sz="8" w:color="0000FF"/>
            </w:tcBorders>
          </w:tcPr>
          <w:p>
            <w:pPr>
              <w:spacing w:after="0"/>
              <w:rPr>
                <w:sz w:val="5"/>
                <w:szCs w:val="5"/>
                <w:color w:val="auto"/>
              </w:rPr>
            </w:pPr>
          </w:p>
        </w:tc>
        <w:tc>
          <w:tcPr>
            <w:tcW w:w="5240" w:type="dxa"/>
            <w:vAlign w:val="bottom"/>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540" w:type="dxa"/>
            <w:vAlign w:val="bottom"/>
            <w:gridSpan w:val="4"/>
          </w:tcPr>
          <w:p>
            <w:pPr>
              <w:spacing w:after="0" w:line="179"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WOFS International Finance GmbH, Weatherford International</w:t>
              </w:r>
            </w:hyperlink>
          </w:p>
        </w:tc>
        <w:tc>
          <w:tcPr>
            <w:tcW w:w="5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340" w:type="dxa"/>
            <w:vAlign w:val="bottom"/>
            <w:tcBorders>
              <w:top w:val="single" w:sz="8" w:color="0000FF"/>
              <w:bottom w:val="single" w:sz="8" w:color="0000FF"/>
            </w:tcBorders>
            <w:gridSpan w:val="2"/>
          </w:tcPr>
          <w:p>
            <w:pPr>
              <w:spacing w:after="0" w:line="179"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plc, the lenders party thereto and Wells Fargo Bank, National</w:t>
              </w:r>
            </w:hyperlink>
          </w:p>
        </w:tc>
        <w:tc>
          <w:tcPr>
            <w:tcW w:w="1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60" w:type="dxa"/>
            <w:vAlign w:val="bottom"/>
          </w:tcPr>
          <w:p>
            <w:pPr>
              <w:spacing w:after="0"/>
              <w:rPr>
                <w:sz w:val="16"/>
                <w:szCs w:val="16"/>
                <w:color w:val="auto"/>
              </w:rPr>
            </w:pPr>
          </w:p>
        </w:tc>
        <w:tc>
          <w:tcPr>
            <w:tcW w:w="4540" w:type="dxa"/>
            <w:vAlign w:val="bottom"/>
            <w:gridSpan w:val="4"/>
          </w:tcPr>
          <w:p>
            <w:pPr>
              <w:spacing w:after="0" w:line="19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Association, as administrative agent</w:t>
              </w:r>
            </w:hyperlink>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1"/>
        </w:trPr>
        <w:tc>
          <w:tcPr>
            <w:tcW w:w="1460" w:type="dxa"/>
            <w:vAlign w:val="bottom"/>
          </w:tcPr>
          <w:p>
            <w:pPr>
              <w:spacing w:after="0"/>
              <w:rPr>
                <w:sz w:val="24"/>
                <w:szCs w:val="24"/>
                <w:color w:val="auto"/>
              </w:rPr>
            </w:pPr>
          </w:p>
        </w:tc>
        <w:tc>
          <w:tcPr>
            <w:tcW w:w="256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85</w:t>
            </w:r>
          </w:p>
        </w:tc>
        <w:tc>
          <w:tcPr>
            <w:tcW w:w="0" w:type="dxa"/>
            <w:vAlign w:val="bottom"/>
          </w:tcPr>
          <w:p>
            <w:pPr>
              <w:spacing w:after="0"/>
              <w:rPr>
                <w:sz w:val="1"/>
                <w:szCs w:val="1"/>
                <w:color w:val="auto"/>
              </w:rPr>
            </w:pPr>
          </w:p>
        </w:tc>
      </w:tr>
      <w:tr>
        <w:trPr>
          <w:trHeight w:val="111"/>
        </w:trPr>
        <w:tc>
          <w:tcPr>
            <w:tcW w:w="14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43"/>
        </w:trPr>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6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Original Filed 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185"/>
        </w:trPr>
        <w:tc>
          <w:tcPr>
            <w:tcW w:w="12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10.30</w:t>
            </w:r>
          </w:p>
        </w:tc>
        <w:tc>
          <w:tcPr>
            <w:tcW w:w="220" w:type="dxa"/>
            <w:vAlign w:val="bottom"/>
          </w:tcPr>
          <w:p>
            <w:pPr>
              <w:spacing w:after="0"/>
              <w:rPr>
                <w:sz w:val="16"/>
                <w:szCs w:val="16"/>
                <w:color w:val="auto"/>
              </w:rPr>
            </w:pPr>
          </w:p>
        </w:tc>
        <w:tc>
          <w:tcPr>
            <w:tcW w:w="4740" w:type="dxa"/>
            <w:vAlign w:val="bottom"/>
            <w:gridSpan w:val="12"/>
          </w:tcPr>
          <w:p>
            <w:pPr>
              <w:spacing w:after="0" w:line="17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Tenth Amendment to Amended and Restated Credit Agreement,</w:t>
              </w:r>
            </w:hyperlink>
          </w:p>
        </w:tc>
        <w:tc>
          <w:tcPr>
            <w:tcW w:w="2940" w:type="dxa"/>
            <w:vAlign w:val="bottom"/>
            <w:gridSpan w:val="3"/>
          </w:tcPr>
          <w:p>
            <w:pPr>
              <w:jc w:val="center"/>
              <w:ind w:right="120"/>
              <w:spacing w:after="0" w:line="179" w:lineRule="exact"/>
              <w:rPr>
                <w:sz w:val="20"/>
                <w:szCs w:val="20"/>
                <w:color w:val="auto"/>
              </w:rPr>
            </w:pPr>
            <w:r>
              <w:rPr>
                <w:rFonts w:ascii="Times New Roman" w:cs="Times New Roman" w:eastAsia="Times New Roman" w:hAnsi="Times New Roman"/>
                <w:sz w:val="18"/>
                <w:szCs w:val="18"/>
                <w:color w:val="auto"/>
                <w:w w:val="97"/>
              </w:rPr>
              <w:t>Exhibit 10.1 of the Company’s</w:t>
            </w:r>
          </w:p>
        </w:tc>
        <w:tc>
          <w:tcPr>
            <w:tcW w:w="17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5"/>
          </w:tcPr>
          <w:p>
            <w:pPr>
              <w:spacing w:after="0" w:line="172"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dated as of September 18, 2025, by and among Weatherford</w:t>
              </w:r>
            </w:hyperlink>
          </w:p>
        </w:tc>
        <w:tc>
          <w:tcPr>
            <w:tcW w:w="32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8"/>
                <w:szCs w:val="18"/>
                <w:color w:val="auto"/>
                <w:w w:val="98"/>
              </w:rPr>
              <w:t>Current Report on Form 8-K filed</w:t>
            </w:r>
          </w:p>
        </w:tc>
        <w:tc>
          <w:tcPr>
            <w:tcW w:w="1700" w:type="dxa"/>
            <w:vAlign w:val="bottom"/>
          </w:tcPr>
          <w:p>
            <w:pPr>
              <w:spacing w:after="0"/>
              <w:rPr>
                <w:sz w:val="15"/>
                <w:szCs w:val="15"/>
                <w:color w:val="auto"/>
              </w:rPr>
            </w:pPr>
          </w:p>
        </w:tc>
      </w:tr>
      <w:tr>
        <w:trPr>
          <w:trHeight w:val="199"/>
        </w:trPr>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gridSpan w:val="12"/>
          </w:tcPr>
          <w:p>
            <w:pPr>
              <w:spacing w:after="0" w:line="19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International Ltd., Weatherford International, LLC, Weatherford</w:t>
              </w:r>
            </w:hyperlink>
          </w:p>
        </w:tc>
        <w:tc>
          <w:tcPr>
            <w:tcW w:w="2940" w:type="dxa"/>
            <w:vAlign w:val="bottom"/>
            <w:gridSpan w:val="3"/>
          </w:tcPr>
          <w:p>
            <w:pPr>
              <w:jc w:val="center"/>
              <w:ind w:right="120"/>
              <w:spacing w:after="0" w:line="199" w:lineRule="exact"/>
              <w:rPr>
                <w:sz w:val="20"/>
                <w:szCs w:val="20"/>
                <w:color w:val="auto"/>
              </w:rPr>
            </w:pPr>
            <w:r>
              <w:rPr>
                <w:rFonts w:ascii="Times New Roman" w:cs="Times New Roman" w:eastAsia="Times New Roman" w:hAnsi="Times New Roman"/>
                <w:sz w:val="18"/>
                <w:szCs w:val="18"/>
                <w:color w:val="auto"/>
                <w:w w:val="98"/>
              </w:rPr>
              <w:t>September 23, 2025</w:t>
            </w:r>
          </w:p>
        </w:tc>
        <w:tc>
          <w:tcPr>
            <w:tcW w:w="1700" w:type="dxa"/>
            <w:vAlign w:val="bottom"/>
          </w:tcPr>
          <w:p>
            <w:pPr>
              <w:spacing w:after="0"/>
              <w:rPr>
                <w:sz w:val="17"/>
                <w:szCs w:val="17"/>
                <w:color w:val="auto"/>
              </w:rPr>
            </w:pP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FF"/>
            </w:tcBorders>
            <w:gridSpan w:val="8"/>
          </w:tcPr>
          <w:p>
            <w:pPr>
              <w:spacing w:after="0" w:line="17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Canada Ltd., WOFS International Finance GmbH, Weatherford</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9"/>
        </w:trPr>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bottom w:val="single" w:sz="8" w:color="0000FF"/>
            </w:tcBorders>
            <w:gridSpan w:val="10"/>
          </w:tcPr>
          <w:p>
            <w:pPr>
              <w:spacing w:after="0" w:line="179"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International plc, the lenders party thereto and Wells Fargo Bank,</w:t>
              </w:r>
            </w:hyperlink>
          </w:p>
        </w:tc>
        <w:tc>
          <w:tcPr>
            <w:tcW w:w="120" w:type="dxa"/>
            <w:vAlign w:val="bottom"/>
            <w:gridSpan w:val="2"/>
          </w:tcPr>
          <w:p>
            <w:pPr>
              <w:spacing w:after="0"/>
              <w:rPr>
                <w:sz w:val="15"/>
                <w:szCs w:val="15"/>
                <w:color w:val="auto"/>
              </w:rPr>
            </w:pPr>
          </w:p>
        </w:tc>
        <w:tc>
          <w:tcPr>
            <w:tcW w:w="2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2"/>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40" w:type="dxa"/>
            <w:vAlign w:val="bottom"/>
            <w:gridSpan w:val="12"/>
          </w:tcPr>
          <w:p>
            <w:pPr>
              <w:spacing w:after="0" w:line="19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National Association, as administrative agent</w:t>
              </w:r>
            </w:hyperlink>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3"/>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6"/>
        </w:trPr>
        <w:tc>
          <w:tcPr>
            <w:tcW w:w="12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*10.31</w:t>
            </w:r>
          </w:p>
        </w:tc>
        <w:tc>
          <w:tcPr>
            <w:tcW w:w="220" w:type="dxa"/>
            <w:vAlign w:val="bottom"/>
            <w:shd w:val="clear" w:color="auto" w:fill="CCEEFF"/>
          </w:tcPr>
          <w:p>
            <w:pPr>
              <w:spacing w:after="0"/>
              <w:rPr>
                <w:sz w:val="16"/>
                <w:szCs w:val="16"/>
                <w:color w:val="auto"/>
              </w:rPr>
            </w:pPr>
          </w:p>
        </w:tc>
        <w:tc>
          <w:tcPr>
            <w:tcW w:w="4740" w:type="dxa"/>
            <w:vAlign w:val="bottom"/>
            <w:gridSpan w:val="12"/>
            <w:shd w:val="clear" w:color="auto" w:fill="CCEEFF"/>
          </w:tcPr>
          <w:p>
            <w:pPr>
              <w:spacing w:after="0" w:line="16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Confidentiality and Restricted Covenant Agreement</w:t>
              </w:r>
            </w:hyperlink>
          </w:p>
        </w:tc>
        <w:tc>
          <w:tcPr>
            <w:tcW w:w="2940" w:type="dxa"/>
            <w:vAlign w:val="bottom"/>
            <w:gridSpan w:val="3"/>
            <w:shd w:val="clear" w:color="auto" w:fill="CCEEFF"/>
          </w:tcPr>
          <w:p>
            <w:pPr>
              <w:jc w:val="center"/>
              <w:ind w:right="120"/>
              <w:spacing w:after="0" w:line="165" w:lineRule="exact"/>
              <w:rPr>
                <w:sz w:val="20"/>
                <w:szCs w:val="20"/>
                <w:color w:val="auto"/>
              </w:rPr>
            </w:pPr>
            <w:r>
              <w:rPr>
                <w:rFonts w:ascii="Times New Roman" w:cs="Times New Roman" w:eastAsia="Times New Roman" w:hAnsi="Times New Roman"/>
                <w:sz w:val="18"/>
                <w:szCs w:val="18"/>
                <w:color w:val="auto"/>
                <w:w w:val="98"/>
              </w:rPr>
              <w:t>Exhibit 10.39 to the Company’s</w:t>
            </w:r>
          </w:p>
        </w:tc>
        <w:tc>
          <w:tcPr>
            <w:tcW w:w="17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13"/>
        </w:trPr>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0000FF"/>
            </w:tcBorders>
            <w:shd w:val="clear" w:color="auto" w:fill="CCEEFF"/>
          </w:tcPr>
          <w:p>
            <w:pPr>
              <w:spacing w:after="0"/>
              <w:rPr>
                <w:sz w:val="18"/>
                <w:szCs w:val="18"/>
                <w:color w:val="auto"/>
              </w:rPr>
            </w:pPr>
          </w:p>
        </w:tc>
        <w:tc>
          <w:tcPr>
            <w:tcW w:w="15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Annual Report on Form 10-K filed</w:t>
            </w:r>
          </w:p>
        </w:tc>
        <w:tc>
          <w:tcPr>
            <w:tcW w:w="1700" w:type="dxa"/>
            <w:vAlign w:val="bottom"/>
            <w:tcBorders>
              <w:top w:val="single" w:sz="8" w:color="CCEEFF"/>
            </w:tcBorders>
            <w:shd w:val="clear" w:color="auto" w:fill="CCEEFF"/>
          </w:tcPr>
          <w:p>
            <w:pPr>
              <w:spacing w:after="0"/>
              <w:rPr>
                <w:sz w:val="18"/>
                <w:szCs w:val="18"/>
                <w:color w:val="auto"/>
              </w:rPr>
            </w:pPr>
          </w:p>
        </w:tc>
      </w:tr>
      <w:tr>
        <w:trPr>
          <w:trHeight w:val="244"/>
        </w:trPr>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1700" w:type="dxa"/>
            <w:vAlign w:val="bottom"/>
            <w:shd w:val="clear" w:color="auto" w:fill="CCEEFF"/>
          </w:tcPr>
          <w:p>
            <w:pPr>
              <w:spacing w:after="0"/>
              <w:rPr>
                <w:sz w:val="21"/>
                <w:szCs w:val="21"/>
                <w:color w:val="auto"/>
              </w:rPr>
            </w:pPr>
          </w:p>
        </w:tc>
      </w:tr>
      <w:tr>
        <w:trPr>
          <w:trHeight w:val="195"/>
        </w:trPr>
        <w:tc>
          <w:tcPr>
            <w:tcW w:w="148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rPr>
              <w:t>†19</w:t>
            </w:r>
          </w:p>
        </w:tc>
        <w:tc>
          <w:tcPr>
            <w:tcW w:w="372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7"/>
              </w:rPr>
              <w:t>Weatherford International plc Insider Trading Policy</w:t>
            </w:r>
          </w:p>
        </w:tc>
        <w:tc>
          <w:tcPr>
            <w:tcW w:w="1020" w:type="dxa"/>
            <w:vAlign w:val="bottom"/>
            <w:gridSpan w:val="8"/>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†21.1</w:t>
            </w:r>
          </w:p>
        </w:tc>
        <w:tc>
          <w:tcPr>
            <w:tcW w:w="4740" w:type="dxa"/>
            <w:vAlign w:val="bottom"/>
            <w:gridSpan w:val="1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Subsidiaries of Weatherford International plc</w:t>
            </w:r>
          </w:p>
        </w:tc>
        <w:tc>
          <w:tcPr>
            <w:tcW w:w="2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85"/>
        </w:trPr>
        <w:tc>
          <w:tcPr>
            <w:tcW w:w="1480" w:type="dxa"/>
            <w:vAlign w:val="bottom"/>
            <w:tcBorders>
              <w:top w:val="single" w:sz="8" w:color="CCEEFF"/>
            </w:tcBorders>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†23.1</w:t>
            </w:r>
          </w:p>
        </w:tc>
        <w:tc>
          <w:tcPr>
            <w:tcW w:w="3180" w:type="dxa"/>
            <w:vAlign w:val="bottom"/>
            <w:tcBorders>
              <w:top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Consent of KPMG LLP</w:t>
            </w:r>
          </w:p>
        </w:tc>
        <w:tc>
          <w:tcPr>
            <w:tcW w:w="1560" w:type="dxa"/>
            <w:vAlign w:val="bottom"/>
            <w:tcBorders>
              <w:top w:val="single" w:sz="8" w:color="CCEEFF"/>
            </w:tcBorders>
            <w:gridSpan w:val="10"/>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r>
      <w:tr>
        <w:trPr>
          <w:trHeight w:val="30"/>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8"/>
              </w:rPr>
              <w:t>†31.1</w:t>
            </w:r>
          </w:p>
        </w:tc>
        <w:tc>
          <w:tcPr>
            <w:tcW w:w="768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1700" w:type="dxa"/>
            <w:vAlign w:val="bottom"/>
            <w:shd w:val="clear" w:color="auto" w:fill="CCEEFF"/>
          </w:tcPr>
          <w:p>
            <w:pPr>
              <w:spacing w:after="0"/>
              <w:rPr>
                <w:sz w:val="18"/>
                <w:szCs w:val="18"/>
                <w:color w:val="auto"/>
              </w:rPr>
            </w:pPr>
          </w:p>
        </w:tc>
      </w:tr>
      <w:tr>
        <w:trPr>
          <w:trHeight w:val="186"/>
        </w:trPr>
        <w:tc>
          <w:tcPr>
            <w:tcW w:w="1480" w:type="dxa"/>
            <w:vAlign w:val="bottom"/>
            <w:tcBorders>
              <w:top w:val="single" w:sz="8" w:color="CCEEFF"/>
            </w:tcBorders>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8"/>
              </w:rPr>
              <w:t>†31.2</w:t>
            </w:r>
          </w:p>
        </w:tc>
        <w:tc>
          <w:tcPr>
            <w:tcW w:w="704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64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r>
      <w:tr>
        <w:trPr>
          <w:trHeight w:val="30"/>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1480" w:type="dxa"/>
            <w:vAlign w:val="bottom"/>
            <w:gridSpan w:val="2"/>
            <w:shd w:val="clear" w:color="auto" w:fill="CCEEFF"/>
          </w:tcPr>
          <w:p>
            <w:pPr>
              <w:jc w:val="center"/>
              <w:ind w:right="160"/>
              <w:spacing w:after="0" w:line="195" w:lineRule="exact"/>
              <w:rPr>
                <w:sz w:val="20"/>
                <w:szCs w:val="20"/>
                <w:color w:val="auto"/>
              </w:rPr>
            </w:pPr>
            <w:r>
              <w:rPr>
                <w:rFonts w:ascii="Times New Roman" w:cs="Times New Roman" w:eastAsia="Times New Roman" w:hAnsi="Times New Roman"/>
                <w:sz w:val="18"/>
                <w:szCs w:val="18"/>
                <w:color w:val="auto"/>
                <w:w w:val="96"/>
              </w:rPr>
              <w:t>††32.1</w:t>
            </w:r>
          </w:p>
        </w:tc>
        <w:tc>
          <w:tcPr>
            <w:tcW w:w="768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1700" w:type="dxa"/>
            <w:vAlign w:val="bottom"/>
            <w:shd w:val="clear" w:color="auto" w:fill="CCEEFF"/>
          </w:tcPr>
          <w:p>
            <w:pPr>
              <w:spacing w:after="0"/>
              <w:rPr>
                <w:sz w:val="18"/>
                <w:szCs w:val="18"/>
                <w:color w:val="auto"/>
              </w:rPr>
            </w:pPr>
          </w:p>
        </w:tc>
      </w:tr>
      <w:tr>
        <w:trPr>
          <w:trHeight w:val="185"/>
        </w:trPr>
        <w:tc>
          <w:tcPr>
            <w:tcW w:w="1480" w:type="dxa"/>
            <w:vAlign w:val="bottom"/>
            <w:tcBorders>
              <w:top w:val="single" w:sz="8" w:color="CCEEFF"/>
            </w:tcBorders>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color w:val="auto"/>
                <w:w w:val="96"/>
              </w:rPr>
              <w:t>††32.2</w:t>
            </w:r>
          </w:p>
        </w:tc>
        <w:tc>
          <w:tcPr>
            <w:tcW w:w="704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64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r>
      <w:tr>
        <w:trPr>
          <w:trHeight w:val="30"/>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5"/>
        </w:trPr>
        <w:tc>
          <w:tcPr>
            <w:tcW w:w="12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c>
          <w:tcPr>
            <w:tcW w:w="220" w:type="dxa"/>
            <w:vAlign w:val="bottom"/>
            <w:shd w:val="clear" w:color="auto" w:fill="CCEEFF"/>
          </w:tcPr>
          <w:p>
            <w:pPr>
              <w:spacing w:after="0"/>
              <w:rPr>
                <w:sz w:val="16"/>
                <w:szCs w:val="16"/>
                <w:color w:val="auto"/>
              </w:rPr>
            </w:pPr>
          </w:p>
        </w:tc>
        <w:tc>
          <w:tcPr>
            <w:tcW w:w="47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Weatherford International plc Executive Officer Clawback Policy</w:t>
              </w:r>
            </w:hyperlink>
          </w:p>
        </w:tc>
        <w:tc>
          <w:tcPr>
            <w:tcW w:w="2940" w:type="dxa"/>
            <w:vAlign w:val="bottom"/>
            <w:gridSpan w:val="3"/>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Exhibit 97 to the Company’s Annual</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213"/>
        </w:trPr>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0000FF"/>
            </w:tcBorders>
            <w:shd w:val="clear" w:color="auto" w:fill="CCEEFF"/>
          </w:tcPr>
          <w:p>
            <w:pPr>
              <w:spacing w:after="0"/>
              <w:rPr>
                <w:sz w:val="18"/>
                <w:szCs w:val="18"/>
                <w:color w:val="auto"/>
              </w:rPr>
            </w:pPr>
          </w:p>
        </w:tc>
        <w:tc>
          <w:tcPr>
            <w:tcW w:w="15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Report on Form 10-K filed February</w:t>
            </w:r>
          </w:p>
        </w:tc>
        <w:tc>
          <w:tcPr>
            <w:tcW w:w="1700" w:type="dxa"/>
            <w:vAlign w:val="bottom"/>
            <w:tcBorders>
              <w:top w:val="single" w:sz="8" w:color="CCEEFF"/>
            </w:tcBorders>
            <w:shd w:val="clear" w:color="auto" w:fill="CCEEFF"/>
          </w:tcPr>
          <w:p>
            <w:pPr>
              <w:spacing w:after="0"/>
              <w:rPr>
                <w:sz w:val="18"/>
                <w:szCs w:val="18"/>
                <w:color w:val="auto"/>
              </w:rPr>
            </w:pPr>
          </w:p>
        </w:tc>
      </w:tr>
      <w:tr>
        <w:trPr>
          <w:trHeight w:val="244"/>
        </w:trPr>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7, 2024</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172"/>
        </w:trPr>
        <w:tc>
          <w:tcPr>
            <w:tcW w:w="148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8"/>
                <w:szCs w:val="18"/>
                <w:color w:val="auto"/>
                <w:w w:val="97"/>
              </w:rPr>
              <w:t>†101.INS</w:t>
            </w:r>
          </w:p>
        </w:tc>
        <w:tc>
          <w:tcPr>
            <w:tcW w:w="9380" w:type="dxa"/>
            <w:vAlign w:val="bottom"/>
            <w:gridSpan w:val="16"/>
          </w:tcPr>
          <w:p>
            <w:pPr>
              <w:spacing w:after="0" w:line="172" w:lineRule="exact"/>
              <w:rPr>
                <w:sz w:val="20"/>
                <w:szCs w:val="20"/>
                <w:color w:val="auto"/>
              </w:rPr>
            </w:pPr>
            <w:r>
              <w:rPr>
                <w:rFonts w:ascii="Times New Roman" w:cs="Times New Roman" w:eastAsia="Times New Roman" w:hAnsi="Times New Roman"/>
                <w:sz w:val="18"/>
                <w:szCs w:val="18"/>
                <w:color w:val="auto"/>
                <w:w w:val="98"/>
              </w:rPr>
              <w:t>XBRL Instance Document - The instance document does not appear in the interactive data file because its XBRL tags are embedded</w:t>
            </w:r>
          </w:p>
        </w:tc>
      </w:tr>
      <w:tr>
        <w:trPr>
          <w:trHeight w:val="235"/>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9"/>
        </w:trPr>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†101.SCH</w:t>
            </w:r>
          </w:p>
        </w:tc>
        <w:tc>
          <w:tcPr>
            <w:tcW w:w="47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†101.CAL</w:t>
            </w: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†101.DEF</w:t>
            </w:r>
          </w:p>
        </w:tc>
        <w:tc>
          <w:tcPr>
            <w:tcW w:w="47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†101.LAB</w:t>
            </w: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5"/>
        </w:trPr>
        <w:tc>
          <w:tcPr>
            <w:tcW w:w="1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†101.PRE</w:t>
            </w:r>
          </w:p>
        </w:tc>
        <w:tc>
          <w:tcPr>
            <w:tcW w:w="47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121"/>
        </w:trPr>
        <w:tc>
          <w:tcPr>
            <w:tcW w:w="126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0"/>
                <w:szCs w:val="10"/>
                <w:color w:val="auto"/>
              </w:rPr>
            </w:pPr>
          </w:p>
        </w:tc>
        <w:tc>
          <w:tcPr>
            <w:tcW w:w="7680" w:type="dxa"/>
            <w:vAlign w:val="bottom"/>
            <w:gridSpan w:val="15"/>
          </w:tcPr>
          <w:p>
            <w:pPr>
              <w:spacing w:after="0" w:line="121"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1700" w:type="dxa"/>
            <w:vAlign w:val="bottom"/>
          </w:tcPr>
          <w:p>
            <w:pPr>
              <w:spacing w:after="0"/>
              <w:rPr>
                <w:sz w:val="10"/>
                <w:szCs w:val="10"/>
                <w:color w:val="auto"/>
              </w:rPr>
            </w:pPr>
          </w:p>
        </w:tc>
      </w:tr>
    </w:tbl>
    <w:p>
      <w:pPr>
        <w:ind w:left="10860"/>
        <w:spacing w:after="0" w:line="230" w:lineRule="auto"/>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ement.</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9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2025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Girishchandra K. Saligram and Anuj Dhruv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/s/ 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35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Signatures</w:t>
            </w:r>
          </w:p>
        </w:tc>
        <w:tc>
          <w:tcPr>
            <w:tcW w:w="386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9"/>
              </w:rPr>
              <w:t>Title</w:t>
            </w:r>
          </w:p>
        </w:tc>
        <w:tc>
          <w:tcPr>
            <w:tcW w:w="304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8"/>
                <w:szCs w:val="18"/>
                <w:color w:val="auto"/>
                <w:w w:val="94"/>
              </w:rPr>
              <w:t>Date</w:t>
            </w:r>
          </w:p>
        </w:tc>
      </w:tr>
      <w:tr>
        <w:trPr>
          <w:trHeight w:val="212"/>
        </w:trPr>
        <w:tc>
          <w:tcPr>
            <w:tcW w:w="3620" w:type="dxa"/>
            <w:vAlign w:val="bottom"/>
          </w:tcPr>
          <w:p>
            <w:pPr>
              <w:spacing w:after="0"/>
              <w:rPr>
                <w:sz w:val="18"/>
                <w:szCs w:val="18"/>
                <w:color w:val="auto"/>
              </w:rPr>
            </w:pPr>
          </w:p>
        </w:tc>
        <w:tc>
          <w:tcPr>
            <w:tcW w:w="38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President, Chief Executive Officer</w:t>
            </w:r>
          </w:p>
        </w:tc>
        <w:tc>
          <w:tcPr>
            <w:tcW w:w="3040" w:type="dxa"/>
            <w:vAlign w:val="bottom"/>
          </w:tcPr>
          <w:p>
            <w:pPr>
              <w:spacing w:after="0"/>
              <w:rPr>
                <w:sz w:val="18"/>
                <w:szCs w:val="18"/>
                <w:color w:val="auto"/>
              </w:rPr>
            </w:pP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Girishchandra K. Saligram</w:t>
            </w: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Girishchandra K. Saligram</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3040" w:type="dxa"/>
            <w:vAlign w:val="bottom"/>
          </w:tcPr>
          <w:p>
            <w:pPr>
              <w:spacing w:after="0"/>
              <w:rPr>
                <w:sz w:val="19"/>
                <w:szCs w:val="19"/>
                <w:color w:val="auto"/>
              </w:rPr>
            </w:pPr>
          </w:p>
        </w:tc>
      </w:tr>
      <w:tr>
        <w:trPr>
          <w:trHeight w:val="4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Anuj Dhruv</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Executive Vice President and</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1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Anuj Dhruv</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040" w:type="dxa"/>
            <w:vAlign w:val="bottom"/>
          </w:tcPr>
          <w:p>
            <w:pPr>
              <w:spacing w:after="0"/>
              <w:rPr>
                <w:sz w:val="18"/>
                <w:szCs w:val="18"/>
                <w:color w:val="auto"/>
              </w:rPr>
            </w:pPr>
          </w:p>
        </w:tc>
      </w:tr>
      <w:tr>
        <w:trPr>
          <w:trHeight w:val="231"/>
        </w:trPr>
        <w:tc>
          <w:tcPr>
            <w:tcW w:w="3620" w:type="dxa"/>
            <w:vAlign w:val="bottom"/>
          </w:tcPr>
          <w:p>
            <w:pPr>
              <w:spacing w:after="0"/>
              <w:rPr>
                <w:sz w:val="20"/>
                <w:szCs w:val="20"/>
                <w:color w:val="auto"/>
              </w:rPr>
            </w:pP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040" w:type="dxa"/>
            <w:vAlign w:val="bottom"/>
          </w:tcPr>
          <w:p>
            <w:pPr>
              <w:spacing w:after="0"/>
              <w:rPr>
                <w:sz w:val="20"/>
                <w:szCs w:val="20"/>
                <w:color w:val="auto"/>
              </w:rPr>
            </w:pPr>
          </w:p>
        </w:tc>
      </w:tr>
      <w:tr>
        <w:trPr>
          <w:trHeight w:val="330"/>
        </w:trPr>
        <w:tc>
          <w:tcPr>
            <w:tcW w:w="3620" w:type="dxa"/>
            <w:vAlign w:val="bottom"/>
          </w:tcPr>
          <w:p>
            <w:pPr>
              <w:spacing w:after="0"/>
              <w:rPr>
                <w:sz w:val="24"/>
                <w:szCs w:val="24"/>
                <w:color w:val="auto"/>
              </w:rPr>
            </w:pPr>
          </w:p>
        </w:tc>
        <w:tc>
          <w:tcPr>
            <w:tcW w:w="38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Senior Vice President and Chief Accounting</w:t>
            </w:r>
          </w:p>
        </w:tc>
        <w:tc>
          <w:tcPr>
            <w:tcW w:w="3040" w:type="dxa"/>
            <w:vAlign w:val="bottom"/>
          </w:tcPr>
          <w:p>
            <w:pPr>
              <w:spacing w:after="0"/>
              <w:rPr>
                <w:sz w:val="24"/>
                <w:szCs w:val="24"/>
                <w:color w:val="auto"/>
              </w:rPr>
            </w:pPr>
          </w:p>
        </w:tc>
      </w:tr>
      <w:tr>
        <w:trPr>
          <w:trHeight w:val="2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Officer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Desmond J. Mills</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3040" w:type="dxa"/>
            <w:vAlign w:val="bottom"/>
          </w:tcPr>
          <w:p>
            <w:pPr>
              <w:spacing w:after="0"/>
              <w:rPr>
                <w:sz w:val="19"/>
                <w:szCs w:val="19"/>
                <w:color w:val="auto"/>
              </w:rPr>
            </w:pPr>
          </w:p>
        </w:tc>
      </w:tr>
      <w:tr>
        <w:trPr>
          <w:trHeight w:val="63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M. Sledge</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Chairman of the Board and 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Charles M. Sledge</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Benjamin C. Duster IV</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Benjamin C. Duster IV</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Neal P. Goldman</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Neal P. Goldman</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Jacqueline Mutschler</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Jacqueline Mutschler</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7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Beringhause</w:t>
            </w:r>
          </w:p>
        </w:tc>
        <w:tc>
          <w:tcPr>
            <w:tcW w:w="3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6"/>
              </w:rPr>
              <w:t>Director</w:t>
            </w:r>
          </w:p>
        </w:tc>
        <w:tc>
          <w:tcPr>
            <w:tcW w:w="304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7"/>
              </w:rPr>
              <w:t>February 4, 2026</w:t>
            </w:r>
          </w:p>
        </w:tc>
      </w:tr>
      <w:tr>
        <w:trPr>
          <w:trHeight w:val="22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Beringhause</w:t>
            </w:r>
          </w:p>
        </w:tc>
        <w:tc>
          <w:tcPr>
            <w:tcW w:w="386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9"/>
          <w:szCs w:val="19"/>
          <w:b w:val="1"/>
          <w:bCs w:val="1"/>
          <w:color w:val="auto"/>
        </w:rPr>
        <w:t>SECOND SUPPLEMENTAL INDENTURE</w:t>
      </w:r>
    </w:p>
    <w:p>
      <w:pPr>
        <w:spacing w:after="0" w:line="247"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19"/>
          <w:szCs w:val="19"/>
          <w:color w:val="auto"/>
        </w:rPr>
        <w:t>This Supplemental Indenture, dated as of October 24, 2025 (this “</w:t>
      </w:r>
      <w:r>
        <w:rPr>
          <w:rFonts w:ascii="Arial" w:cs="Arial" w:eastAsia="Arial" w:hAnsi="Arial"/>
          <w:sz w:val="19"/>
          <w:szCs w:val="19"/>
          <w:b w:val="1"/>
          <w:bCs w:val="1"/>
          <w:i w:val="1"/>
          <w:iCs w:val="1"/>
          <w:color w:val="auto"/>
        </w:rPr>
        <w:t>Supplemental Indenture</w:t>
      </w:r>
      <w:r>
        <w:rPr>
          <w:rFonts w:ascii="Arial" w:cs="Arial" w:eastAsia="Arial" w:hAnsi="Arial"/>
          <w:sz w:val="19"/>
          <w:szCs w:val="19"/>
          <w:color w:val="auto"/>
        </w:rPr>
        <w:t>”), is among Weatherford International, LLC, a Delaware limited liability company (“</w:t>
      </w:r>
      <w:r>
        <w:rPr>
          <w:rFonts w:ascii="Arial" w:cs="Arial" w:eastAsia="Arial" w:hAnsi="Arial"/>
          <w:sz w:val="19"/>
          <w:szCs w:val="19"/>
          <w:b w:val="1"/>
          <w:bCs w:val="1"/>
          <w:color w:val="auto"/>
        </w:rPr>
        <w:t>Weatherford Delaware</w:t>
      </w:r>
      <w:r>
        <w:rPr>
          <w:rFonts w:ascii="Arial" w:cs="Arial" w:eastAsia="Arial" w:hAnsi="Arial"/>
          <w:sz w:val="19"/>
          <w:szCs w:val="19"/>
          <w:color w:val="auto"/>
        </w:rPr>
        <w:t>”) and a subsidiary of Weatherford International plc, an Irish public limited company (the “</w:t>
      </w:r>
      <w:r>
        <w:rPr>
          <w:rFonts w:ascii="Arial" w:cs="Arial" w:eastAsia="Arial" w:hAnsi="Arial"/>
          <w:sz w:val="19"/>
          <w:szCs w:val="19"/>
          <w:b w:val="1"/>
          <w:bCs w:val="1"/>
          <w:i w:val="1"/>
          <w:iCs w:val="1"/>
          <w:color w:val="auto"/>
        </w:rPr>
        <w:t>Parent Guarantor</w:t>
      </w:r>
      <w:r>
        <w:rPr>
          <w:rFonts w:ascii="Arial" w:cs="Arial" w:eastAsia="Arial" w:hAnsi="Arial"/>
          <w:sz w:val="19"/>
          <w:szCs w:val="19"/>
          <w:color w:val="auto"/>
        </w:rPr>
        <w:t>”), Weatherford International Ltd., a Bermuda exempted company limited by shares (the “</w:t>
      </w:r>
      <w:r>
        <w:rPr>
          <w:rFonts w:ascii="Arial" w:cs="Arial" w:eastAsia="Arial" w:hAnsi="Arial"/>
          <w:sz w:val="19"/>
          <w:szCs w:val="19"/>
          <w:b w:val="1"/>
          <w:bCs w:val="1"/>
          <w:i w:val="1"/>
          <w:iCs w:val="1"/>
          <w:color w:val="auto"/>
        </w:rPr>
        <w:t>Issuer</w:t>
      </w:r>
      <w:r>
        <w:rPr>
          <w:rFonts w:ascii="Arial" w:cs="Arial" w:eastAsia="Arial" w:hAnsi="Arial"/>
          <w:sz w:val="19"/>
          <w:szCs w:val="19"/>
          <w:color w:val="auto"/>
        </w:rPr>
        <w:t>”), the Parent Guarantor, and UMB Bank, N.A., as trustee under the Indenture referred to herein (in such capacity,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 I T N E S S E T H:</w:t>
      </w:r>
    </w:p>
    <w:p>
      <w:pPr>
        <w:spacing w:after="0" w:line="259"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WHEREAS, the Issuer, the Parent Guarantor, Weatherford Delaware, certain other Guarantors, and the Trustee have heretofore executed and delivered an Indenture, dated as of October 6, 2025, as amended and supplemented by the supplemental indenture dated as of October 6, 2025 (collectively and as may be further amended, supplemented, waived or otherwise modified from time to time,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providing for the issuance of an unlimited aggregate principal amount of 6.750% Senior Notes due 2033 of the Issuer (the “</w:t>
      </w:r>
      <w:r>
        <w:rPr>
          <w:rFonts w:ascii="Arial" w:cs="Arial" w:eastAsia="Arial" w:hAnsi="Arial"/>
          <w:sz w:val="19"/>
          <w:szCs w:val="19"/>
          <w:b w:val="1"/>
          <w:bCs w:val="1"/>
          <w:i w:val="1"/>
          <w:iCs w:val="1"/>
          <w:color w:val="auto"/>
        </w:rPr>
        <w:t>Notes</w:t>
      </w:r>
      <w:r>
        <w:rPr>
          <w:rFonts w:ascii="Arial" w:cs="Arial" w:eastAsia="Arial" w:hAnsi="Arial"/>
          <w:sz w:val="19"/>
          <w:szCs w:val="19"/>
          <w:color w:val="auto"/>
        </w:rPr>
        <w:t>”);</w:t>
      </w:r>
    </w:p>
    <w:p>
      <w:pPr>
        <w:spacing w:after="0" w:line="189"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the Indenture, the Issuer, the Parent Guarantor, Weather- ford Delaware, and the Trustee are authorized to execute and deliver this Supplemental Indenture to amend or supplement the Indenture, without the consent of any Holder to add any entity as a co-issuer of the Notes, and to the extent such entity was a Guarantor prior to such addition, concurrently release the Guarantee of such entity.</w:t>
      </w:r>
    </w:p>
    <w:p>
      <w:pPr>
        <w:spacing w:after="0" w:line="196" w:lineRule="exact"/>
        <w:rPr>
          <w:sz w:val="20"/>
          <w:szCs w:val="20"/>
          <w:color w:val="auto"/>
        </w:rPr>
      </w:pPr>
    </w:p>
    <w:p>
      <w:pPr>
        <w:jc w:val="both"/>
        <w:ind w:firstLine="635"/>
        <w:spacing w:after="0" w:line="288" w:lineRule="auto"/>
        <w:rPr>
          <w:sz w:val="20"/>
          <w:szCs w:val="20"/>
          <w:color w:val="auto"/>
        </w:rPr>
      </w:pPr>
      <w:r>
        <w:rPr>
          <w:rFonts w:ascii="Arial" w:cs="Arial" w:eastAsia="Arial" w:hAnsi="Arial"/>
          <w:sz w:val="19"/>
          <w:szCs w:val="19"/>
          <w:color w:val="auto"/>
        </w:rPr>
        <w:t>WHEREAS, the Issuer desires to amend and supplement the Indenture to evidence the addition of Weatherford Delaware as a co-issuer of the Notes and concurrently release the Guarantee of Weatherford Delaware; and</w:t>
      </w:r>
    </w:p>
    <w:p>
      <w:pPr>
        <w:spacing w:after="0" w:line="178" w:lineRule="exact"/>
        <w:rPr>
          <w:sz w:val="20"/>
          <w:szCs w:val="20"/>
          <w:color w:val="auto"/>
        </w:rPr>
      </w:pPr>
    </w:p>
    <w:p>
      <w:pPr>
        <w:jc w:val="both"/>
        <w:ind w:firstLine="635"/>
        <w:spacing w:after="0" w:line="288" w:lineRule="auto"/>
        <w:rPr>
          <w:sz w:val="20"/>
          <w:szCs w:val="20"/>
          <w:color w:val="auto"/>
        </w:rPr>
      </w:pPr>
      <w:r>
        <w:rPr>
          <w:rFonts w:ascii="Arial" w:cs="Arial" w:eastAsia="Arial" w:hAnsi="Arial"/>
          <w:sz w:val="19"/>
          <w:szCs w:val="19"/>
          <w:color w:val="auto"/>
        </w:rPr>
        <w:t>WHEREAS, the Issuer has delivered to the Trustee, and the Trustee has received, accepted and approved from the Issuer, an Officers’ Certificate and an Opinion of Counsel in accordance with Sections 9.1, 9.5, 11.3 and 11.4 of the Indenture.</w:t>
      </w:r>
    </w:p>
    <w:p>
      <w:pPr>
        <w:spacing w:after="0" w:line="178" w:lineRule="exact"/>
        <w:rPr>
          <w:sz w:val="20"/>
          <w:szCs w:val="20"/>
          <w:color w:val="auto"/>
        </w:rPr>
      </w:pPr>
    </w:p>
    <w:p>
      <w:pPr>
        <w:jc w:val="both"/>
        <w:ind w:firstLine="635"/>
        <w:spacing w:after="0" w:line="275"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of which is hereby acknowledged, Weatherford Delaware, the Issuer, the Parent Guarantor and the Trustee mutually covenant and agree for the equal and ratable benefit of the Holders as follows:</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19"/>
          <w:szCs w:val="19"/>
          <w:color w:val="auto"/>
        </w:rPr>
        <w:t>Article I.</w:t>
      </w:r>
      <w:r>
        <w:rPr>
          <w:sz w:val="20"/>
          <w:szCs w:val="20"/>
          <w:color w:val="auto"/>
        </w:rPr>
        <w:tab/>
      </w:r>
      <w:r>
        <w:rPr>
          <w:rFonts w:ascii="Arial" w:cs="Arial" w:eastAsia="Arial" w:hAnsi="Arial"/>
          <w:sz w:val="19"/>
          <w:szCs w:val="19"/>
          <w:u w:val="single" w:color="auto"/>
          <w:color w:val="auto"/>
        </w:rPr>
        <w:t>Definitions</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200" w:lineRule="exact"/>
        <w:rPr>
          <w:sz w:val="20"/>
          <w:szCs w:val="20"/>
          <w:color w:val="auto"/>
        </w:rPr>
      </w:pP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9"/>
          <w:szCs w:val="19"/>
          <w:color w:val="auto"/>
        </w:rPr>
        <w:t>Article II.</w:t>
      </w:r>
      <w:r>
        <w:rPr>
          <w:sz w:val="20"/>
          <w:szCs w:val="20"/>
          <w:color w:val="auto"/>
        </w:rPr>
        <w:tab/>
      </w:r>
      <w:r>
        <w:rPr>
          <w:rFonts w:ascii="Arial" w:cs="Arial" w:eastAsia="Arial" w:hAnsi="Arial"/>
          <w:sz w:val="19"/>
          <w:szCs w:val="19"/>
          <w:u w:val="single" w:color="auto"/>
          <w:color w:val="auto"/>
        </w:rPr>
        <w:t>Agreement to Co-Issue</w:t>
      </w:r>
    </w:p>
    <w:p>
      <w:pPr>
        <w:spacing w:after="0" w:line="259" w:lineRule="exact"/>
        <w:rPr>
          <w:sz w:val="20"/>
          <w:szCs w:val="20"/>
          <w:color w:val="auto"/>
        </w:rPr>
      </w:pPr>
    </w:p>
    <w:p>
      <w:pPr>
        <w:ind w:right="320"/>
        <w:spacing w:after="0" w:line="30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Agreement to become a Co-Issuer</w:t>
      </w:r>
      <w:r>
        <w:rPr>
          <w:rFonts w:ascii="Arial" w:cs="Arial" w:eastAsia="Arial" w:hAnsi="Arial"/>
          <w:sz w:val="19"/>
          <w:szCs w:val="19"/>
          <w:color w:val="auto"/>
        </w:rPr>
        <w:t>. Weatherford Delaware hereby agrees to become a co- issuer of the Notes and a co-obligor of any and all of the Issuer’s obligations under the Indenture and the</w:t>
      </w:r>
    </w:p>
    <w:p>
      <w:pPr>
        <w:sectPr>
          <w:pgSz w:w="11900" w:h="16838" w:orient="portrait"/>
          <w:cols w:equalWidth="0" w:num="1">
            <w:col w:w="11040"/>
          </w:cols>
          <w:pgMar w:left="420" w:top="1388" w:right="439" w:bottom="1440" w:gutter="0" w:footer="0" w:header="0"/>
        </w:sectPr>
      </w:pPr>
    </w:p>
    <w:bookmarkStart w:id="91" w:name="page92"/>
    <w:bookmarkEnd w:id="91"/>
    <w:p>
      <w:pPr>
        <w:spacing w:after="0" w:line="123"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Notes, on the same terms and subject to the same conditions as the Issuer, on a joint and several basis. Unless the context otherwise requires, all references to the Issuer, as the issuer of the Notes in the Indenture and the Notes, shall be to the Issuer and Weatherford Delaware, jointly, as co-issuers of the Notes.</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Article III.</w:t>
      </w:r>
      <w:r>
        <w:rPr>
          <w:sz w:val="20"/>
          <w:szCs w:val="20"/>
          <w:color w:val="auto"/>
        </w:rPr>
        <w:tab/>
      </w:r>
      <w:r>
        <w:rPr>
          <w:rFonts w:ascii="Arial" w:cs="Arial" w:eastAsia="Arial" w:hAnsi="Arial"/>
          <w:sz w:val="19"/>
          <w:szCs w:val="19"/>
          <w:u w:val="single" w:color="auto"/>
          <w:color w:val="auto"/>
        </w:rPr>
        <w:t>Release of Guarantee</w:t>
      </w:r>
    </w:p>
    <w:p>
      <w:pPr>
        <w:spacing w:after="0" w:line="245" w:lineRule="exact"/>
        <w:rPr>
          <w:sz w:val="20"/>
          <w:szCs w:val="20"/>
          <w:color w:val="auto"/>
        </w:rPr>
      </w:pPr>
    </w:p>
    <w:p>
      <w:pPr>
        <w:ind w:right="300"/>
        <w:spacing w:after="0" w:line="30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Release of Guarantee.</w:t>
      </w:r>
      <w:r>
        <w:rPr>
          <w:rFonts w:ascii="Arial" w:cs="Arial" w:eastAsia="Arial" w:hAnsi="Arial"/>
          <w:sz w:val="19"/>
          <w:szCs w:val="19"/>
          <w:color w:val="auto"/>
        </w:rPr>
        <w:t xml:space="preserve"> The Guarantee of Weatherford Delaware under the Indenture is hereby unconditionally released in accordance with Section 9.1 of the Indenture.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auto"/>
        </w:rPr>
        <w:t>Article IV.</w:t>
      </w:r>
      <w:r>
        <w:rPr>
          <w:sz w:val="20"/>
          <w:szCs w:val="20"/>
          <w:color w:val="auto"/>
        </w:rPr>
        <w:tab/>
      </w:r>
      <w:r>
        <w:rPr>
          <w:rFonts w:ascii="Arial" w:cs="Arial" w:eastAsia="Arial" w:hAnsi="Arial"/>
          <w:sz w:val="19"/>
          <w:szCs w:val="19"/>
          <w:u w:val="single" w:color="auto"/>
          <w:color w:val="auto"/>
        </w:rPr>
        <w:t>Miscellaneous</w:t>
      </w:r>
    </w:p>
    <w:p>
      <w:pPr>
        <w:spacing w:after="0" w:line="25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Supplemental Indenture shall be governed by, and construed in accordance with, the laws of the State of New York.</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Severability Clause</w:t>
      </w:r>
      <w:r>
        <w:rPr>
          <w:rFonts w:ascii="Arial" w:cs="Arial" w:eastAsia="Arial" w:hAnsi="Arial"/>
          <w:sz w:val="19"/>
          <w:szCs w:val="19"/>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Ratification of Indenture; Supplemental Indentures Part of Indenture; No Liability of Trus- tee</w:t>
      </w:r>
      <w:r>
        <w:rPr>
          <w:rFonts w:ascii="Arial" w:cs="Arial" w:eastAsia="Arial" w:hAnsi="Arial"/>
          <w:sz w:val="19"/>
          <w:szCs w:val="19"/>
          <w:color w:val="auto"/>
        </w:rPr>
        <w:t>. Except as expressly amended hereby, the Indenture is in all respects ratified and confirmed and all the terms, conditions and provisions thereof shall remain in full force and effect. This Supplemental In- denture shall form a part of the Indenture for all purposes, and every Holder of a Note heretofore or hereafter authenticated and delivered shall be bound hereby. The Trustee makes no representation or warranty as to the validity or sufficiency of this Supplemental Indenture. Additionally, the Trustee shall not be responsible in any manner whatsoever for or with respect to any of the recitals or statements contained herein, all of which recitals or statements are made solely by Weatherford Delaware and the Trustee makes no representation with respect to any such matters.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Counterparts</w:t>
      </w:r>
      <w:r>
        <w:rPr>
          <w:rFonts w:ascii="Arial" w:cs="Arial" w:eastAsia="Arial" w:hAnsi="Arial"/>
          <w:sz w:val="19"/>
          <w:szCs w:val="19"/>
          <w:color w:val="auto"/>
        </w:rPr>
        <w:t>. This Supplemental Indenture may be executed in two or more counter- 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Articles and the sections in this Supplemental Indenture are for convenience of reference only and shall not be deemed to alter or affect the meaning or interpretation of any provisions hereof.</w:t>
      </w:r>
    </w:p>
    <w:p>
      <w:pPr>
        <w:spacing w:after="0" w:line="15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The Trustee.</w:t>
      </w:r>
      <w:r>
        <w:rPr>
          <w:rFonts w:ascii="Arial" w:cs="Arial" w:eastAsia="Arial" w:hAnsi="Arial"/>
          <w:sz w:val="19"/>
          <w:szCs w:val="19"/>
          <w:color w:val="auto"/>
        </w:rPr>
        <w:t xml:space="preserve"> The Trustee shall not be responsible in any manner whatsoever for or in respect of the validity or sufficiency of this Supplemental Indenture or for or in respect of the recitals</w:t>
      </w:r>
    </w:p>
    <w:p>
      <w:pPr>
        <w:sectPr>
          <w:pgSz w:w="11900" w:h="16838" w:orient="portrait"/>
          <w:cols w:equalWidth="0" w:num="1">
            <w:col w:w="11040"/>
          </w:cols>
          <w:pgMar w:left="420" w:top="1440" w:right="439" w:bottom="1440" w:gutter="0" w:footer="0" w:header="0"/>
        </w:sectPr>
      </w:pPr>
    </w:p>
    <w:bookmarkStart w:id="92" w:name="page93"/>
    <w:bookmarkEnd w:id="92"/>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contained herein, all of which recitals are made solely by Weatherford Delaware.</w:t>
      </w: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10039"/>
          </w:cols>
          <w:pgMar w:left="420" w:top="1440" w:right="1440" w:bottom="1440" w:gutter="0" w:footer="0" w:header="0"/>
          <w:type w:val="continuous"/>
        </w:sectPr>
      </w:pPr>
    </w:p>
    <w:bookmarkStart w:id="93" w:name="page94"/>
    <w:bookmarkEnd w:id="93"/>
    <w:p>
      <w:pPr>
        <w:spacing w:after="0" w:line="215" w:lineRule="exact"/>
        <w:rPr>
          <w:sz w:val="20"/>
          <w:szCs w:val="20"/>
          <w:color w:val="auto"/>
        </w:rPr>
      </w:pPr>
    </w:p>
    <w:p>
      <w:pPr>
        <w:ind w:left="40" w:firstLine="700"/>
        <w:spacing w:after="0" w:line="346" w:lineRule="auto"/>
        <w:rPr>
          <w:sz w:val="20"/>
          <w:szCs w:val="20"/>
          <w:color w:val="auto"/>
        </w:rPr>
      </w:pPr>
      <w:r>
        <w:rPr>
          <w:rFonts w:ascii="Arial" w:cs="Arial" w:eastAsia="Arial" w:hAnsi="Arial"/>
          <w:sz w:val="19"/>
          <w:szCs w:val="19"/>
          <w:color w:val="0F0F0F"/>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F0F0F"/>
        </w:rPr>
        <w:t>WEATHERFORD INTERNATIONAL, LLC,</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as Co-Issuer</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1898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Name: Maximiliano A. Kricorian</w:t>
      </w:r>
    </w:p>
    <w:p>
      <w:pPr>
        <w:spacing w:after="0" w:line="4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9"/>
          <w:szCs w:val="19"/>
          <w:color w:val="0F0F0F"/>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F0F0F"/>
        </w:rPr>
        <w:t>WEATHERFORD INTERNATIONAL LTD.,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9"/>
          <w:szCs w:val="19"/>
          <w:color w:val="0F0F0F"/>
        </w:rPr>
        <w:t>as Issuer</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1898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Name: Maximiliano A. Kricorian</w:t>
      </w:r>
    </w:p>
    <w:p>
      <w:pPr>
        <w:spacing w:after="0" w:line="4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9"/>
          <w:szCs w:val="19"/>
          <w:color w:val="0F0F0F"/>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b w:val="1"/>
          <w:bCs w:val="1"/>
          <w:color w:val="0F0F0F"/>
        </w:rPr>
        <w:t>WEATHERFORD INTERNATIONAL PLC,</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0F0F0F"/>
        </w:rPr>
        <w:t>as Parent Guarantor</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1898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9"/>
          <w:szCs w:val="19"/>
          <w:color w:val="0F0F0F"/>
        </w:rPr>
        <w:t>Name: Maximiliano A. Kricorian</w:t>
      </w:r>
    </w:p>
    <w:p>
      <w:pPr>
        <w:spacing w:after="0" w:line="4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9"/>
          <w:szCs w:val="19"/>
          <w:color w:val="0F0F0F"/>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i w:val="1"/>
          <w:iCs w:val="1"/>
          <w:color w:val="0F0F0F"/>
        </w:rPr>
        <w:t>[Signature Page to Supplemental Indenture]</w:t>
      </w:r>
    </w:p>
    <w:p>
      <w:pPr>
        <w:sectPr>
          <w:pgSz w:w="11900" w:h="16838" w:orient="portrait"/>
          <w:cols w:equalWidth="0" w:num="1">
            <w:col w:w="10680"/>
          </w:cols>
          <w:pgMar w:left="460" w:top="1440" w:right="759" w:bottom="1440" w:gutter="0" w:footer="0" w:header="0"/>
        </w:sectPr>
      </w:pPr>
    </w:p>
    <w:bookmarkStart w:id="94" w:name="page95"/>
    <w:bookmarkEnd w:id="94"/>
    <w:p>
      <w:pPr>
        <w:spacing w:after="0" w:line="18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0C0C0C"/>
        </w:rPr>
        <w:t xml:space="preserve">UMB BANK, N.A., </w:t>
      </w:r>
      <w:r>
        <w:rPr>
          <w:rFonts w:ascii="Arial" w:cs="Arial" w:eastAsia="Arial" w:hAnsi="Arial"/>
          <w:sz w:val="19"/>
          <w:szCs w:val="19"/>
          <w:color w:val="1F1F1F"/>
        </w:rPr>
        <w:t>as Trustee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29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7"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Name:</w:t>
        <w:tab/>
        <w:t>Shazia Flores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9"/>
          <w:szCs w:val="19"/>
          <w:i w:val="1"/>
          <w:iCs w:val="1"/>
          <w:color w:val="0F0F0F"/>
        </w:rPr>
        <w:t>[Signature Page to Supplemental Indenture]</w:t>
      </w:r>
    </w:p>
    <w:p>
      <w:pPr>
        <w:sectPr>
          <w:pgSz w:w="11900" w:h="16838" w:orient="portrait"/>
          <w:cols w:equalWidth="0" w:num="1">
            <w:col w:w="10139"/>
          </w:cols>
          <w:pgMar w:left="320" w:top="1440" w:right="1440" w:bottom="1440" w:gutter="0" w:footer="0" w:header="0"/>
        </w:sectPr>
      </w:pPr>
    </w:p>
    <w:bookmarkStart w:id="95" w:name="page96"/>
    <w:bookmarkEnd w:id="95"/>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80"/>
        <w:spacing w:after="0"/>
        <w:rPr>
          <w:sz w:val="20"/>
          <w:szCs w:val="20"/>
          <w:color w:val="auto"/>
        </w:rPr>
      </w:pPr>
      <w:r>
        <w:rPr>
          <w:rFonts w:ascii="Arial" w:cs="Arial" w:eastAsia="Arial" w:hAnsi="Arial"/>
          <w:sz w:val="37"/>
          <w:szCs w:val="37"/>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42545</wp:posOffset>
            </wp:positionV>
            <wp:extent cx="5275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PURPOSE</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CE1141"/>
        </w:rPr>
        <w:t xml:space="preserve">WHY </w:t>
      </w:r>
      <w:r>
        <w:rPr>
          <w:rFonts w:ascii="Arial" w:cs="Arial" w:eastAsia="Arial" w:hAnsi="Arial"/>
          <w:sz w:val="18"/>
          <w:szCs w:val="18"/>
          <w:color w:val="000000"/>
        </w:rPr>
        <w:t>do we have this Policy?</w:t>
      </w:r>
    </w:p>
    <w:p>
      <w:pPr>
        <w:spacing w:after="0" w:line="84" w:lineRule="exact"/>
        <w:rPr>
          <w:sz w:val="20"/>
          <w:szCs w:val="20"/>
          <w:color w:val="auto"/>
        </w:rPr>
      </w:pPr>
    </w:p>
    <w:p>
      <w:pPr>
        <w:jc w:val="both"/>
        <w:ind w:left="880" w:right="740"/>
        <w:spacing w:after="0" w:line="253" w:lineRule="auto"/>
        <w:rPr>
          <w:sz w:val="20"/>
          <w:szCs w:val="20"/>
          <w:color w:val="auto"/>
        </w:rPr>
      </w:pPr>
      <w:r>
        <w:rPr>
          <w:rFonts w:ascii="Arial" w:cs="Arial" w:eastAsia="Arial" w:hAnsi="Arial"/>
          <w:sz w:val="16"/>
          <w:szCs w:val="16"/>
          <w:color w:val="auto"/>
        </w:rPr>
        <w:t>This Policy establishes the enterprise rules and governing principles regarding the prohibition on Insider Trading for worldwide operations of Weatherford International plc, and its subsidiaries (hereinafter “Weatherford”). Weatherford shares are publicly traded and Weatherford publicly discloses information about its operations and business from time to time. Persons inside Weatherford will at times have information regarding Weatherford that has not yet been publicly disclosed and that could materially affect the value of Weatherford’s securities. U.S. and other securities laws are designed to protect the integrity of the trading markets by preventing insiders who have material, non-public information about a company from trading in the company’s securities while aware of that information. To promote compliance with securities laws, Weatherford has adopted this Policy.</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147955</wp:posOffset>
            </wp:positionV>
            <wp:extent cx="5275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SCOPE</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CE1141"/>
        </w:rPr>
        <w:t xml:space="preserve">WHO </w:t>
      </w:r>
      <w:r>
        <w:rPr>
          <w:rFonts w:ascii="Arial" w:cs="Arial" w:eastAsia="Arial" w:hAnsi="Arial"/>
          <w:sz w:val="18"/>
          <w:szCs w:val="18"/>
          <w:color w:val="000000"/>
        </w:rPr>
        <w:t>must follow this Policy?</w:t>
      </w:r>
    </w:p>
    <w:p>
      <w:pPr>
        <w:spacing w:after="0" w:line="84"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color w:val="auto"/>
        </w:rPr>
        <w:t>This Policy applies to all of Weatherford’s employees, directors, officers, consultants, contractors, interns and third parties working for or on behalf of Weatherford, including, in each case, members of their households or entities they control such as companies or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-10160</wp:posOffset>
            </wp:positionV>
            <wp:extent cx="5275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DEFINITIONS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CE1141"/>
        </w:rPr>
        <w:t xml:space="preserve">WHAT TERMS </w:t>
      </w:r>
      <w:r>
        <w:rPr>
          <w:rFonts w:ascii="Arial" w:cs="Arial" w:eastAsia="Arial" w:hAnsi="Arial"/>
          <w:sz w:val="18"/>
          <w:szCs w:val="18"/>
          <w:color w:val="000000"/>
        </w:rPr>
        <w:t>must I be familiar with?</w:t>
      </w:r>
    </w:p>
    <w:p>
      <w:pPr>
        <w:spacing w:after="0" w:line="84" w:lineRule="exact"/>
        <w:rPr>
          <w:sz w:val="20"/>
          <w:szCs w:val="20"/>
          <w:color w:val="auto"/>
        </w:rPr>
      </w:pPr>
    </w:p>
    <w:p>
      <w:pPr>
        <w:ind w:left="880" w:right="1260"/>
        <w:spacing w:after="0" w:line="257" w:lineRule="auto"/>
        <w:rPr>
          <w:sz w:val="20"/>
          <w:szCs w:val="20"/>
          <w:color w:val="auto"/>
        </w:rPr>
      </w:pPr>
      <w:r>
        <w:rPr>
          <w:rFonts w:ascii="Arial" w:cs="Arial" w:eastAsia="Arial" w:hAnsi="Arial"/>
          <w:sz w:val="16"/>
          <w:szCs w:val="16"/>
          <w:b w:val="1"/>
          <w:bCs w:val="1"/>
          <w:color w:val="auto"/>
        </w:rPr>
        <w:t xml:space="preserve">INSIDE INFORMATION: </w:t>
      </w:r>
      <w:r>
        <w:rPr>
          <w:rFonts w:ascii="Arial" w:cs="Arial" w:eastAsia="Arial" w:hAnsi="Arial"/>
          <w:sz w:val="16"/>
          <w:szCs w:val="16"/>
          <w:color w:val="auto"/>
        </w:rPr>
        <w:t>Inside Information includes any material, non-public information, whether “good news” or “bad news,”</w:t>
      </w:r>
      <w:r>
        <w:rPr>
          <w:rFonts w:ascii="Arial" w:cs="Arial" w:eastAsia="Arial" w:hAnsi="Arial"/>
          <w:sz w:val="16"/>
          <w:szCs w:val="16"/>
          <w:b w:val="1"/>
          <w:bCs w:val="1"/>
          <w:color w:val="auto"/>
        </w:rPr>
        <w:t xml:space="preserve"> </w:t>
      </w:r>
      <w:r>
        <w:rPr>
          <w:rFonts w:ascii="Arial" w:cs="Arial" w:eastAsia="Arial" w:hAnsi="Arial"/>
          <w:sz w:val="16"/>
          <w:szCs w:val="16"/>
          <w:color w:val="auto"/>
        </w:rPr>
        <w:t>where:</w:t>
      </w:r>
    </w:p>
    <w:p>
      <w:pPr>
        <w:spacing w:after="0" w:line="1" w:lineRule="exact"/>
        <w:rPr>
          <w:sz w:val="20"/>
          <w:szCs w:val="20"/>
          <w:color w:val="auto"/>
        </w:rPr>
      </w:pPr>
    </w:p>
    <w:p>
      <w:pPr>
        <w:ind w:left="1680" w:right="800" w:hanging="318"/>
        <w:spacing w:after="0" w:line="250" w:lineRule="auto"/>
        <w:tabs>
          <w:tab w:leader="none" w:pos="1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a substantial likelihood that a reasonable investor could consider the information important in deciding whether to buy or sell Weatherford securities;</w:t>
      </w:r>
    </w:p>
    <w:p>
      <w:pPr>
        <w:ind w:left="1660" w:hanging="298"/>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if disclosed, could be viewed by a reasonable investor as having significantly altered the “total mix”</w:t>
      </w:r>
    </w:p>
    <w:p>
      <w:pPr>
        <w:spacing w:after="0" w:line="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of publicly available information about Weatherford; or</w:t>
      </w:r>
    </w:p>
    <w:p>
      <w:pPr>
        <w:spacing w:after="0" w:line="10" w:lineRule="exact"/>
        <w:rPr>
          <w:sz w:val="20"/>
          <w:szCs w:val="20"/>
          <w:color w:val="auto"/>
        </w:rPr>
      </w:pPr>
    </w:p>
    <w:p>
      <w:pPr>
        <w:ind w:left="1660" w:hanging="300"/>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when disclosed, is reasonably likely to affect the trading price of Weatherford securities.</w:t>
      </w:r>
    </w:p>
    <w:p>
      <w:pPr>
        <w:spacing w:after="0" w:line="189" w:lineRule="exact"/>
        <w:rPr>
          <w:sz w:val="20"/>
          <w:szCs w:val="20"/>
          <w:color w:val="auto"/>
        </w:rPr>
      </w:pPr>
    </w:p>
    <w:p>
      <w:pPr>
        <w:jc w:val="both"/>
        <w:ind w:left="880" w:right="760"/>
        <w:spacing w:after="0" w:line="258" w:lineRule="auto"/>
        <w:rPr>
          <w:sz w:val="20"/>
          <w:szCs w:val="20"/>
          <w:color w:val="auto"/>
        </w:rPr>
      </w:pPr>
      <w:r>
        <w:rPr>
          <w:rFonts w:ascii="Arial" w:cs="Arial" w:eastAsia="Arial" w:hAnsi="Arial"/>
          <w:sz w:val="16"/>
          <w:szCs w:val="16"/>
          <w:color w:val="auto"/>
        </w:rPr>
        <w:t>Information may be material for this purpose even if it would not alone affect an investor’s decision and regardless of whether the effect on the market price of the securities would arise in the short term or long term. The materiality of information is assessed at a given time and is not limited to information of a financial nature; rather it can relate to virtually any aspect of Weatherford’s business.</w:t>
      </w:r>
    </w:p>
    <w:p>
      <w:pPr>
        <w:spacing w:after="0" w:line="82"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color w:val="auto"/>
        </w:rPr>
        <w:t>If securities transactions ever become the subject of scrutiny, they are likely to be viewed after-the-fact with the benefit of hindsight. Before engaging in any securities transaction, an insider should carefully consider how that transaction may be construed in the bright light of hindsight.</w:t>
      </w:r>
    </w:p>
    <w:p>
      <w:pPr>
        <w:spacing w:after="0" w:line="62" w:lineRule="exact"/>
        <w:rPr>
          <w:sz w:val="20"/>
          <w:szCs w:val="20"/>
          <w:color w:val="auto"/>
        </w:rPr>
      </w:pPr>
    </w:p>
    <w:p>
      <w:pPr>
        <w:jc w:val="both"/>
        <w:ind w:left="880" w:right="760"/>
        <w:spacing w:after="0" w:line="275" w:lineRule="auto"/>
        <w:rPr>
          <w:sz w:val="20"/>
          <w:szCs w:val="20"/>
          <w:color w:val="auto"/>
        </w:rPr>
      </w:pPr>
      <w:r>
        <w:rPr>
          <w:rFonts w:ascii="Arial" w:cs="Arial" w:eastAsia="Arial" w:hAnsi="Arial"/>
          <w:sz w:val="16"/>
          <w:szCs w:val="16"/>
          <w:color w:val="auto"/>
        </w:rPr>
        <w:t>Inside information is not limited to historical facts, but also may include projections and forecasts. Some (but not all) of the matters that would be considered inside information include:</w:t>
      </w:r>
    </w:p>
    <w:p>
      <w:pPr>
        <w:spacing w:after="0" w:line="69" w:lineRule="exact"/>
        <w:rPr>
          <w:sz w:val="20"/>
          <w:szCs w:val="20"/>
          <w:color w:val="auto"/>
        </w:rPr>
      </w:pPr>
    </w:p>
    <w:p>
      <w:pPr>
        <w:ind w:left="1540" w:hanging="300"/>
        <w:spacing w:after="0"/>
        <w:tabs>
          <w:tab w:leader="none" w:pos="15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Earnings, or earnings forecasts including expectations for future periods,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undisclosed past financial results,</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accounting and tax matters,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possible business acquisitions, mergers, dispositions or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90" w:type="dxa"/>
        <w:tblCellMar>
          <w:top w:w="0" w:type="dxa"/>
          <w:left w:w="0" w:type="dxa"/>
          <w:bottom w:w="0" w:type="dxa"/>
          <w:right w:w="0" w:type="dxa"/>
        </w:tblCellMar>
      </w:tblPr>
      <w:tr>
        <w:trPr>
          <w:trHeight w:val="493"/>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1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57"/>
        </w:trPr>
        <w:tc>
          <w:tcPr>
            <w:tcW w:w="800" w:type="dxa"/>
            <w:vAlign w:val="bottom"/>
            <w:tcBorders>
              <w:left w:val="single" w:sz="8" w:color="BDBDBD"/>
              <w:bottom w:val="single" w:sz="8" w:color="BDBDBD"/>
              <w:right w:val="single" w:sz="8" w:color="BDBDBD"/>
            </w:tcBorders>
          </w:tcPr>
          <w:p>
            <w:pPr>
              <w:spacing w:after="0"/>
              <w:rPr>
                <w:sz w:val="13"/>
                <w:szCs w:val="13"/>
                <w:color w:val="auto"/>
              </w:rPr>
            </w:pPr>
          </w:p>
        </w:tc>
        <w:tc>
          <w:tcPr>
            <w:tcW w:w="840" w:type="dxa"/>
            <w:vAlign w:val="bottom"/>
            <w:tcBorders>
              <w:bottom w:val="single" w:sz="8" w:color="BDBDBD"/>
              <w:right w:val="single" w:sz="8" w:color="BDBDBD"/>
            </w:tcBorders>
          </w:tcPr>
          <w:p>
            <w:pPr>
              <w:spacing w:after="0"/>
              <w:rPr>
                <w:sz w:val="13"/>
                <w:szCs w:val="13"/>
                <w:color w:val="auto"/>
              </w:rPr>
            </w:pPr>
          </w:p>
        </w:tc>
        <w:tc>
          <w:tcPr>
            <w:tcW w:w="1660" w:type="dxa"/>
            <w:vAlign w:val="bottom"/>
            <w:tcBorders>
              <w:bottom w:val="single" w:sz="8" w:color="BDBDBD"/>
            </w:tcBorders>
          </w:tcPr>
          <w:p>
            <w:pPr>
              <w:spacing w:after="0"/>
              <w:rPr>
                <w:sz w:val="13"/>
                <w:szCs w:val="13"/>
                <w:color w:val="auto"/>
              </w:rPr>
            </w:pPr>
          </w:p>
        </w:tc>
        <w:tc>
          <w:tcPr>
            <w:tcW w:w="1140" w:type="dxa"/>
            <w:vAlign w:val="bottom"/>
            <w:tcBorders>
              <w:bottom w:val="single" w:sz="8" w:color="BDBDBD"/>
            </w:tcBorders>
          </w:tcPr>
          <w:p>
            <w:pPr>
              <w:spacing w:after="0"/>
              <w:rPr>
                <w:sz w:val="13"/>
                <w:szCs w:val="13"/>
                <w:color w:val="auto"/>
              </w:rPr>
            </w:pPr>
          </w:p>
        </w:tc>
        <w:tc>
          <w:tcPr>
            <w:tcW w:w="280" w:type="dxa"/>
            <w:vAlign w:val="bottom"/>
            <w:tcBorders>
              <w:bottom w:val="single" w:sz="8" w:color="BDBDBD"/>
            </w:tcBorders>
          </w:tcPr>
          <w:p>
            <w:pPr>
              <w:spacing w:after="0"/>
              <w:rPr>
                <w:sz w:val="13"/>
                <w:szCs w:val="13"/>
                <w:color w:val="auto"/>
              </w:rPr>
            </w:pPr>
          </w:p>
        </w:tc>
        <w:tc>
          <w:tcPr>
            <w:tcW w:w="1560" w:type="dxa"/>
            <w:vAlign w:val="bottom"/>
            <w:tcBorders>
              <w:bottom w:val="single" w:sz="8" w:color="BDBDBD"/>
            </w:tcBorders>
          </w:tcPr>
          <w:p>
            <w:pPr>
              <w:spacing w:after="0"/>
              <w:rPr>
                <w:sz w:val="13"/>
                <w:szCs w:val="13"/>
                <w:color w:val="auto"/>
              </w:rPr>
            </w:pPr>
          </w:p>
        </w:tc>
        <w:tc>
          <w:tcPr>
            <w:tcW w:w="1260" w:type="dxa"/>
            <w:vAlign w:val="bottom"/>
            <w:tcBorders>
              <w:bottom w:val="single" w:sz="8" w:color="BDBDBD"/>
            </w:tcBorders>
          </w:tcPr>
          <w:p>
            <w:pPr>
              <w:spacing w:after="0"/>
              <w:rPr>
                <w:sz w:val="13"/>
                <w:szCs w:val="13"/>
                <w:color w:val="auto"/>
              </w:rPr>
            </w:pPr>
          </w:p>
        </w:tc>
        <w:tc>
          <w:tcPr>
            <w:tcW w:w="1860" w:type="dxa"/>
            <w:vAlign w:val="bottom"/>
            <w:tcBorders>
              <w:bottom w:val="single" w:sz="8" w:color="BDBDBD"/>
              <w:right w:val="single" w:sz="8" w:color="BDBDBD"/>
            </w:tcBorders>
          </w:tcPr>
          <w:p>
            <w:pPr>
              <w:spacing w:after="0"/>
              <w:rPr>
                <w:sz w:val="13"/>
                <w:szCs w:val="13"/>
                <w:color w:val="auto"/>
              </w:rPr>
            </w:pPr>
          </w:p>
        </w:tc>
        <w:tc>
          <w:tcPr>
            <w:tcW w:w="1560" w:type="dxa"/>
            <w:vAlign w:val="bottom"/>
            <w:tcBorders>
              <w:bottom w:val="single" w:sz="8" w:color="BDBDBD"/>
              <w:right w:val="single" w:sz="8" w:color="BDBDBD"/>
            </w:tcBorders>
          </w:tcPr>
          <w:p>
            <w:pPr>
              <w:spacing w:after="0"/>
              <w:rPr>
                <w:sz w:val="13"/>
                <w:szCs w:val="13"/>
                <w:color w:val="auto"/>
              </w:rPr>
            </w:pPr>
          </w:p>
        </w:tc>
      </w:tr>
      <w:tr>
        <w:trPr>
          <w:trHeight w:val="226"/>
        </w:trPr>
        <w:tc>
          <w:tcPr>
            <w:tcW w:w="1640" w:type="dxa"/>
            <w:vAlign w:val="bottom"/>
            <w:tcBorders>
              <w:left w:val="single" w:sz="8" w:color="BDBDBD"/>
              <w:bottom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Borders>
              <w:bottom w:val="single" w:sz="8" w:color="BDBDBD"/>
            </w:tcBorders>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bottom w:val="single" w:sz="8" w:color="BDBDBD"/>
              <w:right w:val="single" w:sz="8" w:color="BDBDBD"/>
            </w:tcBorders>
          </w:tcPr>
          <w:p>
            <w:pPr>
              <w:spacing w:after="0"/>
              <w:rPr>
                <w:sz w:val="19"/>
                <w:szCs w:val="19"/>
                <w:color w:val="auto"/>
              </w:rPr>
            </w:pP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bottom w:val="single" w:sz="8" w:color="BDBDBD"/>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50"/>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1"/>
                <w:szCs w:val="21"/>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2"/>
        </w:trPr>
        <w:tc>
          <w:tcPr>
            <w:tcW w:w="800" w:type="dxa"/>
            <w:vAlign w:val="bottom"/>
            <w:tcBorders>
              <w:left w:val="single" w:sz="8" w:color="BDBDBD"/>
              <w:bottom w:val="single" w:sz="8" w:color="BDBDBD"/>
            </w:tcBorders>
          </w:tcPr>
          <w:p>
            <w:pPr>
              <w:spacing w:after="0" w:line="20" w:lineRule="exact"/>
              <w:rPr>
                <w:sz w:val="1"/>
                <w:szCs w:val="1"/>
                <w:color w:val="auto"/>
              </w:rPr>
            </w:pPr>
          </w:p>
        </w:tc>
        <w:tc>
          <w:tcPr>
            <w:tcW w:w="840" w:type="dxa"/>
            <w:vAlign w:val="bottom"/>
            <w:tcBorders>
              <w:bottom w:val="single" w:sz="8" w:color="BDBDBD"/>
              <w:right w:val="single" w:sz="8" w:color="BDBDBD"/>
            </w:tcBorders>
          </w:tcPr>
          <w:p>
            <w:pPr>
              <w:spacing w:after="0" w:line="20" w:lineRule="exact"/>
              <w:rPr>
                <w:sz w:val="1"/>
                <w:szCs w:val="1"/>
                <w:color w:val="auto"/>
              </w:rPr>
            </w:pPr>
          </w:p>
        </w:tc>
        <w:tc>
          <w:tcPr>
            <w:tcW w:w="1660" w:type="dxa"/>
            <w:vAlign w:val="bottom"/>
            <w:tcBorders>
              <w:bottom w:val="single" w:sz="8" w:color="BDBDBD"/>
              <w:right w:val="single" w:sz="8" w:color="BDBDBD"/>
            </w:tcBorders>
          </w:tcPr>
          <w:p>
            <w:pPr>
              <w:spacing w:after="0" w:line="20" w:lineRule="exact"/>
              <w:rPr>
                <w:sz w:val="1"/>
                <w:szCs w:val="1"/>
                <w:color w:val="auto"/>
              </w:rPr>
            </w:pPr>
          </w:p>
        </w:tc>
        <w:tc>
          <w:tcPr>
            <w:tcW w:w="1140" w:type="dxa"/>
            <w:vAlign w:val="bottom"/>
            <w:tcBorders>
              <w:bottom w:val="single" w:sz="8" w:color="BDBDBD"/>
            </w:tcBorders>
          </w:tcPr>
          <w:p>
            <w:pPr>
              <w:spacing w:after="0" w:line="20" w:lineRule="exact"/>
              <w:rPr>
                <w:sz w:val="1"/>
                <w:szCs w:val="1"/>
                <w:color w:val="auto"/>
              </w:rPr>
            </w:pPr>
          </w:p>
        </w:tc>
        <w:tc>
          <w:tcPr>
            <w:tcW w:w="28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c>
          <w:tcPr>
            <w:tcW w:w="1260" w:type="dxa"/>
            <w:vAlign w:val="bottom"/>
            <w:tcBorders>
              <w:bottom w:val="single" w:sz="8" w:color="BDBDBD"/>
              <w:right w:val="single" w:sz="8" w:color="BDBDBD"/>
            </w:tcBorders>
          </w:tcPr>
          <w:p>
            <w:pPr>
              <w:spacing w:after="0" w:line="20" w:lineRule="exact"/>
              <w:rPr>
                <w:sz w:val="1"/>
                <w:szCs w:val="1"/>
                <w:color w:val="auto"/>
              </w:rPr>
            </w:pPr>
          </w:p>
        </w:tc>
        <w:tc>
          <w:tcPr>
            <w:tcW w:w="186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-697865</wp:posOffset>
            </wp:positionV>
            <wp:extent cx="277495" cy="1936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ectPr>
          <w:pgSz w:w="11900" w:h="16838" w:orient="portrait"/>
          <w:cols w:equalWidth="0" w:num="1">
            <w:col w:w="11020"/>
          </w:cols>
          <w:pgMar w:left="360" w:top="164" w:right="5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type w:val="continuous"/>
        </w:sectPr>
      </w:pPr>
    </w:p>
    <w:bookmarkStart w:id="96" w:name="page97"/>
    <w:bookmarkEnd w:id="96"/>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formation of a joint venture or other strategic relationship,</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acquisition or loss of a significant supplier or customer or contract,</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important product or technology developments,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 cybersecurity incident,</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financing developments,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key personnel or management changes,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labor negotiations or disputes,</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capital market transactions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or modification of a repurchase program for Weatherford securities);</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debt ratings,</w:t>
      </w:r>
    </w:p>
    <w:p>
      <w:pPr>
        <w:spacing w:after="0" w:line="10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impending bankruptcy or liquidity problems,</w:t>
      </w:r>
    </w:p>
    <w:p>
      <w:pPr>
        <w:spacing w:after="0" w:line="120"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major litigation or regulatory developments,</w:t>
      </w:r>
    </w:p>
    <w:p>
      <w:pPr>
        <w:spacing w:after="0" w:line="106" w:lineRule="exact"/>
        <w:rPr>
          <w:rFonts w:ascii="Times New Roman" w:cs="Times New Roman" w:eastAsia="Times New Roman" w:hAnsi="Times New Roman"/>
          <w:sz w:val="16"/>
          <w:szCs w:val="16"/>
          <w:color w:val="auto"/>
        </w:rPr>
      </w:pPr>
    </w:p>
    <w:p>
      <w:pPr>
        <w:ind w:left="1560" w:right="1080" w:hanging="320"/>
        <w:spacing w:after="0" w:line="274" w:lineRule="auto"/>
        <w:tabs>
          <w:tab w:leader="none" w:pos="1549"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any other event or development that Weatherford would likely disclose on a current or periodic report to be filed with the U.S. Securities and Exchange Commission (the “SEC”), or</w:t>
      </w:r>
    </w:p>
    <w:p>
      <w:pPr>
        <w:spacing w:after="0" w:line="56" w:lineRule="exact"/>
        <w:rPr>
          <w:rFonts w:ascii="Times New Roman" w:cs="Times New Roman" w:eastAsia="Times New Roman" w:hAnsi="Times New Roman"/>
          <w:sz w:val="16"/>
          <w:szCs w:val="16"/>
          <w:color w:val="auto"/>
        </w:rPr>
      </w:pPr>
    </w:p>
    <w:p>
      <w:pPr>
        <w:ind w:left="1540" w:hanging="300"/>
        <w:spacing w:after="0"/>
        <w:tabs>
          <w:tab w:leader="none" w:pos="15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content of any forthcoming report or news article that could affect Weatherford’s share price.</w:t>
      </w:r>
    </w:p>
    <w:p>
      <w:pPr>
        <w:spacing w:after="0" w:line="120" w:lineRule="exact"/>
        <w:rPr>
          <w:sz w:val="20"/>
          <w:szCs w:val="20"/>
          <w:color w:val="auto"/>
        </w:rPr>
      </w:pPr>
    </w:p>
    <w:p>
      <w:pPr>
        <w:jc w:val="both"/>
        <w:ind w:left="880" w:right="760"/>
        <w:spacing w:after="0" w:line="261" w:lineRule="auto"/>
        <w:rPr>
          <w:sz w:val="20"/>
          <w:szCs w:val="20"/>
          <w:color w:val="auto"/>
        </w:rPr>
      </w:pPr>
      <w:r>
        <w:rPr>
          <w:rFonts w:ascii="Arial" w:cs="Arial" w:eastAsia="Arial" w:hAnsi="Arial"/>
          <w:sz w:val="16"/>
          <w:szCs w:val="16"/>
          <w:color w:val="auto"/>
        </w:rPr>
        <w:t xml:space="preserve">Inside information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exclusively mean information relating to Weatherford, but also information relating to other companies, public or private, that Weatherford does business with (including negotiations). </w:t>
      </w:r>
      <w:r>
        <w:rPr>
          <w:rFonts w:ascii="Arial" w:cs="Arial" w:eastAsia="Arial" w:hAnsi="Arial"/>
          <w:sz w:val="16"/>
          <w:szCs w:val="16"/>
          <w:b w:val="1"/>
          <w:bCs w:val="1"/>
          <w:color w:val="auto"/>
        </w:rPr>
        <w:t>If you have any doubt about whether certain</w:t>
      </w:r>
    </w:p>
    <w:p>
      <w:pPr>
        <w:ind w:left="880"/>
        <w:spacing w:after="0"/>
        <w:rPr>
          <w:sz w:val="20"/>
          <w:szCs w:val="20"/>
          <w:color w:val="auto"/>
        </w:rPr>
      </w:pPr>
      <w:r>
        <w:rPr>
          <w:rFonts w:ascii="Arial" w:cs="Arial" w:eastAsia="Arial" w:hAnsi="Arial"/>
          <w:sz w:val="16"/>
          <w:szCs w:val="16"/>
          <w:b w:val="1"/>
          <w:bCs w:val="1"/>
          <w:color w:val="auto"/>
        </w:rPr>
        <w:t>information is inside information, please consult with the Legal Department.</w:t>
      </w:r>
    </w:p>
    <w:p>
      <w:pPr>
        <w:spacing w:after="0" w:line="92" w:lineRule="exact"/>
        <w:rPr>
          <w:sz w:val="20"/>
          <w:szCs w:val="20"/>
          <w:color w:val="auto"/>
        </w:rPr>
      </w:pPr>
    </w:p>
    <w:p>
      <w:pPr>
        <w:jc w:val="both"/>
        <w:ind w:left="880" w:right="760"/>
        <w:spacing w:after="0" w:line="259" w:lineRule="auto"/>
        <w:rPr>
          <w:sz w:val="20"/>
          <w:szCs w:val="20"/>
          <w:color w:val="auto"/>
        </w:rPr>
      </w:pPr>
      <w:r>
        <w:rPr>
          <w:rFonts w:ascii="Arial" w:cs="Arial" w:eastAsia="Arial" w:hAnsi="Arial"/>
          <w:sz w:val="16"/>
          <w:szCs w:val="16"/>
          <w:b w:val="1"/>
          <w:bCs w:val="1"/>
          <w:color w:val="auto"/>
        </w:rPr>
        <w:t xml:space="preserve">INSIDER: </w:t>
      </w:r>
      <w:r>
        <w:rPr>
          <w:rFonts w:ascii="Arial" w:cs="Arial" w:eastAsia="Arial" w:hAnsi="Arial"/>
          <w:sz w:val="16"/>
          <w:szCs w:val="16"/>
          <w:color w:val="auto"/>
        </w:rPr>
        <w:t>“Insider(s)” are all Weatherford employees, directors, officers, consultants, contractors, interns and third parties who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inside information (including employees with knowledge of financial, accounting, legal and transactional information of Weatherford) and who are notified that they have been designated as “Insiders,” and members of their immediate families, members of their households and entities they control such as companies or trusts.</w:t>
      </w:r>
    </w:p>
    <w:p>
      <w:pPr>
        <w:spacing w:after="0" w:line="80" w:lineRule="exact"/>
        <w:rPr>
          <w:sz w:val="20"/>
          <w:szCs w:val="20"/>
          <w:color w:val="auto"/>
        </w:rPr>
      </w:pPr>
    </w:p>
    <w:p>
      <w:pPr>
        <w:jc w:val="both"/>
        <w:ind w:left="880" w:right="740"/>
        <w:spacing w:after="0" w:line="252" w:lineRule="auto"/>
        <w:rPr>
          <w:sz w:val="20"/>
          <w:szCs w:val="20"/>
          <w:color w:val="auto"/>
        </w:rPr>
      </w:pPr>
      <w:r>
        <w:rPr>
          <w:rFonts w:ascii="Arial" w:cs="Arial" w:eastAsia="Arial" w:hAnsi="Arial"/>
          <w:sz w:val="16"/>
          <w:szCs w:val="16"/>
          <w:b w:val="1"/>
          <w:bCs w:val="1"/>
          <w:color w:val="auto"/>
        </w:rPr>
        <w:t xml:space="preserve">NON-PUBLIC INFORMATION: </w:t>
      </w:r>
      <w:r>
        <w:rPr>
          <w:rFonts w:ascii="Arial" w:cs="Arial" w:eastAsia="Arial" w:hAnsi="Arial"/>
          <w:sz w:val="16"/>
          <w:szCs w:val="16"/>
          <w:color w:val="auto"/>
        </w:rPr>
        <w:t>Non-public information is information that has not been widely disseminated in a manner making it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available to investors through major media, Weatherford’s public website, and/or through a filing with the SEC. The circulation of rumors, even if accurate and reported in the media, does not constitute effective public dissemination. Non-public</w:t>
      </w:r>
    </w:p>
    <w:p>
      <w:pPr>
        <w:spacing w:after="0" w:line="1" w:lineRule="exact"/>
        <w:rPr>
          <w:sz w:val="20"/>
          <w:szCs w:val="20"/>
          <w:color w:val="auto"/>
        </w:rPr>
      </w:pPr>
    </w:p>
    <w:p>
      <w:pPr>
        <w:jc w:val="both"/>
        <w:ind w:left="880" w:right="740"/>
        <w:spacing w:after="0" w:line="271" w:lineRule="auto"/>
        <w:rPr>
          <w:sz w:val="20"/>
          <w:szCs w:val="20"/>
          <w:color w:val="auto"/>
        </w:rPr>
      </w:pPr>
      <w:r>
        <w:rPr>
          <w:rFonts w:ascii="Arial" w:cs="Arial" w:eastAsia="Arial" w:hAnsi="Arial"/>
          <w:sz w:val="16"/>
          <w:szCs w:val="16"/>
          <w:color w:val="auto"/>
        </w:rPr>
        <w:t xml:space="preserve">information may also include information available to Weatherford on a confidential basis. </w:t>
      </w:r>
      <w:r>
        <w:rPr>
          <w:rFonts w:ascii="Arial" w:cs="Arial" w:eastAsia="Arial" w:hAnsi="Arial"/>
          <w:sz w:val="16"/>
          <w:szCs w:val="16"/>
          <w:b w:val="1"/>
          <w:bCs w:val="1"/>
          <w:color w:val="auto"/>
        </w:rPr>
        <w:t>If you have any doubt about whether</w:t>
      </w:r>
      <w:r>
        <w:rPr>
          <w:rFonts w:ascii="Arial" w:cs="Arial" w:eastAsia="Arial" w:hAnsi="Arial"/>
          <w:sz w:val="16"/>
          <w:szCs w:val="16"/>
          <w:color w:val="auto"/>
        </w:rPr>
        <w:t xml:space="preserve"> </w:t>
      </w:r>
      <w:r>
        <w:rPr>
          <w:rFonts w:ascii="Arial" w:cs="Arial" w:eastAsia="Arial" w:hAnsi="Arial"/>
          <w:sz w:val="16"/>
          <w:szCs w:val="16"/>
          <w:b w:val="1"/>
          <w:bCs w:val="1"/>
          <w:color w:val="auto"/>
        </w:rPr>
        <w:t>certain information is non-public, please consult with the Legal Department.</w:t>
      </w:r>
    </w:p>
    <w:p>
      <w:pPr>
        <w:spacing w:after="0" w:line="64" w:lineRule="exact"/>
        <w:rPr>
          <w:sz w:val="20"/>
          <w:szCs w:val="20"/>
          <w:color w:val="auto"/>
        </w:rPr>
      </w:pPr>
    </w:p>
    <w:p>
      <w:pPr>
        <w:jc w:val="both"/>
        <w:ind w:left="880" w:right="740"/>
        <w:spacing w:after="0" w:line="258" w:lineRule="auto"/>
        <w:rPr>
          <w:sz w:val="20"/>
          <w:szCs w:val="20"/>
          <w:color w:val="auto"/>
        </w:rPr>
      </w:pPr>
      <w:r>
        <w:rPr>
          <w:rFonts w:ascii="Arial" w:cs="Arial" w:eastAsia="Arial" w:hAnsi="Arial"/>
          <w:sz w:val="16"/>
          <w:szCs w:val="16"/>
          <w:b w:val="1"/>
          <w:bCs w:val="1"/>
          <w:color w:val="auto"/>
        </w:rPr>
        <w:t xml:space="preserve">BLACKOUT PERIODS: </w:t>
      </w:r>
      <w:r>
        <w:rPr>
          <w:rFonts w:ascii="Arial" w:cs="Arial" w:eastAsia="Arial" w:hAnsi="Arial"/>
          <w:sz w:val="16"/>
          <w:szCs w:val="16"/>
          <w:color w:val="auto"/>
        </w:rPr>
        <w:t>A Blackout Period is a scheduled or special period of time when Insiders may not execute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involving Weatherford securities. Blackout Periods include Quarterly Blackout Periods and Special Blackout Periods as described below.</w:t>
      </w:r>
    </w:p>
    <w:p>
      <w:pPr>
        <w:spacing w:after="0" w:line="82"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color w:val="auto"/>
        </w:rPr>
        <w:t>Quarterly Blackout Periods cover the period when financial information has been compiled but not yet publicly released. The Quarterly Blackout Periods begin around the time that appropriate personnel begin work on Weatherford’s financials and end after the market has had sufficient time to absorb the published results (subject to change by the Legal Department).</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Quarterly Blackout Periods are:</w:t>
      </w:r>
    </w:p>
    <w:p>
      <w:pPr>
        <w:spacing w:after="0" w:line="147" w:lineRule="exact"/>
        <w:rPr>
          <w:sz w:val="20"/>
          <w:szCs w:val="20"/>
          <w:color w:val="auto"/>
        </w:rPr>
      </w:pPr>
    </w:p>
    <w:p>
      <w:pPr>
        <w:ind w:left="1520"/>
        <w:spacing w:after="0"/>
        <w:tabs>
          <w:tab w:leader="none" w:pos="1880" w:val="left"/>
          <w:tab w:leader="none" w:pos="6580" w:val="left"/>
        </w:tabs>
        <w:rPr>
          <w:sz w:val="20"/>
          <w:szCs w:val="20"/>
          <w:color w:val="auto"/>
        </w:rPr>
      </w:pPr>
      <w:r>
        <w:rPr>
          <w:rFonts w:ascii="Arial" w:cs="Arial" w:eastAsia="Arial" w:hAnsi="Arial"/>
          <w:sz w:val="16"/>
          <w:szCs w:val="16"/>
          <w:color w:val="auto"/>
        </w:rPr>
        <w:t>Q1</w:t>
        <w:tab/>
        <w:t>March 16 through one full trading day after earnings release. Q2</w:t>
      </w:r>
      <w:r>
        <w:rPr>
          <w:sz w:val="20"/>
          <w:szCs w:val="20"/>
          <w:color w:val="auto"/>
        </w:rPr>
        <w:tab/>
      </w:r>
      <w:r>
        <w:rPr>
          <w:rFonts w:ascii="Arial" w:cs="Arial" w:eastAsia="Arial" w:hAnsi="Arial"/>
          <w:sz w:val="15"/>
          <w:szCs w:val="15"/>
          <w:color w:val="auto"/>
        </w:rPr>
        <w:t>June 15</w:t>
      </w:r>
    </w:p>
    <w:p>
      <w:pPr>
        <w:spacing w:after="0" w:line="10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through one full trading day after earnings release.</w:t>
      </w:r>
    </w:p>
    <w:p>
      <w:pPr>
        <w:spacing w:after="0" w:line="108" w:lineRule="exact"/>
        <w:rPr>
          <w:sz w:val="20"/>
          <w:szCs w:val="20"/>
          <w:color w:val="auto"/>
        </w:rPr>
      </w:pPr>
    </w:p>
    <w:p>
      <w:pPr>
        <w:ind w:left="1520"/>
        <w:spacing w:after="0"/>
        <w:tabs>
          <w:tab w:leader="none" w:pos="1880" w:val="left"/>
        </w:tabs>
        <w:rPr>
          <w:sz w:val="20"/>
          <w:szCs w:val="20"/>
          <w:color w:val="auto"/>
        </w:rPr>
      </w:pPr>
      <w:r>
        <w:rPr>
          <w:rFonts w:ascii="Arial" w:cs="Arial" w:eastAsia="Arial" w:hAnsi="Arial"/>
          <w:sz w:val="16"/>
          <w:szCs w:val="16"/>
          <w:color w:val="auto"/>
        </w:rPr>
        <w:t>Q3</w:t>
        <w:tab/>
        <w:t>September 15 through one full trading day after earnings release.</w:t>
      </w:r>
    </w:p>
    <w:p>
      <w:pPr>
        <w:spacing w:after="0" w:line="94" w:lineRule="exact"/>
        <w:rPr>
          <w:sz w:val="20"/>
          <w:szCs w:val="20"/>
          <w:color w:val="auto"/>
        </w:rPr>
      </w:pPr>
    </w:p>
    <w:p>
      <w:pPr>
        <w:ind w:left="1520"/>
        <w:spacing w:after="0"/>
        <w:tabs>
          <w:tab w:leader="none" w:pos="1880" w:val="left"/>
        </w:tabs>
        <w:rPr>
          <w:sz w:val="20"/>
          <w:szCs w:val="20"/>
          <w:color w:val="auto"/>
        </w:rPr>
      </w:pPr>
      <w:r>
        <w:rPr>
          <w:rFonts w:ascii="Arial" w:cs="Arial" w:eastAsia="Arial" w:hAnsi="Arial"/>
          <w:sz w:val="16"/>
          <w:szCs w:val="16"/>
          <w:color w:val="auto"/>
        </w:rPr>
        <w:t>Q4</w:t>
        <w:tab/>
        <w:t>December 16 through one full trading day after earnings release.</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By way of example as to what is meant by “full trading day,” if Weatherford’s earnings release is before the opening of the market</w:t>
      </w:r>
    </w:p>
    <w:p>
      <w:pPr>
        <w:spacing w:after="0" w:line="393" w:lineRule="exact"/>
        <w:rPr>
          <w:sz w:val="20"/>
          <w:szCs w:val="20"/>
          <w:color w:val="auto"/>
        </w:rPr>
      </w:pPr>
    </w:p>
    <w:tbl>
      <w:tblPr>
        <w:tblLayout w:type="fixed"/>
        <w:tblInd w:w="90" w:type="dxa"/>
        <w:tblCellMar>
          <w:top w:w="0" w:type="dxa"/>
          <w:left w:w="0" w:type="dxa"/>
          <w:bottom w:w="0" w:type="dxa"/>
          <w:right w:w="0" w:type="dxa"/>
        </w:tblCellMar>
      </w:tblPr>
      <w:tr>
        <w:trPr>
          <w:trHeight w:val="492"/>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2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57"/>
        </w:trPr>
        <w:tc>
          <w:tcPr>
            <w:tcW w:w="800" w:type="dxa"/>
            <w:vAlign w:val="bottom"/>
            <w:tcBorders>
              <w:left w:val="single" w:sz="8" w:color="BDBDBD"/>
              <w:bottom w:val="single" w:sz="8" w:color="BDBDBD"/>
              <w:right w:val="single" w:sz="8" w:color="BDBDBD"/>
            </w:tcBorders>
          </w:tcPr>
          <w:p>
            <w:pPr>
              <w:spacing w:after="0"/>
              <w:rPr>
                <w:sz w:val="13"/>
                <w:szCs w:val="13"/>
                <w:color w:val="auto"/>
              </w:rPr>
            </w:pPr>
          </w:p>
        </w:tc>
        <w:tc>
          <w:tcPr>
            <w:tcW w:w="840" w:type="dxa"/>
            <w:vAlign w:val="bottom"/>
            <w:tcBorders>
              <w:bottom w:val="single" w:sz="8" w:color="BDBDBD"/>
              <w:right w:val="single" w:sz="8" w:color="BDBDBD"/>
            </w:tcBorders>
          </w:tcPr>
          <w:p>
            <w:pPr>
              <w:spacing w:after="0"/>
              <w:rPr>
                <w:sz w:val="13"/>
                <w:szCs w:val="13"/>
                <w:color w:val="auto"/>
              </w:rPr>
            </w:pPr>
          </w:p>
        </w:tc>
        <w:tc>
          <w:tcPr>
            <w:tcW w:w="1660" w:type="dxa"/>
            <w:vAlign w:val="bottom"/>
            <w:tcBorders>
              <w:bottom w:val="single" w:sz="8" w:color="BDBDBD"/>
            </w:tcBorders>
          </w:tcPr>
          <w:p>
            <w:pPr>
              <w:spacing w:after="0"/>
              <w:rPr>
                <w:sz w:val="13"/>
                <w:szCs w:val="13"/>
                <w:color w:val="auto"/>
              </w:rPr>
            </w:pPr>
          </w:p>
        </w:tc>
        <w:tc>
          <w:tcPr>
            <w:tcW w:w="1140" w:type="dxa"/>
            <w:vAlign w:val="bottom"/>
            <w:tcBorders>
              <w:bottom w:val="single" w:sz="8" w:color="BDBDBD"/>
            </w:tcBorders>
          </w:tcPr>
          <w:p>
            <w:pPr>
              <w:spacing w:after="0"/>
              <w:rPr>
                <w:sz w:val="13"/>
                <w:szCs w:val="13"/>
                <w:color w:val="auto"/>
              </w:rPr>
            </w:pPr>
          </w:p>
        </w:tc>
        <w:tc>
          <w:tcPr>
            <w:tcW w:w="280" w:type="dxa"/>
            <w:vAlign w:val="bottom"/>
            <w:tcBorders>
              <w:bottom w:val="single" w:sz="8" w:color="BDBDBD"/>
            </w:tcBorders>
          </w:tcPr>
          <w:p>
            <w:pPr>
              <w:spacing w:after="0"/>
              <w:rPr>
                <w:sz w:val="13"/>
                <w:szCs w:val="13"/>
                <w:color w:val="auto"/>
              </w:rPr>
            </w:pPr>
          </w:p>
        </w:tc>
        <w:tc>
          <w:tcPr>
            <w:tcW w:w="1560" w:type="dxa"/>
            <w:vAlign w:val="bottom"/>
            <w:tcBorders>
              <w:bottom w:val="single" w:sz="8" w:color="BDBDBD"/>
            </w:tcBorders>
          </w:tcPr>
          <w:p>
            <w:pPr>
              <w:spacing w:after="0"/>
              <w:rPr>
                <w:sz w:val="13"/>
                <w:szCs w:val="13"/>
                <w:color w:val="auto"/>
              </w:rPr>
            </w:pPr>
          </w:p>
        </w:tc>
        <w:tc>
          <w:tcPr>
            <w:tcW w:w="1260" w:type="dxa"/>
            <w:vAlign w:val="bottom"/>
            <w:tcBorders>
              <w:bottom w:val="single" w:sz="8" w:color="BDBDBD"/>
            </w:tcBorders>
          </w:tcPr>
          <w:p>
            <w:pPr>
              <w:spacing w:after="0"/>
              <w:rPr>
                <w:sz w:val="13"/>
                <w:szCs w:val="13"/>
                <w:color w:val="auto"/>
              </w:rPr>
            </w:pPr>
          </w:p>
        </w:tc>
        <w:tc>
          <w:tcPr>
            <w:tcW w:w="1860" w:type="dxa"/>
            <w:vAlign w:val="bottom"/>
            <w:tcBorders>
              <w:bottom w:val="single" w:sz="8" w:color="BDBDBD"/>
              <w:right w:val="single" w:sz="8" w:color="BDBDBD"/>
            </w:tcBorders>
          </w:tcPr>
          <w:p>
            <w:pPr>
              <w:spacing w:after="0"/>
              <w:rPr>
                <w:sz w:val="13"/>
                <w:szCs w:val="13"/>
                <w:color w:val="auto"/>
              </w:rPr>
            </w:pPr>
          </w:p>
        </w:tc>
        <w:tc>
          <w:tcPr>
            <w:tcW w:w="1560" w:type="dxa"/>
            <w:vAlign w:val="bottom"/>
            <w:tcBorders>
              <w:bottom w:val="single" w:sz="8" w:color="BDBDBD"/>
              <w:right w:val="single" w:sz="8" w:color="BDBDBD"/>
            </w:tcBorders>
          </w:tcPr>
          <w:p>
            <w:pPr>
              <w:spacing w:after="0"/>
              <w:rPr>
                <w:sz w:val="13"/>
                <w:szCs w:val="13"/>
                <w:color w:val="auto"/>
              </w:rPr>
            </w:pPr>
          </w:p>
        </w:tc>
      </w:tr>
      <w:tr>
        <w:trPr>
          <w:trHeight w:val="226"/>
        </w:trPr>
        <w:tc>
          <w:tcPr>
            <w:tcW w:w="1640" w:type="dxa"/>
            <w:vAlign w:val="bottom"/>
            <w:tcBorders>
              <w:left w:val="single" w:sz="8" w:color="BDBDBD"/>
              <w:bottom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Borders>
              <w:bottom w:val="single" w:sz="8" w:color="BDBDBD"/>
            </w:tcBorders>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bottom w:val="single" w:sz="8" w:color="BDBDBD"/>
              <w:right w:val="single" w:sz="8" w:color="BDBDBD"/>
            </w:tcBorders>
          </w:tcPr>
          <w:p>
            <w:pPr>
              <w:spacing w:after="0"/>
              <w:rPr>
                <w:sz w:val="19"/>
                <w:szCs w:val="19"/>
                <w:color w:val="auto"/>
              </w:rPr>
            </w:pP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bottom w:val="single" w:sz="8" w:color="BDBDBD"/>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50"/>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1"/>
                <w:szCs w:val="21"/>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2"/>
        </w:trPr>
        <w:tc>
          <w:tcPr>
            <w:tcW w:w="800" w:type="dxa"/>
            <w:vAlign w:val="bottom"/>
            <w:tcBorders>
              <w:left w:val="single" w:sz="8" w:color="BDBDBD"/>
              <w:bottom w:val="single" w:sz="8" w:color="BDBDBD"/>
            </w:tcBorders>
          </w:tcPr>
          <w:p>
            <w:pPr>
              <w:spacing w:after="0" w:line="20" w:lineRule="exact"/>
              <w:rPr>
                <w:sz w:val="1"/>
                <w:szCs w:val="1"/>
                <w:color w:val="auto"/>
              </w:rPr>
            </w:pPr>
          </w:p>
        </w:tc>
        <w:tc>
          <w:tcPr>
            <w:tcW w:w="840" w:type="dxa"/>
            <w:vAlign w:val="bottom"/>
            <w:tcBorders>
              <w:bottom w:val="single" w:sz="8" w:color="BDBDBD"/>
              <w:right w:val="single" w:sz="8" w:color="BDBDBD"/>
            </w:tcBorders>
          </w:tcPr>
          <w:p>
            <w:pPr>
              <w:spacing w:after="0" w:line="20" w:lineRule="exact"/>
              <w:rPr>
                <w:sz w:val="1"/>
                <w:szCs w:val="1"/>
                <w:color w:val="auto"/>
              </w:rPr>
            </w:pPr>
          </w:p>
        </w:tc>
        <w:tc>
          <w:tcPr>
            <w:tcW w:w="1660" w:type="dxa"/>
            <w:vAlign w:val="bottom"/>
            <w:tcBorders>
              <w:bottom w:val="single" w:sz="8" w:color="BDBDBD"/>
              <w:right w:val="single" w:sz="8" w:color="BDBDBD"/>
            </w:tcBorders>
          </w:tcPr>
          <w:p>
            <w:pPr>
              <w:spacing w:after="0" w:line="20" w:lineRule="exact"/>
              <w:rPr>
                <w:sz w:val="1"/>
                <w:szCs w:val="1"/>
                <w:color w:val="auto"/>
              </w:rPr>
            </w:pPr>
          </w:p>
        </w:tc>
        <w:tc>
          <w:tcPr>
            <w:tcW w:w="1140" w:type="dxa"/>
            <w:vAlign w:val="bottom"/>
            <w:tcBorders>
              <w:bottom w:val="single" w:sz="8" w:color="BDBDBD"/>
            </w:tcBorders>
          </w:tcPr>
          <w:p>
            <w:pPr>
              <w:spacing w:after="0" w:line="20" w:lineRule="exact"/>
              <w:rPr>
                <w:sz w:val="1"/>
                <w:szCs w:val="1"/>
                <w:color w:val="auto"/>
              </w:rPr>
            </w:pPr>
          </w:p>
        </w:tc>
        <w:tc>
          <w:tcPr>
            <w:tcW w:w="28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c>
          <w:tcPr>
            <w:tcW w:w="1260" w:type="dxa"/>
            <w:vAlign w:val="bottom"/>
            <w:tcBorders>
              <w:bottom w:val="single" w:sz="8" w:color="BDBDBD"/>
              <w:right w:val="single" w:sz="8" w:color="BDBDBD"/>
            </w:tcBorders>
          </w:tcPr>
          <w:p>
            <w:pPr>
              <w:spacing w:after="0" w:line="20" w:lineRule="exact"/>
              <w:rPr>
                <w:sz w:val="1"/>
                <w:szCs w:val="1"/>
                <w:color w:val="auto"/>
              </w:rPr>
            </w:pPr>
          </w:p>
        </w:tc>
        <w:tc>
          <w:tcPr>
            <w:tcW w:w="186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-697865</wp:posOffset>
            </wp:positionV>
            <wp:extent cx="277495" cy="193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ectPr>
          <w:pgSz w:w="11900" w:h="16838" w:orient="portrait"/>
          <w:cols w:equalWidth="0" w:num="1">
            <w:col w:w="11020"/>
          </w:cols>
          <w:pgMar w:left="360" w:top="164" w:right="5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type w:val="continuous"/>
        </w:sectPr>
      </w:pPr>
    </w:p>
    <w:bookmarkStart w:id="97" w:name="page98"/>
    <w:bookmarkEnd w:id="97"/>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color w:val="auto"/>
        </w:rPr>
        <w:t>on Monday, assuming the Insider does not otherwise possess inside information at such time, a securities transaction could be made on Tuesday. Alternatively, if Weatherford’s earnings release is after the closing of the market on Monday, assuming the Insider does not otherwise possess inside information at such time, a securities transaction could be made on Wednesday.</w:t>
      </w:r>
    </w:p>
    <w:p>
      <w:pPr>
        <w:spacing w:after="0" w:line="221"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color w:val="auto"/>
        </w:rPr>
        <w:t>Special Blackout Periods are imposed by the Legal Department from time to time because of developments known to Weatherford and not yet disclosed to the public. If this happens, the Legal Department will notify persons subject to the Special Blackout Period of when the period begins and ends.</w:t>
      </w:r>
    </w:p>
    <w:p>
      <w:pPr>
        <w:spacing w:after="0" w:line="62" w:lineRule="exact"/>
        <w:rPr>
          <w:sz w:val="20"/>
          <w:szCs w:val="20"/>
          <w:color w:val="auto"/>
        </w:rPr>
      </w:pPr>
    </w:p>
    <w:p>
      <w:pPr>
        <w:jc w:val="both"/>
        <w:ind w:left="880" w:right="760"/>
        <w:spacing w:after="0" w:line="293" w:lineRule="auto"/>
        <w:rPr>
          <w:sz w:val="20"/>
          <w:szCs w:val="20"/>
          <w:color w:val="auto"/>
        </w:rPr>
      </w:pPr>
      <w:r>
        <w:rPr>
          <w:rFonts w:ascii="Arial" w:cs="Arial" w:eastAsia="Arial" w:hAnsi="Arial"/>
          <w:sz w:val="16"/>
          <w:szCs w:val="16"/>
          <w:color w:val="auto"/>
        </w:rPr>
        <w:t>A notification you receive as to a Special Blackout Period may in and of itself be considered inside information and should not be disclosed to others, except as permitted under this Policy.</w:t>
      </w:r>
    </w:p>
    <w:p>
      <w:pPr>
        <w:spacing w:after="0" w:line="41" w:lineRule="exact"/>
        <w:rPr>
          <w:sz w:val="20"/>
          <w:szCs w:val="20"/>
          <w:color w:val="auto"/>
        </w:rPr>
      </w:pPr>
    </w:p>
    <w:p>
      <w:pPr>
        <w:jc w:val="both"/>
        <w:ind w:left="880" w:right="760"/>
        <w:spacing w:after="0" w:line="267"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Securities include, without limitation, ordinary shares and any other securities that Weatherford issues such as debt</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grants or awards under equity incentive plans, as well as any derivative securities based in whole or in part on the value of Weatherford securities.</w:t>
      </w:r>
    </w:p>
    <w:p>
      <w:pPr>
        <w:spacing w:after="0" w:line="62" w:lineRule="exact"/>
        <w:rPr>
          <w:sz w:val="20"/>
          <w:szCs w:val="20"/>
          <w:color w:val="auto"/>
        </w:rPr>
      </w:pPr>
    </w:p>
    <w:p>
      <w:pPr>
        <w:jc w:val="both"/>
        <w:ind w:left="880" w:right="740"/>
        <w:spacing w:after="0" w:line="259" w:lineRule="auto"/>
        <w:rPr>
          <w:sz w:val="20"/>
          <w:szCs w:val="20"/>
          <w:color w:val="auto"/>
        </w:rPr>
      </w:pPr>
      <w:r>
        <w:rPr>
          <w:rFonts w:ascii="Arial" w:cs="Arial" w:eastAsia="Arial" w:hAnsi="Arial"/>
          <w:sz w:val="16"/>
          <w:szCs w:val="16"/>
          <w:b w:val="1"/>
          <w:bCs w:val="1"/>
          <w:color w:val="auto"/>
        </w:rPr>
        <w:t xml:space="preserve">SECURITIES TRANSACTIONS: </w:t>
      </w:r>
      <w:r>
        <w:rPr>
          <w:rFonts w:ascii="Arial" w:cs="Arial" w:eastAsia="Arial" w:hAnsi="Arial"/>
          <w:sz w:val="16"/>
          <w:szCs w:val="16"/>
          <w:color w:val="auto"/>
        </w:rPr>
        <w:t>Securities transactions include, without limitation, purchases or sales of securities, exercises of</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securities, elections to participate in a dividend reinvestment program or employee stock purchase or similar program, as well as gifts or donations of securities; in each case, whether executed in public or private transactions, whether executed individually, directly or indirectly, or through a broker or another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-6985</wp:posOffset>
            </wp:positionV>
            <wp:extent cx="5275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RESPONSIBILITIES</w:t>
      </w:r>
    </w:p>
    <w:p>
      <w:pPr>
        <w:spacing w:after="0" w:line="32" w:lineRule="exact"/>
        <w:rPr>
          <w:sz w:val="20"/>
          <w:szCs w:val="20"/>
          <w:color w:val="auto"/>
        </w:rPr>
      </w:pPr>
    </w:p>
    <w:p>
      <w:pPr>
        <w:jc w:val="both"/>
        <w:ind w:left="880" w:right="740"/>
        <w:spacing w:after="0" w:line="272" w:lineRule="auto"/>
        <w:rPr>
          <w:sz w:val="20"/>
          <w:szCs w:val="20"/>
          <w:color w:val="auto"/>
        </w:rPr>
      </w:pPr>
      <w:r>
        <w:rPr>
          <w:rFonts w:ascii="Arial" w:cs="Arial" w:eastAsia="Arial" w:hAnsi="Arial"/>
          <w:sz w:val="16"/>
          <w:szCs w:val="16"/>
          <w:color w:val="auto"/>
        </w:rPr>
        <w:t xml:space="preserve">It is the responsibility of </w:t>
      </w:r>
      <w:r>
        <w:rPr>
          <w:rFonts w:ascii="Arial" w:cs="Arial" w:eastAsia="Arial" w:hAnsi="Arial"/>
          <w:sz w:val="16"/>
          <w:szCs w:val="16"/>
          <w:b w:val="1"/>
          <w:bCs w:val="1"/>
          <w:color w:val="auto"/>
        </w:rPr>
        <w:t>HUMAN RESOURCES AND LEGAL</w:t>
      </w:r>
      <w:r>
        <w:rPr>
          <w:rFonts w:ascii="Arial" w:cs="Arial" w:eastAsia="Arial" w:hAnsi="Arial"/>
          <w:sz w:val="16"/>
          <w:szCs w:val="16"/>
          <w:color w:val="auto"/>
        </w:rPr>
        <w:t xml:space="preserve">, under the direction of the </w:t>
      </w:r>
      <w:r>
        <w:rPr>
          <w:rFonts w:ascii="Arial" w:cs="Arial" w:eastAsia="Arial" w:hAnsi="Arial"/>
          <w:sz w:val="16"/>
          <w:szCs w:val="16"/>
          <w:b w:val="1"/>
          <w:bCs w:val="1"/>
          <w:color w:val="auto"/>
        </w:rPr>
        <w:t>GENERAL COUNSEL</w:t>
      </w:r>
      <w:r>
        <w:rPr>
          <w:rFonts w:ascii="Arial" w:cs="Arial" w:eastAsia="Arial" w:hAnsi="Arial"/>
          <w:sz w:val="16"/>
          <w:szCs w:val="16"/>
          <w:color w:val="auto"/>
        </w:rPr>
        <w:t>, to implement, monitor and enforce this Policy within their respective areas.</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It is the responsibility of the </w:t>
      </w:r>
      <w:r>
        <w:rPr>
          <w:rFonts w:ascii="Arial" w:cs="Arial" w:eastAsia="Arial" w:hAnsi="Arial"/>
          <w:sz w:val="16"/>
          <w:szCs w:val="16"/>
          <w:b w:val="1"/>
          <w:bCs w:val="1"/>
          <w:color w:val="auto"/>
        </w:rPr>
        <w:t>LEGAL DEPARTMENT</w:t>
      </w:r>
      <w:r>
        <w:rPr>
          <w:rFonts w:ascii="Arial" w:cs="Arial" w:eastAsia="Arial" w:hAnsi="Arial"/>
          <w:sz w:val="16"/>
          <w:szCs w:val="16"/>
          <w:color w:val="auto"/>
        </w:rPr>
        <w:t xml:space="preserve"> to maintain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18415</wp:posOffset>
            </wp:positionV>
            <wp:extent cx="5275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REQUIREMENTS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CE1141"/>
        </w:rPr>
        <w:t xml:space="preserve">FOLLOW </w:t>
      </w:r>
      <w:r>
        <w:rPr>
          <w:rFonts w:ascii="Arial" w:cs="Arial" w:eastAsia="Arial" w:hAnsi="Arial"/>
          <w:sz w:val="18"/>
          <w:szCs w:val="18"/>
          <w:color w:val="000000"/>
        </w:rPr>
        <w:t>the rules.</w:t>
      </w:r>
    </w:p>
    <w:p>
      <w:pPr>
        <w:spacing w:after="0" w:line="137" w:lineRule="exact"/>
        <w:rPr>
          <w:sz w:val="20"/>
          <w:szCs w:val="20"/>
          <w:color w:val="auto"/>
        </w:rPr>
      </w:pPr>
    </w:p>
    <w:p>
      <w:pPr>
        <w:ind w:left="1560" w:hanging="321"/>
        <w:spacing w:after="0"/>
        <w:tabs>
          <w:tab w:leader="none" w:pos="15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No securities transactions while you are aware of inside information.</w:t>
      </w:r>
    </w:p>
    <w:p>
      <w:pPr>
        <w:spacing w:after="0" w:line="17" w:lineRule="exact"/>
        <w:rPr>
          <w:rFonts w:ascii="Arial" w:cs="Arial" w:eastAsia="Arial" w:hAnsi="Arial"/>
          <w:sz w:val="16"/>
          <w:szCs w:val="16"/>
          <w:b w:val="1"/>
          <w:bCs w:val="1"/>
          <w:color w:val="auto"/>
        </w:rPr>
      </w:pPr>
    </w:p>
    <w:p>
      <w:pPr>
        <w:jc w:val="both"/>
        <w:ind w:left="1560" w:right="780"/>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You may not engage in any securities transactions involving Weatherford securities when you are aware of inside information or recommend that others engage in any securities transactions involving Weatherford Securities. You also may not engage in securities transactions involving another company’s securities if you are in possession of any material, non-public information regarding that company.</w:t>
      </w:r>
    </w:p>
    <w:p>
      <w:pPr>
        <w:spacing w:after="0" w:line="85"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No disclosure of inside information.</w:t>
      </w:r>
    </w:p>
    <w:p>
      <w:pPr>
        <w:spacing w:after="0" w:line="17" w:lineRule="exact"/>
        <w:rPr>
          <w:rFonts w:ascii="Arial" w:cs="Arial" w:eastAsia="Arial" w:hAnsi="Arial"/>
          <w:sz w:val="16"/>
          <w:szCs w:val="16"/>
          <w:b w:val="1"/>
          <w:bCs w:val="1"/>
          <w:color w:val="auto"/>
        </w:rPr>
      </w:pPr>
    </w:p>
    <w:p>
      <w:pPr>
        <w:jc w:val="both"/>
        <w:ind w:left="1560" w:right="780"/>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Inside information shall not be disclosed, for any reason, to any person other than Weatherford directors, executive officers and employees who need to know the information in order to fulfill their duties or outside third parties under contract with Weatherford with whom you interact in the course of your employment or provision of services and who need to know the information in order to fulfill their contractual duties and/or are otherwise subject to confidentiality obligations.</w:t>
      </w:r>
    </w:p>
    <w:p>
      <w:pPr>
        <w:spacing w:after="0" w:line="85" w:lineRule="exact"/>
        <w:rPr>
          <w:rFonts w:ascii="Arial" w:cs="Arial" w:eastAsia="Arial" w:hAnsi="Arial"/>
          <w:sz w:val="16"/>
          <w:szCs w:val="16"/>
          <w:b w:val="1"/>
          <w:bCs w:val="1"/>
          <w:color w:val="auto"/>
        </w:rPr>
      </w:pPr>
    </w:p>
    <w:p>
      <w:pPr>
        <w:jc w:val="both"/>
        <w:ind w:left="1560" w:right="80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motive or purpose for your release of the inside information is irrelevant; even ifyou don’t receive any financial or other benefits in exchange for the information, your disclosure is impermissible. Also, any manner of passing on information constitutes a “disclosure,” including (but not limited to) discussions, e-mails, text messages, and other forms of electronic communication like posts or comments to social networking sites or blogs or via social media.</w:t>
      </w:r>
    </w:p>
    <w:p>
      <w:pPr>
        <w:spacing w:after="0" w:line="67" w:lineRule="exact"/>
        <w:rPr>
          <w:rFonts w:ascii="Arial" w:cs="Arial" w:eastAsia="Arial" w:hAnsi="Arial"/>
          <w:sz w:val="16"/>
          <w:szCs w:val="16"/>
          <w:b w:val="1"/>
          <w:bCs w:val="1"/>
          <w:color w:val="auto"/>
        </w:rPr>
      </w:pPr>
    </w:p>
    <w:p>
      <w:pPr>
        <w:jc w:val="both"/>
        <w:ind w:left="1560" w:right="80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Disclosures made to any person (other than persons who need to know the information in order to fulfill their legal or contractual duties) are impermissible. You may not, therefore, disclose inside information to friends, family, co- workers, stockbrokers, or anyone else (verbally, in writing, online or otherwise), until the information has been disclosed publicly and the public has had at least one full trading day to react to it. Even what you consider to be a brief or inconsequential mention of inside information to a close friend or family member may result in significant consequences to you and to Weatherford.</w:t>
      </w:r>
    </w:p>
    <w:p>
      <w:pPr>
        <w:spacing w:after="0" w:line="85" w:lineRule="exact"/>
        <w:rPr>
          <w:rFonts w:ascii="Arial" w:cs="Arial" w:eastAsia="Arial" w:hAnsi="Arial"/>
          <w:sz w:val="16"/>
          <w:szCs w:val="16"/>
          <w:b w:val="1"/>
          <w:bCs w:val="1"/>
          <w:color w:val="auto"/>
        </w:rPr>
      </w:pPr>
    </w:p>
    <w:p>
      <w:pPr>
        <w:jc w:val="both"/>
        <w:ind w:left="1560" w:right="80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Inadvertent disclosure of inside information may violate this Policy. You should not discuss or have available to view inside information even with those to whom you are entitled to disclose, in any public area or forum, due to the risk that you will be overheard (such as in an airport or on an airplane, in a restaurant, including a dining facility on</w:t>
      </w:r>
    </w:p>
    <w:p>
      <w:pPr>
        <w:spacing w:after="0" w:line="200" w:lineRule="exact"/>
        <w:rPr>
          <w:sz w:val="20"/>
          <w:szCs w:val="20"/>
          <w:color w:val="auto"/>
        </w:rPr>
      </w:pPr>
    </w:p>
    <w:p>
      <w:pPr>
        <w:spacing w:after="0" w:line="367" w:lineRule="exact"/>
        <w:rPr>
          <w:sz w:val="20"/>
          <w:szCs w:val="20"/>
          <w:color w:val="auto"/>
        </w:rPr>
      </w:pPr>
    </w:p>
    <w:tbl>
      <w:tblPr>
        <w:tblLayout w:type="fixed"/>
        <w:tblInd w:w="90" w:type="dxa"/>
        <w:tblCellMar>
          <w:top w:w="0" w:type="dxa"/>
          <w:left w:w="0" w:type="dxa"/>
          <w:bottom w:w="0" w:type="dxa"/>
          <w:right w:w="0" w:type="dxa"/>
        </w:tblCellMar>
      </w:tblPr>
      <w:tr>
        <w:trPr>
          <w:trHeight w:val="493"/>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3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57"/>
        </w:trPr>
        <w:tc>
          <w:tcPr>
            <w:tcW w:w="800" w:type="dxa"/>
            <w:vAlign w:val="bottom"/>
            <w:tcBorders>
              <w:left w:val="single" w:sz="8" w:color="BDBDBD"/>
              <w:bottom w:val="single" w:sz="8" w:color="BDBDBD"/>
              <w:right w:val="single" w:sz="8" w:color="BDBDBD"/>
            </w:tcBorders>
          </w:tcPr>
          <w:p>
            <w:pPr>
              <w:spacing w:after="0"/>
              <w:rPr>
                <w:sz w:val="13"/>
                <w:szCs w:val="13"/>
                <w:color w:val="auto"/>
              </w:rPr>
            </w:pPr>
          </w:p>
        </w:tc>
        <w:tc>
          <w:tcPr>
            <w:tcW w:w="840" w:type="dxa"/>
            <w:vAlign w:val="bottom"/>
            <w:tcBorders>
              <w:bottom w:val="single" w:sz="8" w:color="BDBDBD"/>
              <w:right w:val="single" w:sz="8" w:color="BDBDBD"/>
            </w:tcBorders>
          </w:tcPr>
          <w:p>
            <w:pPr>
              <w:spacing w:after="0"/>
              <w:rPr>
                <w:sz w:val="13"/>
                <w:szCs w:val="13"/>
                <w:color w:val="auto"/>
              </w:rPr>
            </w:pPr>
          </w:p>
        </w:tc>
        <w:tc>
          <w:tcPr>
            <w:tcW w:w="1660" w:type="dxa"/>
            <w:vAlign w:val="bottom"/>
            <w:tcBorders>
              <w:bottom w:val="single" w:sz="8" w:color="BDBDBD"/>
            </w:tcBorders>
          </w:tcPr>
          <w:p>
            <w:pPr>
              <w:spacing w:after="0"/>
              <w:rPr>
                <w:sz w:val="13"/>
                <w:szCs w:val="13"/>
                <w:color w:val="auto"/>
              </w:rPr>
            </w:pPr>
          </w:p>
        </w:tc>
        <w:tc>
          <w:tcPr>
            <w:tcW w:w="1140" w:type="dxa"/>
            <w:vAlign w:val="bottom"/>
            <w:tcBorders>
              <w:bottom w:val="single" w:sz="8" w:color="BDBDBD"/>
            </w:tcBorders>
          </w:tcPr>
          <w:p>
            <w:pPr>
              <w:spacing w:after="0"/>
              <w:rPr>
                <w:sz w:val="13"/>
                <w:szCs w:val="13"/>
                <w:color w:val="auto"/>
              </w:rPr>
            </w:pPr>
          </w:p>
        </w:tc>
        <w:tc>
          <w:tcPr>
            <w:tcW w:w="280" w:type="dxa"/>
            <w:vAlign w:val="bottom"/>
            <w:tcBorders>
              <w:bottom w:val="single" w:sz="8" w:color="BDBDBD"/>
            </w:tcBorders>
          </w:tcPr>
          <w:p>
            <w:pPr>
              <w:spacing w:after="0"/>
              <w:rPr>
                <w:sz w:val="13"/>
                <w:szCs w:val="13"/>
                <w:color w:val="auto"/>
              </w:rPr>
            </w:pPr>
          </w:p>
        </w:tc>
        <w:tc>
          <w:tcPr>
            <w:tcW w:w="1560" w:type="dxa"/>
            <w:vAlign w:val="bottom"/>
            <w:tcBorders>
              <w:bottom w:val="single" w:sz="8" w:color="BDBDBD"/>
            </w:tcBorders>
          </w:tcPr>
          <w:p>
            <w:pPr>
              <w:spacing w:after="0"/>
              <w:rPr>
                <w:sz w:val="13"/>
                <w:szCs w:val="13"/>
                <w:color w:val="auto"/>
              </w:rPr>
            </w:pPr>
          </w:p>
        </w:tc>
        <w:tc>
          <w:tcPr>
            <w:tcW w:w="1260" w:type="dxa"/>
            <w:vAlign w:val="bottom"/>
            <w:tcBorders>
              <w:bottom w:val="single" w:sz="8" w:color="BDBDBD"/>
            </w:tcBorders>
          </w:tcPr>
          <w:p>
            <w:pPr>
              <w:spacing w:after="0"/>
              <w:rPr>
                <w:sz w:val="13"/>
                <w:szCs w:val="13"/>
                <w:color w:val="auto"/>
              </w:rPr>
            </w:pPr>
          </w:p>
        </w:tc>
        <w:tc>
          <w:tcPr>
            <w:tcW w:w="1860" w:type="dxa"/>
            <w:vAlign w:val="bottom"/>
            <w:tcBorders>
              <w:bottom w:val="single" w:sz="8" w:color="BDBDBD"/>
              <w:right w:val="single" w:sz="8" w:color="BDBDBD"/>
            </w:tcBorders>
          </w:tcPr>
          <w:p>
            <w:pPr>
              <w:spacing w:after="0"/>
              <w:rPr>
                <w:sz w:val="13"/>
                <w:szCs w:val="13"/>
                <w:color w:val="auto"/>
              </w:rPr>
            </w:pPr>
          </w:p>
        </w:tc>
        <w:tc>
          <w:tcPr>
            <w:tcW w:w="1560" w:type="dxa"/>
            <w:vAlign w:val="bottom"/>
            <w:tcBorders>
              <w:bottom w:val="single" w:sz="8" w:color="BDBDBD"/>
              <w:right w:val="single" w:sz="8" w:color="BDBDBD"/>
            </w:tcBorders>
          </w:tcPr>
          <w:p>
            <w:pPr>
              <w:spacing w:after="0"/>
              <w:rPr>
                <w:sz w:val="13"/>
                <w:szCs w:val="13"/>
                <w:color w:val="auto"/>
              </w:rPr>
            </w:pPr>
          </w:p>
        </w:tc>
      </w:tr>
      <w:tr>
        <w:trPr>
          <w:trHeight w:val="207"/>
        </w:trPr>
        <w:tc>
          <w:tcPr>
            <w:tcW w:w="1640" w:type="dxa"/>
            <w:vAlign w:val="bottom"/>
            <w:tcBorders>
              <w:left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right w:val="single" w:sz="8" w:color="BDBDBD"/>
            </w:tcBorders>
          </w:tcPr>
          <w:p>
            <w:pPr>
              <w:spacing w:after="0"/>
              <w:rPr>
                <w:sz w:val="18"/>
                <w:szCs w:val="18"/>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4"/>
        </w:trPr>
        <w:tc>
          <w:tcPr>
            <w:tcW w:w="800" w:type="dxa"/>
            <w:vAlign w:val="bottom"/>
            <w:tcBorders>
              <w:left w:val="single" w:sz="8" w:color="BDBDBD"/>
              <w:bottom w:val="single" w:sz="8" w:color="BDBDBD"/>
            </w:tcBorders>
          </w:tcPr>
          <w:p>
            <w:pPr>
              <w:spacing w:after="0"/>
              <w:rPr>
                <w:sz w:val="2"/>
                <w:szCs w:val="2"/>
                <w:color w:val="auto"/>
              </w:rPr>
            </w:pPr>
          </w:p>
        </w:tc>
        <w:tc>
          <w:tcPr>
            <w:tcW w:w="840" w:type="dxa"/>
            <w:vAlign w:val="bottom"/>
            <w:tcBorders>
              <w:bottom w:val="single" w:sz="8" w:color="BDBDBD"/>
              <w:right w:val="single" w:sz="8" w:color="BDBDBD"/>
            </w:tcBorders>
          </w:tcPr>
          <w:p>
            <w:pPr>
              <w:spacing w:after="0"/>
              <w:rPr>
                <w:sz w:val="2"/>
                <w:szCs w:val="2"/>
                <w:color w:val="auto"/>
              </w:rPr>
            </w:pPr>
          </w:p>
        </w:tc>
        <w:tc>
          <w:tcPr>
            <w:tcW w:w="1660" w:type="dxa"/>
            <w:vAlign w:val="bottom"/>
            <w:tcBorders>
              <w:bottom w:val="single" w:sz="8" w:color="BDBDBD"/>
              <w:right w:val="single" w:sz="8" w:color="BDBDBD"/>
            </w:tcBorders>
          </w:tcPr>
          <w:p>
            <w:pPr>
              <w:spacing w:after="0"/>
              <w:rPr>
                <w:sz w:val="2"/>
                <w:szCs w:val="2"/>
                <w:color w:val="auto"/>
              </w:rPr>
            </w:pPr>
          </w:p>
        </w:tc>
        <w:tc>
          <w:tcPr>
            <w:tcW w:w="1140" w:type="dxa"/>
            <w:vAlign w:val="bottom"/>
            <w:tcBorders>
              <w:bottom w:val="single" w:sz="8" w:color="BDBDBD"/>
            </w:tcBorders>
          </w:tcPr>
          <w:p>
            <w:pPr>
              <w:spacing w:after="0"/>
              <w:rPr>
                <w:sz w:val="2"/>
                <w:szCs w:val="2"/>
                <w:color w:val="auto"/>
              </w:rPr>
            </w:pPr>
          </w:p>
        </w:tc>
        <w:tc>
          <w:tcPr>
            <w:tcW w:w="28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c>
          <w:tcPr>
            <w:tcW w:w="1260" w:type="dxa"/>
            <w:vAlign w:val="bottom"/>
            <w:tcBorders>
              <w:bottom w:val="single" w:sz="8" w:color="BDBDBD"/>
              <w:right w:val="single" w:sz="8" w:color="BDBDBD"/>
            </w:tcBorders>
          </w:tcPr>
          <w:p>
            <w:pPr>
              <w:spacing w:after="0"/>
              <w:rPr>
                <w:sz w:val="2"/>
                <w:szCs w:val="2"/>
                <w:color w:val="auto"/>
              </w:rPr>
            </w:pPr>
          </w:p>
        </w:tc>
        <w:tc>
          <w:tcPr>
            <w:tcW w:w="186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r>
      <w:tr>
        <w:trPr>
          <w:trHeight w:val="240"/>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0"/>
                <w:szCs w:val="20"/>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6"/>
        </w:trPr>
        <w:tc>
          <w:tcPr>
            <w:tcW w:w="800" w:type="dxa"/>
            <w:vAlign w:val="bottom"/>
            <w:tcBorders>
              <w:left w:val="single" w:sz="8" w:color="BDBDBD"/>
              <w:bottom w:val="single" w:sz="8" w:color="BDBDBD"/>
            </w:tcBorders>
          </w:tcPr>
          <w:p>
            <w:pPr>
              <w:spacing w:after="0"/>
              <w:rPr>
                <w:sz w:val="2"/>
                <w:szCs w:val="2"/>
                <w:color w:val="auto"/>
              </w:rPr>
            </w:pPr>
          </w:p>
        </w:tc>
        <w:tc>
          <w:tcPr>
            <w:tcW w:w="840" w:type="dxa"/>
            <w:vAlign w:val="bottom"/>
            <w:tcBorders>
              <w:bottom w:val="single" w:sz="8" w:color="BDBDBD"/>
              <w:right w:val="single" w:sz="8" w:color="BDBDBD"/>
            </w:tcBorders>
          </w:tcPr>
          <w:p>
            <w:pPr>
              <w:spacing w:after="0"/>
              <w:rPr>
                <w:sz w:val="2"/>
                <w:szCs w:val="2"/>
                <w:color w:val="auto"/>
              </w:rPr>
            </w:pPr>
          </w:p>
        </w:tc>
        <w:tc>
          <w:tcPr>
            <w:tcW w:w="1660" w:type="dxa"/>
            <w:vAlign w:val="bottom"/>
            <w:tcBorders>
              <w:bottom w:val="single" w:sz="8" w:color="BDBDBD"/>
              <w:right w:val="single" w:sz="8" w:color="BDBDBD"/>
            </w:tcBorders>
          </w:tcPr>
          <w:p>
            <w:pPr>
              <w:spacing w:after="0"/>
              <w:rPr>
                <w:sz w:val="2"/>
                <w:szCs w:val="2"/>
                <w:color w:val="auto"/>
              </w:rPr>
            </w:pPr>
          </w:p>
        </w:tc>
        <w:tc>
          <w:tcPr>
            <w:tcW w:w="1140" w:type="dxa"/>
            <w:vAlign w:val="bottom"/>
            <w:tcBorders>
              <w:bottom w:val="single" w:sz="8" w:color="BDBDBD"/>
            </w:tcBorders>
          </w:tcPr>
          <w:p>
            <w:pPr>
              <w:spacing w:after="0"/>
              <w:rPr>
                <w:sz w:val="2"/>
                <w:szCs w:val="2"/>
                <w:color w:val="auto"/>
              </w:rPr>
            </w:pPr>
          </w:p>
        </w:tc>
        <w:tc>
          <w:tcPr>
            <w:tcW w:w="28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c>
          <w:tcPr>
            <w:tcW w:w="1260" w:type="dxa"/>
            <w:vAlign w:val="bottom"/>
            <w:tcBorders>
              <w:bottom w:val="single" w:sz="8" w:color="BDBDBD"/>
              <w:right w:val="single" w:sz="8" w:color="BDBDBD"/>
            </w:tcBorders>
          </w:tcPr>
          <w:p>
            <w:pPr>
              <w:spacing w:after="0"/>
              <w:rPr>
                <w:sz w:val="2"/>
                <w:szCs w:val="2"/>
                <w:color w:val="auto"/>
              </w:rPr>
            </w:pPr>
          </w:p>
        </w:tc>
        <w:tc>
          <w:tcPr>
            <w:tcW w:w="186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-706120</wp:posOffset>
            </wp:positionV>
            <wp:extent cx="277495" cy="1936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ectPr>
          <w:pgSz w:w="11900" w:h="16838" w:orient="portrait"/>
          <w:cols w:equalWidth="0" w:num="1">
            <w:col w:w="11020"/>
          </w:cols>
          <w:pgMar w:left="360" w:top="164" w:right="5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type w:val="continuous"/>
        </w:sectPr>
      </w:pPr>
    </w:p>
    <w:bookmarkStart w:id="98" w:name="page99"/>
    <w:bookmarkEnd w:id="98"/>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560" w:right="800"/>
        <w:spacing w:after="0" w:line="293" w:lineRule="auto"/>
        <w:rPr>
          <w:sz w:val="20"/>
          <w:szCs w:val="20"/>
          <w:color w:val="auto"/>
        </w:rPr>
      </w:pPr>
      <w:r>
        <w:rPr>
          <w:rFonts w:ascii="Arial" w:cs="Arial" w:eastAsia="Arial" w:hAnsi="Arial"/>
          <w:sz w:val="16"/>
          <w:szCs w:val="16"/>
          <w:color w:val="auto"/>
        </w:rPr>
        <w:t>Weatherford property, or elevators, including in Weatherford offices) or that written or electronic materials including inside information may be seen by others.</w:t>
      </w:r>
    </w:p>
    <w:p>
      <w:pPr>
        <w:spacing w:after="0" w:line="41" w:lineRule="exact"/>
        <w:rPr>
          <w:sz w:val="20"/>
          <w:szCs w:val="20"/>
          <w:color w:val="auto"/>
        </w:rPr>
      </w:pPr>
    </w:p>
    <w:p>
      <w:pPr>
        <w:jc w:val="both"/>
        <w:ind w:left="1560" w:right="800"/>
        <w:spacing w:after="0" w:line="255" w:lineRule="auto"/>
        <w:rPr>
          <w:sz w:val="20"/>
          <w:szCs w:val="20"/>
          <w:color w:val="auto"/>
        </w:rPr>
      </w:pPr>
      <w:r>
        <w:rPr>
          <w:rFonts w:ascii="Arial" w:cs="Arial" w:eastAsia="Arial" w:hAnsi="Arial"/>
          <w:sz w:val="16"/>
          <w:szCs w:val="16"/>
          <w:color w:val="auto"/>
        </w:rPr>
        <w:t>Additionally, confidential, sensitive, proprietary or non-public information shall not be disclosed to anyone outside of Weatherford regardless of your view as to its materiality. No disclosure may be made without following standard procedures. Communications on behalf of Weatherford with the media, securities analysts, investors and prospective investors must be made only by specifically designated Weatherford representatives. Unless you have been expressly authorized to make such communications, if you receive any inquiry relating to Weatherford from the media, a securities analyst or an investor or prospective investor, you should decline to comment and refer the inquiry to Investor Relations.</w:t>
      </w:r>
    </w:p>
    <w:p>
      <w:pPr>
        <w:spacing w:after="0" w:line="86" w:lineRule="exact"/>
        <w:rPr>
          <w:sz w:val="20"/>
          <w:szCs w:val="20"/>
          <w:color w:val="auto"/>
        </w:rPr>
      </w:pPr>
    </w:p>
    <w:p>
      <w:pPr>
        <w:ind w:left="1560" w:hanging="321"/>
        <w:spacing w:after="0"/>
        <w:tabs>
          <w:tab w:leader="none" w:pos="1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No use of non-public information for personal gain.</w:t>
      </w:r>
    </w:p>
    <w:p>
      <w:pPr>
        <w:spacing w:after="0" w:line="17" w:lineRule="exact"/>
        <w:rPr>
          <w:rFonts w:ascii="Arial" w:cs="Arial" w:eastAsia="Arial" w:hAnsi="Arial"/>
          <w:sz w:val="16"/>
          <w:szCs w:val="16"/>
          <w:b w:val="1"/>
          <w:bCs w:val="1"/>
          <w:color w:val="auto"/>
        </w:rPr>
      </w:pPr>
    </w:p>
    <w:p>
      <w:pPr>
        <w:jc w:val="both"/>
        <w:ind w:left="1560" w:right="78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Non-public information gained in the course of your employment or provision of services to Weatherford may not be used for personal gain, including providing non-public information to third parties in exchange for a consulting fee or other benefit.</w:t>
      </w:r>
    </w:p>
    <w:p>
      <w:pPr>
        <w:spacing w:after="0" w:line="68"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No securities transactions during Blackout Periods by Insiders.</w:t>
      </w:r>
    </w:p>
    <w:p>
      <w:pPr>
        <w:spacing w:after="0" w:line="30" w:lineRule="exact"/>
        <w:rPr>
          <w:rFonts w:ascii="Arial" w:cs="Arial" w:eastAsia="Arial" w:hAnsi="Arial"/>
          <w:sz w:val="16"/>
          <w:szCs w:val="16"/>
          <w:b w:val="1"/>
          <w:bCs w:val="1"/>
          <w:color w:val="auto"/>
        </w:rPr>
      </w:pPr>
    </w:p>
    <w:p>
      <w:pPr>
        <w:jc w:val="both"/>
        <w:ind w:left="1560" w:right="780"/>
        <w:spacing w:after="0" w:line="269" w:lineRule="auto"/>
        <w:rPr>
          <w:rFonts w:ascii="Arial" w:cs="Arial" w:eastAsia="Arial" w:hAnsi="Arial"/>
          <w:sz w:val="16"/>
          <w:szCs w:val="16"/>
          <w:b w:val="1"/>
          <w:bCs w:val="1"/>
          <w:color w:val="auto"/>
        </w:rPr>
      </w:pPr>
      <w:r>
        <w:rPr>
          <w:rFonts w:ascii="Arial" w:cs="Arial" w:eastAsia="Arial" w:hAnsi="Arial"/>
          <w:sz w:val="15"/>
          <w:szCs w:val="15"/>
          <w:color w:val="auto"/>
        </w:rPr>
        <w:t>Directors, officers and certain employees who have access to inside information and who are notified that they have been designated as “Insiders” shall not engage in securities transactions involving Weatherford securities during Blackout Periods, regardless of whether or not the Insider actually has inside information at the time. Transactions under Weatherford’s equity compensation plans with respect to “net” share withholding to satisfy tax liabilities (other than with respect to broker-assisted sales) or the delivery or distribution of shares upon vesting, are not prohibited during a Blackout Period. For the avoidance of doubt, options may not be exercised during any Blackout Period. Transactions made pursuant to Rule 10b5-1 trading plans entered into in compliance with this Policy are exempt from the Blackout Period restrictions.</w:t>
      </w:r>
    </w:p>
    <w:p>
      <w:pPr>
        <w:spacing w:after="0" w:line="74"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Insiders must pre-clear all securities transactions involving Weatherford securities.</w:t>
      </w:r>
    </w:p>
    <w:p>
      <w:pPr>
        <w:spacing w:after="0" w:line="17" w:lineRule="exact"/>
        <w:rPr>
          <w:rFonts w:ascii="Arial" w:cs="Arial" w:eastAsia="Arial" w:hAnsi="Arial"/>
          <w:sz w:val="16"/>
          <w:szCs w:val="16"/>
          <w:b w:val="1"/>
          <w:bCs w:val="1"/>
          <w:color w:val="auto"/>
        </w:rPr>
      </w:pPr>
    </w:p>
    <w:p>
      <w:pPr>
        <w:jc w:val="both"/>
        <w:ind w:left="1560" w:right="78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Insiders must pre-clear all securities transactions involving Weatherford securities with the Legal Department. If you are an Insider (and you will be told if you are), you must pre-clear any securities transactions in advance, even outside of a Blackout Period. To do so, submit a Stock Preclearance request in the Legal &amp; Compliance Service Portal not more than five trading days before the anticipated securities transaction to request clearance from the Legal Department. You will be asked to confirm that you do not have inside information. If you receive a response of “no objection,” you may place the order within the next five trading days unless an earlier period is specified. Weatherford’s failure to object to a securities transaction is never authorization to engage in a securities transaction if you have inside information and will not relieve you of your obligations under this Policy or under applicable law for trading on the basis of inside information. Weatherford’s failure to object is also never an endorsement or recommendation of any securities transaction. Any response to a pre-clearance request does not constitute legal advice, nor is it a confirmation from Weatherford that you do not possess inside information.</w:t>
      </w:r>
    </w:p>
    <w:p>
      <w:pPr>
        <w:spacing w:after="0" w:line="88"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Insiders must pre-clear any Rule 10b5-1 Trading Plans.</w:t>
      </w:r>
    </w:p>
    <w:p>
      <w:pPr>
        <w:spacing w:after="0" w:line="17" w:lineRule="exact"/>
        <w:rPr>
          <w:rFonts w:ascii="Arial" w:cs="Arial" w:eastAsia="Arial" w:hAnsi="Arial"/>
          <w:sz w:val="16"/>
          <w:szCs w:val="16"/>
          <w:b w:val="1"/>
          <w:bCs w:val="1"/>
          <w:color w:val="auto"/>
        </w:rPr>
      </w:pPr>
    </w:p>
    <w:p>
      <w:pPr>
        <w:jc w:val="both"/>
        <w:ind w:left="1560" w:right="80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SEC Rule 10b5-1 provides certain affirmative defenses to a claim of insider trading if a person demonstrates an adopted written plan for future securities transactions, entered into while not in possession of inside information, and the securities transaction are pursuant to the plan (a purchase or sale is not pursuant to a plan if the person who made the plan altered or deviated from it).</w:t>
      </w:r>
    </w:p>
    <w:p>
      <w:pPr>
        <w:spacing w:after="0" w:line="136" w:lineRule="exact"/>
        <w:rPr>
          <w:rFonts w:ascii="Arial" w:cs="Arial" w:eastAsia="Arial" w:hAnsi="Arial"/>
          <w:sz w:val="16"/>
          <w:szCs w:val="16"/>
          <w:b w:val="1"/>
          <w:bCs w:val="1"/>
          <w:color w:val="auto"/>
        </w:rPr>
      </w:pPr>
    </w:p>
    <w:p>
      <w:pPr>
        <w:jc w:val="both"/>
        <w:ind w:left="1560" w:right="760"/>
        <w:spacing w:after="0" w:line="293" w:lineRule="auto"/>
        <w:rPr>
          <w:rFonts w:ascii="Arial" w:cs="Arial" w:eastAsia="Arial" w:hAnsi="Arial"/>
          <w:sz w:val="16"/>
          <w:szCs w:val="16"/>
          <w:b w:val="1"/>
          <w:bCs w:val="1"/>
          <w:color w:val="auto"/>
        </w:rPr>
      </w:pPr>
      <w:r>
        <w:rPr>
          <w:rFonts w:ascii="Arial" w:cs="Arial" w:eastAsia="Arial" w:hAnsi="Arial"/>
          <w:sz w:val="15"/>
          <w:szCs w:val="15"/>
          <w:color w:val="auto"/>
        </w:rPr>
        <w:t>Weatherford permits you to adopt Rule 10b5-1 compliant plans. However, Insiders must pre-clear such plans with the Legal Department before adoption, amendment or termination, and must comply with Rule 10b5-1 and this Policy. A plan may not be entered into, amended or terminated during a Blackout Period or when the person is aware of inside information.</w:t>
      </w:r>
    </w:p>
    <w:p>
      <w:pPr>
        <w:spacing w:after="0" w:line="44" w:lineRule="exact"/>
        <w:rPr>
          <w:rFonts w:ascii="Arial" w:cs="Arial" w:eastAsia="Arial" w:hAnsi="Arial"/>
          <w:sz w:val="16"/>
          <w:szCs w:val="16"/>
          <w:b w:val="1"/>
          <w:bCs w:val="1"/>
          <w:color w:val="auto"/>
        </w:rPr>
      </w:pPr>
    </w:p>
    <w:p>
      <w:pPr>
        <w:ind w:left="1560" w:right="7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Insiders must provide adopted and executed Rule 10b5-1 plans, as well as any amendments, to the Legal Department within one trading day after the execution of the plan and any amendment.</w:t>
      </w:r>
    </w:p>
    <w:p>
      <w:pPr>
        <w:spacing w:after="0" w:line="41"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Section 16 officers must notify the Legal Department following any ownership changes.</w:t>
      </w:r>
    </w:p>
    <w:p>
      <w:pPr>
        <w:spacing w:after="0" w:line="30" w:lineRule="exact"/>
        <w:rPr>
          <w:rFonts w:ascii="Arial" w:cs="Arial" w:eastAsia="Arial" w:hAnsi="Arial"/>
          <w:sz w:val="16"/>
          <w:szCs w:val="16"/>
          <w:b w:val="1"/>
          <w:bCs w:val="1"/>
          <w:color w:val="auto"/>
        </w:rPr>
      </w:pPr>
    </w:p>
    <w:p>
      <w:pPr>
        <w:ind w:left="1560" w:right="760"/>
        <w:spacing w:after="0" w:line="254" w:lineRule="auto"/>
        <w:rPr>
          <w:rFonts w:ascii="Arial" w:cs="Arial" w:eastAsia="Arial" w:hAnsi="Arial"/>
          <w:sz w:val="16"/>
          <w:szCs w:val="16"/>
          <w:b w:val="1"/>
          <w:bCs w:val="1"/>
          <w:color w:val="auto"/>
        </w:rPr>
      </w:pPr>
      <w:r>
        <w:rPr>
          <w:rFonts w:ascii="Arial" w:cs="Arial" w:eastAsia="Arial" w:hAnsi="Arial"/>
          <w:sz w:val="16"/>
          <w:szCs w:val="16"/>
          <w:color w:val="auto"/>
        </w:rPr>
        <w:t>Section 16(a) of the Exchange Act generally requires all executive officers (Section 16 officers), directors and 10% stockholders to file Section 16 reports with the SEC when they engage in securities transactions involving Weatherford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90" w:type="dxa"/>
        <w:tblCellMar>
          <w:top w:w="0" w:type="dxa"/>
          <w:left w:w="0" w:type="dxa"/>
          <w:bottom w:w="0" w:type="dxa"/>
          <w:right w:w="0" w:type="dxa"/>
        </w:tblCellMar>
      </w:tblPr>
      <w:tr>
        <w:trPr>
          <w:trHeight w:val="487"/>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4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63"/>
        </w:trPr>
        <w:tc>
          <w:tcPr>
            <w:tcW w:w="800" w:type="dxa"/>
            <w:vAlign w:val="bottom"/>
            <w:tcBorders>
              <w:left w:val="single" w:sz="8" w:color="BDBDBD"/>
              <w:bottom w:val="single" w:sz="8" w:color="BDBDBD"/>
              <w:right w:val="single" w:sz="8" w:color="BDBDBD"/>
            </w:tcBorders>
          </w:tcPr>
          <w:p>
            <w:pPr>
              <w:spacing w:after="0"/>
              <w:rPr>
                <w:sz w:val="14"/>
                <w:szCs w:val="14"/>
                <w:color w:val="auto"/>
              </w:rPr>
            </w:pPr>
          </w:p>
        </w:tc>
        <w:tc>
          <w:tcPr>
            <w:tcW w:w="840" w:type="dxa"/>
            <w:vAlign w:val="bottom"/>
            <w:tcBorders>
              <w:bottom w:val="single" w:sz="8" w:color="BDBDBD"/>
              <w:right w:val="single" w:sz="8" w:color="BDBDBD"/>
            </w:tcBorders>
          </w:tcPr>
          <w:p>
            <w:pPr>
              <w:spacing w:after="0"/>
              <w:rPr>
                <w:sz w:val="14"/>
                <w:szCs w:val="14"/>
                <w:color w:val="auto"/>
              </w:rPr>
            </w:pPr>
          </w:p>
        </w:tc>
        <w:tc>
          <w:tcPr>
            <w:tcW w:w="1660" w:type="dxa"/>
            <w:vAlign w:val="bottom"/>
            <w:tcBorders>
              <w:bottom w:val="single" w:sz="8" w:color="BDBDBD"/>
            </w:tcBorders>
          </w:tcPr>
          <w:p>
            <w:pPr>
              <w:spacing w:after="0"/>
              <w:rPr>
                <w:sz w:val="14"/>
                <w:szCs w:val="14"/>
                <w:color w:val="auto"/>
              </w:rPr>
            </w:pPr>
          </w:p>
        </w:tc>
        <w:tc>
          <w:tcPr>
            <w:tcW w:w="1140" w:type="dxa"/>
            <w:vAlign w:val="bottom"/>
            <w:tcBorders>
              <w:bottom w:val="single" w:sz="8" w:color="BDBDBD"/>
            </w:tcBorders>
          </w:tcPr>
          <w:p>
            <w:pPr>
              <w:spacing w:after="0"/>
              <w:rPr>
                <w:sz w:val="14"/>
                <w:szCs w:val="14"/>
                <w:color w:val="auto"/>
              </w:rPr>
            </w:pPr>
          </w:p>
        </w:tc>
        <w:tc>
          <w:tcPr>
            <w:tcW w:w="280" w:type="dxa"/>
            <w:vAlign w:val="bottom"/>
            <w:tcBorders>
              <w:bottom w:val="single" w:sz="8" w:color="BDBDBD"/>
            </w:tcBorders>
          </w:tcPr>
          <w:p>
            <w:pPr>
              <w:spacing w:after="0"/>
              <w:rPr>
                <w:sz w:val="14"/>
                <w:szCs w:val="14"/>
                <w:color w:val="auto"/>
              </w:rPr>
            </w:pPr>
          </w:p>
        </w:tc>
        <w:tc>
          <w:tcPr>
            <w:tcW w:w="1560" w:type="dxa"/>
            <w:vAlign w:val="bottom"/>
            <w:tcBorders>
              <w:bottom w:val="single" w:sz="8" w:color="BDBDBD"/>
            </w:tcBorders>
          </w:tcPr>
          <w:p>
            <w:pPr>
              <w:spacing w:after="0"/>
              <w:rPr>
                <w:sz w:val="14"/>
                <w:szCs w:val="14"/>
                <w:color w:val="auto"/>
              </w:rPr>
            </w:pPr>
          </w:p>
        </w:tc>
        <w:tc>
          <w:tcPr>
            <w:tcW w:w="1260" w:type="dxa"/>
            <w:vAlign w:val="bottom"/>
            <w:tcBorders>
              <w:bottom w:val="single" w:sz="8" w:color="BDBDBD"/>
            </w:tcBorders>
          </w:tcPr>
          <w:p>
            <w:pPr>
              <w:spacing w:after="0"/>
              <w:rPr>
                <w:sz w:val="14"/>
                <w:szCs w:val="14"/>
                <w:color w:val="auto"/>
              </w:rPr>
            </w:pPr>
          </w:p>
        </w:tc>
        <w:tc>
          <w:tcPr>
            <w:tcW w:w="1860" w:type="dxa"/>
            <w:vAlign w:val="bottom"/>
            <w:tcBorders>
              <w:bottom w:val="single" w:sz="8" w:color="BDBDBD"/>
              <w:right w:val="single" w:sz="8" w:color="BDBDBD"/>
            </w:tcBorders>
          </w:tcPr>
          <w:p>
            <w:pPr>
              <w:spacing w:after="0"/>
              <w:rPr>
                <w:sz w:val="14"/>
                <w:szCs w:val="14"/>
                <w:color w:val="auto"/>
              </w:rPr>
            </w:pPr>
          </w:p>
        </w:tc>
        <w:tc>
          <w:tcPr>
            <w:tcW w:w="1560" w:type="dxa"/>
            <w:vAlign w:val="bottom"/>
            <w:tcBorders>
              <w:bottom w:val="single" w:sz="8" w:color="BDBDBD"/>
              <w:right w:val="single" w:sz="8" w:color="BDBDBD"/>
            </w:tcBorders>
          </w:tcPr>
          <w:p>
            <w:pPr>
              <w:spacing w:after="0"/>
              <w:rPr>
                <w:sz w:val="14"/>
                <w:szCs w:val="14"/>
                <w:color w:val="auto"/>
              </w:rPr>
            </w:pPr>
          </w:p>
        </w:tc>
      </w:tr>
      <w:tr>
        <w:trPr>
          <w:trHeight w:val="208"/>
        </w:trPr>
        <w:tc>
          <w:tcPr>
            <w:tcW w:w="1640" w:type="dxa"/>
            <w:vAlign w:val="bottom"/>
            <w:tcBorders>
              <w:left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right w:val="single" w:sz="8" w:color="BDBDBD"/>
            </w:tcBorders>
          </w:tcPr>
          <w:p>
            <w:pPr>
              <w:spacing w:after="0"/>
              <w:rPr>
                <w:sz w:val="18"/>
                <w:szCs w:val="18"/>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4"/>
        </w:trPr>
        <w:tc>
          <w:tcPr>
            <w:tcW w:w="800" w:type="dxa"/>
            <w:vAlign w:val="bottom"/>
            <w:tcBorders>
              <w:left w:val="single" w:sz="8" w:color="BDBDBD"/>
              <w:bottom w:val="single" w:sz="8" w:color="BDBDBD"/>
            </w:tcBorders>
          </w:tcPr>
          <w:p>
            <w:pPr>
              <w:spacing w:after="0"/>
              <w:rPr>
                <w:sz w:val="2"/>
                <w:szCs w:val="2"/>
                <w:color w:val="auto"/>
              </w:rPr>
            </w:pPr>
          </w:p>
        </w:tc>
        <w:tc>
          <w:tcPr>
            <w:tcW w:w="840" w:type="dxa"/>
            <w:vAlign w:val="bottom"/>
            <w:tcBorders>
              <w:bottom w:val="single" w:sz="8" w:color="BDBDBD"/>
              <w:right w:val="single" w:sz="8" w:color="BDBDBD"/>
            </w:tcBorders>
          </w:tcPr>
          <w:p>
            <w:pPr>
              <w:spacing w:after="0"/>
              <w:rPr>
                <w:sz w:val="2"/>
                <w:szCs w:val="2"/>
                <w:color w:val="auto"/>
              </w:rPr>
            </w:pPr>
          </w:p>
        </w:tc>
        <w:tc>
          <w:tcPr>
            <w:tcW w:w="1660" w:type="dxa"/>
            <w:vAlign w:val="bottom"/>
            <w:tcBorders>
              <w:bottom w:val="single" w:sz="8" w:color="BDBDBD"/>
              <w:right w:val="single" w:sz="8" w:color="BDBDBD"/>
            </w:tcBorders>
          </w:tcPr>
          <w:p>
            <w:pPr>
              <w:spacing w:after="0"/>
              <w:rPr>
                <w:sz w:val="2"/>
                <w:szCs w:val="2"/>
                <w:color w:val="auto"/>
              </w:rPr>
            </w:pPr>
          </w:p>
        </w:tc>
        <w:tc>
          <w:tcPr>
            <w:tcW w:w="1140" w:type="dxa"/>
            <w:vAlign w:val="bottom"/>
            <w:tcBorders>
              <w:bottom w:val="single" w:sz="8" w:color="BDBDBD"/>
            </w:tcBorders>
          </w:tcPr>
          <w:p>
            <w:pPr>
              <w:spacing w:after="0"/>
              <w:rPr>
                <w:sz w:val="2"/>
                <w:szCs w:val="2"/>
                <w:color w:val="auto"/>
              </w:rPr>
            </w:pPr>
          </w:p>
        </w:tc>
        <w:tc>
          <w:tcPr>
            <w:tcW w:w="28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c>
          <w:tcPr>
            <w:tcW w:w="1260" w:type="dxa"/>
            <w:vAlign w:val="bottom"/>
            <w:tcBorders>
              <w:bottom w:val="single" w:sz="8" w:color="BDBDBD"/>
              <w:right w:val="single" w:sz="8" w:color="BDBDBD"/>
            </w:tcBorders>
          </w:tcPr>
          <w:p>
            <w:pPr>
              <w:spacing w:after="0"/>
              <w:rPr>
                <w:sz w:val="2"/>
                <w:szCs w:val="2"/>
                <w:color w:val="auto"/>
              </w:rPr>
            </w:pPr>
          </w:p>
        </w:tc>
        <w:tc>
          <w:tcPr>
            <w:tcW w:w="186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r>
      <w:tr>
        <w:trPr>
          <w:trHeight w:val="240"/>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0"/>
                <w:szCs w:val="20"/>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6"/>
        </w:trPr>
        <w:tc>
          <w:tcPr>
            <w:tcW w:w="800" w:type="dxa"/>
            <w:vAlign w:val="bottom"/>
            <w:tcBorders>
              <w:left w:val="single" w:sz="8" w:color="BDBDBD"/>
              <w:bottom w:val="single" w:sz="8" w:color="BDBDBD"/>
            </w:tcBorders>
          </w:tcPr>
          <w:p>
            <w:pPr>
              <w:spacing w:after="0"/>
              <w:rPr>
                <w:sz w:val="2"/>
                <w:szCs w:val="2"/>
                <w:color w:val="auto"/>
              </w:rPr>
            </w:pPr>
          </w:p>
        </w:tc>
        <w:tc>
          <w:tcPr>
            <w:tcW w:w="840" w:type="dxa"/>
            <w:vAlign w:val="bottom"/>
            <w:tcBorders>
              <w:bottom w:val="single" w:sz="8" w:color="BDBDBD"/>
              <w:right w:val="single" w:sz="8" w:color="BDBDBD"/>
            </w:tcBorders>
          </w:tcPr>
          <w:p>
            <w:pPr>
              <w:spacing w:after="0"/>
              <w:rPr>
                <w:sz w:val="2"/>
                <w:szCs w:val="2"/>
                <w:color w:val="auto"/>
              </w:rPr>
            </w:pPr>
          </w:p>
        </w:tc>
        <w:tc>
          <w:tcPr>
            <w:tcW w:w="1660" w:type="dxa"/>
            <w:vAlign w:val="bottom"/>
            <w:tcBorders>
              <w:bottom w:val="single" w:sz="8" w:color="BDBDBD"/>
              <w:right w:val="single" w:sz="8" w:color="BDBDBD"/>
            </w:tcBorders>
          </w:tcPr>
          <w:p>
            <w:pPr>
              <w:spacing w:after="0"/>
              <w:rPr>
                <w:sz w:val="2"/>
                <w:szCs w:val="2"/>
                <w:color w:val="auto"/>
              </w:rPr>
            </w:pPr>
          </w:p>
        </w:tc>
        <w:tc>
          <w:tcPr>
            <w:tcW w:w="1140" w:type="dxa"/>
            <w:vAlign w:val="bottom"/>
            <w:tcBorders>
              <w:bottom w:val="single" w:sz="8" w:color="BDBDBD"/>
            </w:tcBorders>
          </w:tcPr>
          <w:p>
            <w:pPr>
              <w:spacing w:after="0"/>
              <w:rPr>
                <w:sz w:val="2"/>
                <w:szCs w:val="2"/>
                <w:color w:val="auto"/>
              </w:rPr>
            </w:pPr>
          </w:p>
        </w:tc>
        <w:tc>
          <w:tcPr>
            <w:tcW w:w="28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c>
          <w:tcPr>
            <w:tcW w:w="1260" w:type="dxa"/>
            <w:vAlign w:val="bottom"/>
            <w:tcBorders>
              <w:bottom w:val="single" w:sz="8" w:color="BDBDBD"/>
              <w:right w:val="single" w:sz="8" w:color="BDBDBD"/>
            </w:tcBorders>
          </w:tcPr>
          <w:p>
            <w:pPr>
              <w:spacing w:after="0"/>
              <w:rPr>
                <w:sz w:val="2"/>
                <w:szCs w:val="2"/>
                <w:color w:val="auto"/>
              </w:rPr>
            </w:pPr>
          </w:p>
        </w:tc>
        <w:tc>
          <w:tcPr>
            <w:tcW w:w="186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-706120</wp:posOffset>
            </wp:positionV>
            <wp:extent cx="277495" cy="193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sectPr>
      </w:pPr>
    </w:p>
    <w:bookmarkStart w:id="99" w:name="page100"/>
    <w:bookmarkEnd w:id="99"/>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560" w:right="760"/>
        <w:spacing w:after="0" w:line="256" w:lineRule="auto"/>
        <w:rPr>
          <w:sz w:val="20"/>
          <w:szCs w:val="20"/>
          <w:color w:val="auto"/>
        </w:rPr>
      </w:pPr>
      <w:r>
        <w:rPr>
          <w:rFonts w:ascii="Arial" w:cs="Arial" w:eastAsia="Arial" w:hAnsi="Arial"/>
          <w:sz w:val="16"/>
          <w:szCs w:val="16"/>
          <w:color w:val="auto"/>
        </w:rPr>
        <w:t>securities. Directors and Section 16 officers must comply with Section 16 reporting obligations under the Exchange Act. To ensure the timely preparation and filing of all required reports, if you are a director or Section 16 officer of Weatherford, you must report any securities transaction in Weatherford securities immediately, but within one trading day at the latest. This requirement includes securities transactions executed under a Rule 10b5-1 trading plan, as well as the receipt of any shares pursuant to a dividend reinvestment program or other plan. Directors and Section 16 officers must also notify the Legal Department if you change the way you hold Weatherford securities (for example, placing Weatherford securities in a trust or other estate planning vehicle).</w:t>
      </w:r>
    </w:p>
    <w:p>
      <w:pPr>
        <w:spacing w:after="0" w:line="203" w:lineRule="exact"/>
        <w:rPr>
          <w:sz w:val="20"/>
          <w:szCs w:val="20"/>
          <w:color w:val="auto"/>
        </w:rPr>
      </w:pPr>
    </w:p>
    <w:p>
      <w:pPr>
        <w:jc w:val="both"/>
        <w:ind w:left="1560" w:right="740"/>
        <w:spacing w:after="0" w:line="267" w:lineRule="auto"/>
        <w:rPr>
          <w:sz w:val="20"/>
          <w:szCs w:val="20"/>
          <w:color w:val="auto"/>
        </w:rPr>
      </w:pPr>
      <w:r>
        <w:rPr>
          <w:rFonts w:ascii="Arial" w:cs="Arial" w:eastAsia="Arial" w:hAnsi="Arial"/>
          <w:sz w:val="16"/>
          <w:szCs w:val="16"/>
          <w:color w:val="auto"/>
        </w:rPr>
        <w:t>This notification requirement is in addition to the requirement to obtain pre-clearance of any proposed securities transaction pursuant to this Policy. Persons subject to Section 16 should also be aware of “short swing” trading liability for matching purchases and/or sales within six months.</w:t>
      </w:r>
    </w:p>
    <w:p>
      <w:pPr>
        <w:spacing w:after="0" w:line="62" w:lineRule="exact"/>
        <w:rPr>
          <w:sz w:val="20"/>
          <w:szCs w:val="20"/>
          <w:color w:val="auto"/>
        </w:rPr>
      </w:pPr>
    </w:p>
    <w:p>
      <w:pPr>
        <w:ind w:left="1560" w:hanging="321"/>
        <w:spacing w:after="0"/>
        <w:tabs>
          <w:tab w:leader="none" w:pos="15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Do Not Hedge or Engage in “Short” Sales.</w:t>
      </w:r>
    </w:p>
    <w:p>
      <w:pPr>
        <w:spacing w:after="0" w:line="30" w:lineRule="exact"/>
        <w:rPr>
          <w:rFonts w:ascii="Arial" w:cs="Arial" w:eastAsia="Arial" w:hAnsi="Arial"/>
          <w:sz w:val="16"/>
          <w:szCs w:val="16"/>
          <w:b w:val="1"/>
          <w:bCs w:val="1"/>
          <w:color w:val="auto"/>
        </w:rPr>
      </w:pPr>
    </w:p>
    <w:p>
      <w:pPr>
        <w:jc w:val="both"/>
        <w:ind w:left="1560" w:right="780"/>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Insiders may not engage in hedging or other monetizing transactions, such as prepaid variable forwards, equity swaps, collars and exchange funds, or transact in options, warrants, puts and calls or similar instruments on Weatherford securities or sell Weatherford securities “short.” Short sales are transactions where securities are borrowed, the borrowed securities are sold, and then securities are purchased at a later date to replace the borrowed shares, with the expectation that the price of the securities will decrease and the cost to replace the borrowed shares will be less than the amount received when the borrowed shares were first sold.</w:t>
      </w:r>
    </w:p>
    <w:p>
      <w:pPr>
        <w:spacing w:after="0" w:line="207"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Do Not Pledge your Weatherford Securities as Margin.</w:t>
      </w:r>
    </w:p>
    <w:p>
      <w:pPr>
        <w:spacing w:after="0" w:line="30" w:lineRule="exact"/>
        <w:rPr>
          <w:rFonts w:ascii="Arial" w:cs="Arial" w:eastAsia="Arial" w:hAnsi="Arial"/>
          <w:sz w:val="16"/>
          <w:szCs w:val="16"/>
          <w:b w:val="1"/>
          <w:bCs w:val="1"/>
          <w:color w:val="auto"/>
        </w:rPr>
      </w:pPr>
    </w:p>
    <w:p>
      <w:pPr>
        <w:jc w:val="both"/>
        <w:ind w:left="1560" w:right="78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Insiders may not hold Weatherford securities in an account subject to a margin call or pledge Weatherford securities as collateral for a loan. Securities held in a margin account may be sold by the broker without the customer’s consent if the customer fails to meet a margin call. Securities pledged as collateral for a loan may be sold in foreclosure if the borrower defaults on the loan. An exception may be granted when a person wishes to pledge Weatherford securities for a loan (not including margin debt) and clearly demonstrates the financial capacity to repay the loan without resort to the pledged securities. If you wish to pledge Weatherford securities as collateral for a loan, you must submit a request for approval using a General Legal Request (Ask Legal) in the Legal &amp; Compliance Service Portal at least two weeks prior to the proposed execution of documents evidencing the proposed pledge.</w:t>
      </w:r>
    </w:p>
    <w:p>
      <w:pPr>
        <w:spacing w:after="0" w:line="92" w:lineRule="exact"/>
        <w:rPr>
          <w:rFonts w:ascii="Arial" w:cs="Arial" w:eastAsia="Arial" w:hAnsi="Arial"/>
          <w:sz w:val="16"/>
          <w:szCs w:val="16"/>
          <w:b w:val="1"/>
          <w:bCs w:val="1"/>
          <w:color w:val="auto"/>
        </w:rPr>
      </w:pPr>
    </w:p>
    <w:p>
      <w:pPr>
        <w:ind w:left="1560" w:hanging="321"/>
        <w:spacing w:after="0"/>
        <w:tabs>
          <w:tab w:leader="none" w:pos="15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Reporting Obligation</w:t>
      </w:r>
      <w:r>
        <w:rPr>
          <w:rFonts w:ascii="Arial" w:cs="Arial" w:eastAsia="Arial" w:hAnsi="Arial"/>
          <w:sz w:val="16"/>
          <w:szCs w:val="16"/>
          <w:color w:val="auto"/>
        </w:rPr>
        <w:t>.</w:t>
      </w:r>
    </w:p>
    <w:p>
      <w:pPr>
        <w:spacing w:after="0" w:line="17" w:lineRule="exact"/>
        <w:rPr>
          <w:rFonts w:ascii="Arial" w:cs="Arial" w:eastAsia="Arial" w:hAnsi="Arial"/>
          <w:sz w:val="16"/>
          <w:szCs w:val="16"/>
          <w:b w:val="1"/>
          <w:bCs w:val="1"/>
          <w:color w:val="auto"/>
        </w:rPr>
      </w:pPr>
    </w:p>
    <w:p>
      <w:pPr>
        <w:jc w:val="both"/>
        <w:ind w:left="1560" w:right="78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If you become aware of a violation of this Policy, you should report it immediately by submitting a General Legal Request (Ask Legal) in the Legal &amp; Compliance Service Portal (subject only to any exceptions or prohibitions on reporting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-5715</wp:posOffset>
            </wp:positionV>
            <wp:extent cx="5275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C00000"/>
        </w:rPr>
        <w:t>ADHERENCE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Adherence to this Policy is mandatory. Unauthorized deviations to this Policy may lead to:</w:t>
      </w:r>
    </w:p>
    <w:p>
      <w:pPr>
        <w:spacing w:after="0" w:line="121" w:lineRule="exact"/>
        <w:rPr>
          <w:sz w:val="20"/>
          <w:szCs w:val="20"/>
          <w:color w:val="auto"/>
        </w:rPr>
      </w:pPr>
    </w:p>
    <w:p>
      <w:pPr>
        <w:ind w:left="1480" w:hanging="277"/>
        <w:spacing w:after="0"/>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Criminal fines and imprisonment;</w:t>
      </w:r>
    </w:p>
    <w:p>
      <w:pPr>
        <w:spacing w:after="0" w:line="107" w:lineRule="exact"/>
        <w:rPr>
          <w:rFonts w:ascii="Arial" w:cs="Arial" w:eastAsia="Arial" w:hAnsi="Arial"/>
          <w:sz w:val="16"/>
          <w:szCs w:val="16"/>
          <w:color w:val="auto"/>
        </w:rPr>
      </w:pPr>
    </w:p>
    <w:p>
      <w:pPr>
        <w:ind w:left="1520" w:right="1220" w:hanging="317"/>
        <w:spacing w:after="0" w:line="275" w:lineRule="auto"/>
        <w:tabs>
          <w:tab w:leader="none" w:pos="14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Judgment in favor of a damaged investor for any profits made from trading on the information and possible payment of damages;</w:t>
      </w:r>
    </w:p>
    <w:p>
      <w:pPr>
        <w:spacing w:after="0" w:line="68" w:lineRule="exact"/>
        <w:rPr>
          <w:rFonts w:ascii="Arial" w:cs="Arial" w:eastAsia="Arial" w:hAnsi="Arial"/>
          <w:sz w:val="16"/>
          <w:szCs w:val="16"/>
          <w:color w:val="auto"/>
        </w:rPr>
      </w:pPr>
    </w:p>
    <w:p>
      <w:pPr>
        <w:ind w:left="1480" w:hanging="277"/>
        <w:spacing w:after="0"/>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Court injunctions;</w:t>
      </w:r>
    </w:p>
    <w:p>
      <w:pPr>
        <w:spacing w:after="0" w:line="107" w:lineRule="exact"/>
        <w:rPr>
          <w:rFonts w:ascii="Arial" w:cs="Arial" w:eastAsia="Arial" w:hAnsi="Arial"/>
          <w:sz w:val="16"/>
          <w:szCs w:val="16"/>
          <w:color w:val="auto"/>
        </w:rPr>
      </w:pPr>
    </w:p>
    <w:p>
      <w:pPr>
        <w:ind w:left="1480" w:hanging="277"/>
        <w:spacing w:after="0"/>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Administrative sanction;</w:t>
      </w:r>
    </w:p>
    <w:p>
      <w:pPr>
        <w:spacing w:after="0" w:line="120" w:lineRule="exact"/>
        <w:rPr>
          <w:rFonts w:ascii="Arial" w:cs="Arial" w:eastAsia="Arial" w:hAnsi="Arial"/>
          <w:sz w:val="16"/>
          <w:szCs w:val="16"/>
          <w:color w:val="auto"/>
        </w:rPr>
      </w:pPr>
    </w:p>
    <w:p>
      <w:pPr>
        <w:ind w:left="1500" w:hanging="297"/>
        <w:spacing w:after="0"/>
        <w:tabs>
          <w:tab w:leader="none" w:pos="1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Civil monetary penalties of up to three times the amount of profit gained, or loss avoided; and</w:t>
      </w:r>
    </w:p>
    <w:p>
      <w:pPr>
        <w:spacing w:after="0" w:line="107" w:lineRule="exact"/>
        <w:rPr>
          <w:rFonts w:ascii="Arial" w:cs="Arial" w:eastAsia="Arial" w:hAnsi="Arial"/>
          <w:sz w:val="16"/>
          <w:szCs w:val="16"/>
          <w:color w:val="auto"/>
        </w:rPr>
      </w:pPr>
    </w:p>
    <w:p>
      <w:pPr>
        <w:ind w:left="1520" w:right="1360" w:hanging="317"/>
        <w:spacing w:after="0" w:line="267" w:lineRule="auto"/>
        <w:tabs>
          <w:tab w:leader="none" w:pos="14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Disciplinary action, which may include termination of employment and/or cancellation or forfeiture of unvested equity awards or recoupment of amounts paid in conjunction with incentive compensation (whether in cash or equity) and other actions.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Weatherford may also be subject to penalties because of insider trading violations by those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90" w:type="dxa"/>
        <w:tblCellMar>
          <w:top w:w="0" w:type="dxa"/>
          <w:left w:w="0" w:type="dxa"/>
          <w:bottom w:w="0" w:type="dxa"/>
          <w:right w:w="0" w:type="dxa"/>
        </w:tblCellMar>
      </w:tblPr>
      <w:tr>
        <w:trPr>
          <w:trHeight w:val="493"/>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5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57"/>
        </w:trPr>
        <w:tc>
          <w:tcPr>
            <w:tcW w:w="800" w:type="dxa"/>
            <w:vAlign w:val="bottom"/>
            <w:tcBorders>
              <w:left w:val="single" w:sz="8" w:color="BDBDBD"/>
              <w:bottom w:val="single" w:sz="8" w:color="BDBDBD"/>
              <w:right w:val="single" w:sz="8" w:color="BDBDBD"/>
            </w:tcBorders>
          </w:tcPr>
          <w:p>
            <w:pPr>
              <w:spacing w:after="0"/>
              <w:rPr>
                <w:sz w:val="13"/>
                <w:szCs w:val="13"/>
                <w:color w:val="auto"/>
              </w:rPr>
            </w:pPr>
          </w:p>
        </w:tc>
        <w:tc>
          <w:tcPr>
            <w:tcW w:w="840" w:type="dxa"/>
            <w:vAlign w:val="bottom"/>
            <w:tcBorders>
              <w:bottom w:val="single" w:sz="8" w:color="BDBDBD"/>
              <w:right w:val="single" w:sz="8" w:color="BDBDBD"/>
            </w:tcBorders>
          </w:tcPr>
          <w:p>
            <w:pPr>
              <w:spacing w:after="0"/>
              <w:rPr>
                <w:sz w:val="13"/>
                <w:szCs w:val="13"/>
                <w:color w:val="auto"/>
              </w:rPr>
            </w:pPr>
          </w:p>
        </w:tc>
        <w:tc>
          <w:tcPr>
            <w:tcW w:w="1660" w:type="dxa"/>
            <w:vAlign w:val="bottom"/>
            <w:tcBorders>
              <w:bottom w:val="single" w:sz="8" w:color="BDBDBD"/>
            </w:tcBorders>
          </w:tcPr>
          <w:p>
            <w:pPr>
              <w:spacing w:after="0"/>
              <w:rPr>
                <w:sz w:val="13"/>
                <w:szCs w:val="13"/>
                <w:color w:val="auto"/>
              </w:rPr>
            </w:pPr>
          </w:p>
        </w:tc>
        <w:tc>
          <w:tcPr>
            <w:tcW w:w="1140" w:type="dxa"/>
            <w:vAlign w:val="bottom"/>
            <w:tcBorders>
              <w:bottom w:val="single" w:sz="8" w:color="BDBDBD"/>
            </w:tcBorders>
          </w:tcPr>
          <w:p>
            <w:pPr>
              <w:spacing w:after="0"/>
              <w:rPr>
                <w:sz w:val="13"/>
                <w:szCs w:val="13"/>
                <w:color w:val="auto"/>
              </w:rPr>
            </w:pPr>
          </w:p>
        </w:tc>
        <w:tc>
          <w:tcPr>
            <w:tcW w:w="280" w:type="dxa"/>
            <w:vAlign w:val="bottom"/>
            <w:tcBorders>
              <w:bottom w:val="single" w:sz="8" w:color="BDBDBD"/>
            </w:tcBorders>
          </w:tcPr>
          <w:p>
            <w:pPr>
              <w:spacing w:after="0"/>
              <w:rPr>
                <w:sz w:val="13"/>
                <w:szCs w:val="13"/>
                <w:color w:val="auto"/>
              </w:rPr>
            </w:pPr>
          </w:p>
        </w:tc>
        <w:tc>
          <w:tcPr>
            <w:tcW w:w="1560" w:type="dxa"/>
            <w:vAlign w:val="bottom"/>
            <w:tcBorders>
              <w:bottom w:val="single" w:sz="8" w:color="BDBDBD"/>
            </w:tcBorders>
          </w:tcPr>
          <w:p>
            <w:pPr>
              <w:spacing w:after="0"/>
              <w:rPr>
                <w:sz w:val="13"/>
                <w:szCs w:val="13"/>
                <w:color w:val="auto"/>
              </w:rPr>
            </w:pPr>
          </w:p>
        </w:tc>
        <w:tc>
          <w:tcPr>
            <w:tcW w:w="1260" w:type="dxa"/>
            <w:vAlign w:val="bottom"/>
            <w:tcBorders>
              <w:bottom w:val="single" w:sz="8" w:color="BDBDBD"/>
            </w:tcBorders>
          </w:tcPr>
          <w:p>
            <w:pPr>
              <w:spacing w:after="0"/>
              <w:rPr>
                <w:sz w:val="13"/>
                <w:szCs w:val="13"/>
                <w:color w:val="auto"/>
              </w:rPr>
            </w:pPr>
          </w:p>
        </w:tc>
        <w:tc>
          <w:tcPr>
            <w:tcW w:w="1860" w:type="dxa"/>
            <w:vAlign w:val="bottom"/>
            <w:tcBorders>
              <w:bottom w:val="single" w:sz="8" w:color="BDBDBD"/>
              <w:right w:val="single" w:sz="8" w:color="BDBDBD"/>
            </w:tcBorders>
          </w:tcPr>
          <w:p>
            <w:pPr>
              <w:spacing w:after="0"/>
              <w:rPr>
                <w:sz w:val="13"/>
                <w:szCs w:val="13"/>
                <w:color w:val="auto"/>
              </w:rPr>
            </w:pPr>
          </w:p>
        </w:tc>
        <w:tc>
          <w:tcPr>
            <w:tcW w:w="1560" w:type="dxa"/>
            <w:vAlign w:val="bottom"/>
            <w:tcBorders>
              <w:bottom w:val="single" w:sz="8" w:color="BDBDBD"/>
              <w:right w:val="single" w:sz="8" w:color="BDBDBD"/>
            </w:tcBorders>
          </w:tcPr>
          <w:p>
            <w:pPr>
              <w:spacing w:after="0"/>
              <w:rPr>
                <w:sz w:val="13"/>
                <w:szCs w:val="13"/>
                <w:color w:val="auto"/>
              </w:rPr>
            </w:pPr>
          </w:p>
        </w:tc>
      </w:tr>
      <w:tr>
        <w:trPr>
          <w:trHeight w:val="226"/>
        </w:trPr>
        <w:tc>
          <w:tcPr>
            <w:tcW w:w="1640" w:type="dxa"/>
            <w:vAlign w:val="bottom"/>
            <w:tcBorders>
              <w:left w:val="single" w:sz="8" w:color="BDBDBD"/>
              <w:bottom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Borders>
              <w:bottom w:val="single" w:sz="8" w:color="BDBDBD"/>
            </w:tcBorders>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bottom w:val="single" w:sz="8" w:color="BDBDBD"/>
              <w:right w:val="single" w:sz="8" w:color="BDBDBD"/>
            </w:tcBorders>
          </w:tcPr>
          <w:p>
            <w:pPr>
              <w:spacing w:after="0"/>
              <w:rPr>
                <w:sz w:val="19"/>
                <w:szCs w:val="19"/>
                <w:color w:val="auto"/>
              </w:rPr>
            </w:pP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bottom w:val="single" w:sz="8" w:color="BDBDBD"/>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46"/>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1"/>
                <w:szCs w:val="21"/>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6"/>
        </w:trPr>
        <w:tc>
          <w:tcPr>
            <w:tcW w:w="800" w:type="dxa"/>
            <w:vAlign w:val="bottom"/>
            <w:tcBorders>
              <w:left w:val="single" w:sz="8" w:color="BDBDBD"/>
              <w:bottom w:val="single" w:sz="8" w:color="BDBDBD"/>
            </w:tcBorders>
          </w:tcPr>
          <w:p>
            <w:pPr>
              <w:spacing w:after="0"/>
              <w:rPr>
                <w:sz w:val="2"/>
                <w:szCs w:val="2"/>
                <w:color w:val="auto"/>
              </w:rPr>
            </w:pPr>
          </w:p>
        </w:tc>
        <w:tc>
          <w:tcPr>
            <w:tcW w:w="840" w:type="dxa"/>
            <w:vAlign w:val="bottom"/>
            <w:tcBorders>
              <w:bottom w:val="single" w:sz="8" w:color="BDBDBD"/>
              <w:right w:val="single" w:sz="8" w:color="BDBDBD"/>
            </w:tcBorders>
          </w:tcPr>
          <w:p>
            <w:pPr>
              <w:spacing w:after="0"/>
              <w:rPr>
                <w:sz w:val="2"/>
                <w:szCs w:val="2"/>
                <w:color w:val="auto"/>
              </w:rPr>
            </w:pPr>
          </w:p>
        </w:tc>
        <w:tc>
          <w:tcPr>
            <w:tcW w:w="1660" w:type="dxa"/>
            <w:vAlign w:val="bottom"/>
            <w:tcBorders>
              <w:bottom w:val="single" w:sz="8" w:color="BDBDBD"/>
              <w:right w:val="single" w:sz="8" w:color="BDBDBD"/>
            </w:tcBorders>
          </w:tcPr>
          <w:p>
            <w:pPr>
              <w:spacing w:after="0"/>
              <w:rPr>
                <w:sz w:val="2"/>
                <w:szCs w:val="2"/>
                <w:color w:val="auto"/>
              </w:rPr>
            </w:pPr>
          </w:p>
        </w:tc>
        <w:tc>
          <w:tcPr>
            <w:tcW w:w="1140" w:type="dxa"/>
            <w:vAlign w:val="bottom"/>
            <w:tcBorders>
              <w:bottom w:val="single" w:sz="8" w:color="BDBDBD"/>
            </w:tcBorders>
          </w:tcPr>
          <w:p>
            <w:pPr>
              <w:spacing w:after="0"/>
              <w:rPr>
                <w:sz w:val="2"/>
                <w:szCs w:val="2"/>
                <w:color w:val="auto"/>
              </w:rPr>
            </w:pPr>
          </w:p>
        </w:tc>
        <w:tc>
          <w:tcPr>
            <w:tcW w:w="28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c>
          <w:tcPr>
            <w:tcW w:w="1260" w:type="dxa"/>
            <w:vAlign w:val="bottom"/>
            <w:tcBorders>
              <w:bottom w:val="single" w:sz="8" w:color="BDBDBD"/>
              <w:right w:val="single" w:sz="8" w:color="BDBDBD"/>
            </w:tcBorders>
          </w:tcPr>
          <w:p>
            <w:pPr>
              <w:spacing w:after="0"/>
              <w:rPr>
                <w:sz w:val="2"/>
                <w:szCs w:val="2"/>
                <w:color w:val="auto"/>
              </w:rPr>
            </w:pPr>
          </w:p>
        </w:tc>
        <w:tc>
          <w:tcPr>
            <w:tcW w:w="1860" w:type="dxa"/>
            <w:vAlign w:val="bottom"/>
            <w:tcBorders>
              <w:bottom w:val="single" w:sz="8" w:color="BDBDBD"/>
              <w:right w:val="single" w:sz="8" w:color="BDBDBD"/>
            </w:tcBorders>
          </w:tcPr>
          <w:p>
            <w:pPr>
              <w:spacing w:after="0"/>
              <w:rPr>
                <w:sz w:val="2"/>
                <w:szCs w:val="2"/>
                <w:color w:val="auto"/>
              </w:rPr>
            </w:pPr>
          </w:p>
        </w:tc>
        <w:tc>
          <w:tcPr>
            <w:tcW w:w="1560" w:type="dxa"/>
            <w:vAlign w:val="bottom"/>
            <w:tcBorders>
              <w:bottom w:val="single" w:sz="8" w:color="BDBDBD"/>
              <w:right w:val="single" w:sz="8" w:color="BDBD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-697865</wp:posOffset>
            </wp:positionV>
            <wp:extent cx="277495" cy="193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ectPr>
          <w:pgSz w:w="11900" w:h="16838" w:orient="portrait"/>
          <w:cols w:equalWidth="0" w:num="1">
            <w:col w:w="11020"/>
          </w:cols>
          <w:pgMar w:left="360" w:top="164" w:right="51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type w:val="continuous"/>
        </w:sectPr>
      </w:pPr>
    </w:p>
    <w:bookmarkStart w:id="100" w:name="page101"/>
    <w:bookmarkEnd w:id="100"/>
    <w:p>
      <w:pPr>
        <w:ind w:left="480"/>
        <w:spacing w:after="0"/>
        <w:rPr>
          <w:sz w:val="20"/>
          <w:szCs w:val="20"/>
          <w:color w:val="auto"/>
        </w:rPr>
      </w:pPr>
      <w:r>
        <w:rPr>
          <w:rFonts w:ascii="Arial" w:cs="Arial" w:eastAsia="Arial" w:hAnsi="Arial"/>
          <w:sz w:val="21"/>
          <w:szCs w:val="21"/>
          <w:b w:val="1"/>
          <w:bCs w:val="1"/>
          <w:color w:val="404040"/>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-126365</wp:posOffset>
            </wp:positionV>
            <wp:extent cx="302895" cy="3028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02895" cy="3028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b w:val="1"/>
          <w:bCs w:val="1"/>
          <w:color w:val="404040"/>
        </w:rPr>
        <w:t>POLICY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40"/>
        <w:spacing w:after="0" w:line="293" w:lineRule="auto"/>
        <w:rPr>
          <w:sz w:val="20"/>
          <w:szCs w:val="20"/>
          <w:color w:val="auto"/>
        </w:rPr>
      </w:pPr>
      <w:r>
        <w:rPr>
          <w:rFonts w:ascii="Arial" w:cs="Arial" w:eastAsia="Arial" w:hAnsi="Arial"/>
          <w:sz w:val="16"/>
          <w:szCs w:val="16"/>
          <w:color w:val="auto"/>
        </w:rPr>
        <w:t>From time to time, Weatherford may engage in transactions in its own securities. It is Weatherford´s policy to comply with all application securities and state laws when engaging in transaction in Weatherford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-31750</wp:posOffset>
            </wp:positionV>
            <wp:extent cx="5275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REFERENCES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CE1141"/>
        </w:rPr>
        <w:t xml:space="preserve">ASK </w:t>
      </w:r>
      <w:r>
        <w:rPr>
          <w:rFonts w:ascii="Arial" w:cs="Arial" w:eastAsia="Arial" w:hAnsi="Arial"/>
          <w:sz w:val="18"/>
          <w:szCs w:val="18"/>
          <w:color w:val="000000"/>
        </w:rPr>
        <w:t>for help.</w:t>
      </w:r>
    </w:p>
    <w:p>
      <w:pPr>
        <w:spacing w:after="0" w:line="84" w:lineRule="exact"/>
        <w:rPr>
          <w:sz w:val="20"/>
          <w:szCs w:val="20"/>
          <w:color w:val="auto"/>
        </w:rPr>
      </w:pPr>
    </w:p>
    <w:p>
      <w:pPr>
        <w:ind w:left="880" w:right="700"/>
        <w:spacing w:after="0" w:line="275" w:lineRule="auto"/>
        <w:rPr>
          <w:sz w:val="20"/>
          <w:szCs w:val="20"/>
          <w:color w:val="auto"/>
        </w:rPr>
      </w:pPr>
      <w:r>
        <w:rPr>
          <w:rFonts w:ascii="Arial" w:cs="Arial" w:eastAsia="Arial" w:hAnsi="Arial"/>
          <w:sz w:val="16"/>
          <w:szCs w:val="16"/>
          <w:color w:val="auto"/>
        </w:rPr>
        <w:t>If you have any questions regarding the Policy, please submit a General Legal Request (Ask Legal) in the Legal &amp; Compliance Service Portal.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-13970</wp:posOffset>
            </wp:positionV>
            <wp:extent cx="5275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5275580" cy="8255"/>
                    </a:xfrm>
                    <a:prstGeom prst="rect">
                      <a:avLst/>
                    </a:prstGeom>
                    <a:noFill/>
                  </pic:spPr>
                </pic:pic>
              </a:graphicData>
            </a:graphic>
          </wp:anchor>
        </w:drawing>
      </w:r>
    </w:p>
    <w:p>
      <w:pPr>
        <w:spacing w:after="0" w:line="344"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CHANGE RECORD</w:t>
      </w:r>
    </w:p>
    <w:p>
      <w:pPr>
        <w:spacing w:after="0" w:line="381" w:lineRule="exact"/>
        <w:rPr>
          <w:sz w:val="20"/>
          <w:szCs w:val="20"/>
          <w:color w:val="auto"/>
        </w:rPr>
      </w:pPr>
    </w:p>
    <w:tbl>
      <w:tblPr>
        <w:tblLayout w:type="fixed"/>
        <w:tblInd w:w="910" w:type="dxa"/>
        <w:tblCellMar>
          <w:top w:w="0" w:type="dxa"/>
          <w:left w:w="0" w:type="dxa"/>
          <w:bottom w:w="0" w:type="dxa"/>
          <w:right w:w="0" w:type="dxa"/>
        </w:tblCellMar>
      </w:tblPr>
      <w:tr>
        <w:trPr>
          <w:trHeight w:val="248"/>
        </w:trPr>
        <w:tc>
          <w:tcPr>
            <w:tcW w:w="840" w:type="dxa"/>
            <w:vAlign w:val="bottom"/>
            <w:tcBorders>
              <w:top w:val="single" w:sz="8" w:color="auto"/>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Revision</w:t>
            </w:r>
          </w:p>
        </w:tc>
        <w:tc>
          <w:tcPr>
            <w:tcW w:w="780" w:type="dxa"/>
            <w:vAlign w:val="bottom"/>
            <w:tcBorders>
              <w:top w:val="single" w:sz="8" w:color="auto"/>
              <w:bottom w:val="single" w:sz="8" w:color="auto"/>
              <w:right w:val="single" w:sz="8" w:color="auto"/>
            </w:tcBorders>
            <w:shd w:val="clear" w:color="auto" w:fill="C0C0C0"/>
          </w:tcPr>
          <w:p>
            <w:pPr>
              <w:jc w:val="right"/>
              <w:ind w:right="268"/>
              <w:spacing w:after="0"/>
              <w:rPr>
                <w:sz w:val="20"/>
                <w:szCs w:val="20"/>
                <w:color w:val="auto"/>
              </w:rPr>
            </w:pPr>
            <w:r>
              <w:rPr>
                <w:rFonts w:ascii="Arial" w:cs="Arial" w:eastAsia="Arial" w:hAnsi="Arial"/>
                <w:sz w:val="16"/>
                <w:szCs w:val="16"/>
                <w:b w:val="1"/>
                <w:bCs w:val="1"/>
                <w:color w:val="auto"/>
              </w:rPr>
              <w:t>Date</w:t>
            </w:r>
          </w:p>
        </w:tc>
        <w:tc>
          <w:tcPr>
            <w:tcW w:w="6800" w:type="dxa"/>
            <w:vAlign w:val="bottom"/>
            <w:tcBorders>
              <w:top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Summary of Changes</w:t>
            </w:r>
          </w:p>
        </w:tc>
      </w:tr>
      <w:tr>
        <w:trPr>
          <w:trHeight w:val="187"/>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7/6/18</w:t>
            </w:r>
          </w:p>
        </w:tc>
        <w:tc>
          <w:tcPr>
            <w:tcW w:w="68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 xml:space="preserve">This document replaces </w:t>
            </w:r>
            <w:r>
              <w:rPr>
                <w:rFonts w:ascii="Arial" w:cs="Arial" w:eastAsia="Arial" w:hAnsi="Arial"/>
                <w:sz w:val="14"/>
                <w:szCs w:val="14"/>
                <w:b w:val="1"/>
                <w:bCs w:val="1"/>
                <w:color w:val="auto"/>
              </w:rPr>
              <w:t>Policy Regarding Use of Insider Information and Insider Trading</w:t>
            </w:r>
            <w:r>
              <w:rPr>
                <w:rFonts w:ascii="Arial" w:cs="Arial" w:eastAsia="Arial" w:hAnsi="Arial"/>
                <w:sz w:val="14"/>
                <w:szCs w:val="14"/>
                <w:color w:val="auto"/>
              </w:rPr>
              <w:t xml:space="preserve"> dated</w:t>
            </w:r>
          </w:p>
        </w:tc>
      </w:tr>
      <w:tr>
        <w:trPr>
          <w:trHeight w:val="186"/>
        </w:trPr>
        <w:tc>
          <w:tcPr>
            <w:tcW w:w="84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8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3/13/18</w:t>
            </w:r>
          </w:p>
        </w:tc>
      </w:tr>
      <w:tr>
        <w:trPr>
          <w:trHeight w:val="22"/>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12"/>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1/27/20</w:t>
            </w:r>
          </w:p>
        </w:tc>
        <w:tc>
          <w:tcPr>
            <w:tcW w:w="6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New template and posted in OEPS.</w:t>
            </w:r>
          </w:p>
        </w:tc>
      </w:tr>
      <w:tr>
        <w:trPr>
          <w:trHeight w:val="218"/>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2/26/21</w:t>
            </w:r>
          </w:p>
        </w:tc>
        <w:tc>
          <w:tcPr>
            <w:tcW w:w="6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Updates made to content.</w:t>
            </w:r>
          </w:p>
        </w:tc>
      </w:tr>
      <w:tr>
        <w:trPr>
          <w:trHeight w:val="211"/>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w:t>
            </w:r>
          </w:p>
        </w:tc>
        <w:tc>
          <w:tcPr>
            <w:tcW w:w="7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3/8/22</w:t>
            </w:r>
          </w:p>
        </w:tc>
        <w:tc>
          <w:tcPr>
            <w:tcW w:w="6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Updates</w:t>
            </w:r>
          </w:p>
        </w:tc>
      </w:tr>
      <w:tr>
        <w:trPr>
          <w:trHeight w:val="18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w:t>
            </w:r>
          </w:p>
        </w:tc>
        <w:tc>
          <w:tcPr>
            <w:tcW w:w="78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color w:val="auto"/>
              </w:rPr>
              <w:t>7/17/23</w:t>
            </w:r>
          </w:p>
        </w:tc>
        <w:tc>
          <w:tcPr>
            <w:tcW w:w="68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Replaced directives to email Legal inbox with links to submitting requests in Legal &amp; Compliance Service</w:t>
            </w:r>
          </w:p>
        </w:tc>
      </w:tr>
      <w:tr>
        <w:trPr>
          <w:trHeight w:val="159"/>
        </w:trPr>
        <w:tc>
          <w:tcPr>
            <w:tcW w:w="84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Portal</w:t>
            </w:r>
          </w:p>
        </w:tc>
      </w:tr>
      <w:tr>
        <w:trPr>
          <w:trHeight w:val="186"/>
        </w:trPr>
        <w:tc>
          <w:tcPr>
            <w:tcW w:w="84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8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and minor updates to match latest policy document format.</w:t>
            </w:r>
          </w:p>
        </w:tc>
      </w:tr>
      <w:tr>
        <w:trPr>
          <w:trHeight w:val="22"/>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12"/>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12/6/23</w:t>
            </w:r>
          </w:p>
        </w:tc>
        <w:tc>
          <w:tcPr>
            <w:tcW w:w="6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Updates in advance of effectiveness of Nasdaq listing rules, with a focus on Rule 10b5-1</w:t>
            </w:r>
          </w:p>
        </w:tc>
      </w:tr>
      <w:tr>
        <w:trPr>
          <w:trHeight w:val="219"/>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G</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12/17/25</w:t>
            </w:r>
          </w:p>
        </w:tc>
        <w:tc>
          <w:tcPr>
            <w:tcW w:w="6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Updates made to content.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90" w:type="dxa"/>
        <w:tblCellMar>
          <w:top w:w="0" w:type="dxa"/>
          <w:left w:w="0" w:type="dxa"/>
          <w:bottom w:w="0" w:type="dxa"/>
          <w:right w:w="0" w:type="dxa"/>
        </w:tblCellMar>
      </w:tblPr>
      <w:tr>
        <w:trPr>
          <w:trHeight w:val="492"/>
        </w:trPr>
        <w:tc>
          <w:tcPr>
            <w:tcW w:w="800" w:type="dxa"/>
            <w:vAlign w:val="bottom"/>
            <w:tcBorders>
              <w:top w:val="single" w:sz="8" w:color="BDBDBD"/>
              <w:left w:val="single" w:sz="8" w:color="BDBDBD"/>
              <w:right w:val="single" w:sz="8" w:color="BDBDBD"/>
            </w:tcBorders>
          </w:tcPr>
          <w:p>
            <w:pPr>
              <w:spacing w:after="0"/>
              <w:rPr>
                <w:sz w:val="24"/>
                <w:szCs w:val="24"/>
                <w:color w:val="auto"/>
              </w:rPr>
            </w:pPr>
          </w:p>
        </w:tc>
        <w:tc>
          <w:tcPr>
            <w:tcW w:w="840" w:type="dxa"/>
            <w:vAlign w:val="bottom"/>
            <w:tcBorders>
              <w:top w:val="single" w:sz="8" w:color="BDBDBD"/>
              <w:right w:val="single" w:sz="8" w:color="BDBDBD"/>
            </w:tcBorders>
          </w:tcPr>
          <w:p>
            <w:pPr>
              <w:ind w:left="260"/>
              <w:spacing w:after="0"/>
              <w:rPr>
                <w:sz w:val="20"/>
                <w:szCs w:val="20"/>
                <w:color w:val="auto"/>
              </w:rPr>
            </w:pPr>
            <w:r>
              <w:rPr>
                <w:rFonts w:ascii="Arial" w:cs="Arial" w:eastAsia="Arial" w:hAnsi="Arial"/>
                <w:sz w:val="11"/>
                <w:szCs w:val="11"/>
                <w:b w:val="1"/>
                <w:bCs w:val="1"/>
                <w:color w:val="auto"/>
              </w:rPr>
              <w:t xml:space="preserve">6 </w:t>
            </w:r>
            <w:r>
              <w:rPr>
                <w:rFonts w:ascii="Arial" w:cs="Arial" w:eastAsia="Arial" w:hAnsi="Arial"/>
                <w:sz w:val="11"/>
                <w:szCs w:val="11"/>
                <w:color w:val="auto"/>
              </w:rPr>
              <w:t>of</w:t>
            </w:r>
            <w:r>
              <w:rPr>
                <w:rFonts w:ascii="Arial" w:cs="Arial" w:eastAsia="Arial" w:hAnsi="Arial"/>
                <w:sz w:val="11"/>
                <w:szCs w:val="11"/>
                <w:b w:val="1"/>
                <w:bCs w:val="1"/>
                <w:color w:val="auto"/>
              </w:rPr>
              <w:t xml:space="preserve"> 6</w:t>
            </w:r>
          </w:p>
        </w:tc>
        <w:tc>
          <w:tcPr>
            <w:tcW w:w="1660" w:type="dxa"/>
            <w:vAlign w:val="bottom"/>
            <w:tcBorders>
              <w:top w:val="single" w:sz="8" w:color="BDBDBD"/>
            </w:tcBorders>
          </w:tcPr>
          <w:p>
            <w:pPr>
              <w:spacing w:after="0"/>
              <w:rPr>
                <w:sz w:val="24"/>
                <w:szCs w:val="24"/>
                <w:color w:val="auto"/>
              </w:rPr>
            </w:pPr>
          </w:p>
        </w:tc>
        <w:tc>
          <w:tcPr>
            <w:tcW w:w="1140" w:type="dxa"/>
            <w:vAlign w:val="bottom"/>
            <w:tcBorders>
              <w:top w:val="single" w:sz="8" w:color="BDBDBD"/>
            </w:tcBorders>
          </w:tcPr>
          <w:p>
            <w:pPr>
              <w:spacing w:after="0"/>
              <w:rPr>
                <w:sz w:val="24"/>
                <w:szCs w:val="24"/>
                <w:color w:val="auto"/>
              </w:rPr>
            </w:pPr>
          </w:p>
        </w:tc>
        <w:tc>
          <w:tcPr>
            <w:tcW w:w="3100" w:type="dxa"/>
            <w:vAlign w:val="bottom"/>
            <w:tcBorders>
              <w:top w:val="single" w:sz="8" w:color="BDBDBD"/>
            </w:tcBorders>
            <w:gridSpan w:val="3"/>
          </w:tcPr>
          <w:p>
            <w:pPr>
              <w:jc w:val="center"/>
              <w:ind w:right="920"/>
              <w:spacing w:after="0"/>
              <w:rPr>
                <w:sz w:val="20"/>
                <w:szCs w:val="20"/>
                <w:color w:val="auto"/>
              </w:rPr>
            </w:pPr>
            <w:r>
              <w:rPr>
                <w:rFonts w:ascii="Arial" w:cs="Arial" w:eastAsia="Arial" w:hAnsi="Arial"/>
                <w:sz w:val="20"/>
                <w:szCs w:val="20"/>
                <w:b w:val="1"/>
                <w:bCs w:val="1"/>
                <w:color w:val="auto"/>
              </w:rPr>
              <w:t>Insider Trading Policy</w:t>
            </w:r>
          </w:p>
        </w:tc>
        <w:tc>
          <w:tcPr>
            <w:tcW w:w="1860" w:type="dxa"/>
            <w:vAlign w:val="bottom"/>
            <w:tcBorders>
              <w:top w:val="single" w:sz="8" w:color="BDBDBD"/>
              <w:right w:val="single" w:sz="8" w:color="BDBDBD"/>
            </w:tcBorders>
          </w:tcPr>
          <w:p>
            <w:pPr>
              <w:spacing w:after="0"/>
              <w:rPr>
                <w:sz w:val="24"/>
                <w:szCs w:val="24"/>
                <w:color w:val="auto"/>
              </w:rPr>
            </w:pPr>
          </w:p>
        </w:tc>
        <w:tc>
          <w:tcPr>
            <w:tcW w:w="1560" w:type="dxa"/>
            <w:vAlign w:val="bottom"/>
            <w:tcBorders>
              <w:top w:val="single" w:sz="8" w:color="BDBDBD"/>
              <w:right w:val="single" w:sz="8" w:color="BDBDBD"/>
            </w:tcBorders>
          </w:tcPr>
          <w:p>
            <w:pPr>
              <w:jc w:val="center"/>
              <w:spacing w:after="0"/>
              <w:rPr>
                <w:sz w:val="20"/>
                <w:szCs w:val="20"/>
                <w:color w:val="auto"/>
              </w:rPr>
            </w:pPr>
            <w:r>
              <w:rPr>
                <w:rFonts w:ascii="Arial" w:cs="Arial" w:eastAsia="Arial" w:hAnsi="Arial"/>
                <w:sz w:val="18"/>
                <w:szCs w:val="18"/>
                <w:color w:val="auto"/>
                <w:w w:val="99"/>
              </w:rPr>
              <w:t>Global</w:t>
            </w:r>
          </w:p>
        </w:tc>
      </w:tr>
      <w:tr>
        <w:trPr>
          <w:trHeight w:val="157"/>
        </w:trPr>
        <w:tc>
          <w:tcPr>
            <w:tcW w:w="800" w:type="dxa"/>
            <w:vAlign w:val="bottom"/>
            <w:tcBorders>
              <w:left w:val="single" w:sz="8" w:color="BDBDBD"/>
              <w:bottom w:val="single" w:sz="8" w:color="BDBDBD"/>
              <w:right w:val="single" w:sz="8" w:color="BDBDBD"/>
            </w:tcBorders>
          </w:tcPr>
          <w:p>
            <w:pPr>
              <w:spacing w:after="0"/>
              <w:rPr>
                <w:sz w:val="13"/>
                <w:szCs w:val="13"/>
                <w:color w:val="auto"/>
              </w:rPr>
            </w:pPr>
          </w:p>
        </w:tc>
        <w:tc>
          <w:tcPr>
            <w:tcW w:w="840" w:type="dxa"/>
            <w:vAlign w:val="bottom"/>
            <w:tcBorders>
              <w:bottom w:val="single" w:sz="8" w:color="BDBDBD"/>
              <w:right w:val="single" w:sz="8" w:color="BDBDBD"/>
            </w:tcBorders>
          </w:tcPr>
          <w:p>
            <w:pPr>
              <w:spacing w:after="0"/>
              <w:rPr>
                <w:sz w:val="13"/>
                <w:szCs w:val="13"/>
                <w:color w:val="auto"/>
              </w:rPr>
            </w:pPr>
          </w:p>
        </w:tc>
        <w:tc>
          <w:tcPr>
            <w:tcW w:w="1660" w:type="dxa"/>
            <w:vAlign w:val="bottom"/>
            <w:tcBorders>
              <w:bottom w:val="single" w:sz="8" w:color="BDBDBD"/>
            </w:tcBorders>
          </w:tcPr>
          <w:p>
            <w:pPr>
              <w:spacing w:after="0"/>
              <w:rPr>
                <w:sz w:val="13"/>
                <w:szCs w:val="13"/>
                <w:color w:val="auto"/>
              </w:rPr>
            </w:pPr>
          </w:p>
        </w:tc>
        <w:tc>
          <w:tcPr>
            <w:tcW w:w="1140" w:type="dxa"/>
            <w:vAlign w:val="bottom"/>
            <w:tcBorders>
              <w:bottom w:val="single" w:sz="8" w:color="BDBDBD"/>
            </w:tcBorders>
          </w:tcPr>
          <w:p>
            <w:pPr>
              <w:spacing w:after="0"/>
              <w:rPr>
                <w:sz w:val="13"/>
                <w:szCs w:val="13"/>
                <w:color w:val="auto"/>
              </w:rPr>
            </w:pPr>
          </w:p>
        </w:tc>
        <w:tc>
          <w:tcPr>
            <w:tcW w:w="280" w:type="dxa"/>
            <w:vAlign w:val="bottom"/>
            <w:tcBorders>
              <w:bottom w:val="single" w:sz="8" w:color="BDBDBD"/>
            </w:tcBorders>
          </w:tcPr>
          <w:p>
            <w:pPr>
              <w:spacing w:after="0"/>
              <w:rPr>
                <w:sz w:val="13"/>
                <w:szCs w:val="13"/>
                <w:color w:val="auto"/>
              </w:rPr>
            </w:pPr>
          </w:p>
        </w:tc>
        <w:tc>
          <w:tcPr>
            <w:tcW w:w="1560" w:type="dxa"/>
            <w:vAlign w:val="bottom"/>
            <w:tcBorders>
              <w:bottom w:val="single" w:sz="8" w:color="BDBDBD"/>
            </w:tcBorders>
          </w:tcPr>
          <w:p>
            <w:pPr>
              <w:spacing w:after="0"/>
              <w:rPr>
                <w:sz w:val="13"/>
                <w:szCs w:val="13"/>
                <w:color w:val="auto"/>
              </w:rPr>
            </w:pPr>
          </w:p>
        </w:tc>
        <w:tc>
          <w:tcPr>
            <w:tcW w:w="1260" w:type="dxa"/>
            <w:vAlign w:val="bottom"/>
            <w:tcBorders>
              <w:bottom w:val="single" w:sz="8" w:color="BDBDBD"/>
            </w:tcBorders>
          </w:tcPr>
          <w:p>
            <w:pPr>
              <w:spacing w:after="0"/>
              <w:rPr>
                <w:sz w:val="13"/>
                <w:szCs w:val="13"/>
                <w:color w:val="auto"/>
              </w:rPr>
            </w:pPr>
          </w:p>
        </w:tc>
        <w:tc>
          <w:tcPr>
            <w:tcW w:w="1860" w:type="dxa"/>
            <w:vAlign w:val="bottom"/>
            <w:tcBorders>
              <w:bottom w:val="single" w:sz="8" w:color="BDBDBD"/>
              <w:right w:val="single" w:sz="8" w:color="BDBDBD"/>
            </w:tcBorders>
          </w:tcPr>
          <w:p>
            <w:pPr>
              <w:spacing w:after="0"/>
              <w:rPr>
                <w:sz w:val="13"/>
                <w:szCs w:val="13"/>
                <w:color w:val="auto"/>
              </w:rPr>
            </w:pPr>
          </w:p>
        </w:tc>
        <w:tc>
          <w:tcPr>
            <w:tcW w:w="1560" w:type="dxa"/>
            <w:vAlign w:val="bottom"/>
            <w:tcBorders>
              <w:bottom w:val="single" w:sz="8" w:color="BDBDBD"/>
              <w:right w:val="single" w:sz="8" w:color="BDBDBD"/>
            </w:tcBorders>
          </w:tcPr>
          <w:p>
            <w:pPr>
              <w:spacing w:after="0"/>
              <w:rPr>
                <w:sz w:val="13"/>
                <w:szCs w:val="13"/>
                <w:color w:val="auto"/>
              </w:rPr>
            </w:pPr>
          </w:p>
        </w:tc>
      </w:tr>
      <w:tr>
        <w:trPr>
          <w:trHeight w:val="226"/>
        </w:trPr>
        <w:tc>
          <w:tcPr>
            <w:tcW w:w="1640" w:type="dxa"/>
            <w:vAlign w:val="bottom"/>
            <w:tcBorders>
              <w:left w:val="single" w:sz="8" w:color="BDBDBD"/>
              <w:bottom w:val="single" w:sz="8" w:color="BDBDBD"/>
              <w:right w:val="single" w:sz="8" w:color="BDBDBD"/>
            </w:tcBorders>
            <w:gridSpan w:val="2"/>
          </w:tcPr>
          <w:p>
            <w:pPr>
              <w:jc w:val="center"/>
              <w:ind w:right="23"/>
              <w:spacing w:after="0"/>
              <w:rPr>
                <w:sz w:val="20"/>
                <w:szCs w:val="20"/>
                <w:color w:val="auto"/>
              </w:rPr>
            </w:pPr>
            <w:r>
              <w:rPr>
                <w:rFonts w:ascii="Arial" w:cs="Arial" w:eastAsia="Arial" w:hAnsi="Arial"/>
                <w:sz w:val="11"/>
                <w:szCs w:val="11"/>
                <w:b w:val="1"/>
                <w:bCs w:val="1"/>
                <w:color w:val="auto"/>
              </w:rPr>
              <w:t>DOCUMENT NUMBER</w:t>
            </w:r>
          </w:p>
        </w:tc>
        <w:tc>
          <w:tcPr>
            <w:tcW w:w="16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ORIGINAL ISSUE DATE</w:t>
            </w:r>
          </w:p>
        </w:tc>
        <w:tc>
          <w:tcPr>
            <w:tcW w:w="1140" w:type="dxa"/>
            <w:vAlign w:val="bottom"/>
            <w:tcBorders>
              <w:bottom w:val="single" w:sz="8" w:color="BDBDBD"/>
            </w:tcBorders>
          </w:tcPr>
          <w:p>
            <w:pPr>
              <w:jc w:val="center"/>
              <w:ind w:left="160"/>
              <w:spacing w:after="0"/>
              <w:rPr>
                <w:sz w:val="20"/>
                <w:szCs w:val="20"/>
                <w:color w:val="auto"/>
              </w:rPr>
            </w:pPr>
            <w:r>
              <w:rPr>
                <w:rFonts w:ascii="Arial" w:cs="Arial" w:eastAsia="Arial" w:hAnsi="Arial"/>
                <w:sz w:val="11"/>
                <w:szCs w:val="11"/>
                <w:b w:val="1"/>
                <w:bCs w:val="1"/>
                <w:color w:val="auto"/>
              </w:rPr>
              <w:t>REVISION DATE</w:t>
            </w:r>
          </w:p>
        </w:tc>
        <w:tc>
          <w:tcPr>
            <w:tcW w:w="280" w:type="dxa"/>
            <w:vAlign w:val="bottom"/>
            <w:tcBorders>
              <w:bottom w:val="single" w:sz="8" w:color="BDBDBD"/>
              <w:right w:val="single" w:sz="8" w:color="BDBDBD"/>
            </w:tcBorders>
          </w:tcPr>
          <w:p>
            <w:pPr>
              <w:spacing w:after="0"/>
              <w:rPr>
                <w:sz w:val="19"/>
                <w:szCs w:val="19"/>
                <w:color w:val="auto"/>
              </w:rPr>
            </w:pP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PREPARED BY</w:t>
            </w:r>
          </w:p>
        </w:tc>
        <w:tc>
          <w:tcPr>
            <w:tcW w:w="12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REVIEWED BY</w:t>
            </w:r>
          </w:p>
        </w:tc>
        <w:tc>
          <w:tcPr>
            <w:tcW w:w="1860" w:type="dxa"/>
            <w:vAlign w:val="bottom"/>
            <w:tcBorders>
              <w:bottom w:val="single" w:sz="8" w:color="BDBDBD"/>
              <w:right w:val="single" w:sz="8" w:color="BDBDBD"/>
            </w:tcBorders>
          </w:tcPr>
          <w:p>
            <w:pPr>
              <w:ind w:left="380"/>
              <w:spacing w:after="0"/>
              <w:rPr>
                <w:sz w:val="20"/>
                <w:szCs w:val="20"/>
                <w:color w:val="auto"/>
              </w:rPr>
            </w:pPr>
            <w:r>
              <w:rPr>
                <w:rFonts w:ascii="Arial" w:cs="Arial" w:eastAsia="Arial" w:hAnsi="Arial"/>
                <w:sz w:val="11"/>
                <w:szCs w:val="11"/>
                <w:b w:val="1"/>
                <w:bCs w:val="1"/>
                <w:color w:val="auto"/>
              </w:rPr>
              <w:t>APPROVED BY</w:t>
            </w:r>
          </w:p>
        </w:tc>
        <w:tc>
          <w:tcPr>
            <w:tcW w:w="1560" w:type="dxa"/>
            <w:vAlign w:val="bottom"/>
            <w:tcBorders>
              <w:bottom w:val="single" w:sz="8" w:color="BDBDBD"/>
              <w:right w:val="single" w:sz="8" w:color="BDBDBD"/>
            </w:tcBorders>
          </w:tcPr>
          <w:p>
            <w:pPr>
              <w:jc w:val="center"/>
              <w:spacing w:after="0"/>
              <w:rPr>
                <w:sz w:val="20"/>
                <w:szCs w:val="20"/>
                <w:color w:val="auto"/>
              </w:rPr>
            </w:pPr>
            <w:r>
              <w:rPr>
                <w:rFonts w:ascii="Arial" w:cs="Arial" w:eastAsia="Arial" w:hAnsi="Arial"/>
                <w:sz w:val="11"/>
                <w:szCs w:val="11"/>
                <w:b w:val="1"/>
                <w:bCs w:val="1"/>
                <w:color w:val="auto"/>
              </w:rPr>
              <w:t>Document Type</w:t>
            </w:r>
          </w:p>
        </w:tc>
      </w:tr>
      <w:tr>
        <w:trPr>
          <w:trHeight w:val="250"/>
        </w:trPr>
        <w:tc>
          <w:tcPr>
            <w:tcW w:w="1640" w:type="dxa"/>
            <w:vAlign w:val="bottom"/>
            <w:tcBorders>
              <w:left w:val="single" w:sz="8" w:color="BDBDBD"/>
              <w:right w:val="single" w:sz="8" w:color="BDBDBD"/>
            </w:tcBorders>
            <w:gridSpan w:val="2"/>
          </w:tcPr>
          <w:p>
            <w:pPr>
              <w:jc w:val="center"/>
              <w:spacing w:after="0"/>
              <w:rPr>
                <w:sz w:val="20"/>
                <w:szCs w:val="20"/>
                <w:color w:val="auto"/>
              </w:rPr>
            </w:pPr>
            <w:r>
              <w:rPr>
                <w:rFonts w:ascii="Arial" w:cs="Arial" w:eastAsia="Arial" w:hAnsi="Arial"/>
                <w:sz w:val="12"/>
                <w:szCs w:val="12"/>
                <w:color w:val="auto"/>
              </w:rPr>
              <w:t>GL-WFT-GCL-L1-07</w:t>
            </w:r>
          </w:p>
        </w:tc>
        <w:tc>
          <w:tcPr>
            <w:tcW w:w="1660" w:type="dxa"/>
            <w:vAlign w:val="bottom"/>
            <w:tcBorders>
              <w:right w:val="single" w:sz="8" w:color="BDBDBD"/>
            </w:tcBorders>
          </w:tcPr>
          <w:p>
            <w:pPr>
              <w:jc w:val="right"/>
              <w:ind w:right="520"/>
              <w:spacing w:after="0"/>
              <w:rPr>
                <w:sz w:val="20"/>
                <w:szCs w:val="20"/>
                <w:color w:val="auto"/>
              </w:rPr>
            </w:pPr>
            <w:r>
              <w:rPr>
                <w:rFonts w:ascii="Arial" w:cs="Arial" w:eastAsia="Arial" w:hAnsi="Arial"/>
                <w:sz w:val="12"/>
                <w:szCs w:val="12"/>
                <w:color w:val="auto"/>
              </w:rPr>
              <w:t>10/1/2014</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12/17/2025</w:t>
            </w:r>
          </w:p>
        </w:tc>
        <w:tc>
          <w:tcPr>
            <w:tcW w:w="280" w:type="dxa"/>
            <w:vAlign w:val="bottom"/>
            <w:tcBorders>
              <w:right w:val="single" w:sz="8" w:color="BDBDBD"/>
            </w:tcBorders>
          </w:tcPr>
          <w:p>
            <w:pPr>
              <w:spacing w:after="0"/>
              <w:rPr>
                <w:sz w:val="21"/>
                <w:szCs w:val="21"/>
                <w:color w:val="auto"/>
              </w:rPr>
            </w:pP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Legal Department</w:t>
            </w:r>
          </w:p>
        </w:tc>
        <w:tc>
          <w:tcPr>
            <w:tcW w:w="12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rPr>
              <w:t>General Counsel</w:t>
            </w:r>
          </w:p>
        </w:tc>
        <w:tc>
          <w:tcPr>
            <w:tcW w:w="1860" w:type="dxa"/>
            <w:vAlign w:val="bottom"/>
            <w:tcBorders>
              <w:right w:val="single" w:sz="8" w:color="BDBDBD"/>
            </w:tcBorders>
          </w:tcPr>
          <w:p>
            <w:pPr>
              <w:ind w:left="160"/>
              <w:spacing w:after="0"/>
              <w:rPr>
                <w:sz w:val="20"/>
                <w:szCs w:val="20"/>
                <w:color w:val="auto"/>
              </w:rPr>
            </w:pPr>
            <w:r>
              <w:rPr>
                <w:rFonts w:ascii="Arial" w:cs="Arial" w:eastAsia="Arial" w:hAnsi="Arial"/>
                <w:sz w:val="12"/>
                <w:szCs w:val="12"/>
                <w:color w:val="auto"/>
              </w:rPr>
              <w:t>Board of Directors &amp; General</w:t>
            </w:r>
          </w:p>
        </w:tc>
        <w:tc>
          <w:tcPr>
            <w:tcW w:w="1560" w:type="dxa"/>
            <w:vAlign w:val="bottom"/>
            <w:tcBorders>
              <w:right w:val="single" w:sz="8" w:color="BDBDBD"/>
            </w:tcBorders>
          </w:tcPr>
          <w:p>
            <w:pPr>
              <w:jc w:val="center"/>
              <w:spacing w:after="0"/>
              <w:rPr>
                <w:sz w:val="20"/>
                <w:szCs w:val="20"/>
                <w:color w:val="auto"/>
              </w:rPr>
            </w:pPr>
            <w:r>
              <w:rPr>
                <w:rFonts w:ascii="Arial" w:cs="Arial" w:eastAsia="Arial" w:hAnsi="Arial"/>
                <w:sz w:val="12"/>
                <w:szCs w:val="12"/>
                <w:color w:val="auto"/>
                <w:w w:val="99"/>
              </w:rPr>
              <w:t>Policy</w:t>
            </w:r>
          </w:p>
        </w:tc>
      </w:tr>
      <w:tr>
        <w:trPr>
          <w:trHeight w:val="164"/>
        </w:trPr>
        <w:tc>
          <w:tcPr>
            <w:tcW w:w="800" w:type="dxa"/>
            <w:vAlign w:val="bottom"/>
            <w:tcBorders>
              <w:left w:val="single" w:sz="8" w:color="BDBDBD"/>
            </w:tcBorders>
          </w:tcPr>
          <w:p>
            <w:pPr>
              <w:spacing w:after="0"/>
              <w:rPr>
                <w:sz w:val="14"/>
                <w:szCs w:val="14"/>
                <w:color w:val="auto"/>
              </w:rPr>
            </w:pPr>
          </w:p>
        </w:tc>
        <w:tc>
          <w:tcPr>
            <w:tcW w:w="840" w:type="dxa"/>
            <w:vAlign w:val="bottom"/>
            <w:tcBorders>
              <w:right w:val="single" w:sz="8" w:color="BDBDBD"/>
            </w:tcBorders>
          </w:tcPr>
          <w:p>
            <w:pPr>
              <w:spacing w:after="0"/>
              <w:rPr>
                <w:sz w:val="14"/>
                <w:szCs w:val="14"/>
                <w:color w:val="auto"/>
              </w:rPr>
            </w:pPr>
          </w:p>
        </w:tc>
        <w:tc>
          <w:tcPr>
            <w:tcW w:w="1660" w:type="dxa"/>
            <w:vAlign w:val="bottom"/>
            <w:tcBorders>
              <w:right w:val="single" w:sz="8" w:color="BDBDBD"/>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Borders>
              <w:right w:val="single" w:sz="8" w:color="BDBDBD"/>
            </w:tcBorders>
          </w:tcPr>
          <w:p>
            <w:pPr>
              <w:spacing w:after="0"/>
              <w:rPr>
                <w:sz w:val="14"/>
                <w:szCs w:val="14"/>
                <w:color w:val="auto"/>
              </w:rPr>
            </w:pPr>
          </w:p>
        </w:tc>
        <w:tc>
          <w:tcPr>
            <w:tcW w:w="1560" w:type="dxa"/>
            <w:vAlign w:val="bottom"/>
            <w:tcBorders>
              <w:right w:val="single" w:sz="8" w:color="BDBDBD"/>
            </w:tcBorders>
          </w:tcPr>
          <w:p>
            <w:pPr>
              <w:spacing w:after="0"/>
              <w:rPr>
                <w:sz w:val="14"/>
                <w:szCs w:val="14"/>
                <w:color w:val="auto"/>
              </w:rPr>
            </w:pPr>
          </w:p>
        </w:tc>
        <w:tc>
          <w:tcPr>
            <w:tcW w:w="1260" w:type="dxa"/>
            <w:vAlign w:val="bottom"/>
            <w:tcBorders>
              <w:right w:val="single" w:sz="8" w:color="BDBDBD"/>
            </w:tcBorders>
          </w:tcPr>
          <w:p>
            <w:pPr>
              <w:spacing w:after="0"/>
              <w:rPr>
                <w:sz w:val="14"/>
                <w:szCs w:val="14"/>
                <w:color w:val="auto"/>
              </w:rPr>
            </w:pPr>
          </w:p>
        </w:tc>
        <w:tc>
          <w:tcPr>
            <w:tcW w:w="1860" w:type="dxa"/>
            <w:vAlign w:val="bottom"/>
            <w:tcBorders>
              <w:right w:val="single" w:sz="8" w:color="BDBDBD"/>
            </w:tcBorders>
          </w:tcPr>
          <w:p>
            <w:pPr>
              <w:ind w:left="240"/>
              <w:spacing w:after="0"/>
              <w:rPr>
                <w:sz w:val="20"/>
                <w:szCs w:val="20"/>
                <w:color w:val="auto"/>
              </w:rPr>
            </w:pPr>
            <w:r>
              <w:rPr>
                <w:rFonts w:ascii="Arial" w:cs="Arial" w:eastAsia="Arial" w:hAnsi="Arial"/>
                <w:sz w:val="12"/>
                <w:szCs w:val="12"/>
                <w:color w:val="auto"/>
              </w:rPr>
              <w:t>Counsel</w:t>
            </w:r>
          </w:p>
        </w:tc>
        <w:tc>
          <w:tcPr>
            <w:tcW w:w="1560" w:type="dxa"/>
            <w:vAlign w:val="bottom"/>
            <w:tcBorders>
              <w:right w:val="single" w:sz="8" w:color="BDBDBD"/>
            </w:tcBorders>
          </w:tcPr>
          <w:p>
            <w:pPr>
              <w:spacing w:after="0"/>
              <w:rPr>
                <w:sz w:val="14"/>
                <w:szCs w:val="14"/>
                <w:color w:val="auto"/>
              </w:rPr>
            </w:pPr>
          </w:p>
        </w:tc>
      </w:tr>
      <w:tr>
        <w:trPr>
          <w:trHeight w:val="22"/>
        </w:trPr>
        <w:tc>
          <w:tcPr>
            <w:tcW w:w="800" w:type="dxa"/>
            <w:vAlign w:val="bottom"/>
            <w:tcBorders>
              <w:left w:val="single" w:sz="8" w:color="BDBDBD"/>
              <w:bottom w:val="single" w:sz="8" w:color="BDBDBD"/>
            </w:tcBorders>
          </w:tcPr>
          <w:p>
            <w:pPr>
              <w:spacing w:after="0" w:line="20" w:lineRule="exact"/>
              <w:rPr>
                <w:sz w:val="1"/>
                <w:szCs w:val="1"/>
                <w:color w:val="auto"/>
              </w:rPr>
            </w:pPr>
          </w:p>
        </w:tc>
        <w:tc>
          <w:tcPr>
            <w:tcW w:w="840" w:type="dxa"/>
            <w:vAlign w:val="bottom"/>
            <w:tcBorders>
              <w:bottom w:val="single" w:sz="8" w:color="BDBDBD"/>
              <w:right w:val="single" w:sz="8" w:color="BDBDBD"/>
            </w:tcBorders>
          </w:tcPr>
          <w:p>
            <w:pPr>
              <w:spacing w:after="0" w:line="20" w:lineRule="exact"/>
              <w:rPr>
                <w:sz w:val="1"/>
                <w:szCs w:val="1"/>
                <w:color w:val="auto"/>
              </w:rPr>
            </w:pPr>
          </w:p>
        </w:tc>
        <w:tc>
          <w:tcPr>
            <w:tcW w:w="1660" w:type="dxa"/>
            <w:vAlign w:val="bottom"/>
            <w:tcBorders>
              <w:bottom w:val="single" w:sz="8" w:color="BDBDBD"/>
              <w:right w:val="single" w:sz="8" w:color="BDBDBD"/>
            </w:tcBorders>
          </w:tcPr>
          <w:p>
            <w:pPr>
              <w:spacing w:after="0" w:line="20" w:lineRule="exact"/>
              <w:rPr>
                <w:sz w:val="1"/>
                <w:szCs w:val="1"/>
                <w:color w:val="auto"/>
              </w:rPr>
            </w:pPr>
          </w:p>
        </w:tc>
        <w:tc>
          <w:tcPr>
            <w:tcW w:w="1140" w:type="dxa"/>
            <w:vAlign w:val="bottom"/>
            <w:tcBorders>
              <w:bottom w:val="single" w:sz="8" w:color="BDBDBD"/>
            </w:tcBorders>
          </w:tcPr>
          <w:p>
            <w:pPr>
              <w:spacing w:after="0" w:line="20" w:lineRule="exact"/>
              <w:rPr>
                <w:sz w:val="1"/>
                <w:szCs w:val="1"/>
                <w:color w:val="auto"/>
              </w:rPr>
            </w:pPr>
          </w:p>
        </w:tc>
        <w:tc>
          <w:tcPr>
            <w:tcW w:w="28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c>
          <w:tcPr>
            <w:tcW w:w="1260" w:type="dxa"/>
            <w:vAlign w:val="bottom"/>
            <w:tcBorders>
              <w:bottom w:val="single" w:sz="8" w:color="BDBDBD"/>
              <w:right w:val="single" w:sz="8" w:color="BDBDBD"/>
            </w:tcBorders>
          </w:tcPr>
          <w:p>
            <w:pPr>
              <w:spacing w:after="0" w:line="20" w:lineRule="exact"/>
              <w:rPr>
                <w:sz w:val="1"/>
                <w:szCs w:val="1"/>
                <w:color w:val="auto"/>
              </w:rPr>
            </w:pPr>
          </w:p>
        </w:tc>
        <w:tc>
          <w:tcPr>
            <w:tcW w:w="1860" w:type="dxa"/>
            <w:vAlign w:val="bottom"/>
            <w:tcBorders>
              <w:bottom w:val="single" w:sz="8" w:color="BDBDBD"/>
              <w:right w:val="single" w:sz="8" w:color="BDBDBD"/>
            </w:tcBorders>
          </w:tcPr>
          <w:p>
            <w:pPr>
              <w:spacing w:after="0" w:line="20" w:lineRule="exact"/>
              <w:rPr>
                <w:sz w:val="1"/>
                <w:szCs w:val="1"/>
                <w:color w:val="auto"/>
              </w:rPr>
            </w:pPr>
          </w:p>
        </w:tc>
        <w:tc>
          <w:tcPr>
            <w:tcW w:w="1560" w:type="dxa"/>
            <w:vAlign w:val="bottom"/>
            <w:tcBorders>
              <w:bottom w:val="single" w:sz="8" w:color="BDBDBD"/>
              <w:right w:val="single" w:sz="8" w:color="BDBDB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-697865</wp:posOffset>
            </wp:positionV>
            <wp:extent cx="277495" cy="193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277495" cy="193675"/>
                    </a:xfrm>
                    <a:prstGeom prst="rect">
                      <a:avLst/>
                    </a:prstGeom>
                    <a:noFill/>
                  </pic:spPr>
                </pic:pic>
              </a:graphicData>
            </a:graphic>
          </wp:anchor>
        </w:drawing>
      </w:r>
    </w:p>
    <w:p>
      <w:pPr>
        <w:sectPr>
          <w:pgSz w:w="11900" w:h="16838" w:orient="portrait"/>
          <w:cols w:equalWidth="0" w:num="1">
            <w:col w:w="11020"/>
          </w:cols>
          <w:pgMar w:left="360" w:top="16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#1102958v23</w:t>
      </w:r>
    </w:p>
    <w:p>
      <w:pPr>
        <w:sectPr>
          <w:pgSz w:w="11900" w:h="16838" w:orient="portrait"/>
          <w:cols w:equalWidth="0" w:num="1">
            <w:col w:w="11020"/>
          </w:cols>
          <w:pgMar w:left="360" w:top="164" w:right="51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Subsidiaries of the Registrant</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Listed below are the significant subsidiaries and certain other subsidiaries of the Registrant as of December 31, 2025, and the states or jurisdictions in which they are incorporated or organized. The names of other subsidiaries have been omitted from the list below, since they would not constitute, in the aggregate, a significant subsidiary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660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Significant Subsidiaries</w:t>
            </w:r>
          </w:p>
        </w:tc>
      </w:tr>
      <w:tr>
        <w:trPr>
          <w:trHeight w:val="324"/>
        </w:trPr>
        <w:tc>
          <w:tcPr>
            <w:tcW w:w="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 of Company</w:t>
            </w:r>
          </w:p>
        </w:tc>
        <w:tc>
          <w:tcPr>
            <w:tcW w:w="318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4580" w:type="dxa"/>
            <w:vAlign w:val="bottom"/>
            <w:gridSpan w:val="3"/>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Oil Tool Middle East Limited</w:t>
            </w:r>
          </w:p>
        </w:tc>
        <w:tc>
          <w:tcPr>
            <w:tcW w:w="2020" w:type="dxa"/>
            <w:vAlign w:val="bottom"/>
            <w:shd w:val="clear" w:color="auto" w:fill="CCEEFF"/>
          </w:tcPr>
          <w:p>
            <w:pPr>
              <w:spacing w:after="0"/>
              <w:rPr>
                <w:sz w:val="20"/>
                <w:szCs w:val="20"/>
                <w:color w:val="auto"/>
              </w:rPr>
            </w:pPr>
          </w:p>
        </w:tc>
        <w:tc>
          <w:tcPr>
            <w:tcW w:w="4580" w:type="dxa"/>
            <w:vAlign w:val="bottom"/>
            <w:gridSpan w:val="3"/>
            <w:shd w:val="clear" w:color="auto" w:fill="CCEEFF"/>
          </w:tcPr>
          <w:p>
            <w:pPr>
              <w:jc w:val="center"/>
              <w:ind w:left="2312"/>
              <w:spacing w:after="0"/>
              <w:rPr>
                <w:sz w:val="20"/>
                <w:szCs w:val="20"/>
                <w:color w:val="auto"/>
              </w:rPr>
            </w:pPr>
            <w:r>
              <w:rPr>
                <w:rFonts w:ascii="Times New Roman" w:cs="Times New Roman" w:eastAsia="Times New Roman" w:hAnsi="Times New Roman"/>
                <w:sz w:val="18"/>
                <w:szCs w:val="18"/>
                <w:color w:val="auto"/>
                <w:w w:val="96"/>
              </w:rPr>
              <w:t>British Virgin Islands</w:t>
            </w:r>
          </w:p>
        </w:tc>
      </w:tr>
      <w:tr>
        <w:trPr>
          <w:trHeight w:val="231"/>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U.S., L.P.</w:t>
            </w:r>
          </w:p>
        </w:tc>
        <w:tc>
          <w:tcPr>
            <w:tcW w:w="2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Louisiana</w:t>
            </w: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Other Subsidiaries</w:t>
            </w:r>
          </w:p>
        </w:tc>
      </w:tr>
      <w:tr>
        <w:trPr>
          <w:trHeight w:val="325"/>
        </w:trPr>
        <w:tc>
          <w:tcPr>
            <w:tcW w:w="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 of Company</w:t>
            </w:r>
          </w:p>
        </w:tc>
        <w:tc>
          <w:tcPr>
            <w:tcW w:w="34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820" w:type="dxa"/>
            <w:vAlign w:val="bottom"/>
            <w:gridSpan w:val="3"/>
          </w:tcPr>
          <w:p>
            <w:pPr>
              <w:jc w:val="center"/>
              <w:ind w:left="2552"/>
              <w:spacing w:after="0"/>
              <w:rPr>
                <w:sz w:val="20"/>
                <w:szCs w:val="20"/>
                <w:color w:val="auto"/>
              </w:rPr>
            </w:pPr>
            <w:r>
              <w:rPr>
                <w:rFonts w:ascii="Times New Roman" w:cs="Times New Roman" w:eastAsia="Times New Roman" w:hAnsi="Times New Roman"/>
                <w:sz w:val="18"/>
                <w:szCs w:val="18"/>
                <w:b w:val="1"/>
                <w:bCs w:val="1"/>
                <w:color w:val="auto"/>
                <w:w w:val="97"/>
              </w:rPr>
              <w:t>Jurisdiction</w:t>
            </w: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Al-Rushaid Co. Ltd.</w:t>
            </w:r>
          </w:p>
        </w:tc>
        <w:tc>
          <w:tcPr>
            <w:tcW w:w="1560" w:type="dxa"/>
            <w:vAlign w:val="bottom"/>
            <w:shd w:val="clear" w:color="auto" w:fill="CCEEFF"/>
          </w:tcPr>
          <w:p>
            <w:pPr>
              <w:spacing w:after="0"/>
              <w:rPr>
                <w:sz w:val="20"/>
                <w:szCs w:val="20"/>
                <w:color w:val="auto"/>
              </w:rPr>
            </w:pPr>
          </w:p>
        </w:tc>
        <w:tc>
          <w:tcPr>
            <w:tcW w:w="4820" w:type="dxa"/>
            <w:vAlign w:val="bottom"/>
            <w:gridSpan w:val="3"/>
            <w:shd w:val="clear" w:color="auto" w:fill="CCEEFF"/>
          </w:tcPr>
          <w:p>
            <w:pPr>
              <w:jc w:val="center"/>
              <w:ind w:left="2552"/>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Artificial Lift Systems, LLC</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Canada Ltd.</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Industria e Comercio Ltda.</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Brazil</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International de Argentina S.A.</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Argentina</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International Ltd.</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International, LLC</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Norge AS</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Products GmbH</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Energy Services Saudi Arabia Co. Ltd.</w:t>
            </w:r>
          </w:p>
        </w:tc>
        <w:tc>
          <w:tcPr>
            <w:tcW w:w="1560" w:type="dxa"/>
            <w:vAlign w:val="bottom"/>
          </w:tcPr>
          <w:p>
            <w:pPr>
              <w:spacing w:after="0"/>
              <w:rPr>
                <w:sz w:val="19"/>
                <w:szCs w:val="19"/>
                <w:color w:val="auto"/>
              </w:rPr>
            </w:pPr>
          </w:p>
        </w:tc>
        <w:tc>
          <w:tcPr>
            <w:tcW w:w="4820" w:type="dxa"/>
            <w:vAlign w:val="bottom"/>
            <w:gridSpan w:val="3"/>
          </w:tcPr>
          <w:p>
            <w:pPr>
              <w:jc w:val="center"/>
              <w:ind w:left="2552"/>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U.K. Limited</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6"/>
              </w:rPr>
              <w:t>England</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LLC</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5"/>
              </w:rPr>
              <w:t>Russia</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Well Services L.L.C.</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4"/>
              </w:rPr>
              <w:t>Qatar</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Colombia Ltd.</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Worldwide Holdings GmbH</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Bin Hamoodah L.L.C.</w:t>
            </w:r>
          </w:p>
        </w:tc>
        <w:tc>
          <w:tcPr>
            <w:tcW w:w="1560" w:type="dxa"/>
            <w:vAlign w:val="bottom"/>
          </w:tcPr>
          <w:p>
            <w:pPr>
              <w:spacing w:after="0"/>
              <w:rPr>
                <w:sz w:val="19"/>
                <w:szCs w:val="19"/>
                <w:color w:val="auto"/>
              </w:rPr>
            </w:pPr>
          </w:p>
        </w:tc>
        <w:tc>
          <w:tcPr>
            <w:tcW w:w="4820" w:type="dxa"/>
            <w:vAlign w:val="bottom"/>
            <w:gridSpan w:val="3"/>
          </w:tcPr>
          <w:p>
            <w:pPr>
              <w:jc w:val="center"/>
              <w:ind w:left="2552"/>
              <w:spacing w:after="0"/>
              <w:rPr>
                <w:sz w:val="20"/>
                <w:szCs w:val="20"/>
                <w:color w:val="auto"/>
              </w:rPr>
            </w:pPr>
            <w:r>
              <w:rPr>
                <w:rFonts w:ascii="Times New Roman" w:cs="Times New Roman" w:eastAsia="Times New Roman" w:hAnsi="Times New Roman"/>
                <w:sz w:val="18"/>
                <w:szCs w:val="18"/>
                <w:color w:val="auto"/>
                <w:w w:val="97"/>
              </w:rPr>
              <w:t>United Arab Emirates</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Australia Pty. Ltd.</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Services, Ltd.</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 Oilfield Services Mexicana, S. de R.L. de C.V.</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5"/>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Weatherford KSP Company Limited</w:t>
            </w:r>
          </w:p>
        </w:tc>
        <w:tc>
          <w:tcPr>
            <w:tcW w:w="1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6"/>
              </w:rPr>
              <w:t>Thailand</w:t>
            </w: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Oilfield Services Spain, S.L.</w:t>
            </w:r>
          </w:p>
        </w:tc>
        <w:tc>
          <w:tcPr>
            <w:tcW w:w="15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240"/>
          </w:cols>
          <w:pgMar w:left="320" w:top="87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333-288041 and 333-256809) on Form S-8 and (No. 333-288045) on Form S-3 of our reports dated February 4, 2026, with respect to the consolidated financial statements of Weatherford International plc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ectPr>
          <w:pgSz w:w="11900" w:h="16838" w:orient="portrait"/>
          <w:cols w:equalWidth="0" w:num="1">
            <w:col w:w="11240"/>
          </w:cols>
          <w:pgMar w:left="320" w:top="140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Anuj Dhruv, certify that:</w:t>
      </w:r>
    </w:p>
    <w:p>
      <w:pPr>
        <w:spacing w:after="0" w:line="111"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Anuj Dhruv</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2025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of Weatherford International plc (the "Company") for the period ended December 31, 2025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Anuj Dhruv</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endash "/>
      <w:numFmt w:val="bullet"/>
      <w:start w:val="1"/>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endash "/>
      <w:numFmt w:val="bullet"/>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decimal"/>
      <w:start w:val="8"/>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6" Type="http://schemas.openxmlformats.org/officeDocument/2006/relationships/image" Target="media/image92.png"/><Relationship Id="rId119" Type="http://schemas.openxmlformats.org/officeDocument/2006/relationships/image" Target="media/image93.png"/><Relationship Id="rId123" Type="http://schemas.openxmlformats.org/officeDocument/2006/relationships/image" Target="media/image94.png"/><Relationship Id="rId130" Type="http://schemas.openxmlformats.org/officeDocument/2006/relationships/image" Target="media/image95.png"/><Relationship Id="rId132" Type="http://schemas.openxmlformats.org/officeDocument/2006/relationships/image" Target="media/image96.png"/><Relationship Id="rId136"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jpeg"/><Relationship Id="rId153" Type="http://schemas.openxmlformats.org/officeDocument/2006/relationships/image" Target="media/image109.jpeg"/><Relationship Id="rId154" Type="http://schemas.openxmlformats.org/officeDocument/2006/relationships/image" Target="media/image110.jpeg"/><Relationship Id="rId155" Type="http://schemas.openxmlformats.org/officeDocument/2006/relationships/image" Target="media/image111.jpeg"/><Relationship Id="rId156" Type="http://schemas.openxmlformats.org/officeDocument/2006/relationships/image" Target="media/image112.jpeg"/><Relationship Id="rId157" Type="http://schemas.openxmlformats.org/officeDocument/2006/relationships/image" Target="media/image113.jpeg"/><Relationship Id="rId158" Type="http://schemas.openxmlformats.org/officeDocument/2006/relationships/image" Target="media/image114.jpeg"/><Relationship Id="rId159" Type="http://schemas.openxmlformats.org/officeDocument/2006/relationships/image" Target="media/image115.jpeg"/><Relationship Id="rId160" Type="http://schemas.openxmlformats.org/officeDocument/2006/relationships/image" Target="media/image116.jpeg"/><Relationship Id="rId161" Type="http://schemas.openxmlformats.org/officeDocument/2006/relationships/image" Target="media/image117.jpeg"/><Relationship Id="rId162" Type="http://schemas.openxmlformats.org/officeDocument/2006/relationships/image" Target="media/image118.jpeg"/><Relationship Id="rId163" Type="http://schemas.openxmlformats.org/officeDocument/2006/relationships/image" Target="media/image119.jpeg"/><Relationship Id="rId164" Type="http://schemas.openxmlformats.org/officeDocument/2006/relationships/image" Target="media/image120.jpeg"/><Relationship Id="rId165" Type="http://schemas.openxmlformats.org/officeDocument/2006/relationships/image" Target="media/image121.jpeg"/><Relationship Id="rId166" Type="http://schemas.openxmlformats.org/officeDocument/2006/relationships/image" Target="media/image122.jpeg"/><Relationship Id="rId167" Type="http://schemas.openxmlformats.org/officeDocument/2006/relationships/image" Target="media/image123.jpeg"/><Relationship Id="rId168" Type="http://schemas.openxmlformats.org/officeDocument/2006/relationships/image" Target="media/image124.jpeg"/><Relationship Id="rId169" Type="http://schemas.openxmlformats.org/officeDocument/2006/relationships/image" Target="media/image125.jpeg"/><Relationship Id="rId170" Type="http://schemas.openxmlformats.org/officeDocument/2006/relationships/image" Target="media/image126.jpeg"/><Relationship Id="rId171" Type="http://schemas.openxmlformats.org/officeDocument/2006/relationships/image" Target="media/image127.jpe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95" Type="http://schemas.openxmlformats.org/officeDocument/2006/relationships/hyperlink" Target="https://www.sec.gov/Archives/edgar/data/1603923/000110465919073841/tm1925198d1_ex3-1.htm" TargetMode="External"/><Relationship Id="rId96" Type="http://schemas.openxmlformats.org/officeDocument/2006/relationships/hyperlink" Target="https://www.sec.gov/Archives/edgar/data/1603923/000160392322000051/exhibit41descriptionofsecu.htm" TargetMode="External"/><Relationship Id="rId97" Type="http://schemas.openxmlformats.org/officeDocument/2006/relationships/hyperlink" Target="https://www.sec.gov/Archives/edgar/data/1603923/000095014221003357/eh210195929_ex0401.htm" TargetMode="External"/><Relationship Id="rId98" Type="http://schemas.openxmlformats.org/officeDocument/2006/relationships/hyperlink" Target="https://www.sec.gov/Archives/edgar/data/1603923/000110465922124561/tm2232001d1_ex4-2.htm" TargetMode="External"/><Relationship Id="rId99" Type="http://schemas.openxmlformats.org/officeDocument/2006/relationships/hyperlink" Target="https://www.sec.gov/Archives/edgar/data/1603923/000160392325000151/wfrd-indentureexecutionver.htm" TargetMode="External"/><Relationship Id="rId102" Type="http://schemas.openxmlformats.org/officeDocument/2006/relationships/hyperlink" Target="https://www.sec.gov/Archives/edgar/data/1603923/000160392314000013/exhibit1011deedofindemnifi.htm" TargetMode="External"/><Relationship Id="rId103" Type="http://schemas.openxmlformats.org/officeDocument/2006/relationships/hyperlink" Target="https://www.sec.gov/Archives/edgar/data/1603923/000160392314000013/exhibit1012deedofindemnifi.htm" TargetMode="External"/><Relationship Id="rId104" Type="http://schemas.openxmlformats.org/officeDocument/2006/relationships/hyperlink" Target="https://www.sec.gov/Archives/edgar/data/1603923/000160392323000058/exhibit1013rdamendedandres.htm" TargetMode="External"/><Relationship Id="rId105" Type="http://schemas.openxmlformats.org/officeDocument/2006/relationships/hyperlink" Target="https://www.sec.gov/Archives/edgar/data/1603923/000160392323000068/ex1010-amendedandrestatede.htm" TargetMode="External"/><Relationship Id="rId106" Type="http://schemas.openxmlformats.org/officeDocument/2006/relationships/hyperlink" Target="https://www.sec.gov/Archives/edgar/data/1603923/000160392323000068/ex1011-amendedandrestatedn.htm" TargetMode="External"/><Relationship Id="rId107" Type="http://schemas.openxmlformats.org/officeDocument/2006/relationships/hyperlink" Target="https://www.sec.gov/Archives/edgar/data/1603923/000160392323000058/exhibit102weatherford-thir.htm" TargetMode="External"/><Relationship Id="rId108" Type="http://schemas.openxmlformats.org/officeDocument/2006/relationships/hyperlink" Target="https://www.sec.gov/Archives/edgar/data/1603923/000160392325000123/fourthamendedandrestated20.htm" TargetMode="External"/><Relationship Id="rId111" Type="http://schemas.openxmlformats.org/officeDocument/2006/relationships/hyperlink" Target="https://www.sec.gov/Archives/edgar/data/1603923/000160392324000110/exhibit104-secondamendedan.htm" TargetMode="External"/><Relationship Id="rId112" Type="http://schemas.openxmlformats.org/officeDocument/2006/relationships/hyperlink" Target="https://www.sec.gov/Archives/edgar/data/1603923/000160392322000034/ex10_1-formofrestrictedsha.htm" TargetMode="External"/><Relationship Id="rId113" Type="http://schemas.openxmlformats.org/officeDocument/2006/relationships/hyperlink" Target="https://www.sec.gov/Archives/edgar/data/1603923/000160392323000058/exhibit103-formawardagreem.htm" TargetMode="External"/><Relationship Id="rId114" Type="http://schemas.openxmlformats.org/officeDocument/2006/relationships/hyperlink" Target="https://www.sec.gov/Archives/edgar/data/1603923/000160392323000058/exhibit104-formawardagreem.htm" TargetMode="External"/><Relationship Id="rId115" Type="http://schemas.openxmlformats.org/officeDocument/2006/relationships/hyperlink" Target="https://www.sec.gov/Archives/edgar/data/1603923/000160392324000145/exhibit101-weatherfordxmod.htm" TargetMode="External"/><Relationship Id="rId117" Type="http://schemas.openxmlformats.org/officeDocument/2006/relationships/hyperlink" Target="https://www.sec.gov/Archives/edgar/data/1603923/000160392324000145/exhibit102-weatherfordxmod.htm" TargetMode="External"/><Relationship Id="rId118" Type="http://schemas.openxmlformats.org/officeDocument/2006/relationships/hyperlink" Target="https://www.sec.gov/Archives/edgar/data/1603923/000160392324000110/exhibit107-weatherfordxmod.htm" TargetMode="External"/><Relationship Id="rId120" Type="http://schemas.openxmlformats.org/officeDocument/2006/relationships/hyperlink" Target="https://www.sec.gov/Archives/edgar/data/1603923/000160392325000089/exhibit1012025formawardagr.htm" TargetMode="External"/><Relationship Id="rId121" Type="http://schemas.openxmlformats.org/officeDocument/2006/relationships/hyperlink" Target="https://www.sec.gov/Archives/edgar/data/1603923/000110465922109505/tm2228400d1_ex10-1.htm" TargetMode="External"/><Relationship Id="rId122" Type="http://schemas.openxmlformats.org/officeDocument/2006/relationships/hyperlink" Target="https://www.sec.gov/Archives/edgar/data/1603923/000110465922122402/tm2231410d1_ex10-1.htm" TargetMode="External"/><Relationship Id="rId124" Type="http://schemas.openxmlformats.org/officeDocument/2006/relationships/hyperlink" Target="https://www.sec.gov/Archives/edgar/data/1603923/000110465922122402/tm2231410d1_ex10-2.htm" TargetMode="External"/><Relationship Id="rId125" Type="http://schemas.openxmlformats.org/officeDocument/2006/relationships/hyperlink" Target="https://www.sec.gov/Archives/edgar/data/1603923/000110465922122402/tm2231410d1_ex10-3.htm" TargetMode="External"/><Relationship Id="rId126" Type="http://schemas.openxmlformats.org/officeDocument/2006/relationships/hyperlink" Target="https://www.sec.gov/Archives/edgar/data/1603923/000160392323000068/ex1044-secondamendmenttoam.htm" TargetMode="External"/><Relationship Id="rId127" Type="http://schemas.openxmlformats.org/officeDocument/2006/relationships/hyperlink" Target="https://www.sec.gov/Archives/edgar/data/1603923/000110465923036717/tm2310530d1_ex10-1.htm" TargetMode="External"/><Relationship Id="rId128" Type="http://schemas.openxmlformats.org/officeDocument/2006/relationships/hyperlink" Target="https://www.sec.gov/Archives/edgar/data/1603923/000110465923111127/tm2328755d1_ex10-1.htm" TargetMode="External"/><Relationship Id="rId129" Type="http://schemas.openxmlformats.org/officeDocument/2006/relationships/hyperlink" Target="https://www.sec.gov/Archives/edgar/data/1603923/000160392324000043/ex1033-wfrdxfifthamendment.htm" TargetMode="External"/><Relationship Id="rId131" Type="http://schemas.openxmlformats.org/officeDocument/2006/relationships/hyperlink" Target="https://www.sec.gov/Archives/edgar/data/1603923/000160392324000086/ex101-wfrdxadditionallende.htm" TargetMode="External"/><Relationship Id="rId133" Type="http://schemas.openxmlformats.org/officeDocument/2006/relationships/hyperlink" Target="https://www.sec.gov/Archives/edgar/data/1603923/000160392324000098/exhibit101-sixthamendmentt.htm" TargetMode="External"/><Relationship Id="rId134" Type="http://schemas.openxmlformats.org/officeDocument/2006/relationships/hyperlink" Target="https://www.sec.gov/Archives/edgar/data/1603923/000160392324000098/exhibit102-additionallende.htm" TargetMode="External"/><Relationship Id="rId135" Type="http://schemas.openxmlformats.org/officeDocument/2006/relationships/hyperlink" Target="https://www.sec.gov/Archives/edgar/data/1603923/000160392324000110/exhibit103-wfrdxseventhame.htm" TargetMode="External"/><Relationship Id="rId137" Type="http://schemas.openxmlformats.org/officeDocument/2006/relationships/hyperlink" Target="https://www.sec.gov/Archives/edgar/data/1603923/000160392325000050/ex1037-eighthamendmenttocr.htm" TargetMode="External"/><Relationship Id="rId138" Type="http://schemas.openxmlformats.org/officeDocument/2006/relationships/hyperlink" Target="https://www.sec.gov/Archives/edgar/data/1603923/000160392325000141/wfrd-ninthamendmenttoarcre.htm" TargetMode="External"/><Relationship Id="rId142" Type="http://schemas.openxmlformats.org/officeDocument/2006/relationships/hyperlink" Target="https://www.sec.gov/Archives/edgar/data/1603923/000160392325000145/exhibit101tenthamendmentto.htm" TargetMode="External"/><Relationship Id="rId143" Type="http://schemas.openxmlformats.org/officeDocument/2006/relationships/hyperlink" Target="https://www.sec.gov/Archives/edgar/data/1603923/000160392324000043/ex1039-confidentialityandr.htm" TargetMode="External"/><Relationship Id="rId144" Type="http://schemas.openxmlformats.org/officeDocument/2006/relationships/hyperlink" Target="https://www.sec.gov/Archives/edgar/data/1603923/000160392324000043/ex97-executiveofficer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2026-02-04T15:43:55Z</dcterms:created>
  <dcterms:modified xsi:type="dcterms:W3CDTF">2026-02-04T15:43:55Z</dcterms:modified>
</cp:coreProperties>
</file>