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621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21538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3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Sandhu Depinder</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01/18/2025</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EVP, Global Product Lines</w:t>
      </w:r>
    </w:p>
    <w:p>
      <w:pPr>
        <w:spacing w:after="0" w:line="319" w:lineRule="exact"/>
        <w:rPr>
          <w:sz w:val="24"/>
          <w:szCs w:val="24"/>
          <w:color w:val="auto"/>
        </w:rPr>
      </w:pPr>
    </w:p>
    <w:p>
      <w:pPr>
        <w:sectPr>
          <w:pgSz w:w="11900" w:h="16838" w:orient="portrait"/>
          <w:cols w:equalWidth="0" w:num="3">
            <w:col w:w="3180" w:space="720"/>
            <w:col w:w="3260" w:space="575"/>
            <w:col w:w="3345"/>
          </w:cols>
          <w:pgMar w:left="460" w:top="216" w:right="359" w:bottom="366"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jc w:val="center"/>
              <w:ind w:right="14"/>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77056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7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2,518</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17,057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1,367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18,424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(3)</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rPr>
              <w:t>727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19,151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(4)</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1,816</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73.99</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17,335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jc w:val="center"/>
              <w:ind w:right="14"/>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jc w:val="center"/>
              <w:ind w:right="14"/>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2,518</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w w:val="97"/>
              </w:rPr>
              <w:t>01/18/2025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jc w:val="center"/>
              <w:ind w:left="200"/>
              <w:spacing w:after="0" w:line="130" w:lineRule="exact"/>
              <w:rPr>
                <w:sz w:val="20"/>
                <w:szCs w:val="20"/>
                <w:color w:val="auto"/>
              </w:rPr>
            </w:pPr>
            <w:r>
              <w:rPr>
                <w:rFonts w:ascii="Times New Roman" w:cs="Times New Roman" w:eastAsia="Times New Roman" w:hAnsi="Times New Roman"/>
                <w:sz w:val="13"/>
                <w:szCs w:val="13"/>
                <w:color w:val="0000FF"/>
                <w:w w:val="95"/>
              </w:rPr>
              <w:t>2,518</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center"/>
              <w:ind w:right="174"/>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center"/>
              <w:ind w:left="160"/>
              <w:spacing w:after="0" w:line="130"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1,367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w w:val="97"/>
              </w:rPr>
              <w:t>01/18/2025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jc w:val="center"/>
              <w:ind w:left="200"/>
              <w:spacing w:after="0" w:line="130" w:lineRule="exact"/>
              <w:rPr>
                <w:sz w:val="20"/>
                <w:szCs w:val="20"/>
                <w:color w:val="auto"/>
              </w:rPr>
            </w:pPr>
            <w:r>
              <w:rPr>
                <w:rFonts w:ascii="Times New Roman" w:cs="Times New Roman" w:eastAsia="Times New Roman" w:hAnsi="Times New Roman"/>
                <w:sz w:val="13"/>
                <w:szCs w:val="13"/>
                <w:color w:val="0000FF"/>
                <w:w w:val="95"/>
              </w:rPr>
              <w:t>1,367</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center"/>
              <w:ind w:right="174"/>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center"/>
              <w:ind w:left="160"/>
              <w:spacing w:after="0" w:line="130" w:lineRule="exact"/>
              <w:rPr>
                <w:sz w:val="20"/>
                <w:szCs w:val="20"/>
                <w:color w:val="auto"/>
              </w:rPr>
            </w:pPr>
            <w:r>
              <w:rPr>
                <w:rFonts w:ascii="Times New Roman" w:cs="Times New Roman" w:eastAsia="Times New Roman" w:hAnsi="Times New Roman"/>
                <w:sz w:val="13"/>
                <w:szCs w:val="13"/>
                <w:color w:val="0000FF"/>
              </w:rPr>
              <w:t>1,367</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727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01/18/2025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rPr>
              <w:t>727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jc w:val="center"/>
              <w:ind w:right="174"/>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1,452</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-2821940</wp:posOffset>
            </wp:positionV>
            <wp:extent cx="29210" cy="2827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70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2022 pursuant to the Issuer's 2019 Equity Incentive Plan, as amended and restated (the "2019 EIP"). The RSUs vested in three equal annual installments over the three-year period following the grant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RSUs granted on January 18, 2023 pursuant to the 2019 EIP. The RSUs vest in three equal annual installments over the three-year period following the grant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RSUs granted on January 18, 2024 pursuant to the 2019 EIP. The RSUs vest in three equal annual installments over the three-year period following the grant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obligations upon vesting, pursuant to the 2019 EIP and the relevant award agreements.</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01/22/2025</w:t>
            </w:r>
          </w:p>
        </w:tc>
        <w:tc>
          <w:tcPr>
            <w:tcW w:w="0" w:type="dxa"/>
            <w:vAlign w:val="bottom"/>
          </w:tcPr>
          <w:p>
            <w:pPr>
              <w:spacing w:after="0"/>
              <w:rPr>
                <w:sz w:val="1"/>
                <w:szCs w:val="1"/>
                <w:color w:val="auto"/>
              </w:rPr>
            </w:pPr>
          </w:p>
        </w:tc>
      </w:tr>
      <w:tr>
        <w:trPr>
          <w:trHeight w:val="89"/>
        </w:trPr>
        <w:tc>
          <w:tcPr>
            <w:tcW w:w="620" w:type="dxa"/>
            <w:vAlign w:val="bottom"/>
            <w:tcBorders>
              <w:top w:val="single" w:sz="8" w:color="auto"/>
              <w:bottom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817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2025-01-22T16:18:48Z</dcterms:created>
  <dcterms:modified xsi:type="dcterms:W3CDTF">2025-01-22T16:18:48Z</dcterms:modified>
</cp:coreProperties>
</file>