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SCHEDULE 14A</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Proxy Statement Pursuant to Section 14(a) of the Securities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Exchange Act of 1934</w:t>
      </w:r>
    </w:p>
    <w:p>
      <w:pPr>
        <w:spacing w:after="0" w:line="230" w:lineRule="exact"/>
        <w:rPr>
          <w:sz w:val="24"/>
          <w:szCs w:val="24"/>
          <w:color w:val="auto"/>
        </w:rPr>
      </w:pPr>
    </w:p>
    <w:p>
      <w:pPr>
        <w:ind w:left="1"/>
        <w:spacing w:after="0"/>
        <w:rPr>
          <w:sz w:val="20"/>
          <w:szCs w:val="20"/>
          <w:color w:val="auto"/>
        </w:rPr>
      </w:pPr>
      <w:r>
        <w:rPr>
          <w:rFonts w:ascii="Arial" w:cs="Arial" w:eastAsia="Arial" w:hAnsi="Arial"/>
          <w:sz w:val="16"/>
          <w:szCs w:val="16"/>
          <w:color w:val="auto"/>
        </w:rPr>
        <w:t>Filed by the Registrant [X]</w:t>
      </w:r>
    </w:p>
    <w:p>
      <w:pPr>
        <w:spacing w:after="0" w:line="21" w:lineRule="exact"/>
        <w:rPr>
          <w:sz w:val="24"/>
          <w:szCs w:val="24"/>
          <w:color w:val="auto"/>
        </w:rPr>
      </w:pPr>
    </w:p>
    <w:p>
      <w:pPr>
        <w:ind w:left="1"/>
        <w:spacing w:after="0"/>
        <w:tabs>
          <w:tab w:leader="none" w:pos="2841" w:val="left"/>
        </w:tabs>
        <w:rPr>
          <w:sz w:val="20"/>
          <w:szCs w:val="20"/>
          <w:color w:val="auto"/>
        </w:rPr>
      </w:pPr>
      <w:r>
        <w:rPr>
          <w:rFonts w:ascii="Arial" w:cs="Arial" w:eastAsia="Arial" w:hAnsi="Arial"/>
          <w:sz w:val="15"/>
          <w:szCs w:val="15"/>
          <w:color w:val="auto"/>
        </w:rPr>
        <w:t>Filed by a Party other than the Registrant [</w:t>
      </w:r>
      <w:r>
        <w:rPr>
          <w:sz w:val="20"/>
          <w:szCs w:val="20"/>
          <w:color w:val="auto"/>
        </w:rPr>
        <w:tab/>
      </w:r>
      <w:r>
        <w:rPr>
          <w:rFonts w:ascii="Arial" w:cs="Arial" w:eastAsia="Arial" w:hAnsi="Arial"/>
          <w:sz w:val="16"/>
          <w:szCs w:val="16"/>
          <w:color w:val="auto"/>
        </w:rPr>
        <w:t>]</w:t>
      </w:r>
    </w:p>
    <w:p>
      <w:pPr>
        <w:spacing w:after="0" w:line="205" w:lineRule="exact"/>
        <w:rPr>
          <w:sz w:val="24"/>
          <w:szCs w:val="24"/>
          <w:color w:val="auto"/>
        </w:rPr>
      </w:pPr>
    </w:p>
    <w:p>
      <w:pPr>
        <w:ind w:left="1"/>
        <w:spacing w:after="0"/>
        <w:rPr>
          <w:sz w:val="20"/>
          <w:szCs w:val="20"/>
          <w:color w:val="auto"/>
        </w:rPr>
      </w:pPr>
      <w:r>
        <w:rPr>
          <w:rFonts w:ascii="Arial" w:cs="Arial" w:eastAsia="Arial" w:hAnsi="Arial"/>
          <w:sz w:val="16"/>
          <w:szCs w:val="16"/>
          <w:color w:val="auto"/>
        </w:rPr>
        <w:t>Check the appropriate box:</w:t>
      </w:r>
    </w:p>
    <w:p>
      <w:pPr>
        <w:spacing w:after="0" w:line="21" w:lineRule="exact"/>
        <w:rPr>
          <w:sz w:val="24"/>
          <w:szCs w:val="24"/>
          <w:color w:val="auto"/>
        </w:rPr>
      </w:pPr>
    </w:p>
    <w:p>
      <w:pPr>
        <w:ind w:left="501" w:hanging="501"/>
        <w:spacing w:after="0"/>
        <w:tabs>
          <w:tab w:leader="none" w:pos="501"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Preliminary Proxy Statement</w:t>
      </w:r>
    </w:p>
    <w:p>
      <w:pPr>
        <w:spacing w:after="0" w:line="14" w:lineRule="exact"/>
        <w:rPr>
          <w:sz w:val="24"/>
          <w:szCs w:val="24"/>
          <w:color w:val="auto"/>
        </w:rPr>
      </w:pPr>
    </w:p>
    <w:p>
      <w:pPr>
        <w:ind w:left="181" w:hanging="181"/>
        <w:spacing w:after="0"/>
        <w:tabs>
          <w:tab w:leader="none" w:pos="181"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Confidential, for Use of the Commission Only (as permitted by Rule 14a-6(e)(2))</w:t>
      </w:r>
    </w:p>
    <w:p>
      <w:pPr>
        <w:spacing w:after="0" w:line="14" w:lineRule="exact"/>
        <w:rPr>
          <w:rFonts w:ascii="Arial" w:cs="Arial" w:eastAsia="Arial" w:hAnsi="Arial"/>
          <w:sz w:val="16"/>
          <w:szCs w:val="16"/>
          <w:color w:val="auto"/>
        </w:rPr>
      </w:pPr>
    </w:p>
    <w:p>
      <w:pPr>
        <w:ind w:left="181" w:hanging="181"/>
        <w:spacing w:after="0"/>
        <w:tabs>
          <w:tab w:leader="none" w:pos="181" w:val="left"/>
        </w:tabs>
        <w:numPr>
          <w:ilvl w:val="0"/>
          <w:numId w:val="2"/>
        </w:numPr>
        <w:rPr>
          <w:rFonts w:ascii="Arial" w:cs="Arial" w:eastAsia="Arial" w:hAnsi="Arial"/>
          <w:sz w:val="16"/>
          <w:szCs w:val="16"/>
          <w:color w:val="auto"/>
        </w:rPr>
      </w:pPr>
      <w:r>
        <w:rPr>
          <w:rFonts w:ascii="Arial" w:cs="Arial" w:eastAsia="Arial" w:hAnsi="Arial"/>
          <w:sz w:val="16"/>
          <w:szCs w:val="16"/>
          <w:color w:val="auto"/>
        </w:rPr>
        <w:t>]    Definitive Proxy Statement</w:t>
      </w:r>
    </w:p>
    <w:p>
      <w:pPr>
        <w:spacing w:after="0" w:line="14" w:lineRule="exact"/>
        <w:rPr>
          <w:rFonts w:ascii="Arial" w:cs="Arial" w:eastAsia="Arial" w:hAnsi="Arial"/>
          <w:sz w:val="16"/>
          <w:szCs w:val="16"/>
          <w:color w:val="auto"/>
        </w:rPr>
      </w:pPr>
    </w:p>
    <w:p>
      <w:pPr>
        <w:ind w:left="181" w:hanging="181"/>
        <w:spacing w:after="0"/>
        <w:tabs>
          <w:tab w:leader="none" w:pos="181" w:val="left"/>
        </w:tabs>
        <w:numPr>
          <w:ilvl w:val="0"/>
          <w:numId w:val="2"/>
        </w:numPr>
        <w:rPr>
          <w:rFonts w:ascii="Arial" w:cs="Arial" w:eastAsia="Arial" w:hAnsi="Arial"/>
          <w:sz w:val="16"/>
          <w:szCs w:val="16"/>
          <w:color w:val="auto"/>
        </w:rPr>
      </w:pPr>
      <w:r>
        <w:rPr>
          <w:rFonts w:ascii="Arial" w:cs="Arial" w:eastAsia="Arial" w:hAnsi="Arial"/>
          <w:sz w:val="16"/>
          <w:szCs w:val="16"/>
          <w:color w:val="auto"/>
        </w:rPr>
        <w:t>]    Definitive Additional Materials</w:t>
      </w:r>
    </w:p>
    <w:p>
      <w:pPr>
        <w:spacing w:after="0" w:line="14" w:lineRule="exact"/>
        <w:rPr>
          <w:sz w:val="24"/>
          <w:szCs w:val="24"/>
          <w:color w:val="auto"/>
        </w:rPr>
      </w:pPr>
    </w:p>
    <w:p>
      <w:pPr>
        <w:ind w:left="1"/>
        <w:spacing w:after="0"/>
        <w:tabs>
          <w:tab w:leader="none" w:pos="161" w:val="left"/>
          <w:tab w:leader="none" w:pos="481" w:val="left"/>
        </w:tabs>
        <w:rPr>
          <w:sz w:val="20"/>
          <w:szCs w:val="20"/>
          <w:color w:val="auto"/>
        </w:rPr>
      </w:pPr>
      <w:r>
        <w:rPr>
          <w:rFonts w:ascii="Arial" w:cs="Arial" w:eastAsia="Arial" w:hAnsi="Arial"/>
          <w:sz w:val="16"/>
          <w:szCs w:val="16"/>
          <w:color w:val="auto"/>
        </w:rPr>
        <w:t>[</w:t>
        <w:tab/>
        <w:t>]</w:t>
      </w:r>
      <w:r>
        <w:rPr>
          <w:sz w:val="20"/>
          <w:szCs w:val="20"/>
          <w:color w:val="auto"/>
        </w:rPr>
        <w:tab/>
      </w:r>
      <w:r>
        <w:rPr>
          <w:rFonts w:ascii="Arial" w:cs="Arial" w:eastAsia="Arial" w:hAnsi="Arial"/>
          <w:sz w:val="14"/>
          <w:szCs w:val="14"/>
          <w:color w:val="auto"/>
        </w:rPr>
        <w:t>Soliciting Material Pursuant to §240.14a-12</w:t>
      </w:r>
    </w:p>
    <w:p>
      <w:pPr>
        <w:spacing w:after="0" w:line="23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Weatherford International public limited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220345</wp:posOffset>
            </wp:positionH>
            <wp:positionV relativeFrom="paragraph">
              <wp:posOffset>24765</wp:posOffset>
            </wp:positionV>
            <wp:extent cx="682561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25615" cy="7620"/>
                    </a:xfrm>
                    <a:prstGeom prst="rect">
                      <a:avLst/>
                    </a:prstGeom>
                    <a:noFill/>
                  </pic:spPr>
                </pic:pic>
              </a:graphicData>
            </a:graphic>
          </wp:anchor>
        </w:drawing>
      </w:r>
    </w:p>
    <w:p>
      <w:pPr>
        <w:spacing w:after="0" w:line="35"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220345</wp:posOffset>
            </wp:positionH>
            <wp:positionV relativeFrom="paragraph">
              <wp:posOffset>305435</wp:posOffset>
            </wp:positionV>
            <wp:extent cx="682561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25615" cy="762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62" w:lineRule="exact"/>
        <w:rPr>
          <w:sz w:val="24"/>
          <w:szCs w:val="24"/>
          <w:color w:val="auto"/>
        </w:rPr>
      </w:pPr>
    </w:p>
    <w:p>
      <w:pPr>
        <w:ind w:left="1"/>
        <w:spacing w:after="0"/>
        <w:rPr>
          <w:sz w:val="20"/>
          <w:szCs w:val="20"/>
          <w:color w:val="auto"/>
        </w:rPr>
      </w:pPr>
      <w:r>
        <w:rPr>
          <w:rFonts w:ascii="Arial" w:cs="Arial" w:eastAsia="Arial" w:hAnsi="Arial"/>
          <w:sz w:val="16"/>
          <w:szCs w:val="16"/>
          <w:color w:val="auto"/>
        </w:rPr>
        <w:t>Payment of Filing Fee (Check the appropriate box):</w:t>
      </w:r>
    </w:p>
    <w:p>
      <w:pPr>
        <w:spacing w:after="0" w:line="39" w:lineRule="exact"/>
        <w:rPr>
          <w:sz w:val="24"/>
          <w:szCs w:val="24"/>
          <w:color w:val="auto"/>
        </w:rPr>
      </w:pPr>
    </w:p>
    <w:p>
      <w:pPr>
        <w:ind w:left="481" w:hanging="469"/>
        <w:spacing w:after="0"/>
        <w:tabs>
          <w:tab w:leader="none" w:pos="481" w:val="left"/>
        </w:tabs>
        <w:numPr>
          <w:ilvl w:val="0"/>
          <w:numId w:val="3"/>
        </w:numPr>
        <w:rPr>
          <w:rFonts w:ascii="Arial" w:cs="Arial" w:eastAsia="Arial" w:hAnsi="Arial"/>
          <w:sz w:val="16"/>
          <w:szCs w:val="16"/>
          <w:color w:val="auto"/>
        </w:rPr>
      </w:pPr>
      <w:r>
        <w:rPr>
          <w:rFonts w:ascii="Arial" w:cs="Arial" w:eastAsia="Arial" w:hAnsi="Arial"/>
          <w:sz w:val="16"/>
          <w:szCs w:val="16"/>
          <w:color w:val="auto"/>
        </w:rPr>
        <w:t>No fee required.</w:t>
      </w:r>
    </w:p>
    <w:p>
      <w:pPr>
        <w:spacing w:after="0" w:line="39" w:lineRule="exact"/>
        <w:rPr>
          <w:sz w:val="24"/>
          <w:szCs w:val="24"/>
          <w:color w:val="auto"/>
        </w:rPr>
      </w:pPr>
    </w:p>
    <w:p>
      <w:pPr>
        <w:ind w:left="181" w:hanging="174"/>
        <w:spacing w:after="0"/>
        <w:tabs>
          <w:tab w:leader="none" w:pos="181" w:val="left"/>
        </w:tabs>
        <w:numPr>
          <w:ilvl w:val="0"/>
          <w:numId w:val="4"/>
        </w:numPr>
        <w:rPr>
          <w:rFonts w:ascii="Arial" w:cs="Arial" w:eastAsia="Arial" w:hAnsi="Arial"/>
          <w:sz w:val="16"/>
          <w:szCs w:val="16"/>
          <w:color w:val="auto"/>
        </w:rPr>
      </w:pPr>
      <w:r>
        <w:rPr>
          <w:rFonts w:ascii="Arial" w:cs="Arial" w:eastAsia="Arial" w:hAnsi="Arial"/>
          <w:sz w:val="16"/>
          <w:szCs w:val="16"/>
          <w:color w:val="auto"/>
        </w:rPr>
        <w:t>]   Fee computed on table below per Exchange Act Rules 14a-6(i)(1) and 0-11.</w:t>
      </w:r>
    </w:p>
    <w:p>
      <w:pPr>
        <w:spacing w:after="0" w:line="38" w:lineRule="exact"/>
        <w:rPr>
          <w:rFonts w:ascii="Arial" w:cs="Arial" w:eastAsia="Arial" w:hAnsi="Arial"/>
          <w:sz w:val="16"/>
          <w:szCs w:val="16"/>
          <w:color w:val="auto"/>
        </w:rPr>
      </w:pPr>
    </w:p>
    <w:p>
      <w:pPr>
        <w:ind w:left="921" w:hanging="436"/>
        <w:spacing w:after="0"/>
        <w:tabs>
          <w:tab w:leader="none" w:pos="921" w:val="left"/>
        </w:tabs>
        <w:numPr>
          <w:ilvl w:val="1"/>
          <w:numId w:val="4"/>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98" w:lineRule="exact"/>
        <w:rPr>
          <w:rFonts w:ascii="Arial" w:cs="Arial" w:eastAsia="Arial" w:hAnsi="Arial"/>
          <w:sz w:val="16"/>
          <w:szCs w:val="16"/>
          <w:color w:val="auto"/>
        </w:rPr>
      </w:pPr>
    </w:p>
    <w:p>
      <w:pPr>
        <w:ind w:left="921" w:hanging="436"/>
        <w:spacing w:after="0"/>
        <w:tabs>
          <w:tab w:leader="none" w:pos="921" w:val="left"/>
        </w:tabs>
        <w:numPr>
          <w:ilvl w:val="1"/>
          <w:numId w:val="4"/>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74" w:lineRule="exact"/>
        <w:rPr>
          <w:rFonts w:ascii="Arial" w:cs="Arial" w:eastAsia="Arial" w:hAnsi="Arial"/>
          <w:sz w:val="16"/>
          <w:szCs w:val="16"/>
          <w:color w:val="auto"/>
        </w:rPr>
      </w:pPr>
    </w:p>
    <w:p>
      <w:pPr>
        <w:ind w:left="921" w:hanging="436"/>
        <w:spacing w:after="0" w:line="318" w:lineRule="auto"/>
        <w:tabs>
          <w:tab w:leader="none" w:pos="921" w:val="left"/>
        </w:tabs>
        <w:numPr>
          <w:ilvl w:val="1"/>
          <w:numId w:val="4"/>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93" w:lineRule="exact"/>
        <w:rPr>
          <w:rFonts w:ascii="Arial" w:cs="Arial" w:eastAsia="Arial" w:hAnsi="Arial"/>
          <w:sz w:val="16"/>
          <w:szCs w:val="16"/>
          <w:color w:val="auto"/>
        </w:rPr>
      </w:pPr>
    </w:p>
    <w:p>
      <w:pPr>
        <w:ind w:left="921" w:hanging="436"/>
        <w:spacing w:after="0"/>
        <w:tabs>
          <w:tab w:leader="none" w:pos="921" w:val="left"/>
        </w:tabs>
        <w:numPr>
          <w:ilvl w:val="1"/>
          <w:numId w:val="4"/>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74" w:lineRule="exact"/>
        <w:rPr>
          <w:rFonts w:ascii="Arial" w:cs="Arial" w:eastAsia="Arial" w:hAnsi="Arial"/>
          <w:sz w:val="16"/>
          <w:szCs w:val="16"/>
          <w:color w:val="auto"/>
        </w:rPr>
      </w:pPr>
    </w:p>
    <w:p>
      <w:pPr>
        <w:ind w:left="921" w:hanging="436"/>
        <w:spacing w:after="0"/>
        <w:tabs>
          <w:tab w:leader="none" w:pos="921" w:val="left"/>
        </w:tabs>
        <w:numPr>
          <w:ilvl w:val="1"/>
          <w:numId w:val="4"/>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581660</wp:posOffset>
            </wp:positionH>
            <wp:positionV relativeFrom="paragraph">
              <wp:posOffset>163830</wp:posOffset>
            </wp:positionV>
            <wp:extent cx="66757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75755" cy="7620"/>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-126365</wp:posOffset>
            </wp:positionV>
            <wp:extent cx="66757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75755" cy="7620"/>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-417195</wp:posOffset>
            </wp:positionV>
            <wp:extent cx="667575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75755" cy="7620"/>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-849630</wp:posOffset>
            </wp:positionV>
            <wp:extent cx="667575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75755" cy="7620"/>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-1140460</wp:posOffset>
            </wp:positionV>
            <wp:extent cx="667575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75755" cy="7620"/>
                    </a:xfrm>
                    <a:prstGeom prst="rect">
                      <a:avLst/>
                    </a:prstGeom>
                    <a:noFill/>
                  </pic:spPr>
                </pic:pic>
              </a:graphicData>
            </a:graphic>
          </wp:anchor>
        </w:drawing>
      </w:r>
    </w:p>
    <w:p>
      <w:pPr>
        <w:spacing w:after="0" w:line="242" w:lineRule="exact"/>
        <w:rPr>
          <w:sz w:val="24"/>
          <w:szCs w:val="24"/>
          <w:color w:val="auto"/>
        </w:rPr>
      </w:pPr>
    </w:p>
    <w:p>
      <w:pPr>
        <w:ind w:left="1"/>
        <w:spacing w:after="0"/>
        <w:tabs>
          <w:tab w:leader="none" w:pos="161" w:val="left"/>
          <w:tab w:leader="none" w:pos="461" w:val="left"/>
        </w:tabs>
        <w:rPr>
          <w:sz w:val="20"/>
          <w:szCs w:val="20"/>
          <w:color w:val="auto"/>
        </w:rPr>
      </w:pPr>
      <w:r>
        <w:rPr>
          <w:rFonts w:ascii="Arial" w:cs="Arial" w:eastAsia="Arial" w:hAnsi="Arial"/>
          <w:sz w:val="16"/>
          <w:szCs w:val="16"/>
          <w:color w:val="auto"/>
        </w:rPr>
        <w:t>[</w:t>
        <w:tab/>
        <w:t>]</w:t>
      </w:r>
      <w:r>
        <w:rPr>
          <w:sz w:val="20"/>
          <w:szCs w:val="20"/>
          <w:color w:val="auto"/>
        </w:rPr>
        <w:tab/>
      </w:r>
      <w:r>
        <w:rPr>
          <w:rFonts w:ascii="Arial" w:cs="Arial" w:eastAsia="Arial" w:hAnsi="Arial"/>
          <w:sz w:val="14"/>
          <w:szCs w:val="14"/>
          <w:color w:val="auto"/>
        </w:rPr>
        <w:t>Fee paid previously with preliminary materials:</w:t>
      </w:r>
    </w:p>
    <w:p>
      <w:pPr>
        <w:spacing w:after="0" w:line="27" w:lineRule="exact"/>
        <w:rPr>
          <w:sz w:val="24"/>
          <w:szCs w:val="24"/>
          <w:color w:val="auto"/>
        </w:rPr>
      </w:pPr>
    </w:p>
    <w:p>
      <w:pPr>
        <w:ind w:left="481" w:hanging="474"/>
        <w:spacing w:after="0" w:line="266" w:lineRule="auto"/>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921" w:hanging="438"/>
        <w:spacing w:after="0"/>
        <w:tabs>
          <w:tab w:leader="none" w:pos="921"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348" w:lineRule="exact"/>
        <w:rPr>
          <w:rFonts w:ascii="Arial" w:cs="Arial" w:eastAsia="Arial" w:hAnsi="Arial"/>
          <w:sz w:val="16"/>
          <w:szCs w:val="16"/>
          <w:color w:val="auto"/>
        </w:rPr>
      </w:pPr>
    </w:p>
    <w:p>
      <w:pPr>
        <w:ind w:left="921" w:hanging="438"/>
        <w:spacing w:after="0"/>
        <w:tabs>
          <w:tab w:leader="none" w:pos="921"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86" w:lineRule="exact"/>
        <w:rPr>
          <w:rFonts w:ascii="Arial" w:cs="Arial" w:eastAsia="Arial" w:hAnsi="Arial"/>
          <w:sz w:val="16"/>
          <w:szCs w:val="16"/>
          <w:color w:val="auto"/>
        </w:rPr>
      </w:pPr>
    </w:p>
    <w:p>
      <w:pPr>
        <w:ind w:left="921" w:hanging="438"/>
        <w:spacing w:after="0"/>
        <w:tabs>
          <w:tab w:leader="none" w:pos="921"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86" w:lineRule="exact"/>
        <w:rPr>
          <w:rFonts w:ascii="Arial" w:cs="Arial" w:eastAsia="Arial" w:hAnsi="Arial"/>
          <w:sz w:val="16"/>
          <w:szCs w:val="16"/>
          <w:color w:val="auto"/>
        </w:rPr>
      </w:pPr>
    </w:p>
    <w:p>
      <w:pPr>
        <w:ind w:left="921" w:hanging="438"/>
        <w:spacing w:after="0"/>
        <w:tabs>
          <w:tab w:leader="none" w:pos="921"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581660</wp:posOffset>
            </wp:positionH>
            <wp:positionV relativeFrom="paragraph">
              <wp:posOffset>163830</wp:posOffset>
            </wp:positionV>
            <wp:extent cx="667575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75755" cy="7620"/>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-126365</wp:posOffset>
            </wp:positionV>
            <wp:extent cx="667575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75755" cy="7620"/>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-424815</wp:posOffset>
            </wp:positionV>
            <wp:extent cx="667575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75755" cy="7620"/>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-723900</wp:posOffset>
            </wp:positionV>
            <wp:extent cx="667575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7575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374015</wp:posOffset>
            </wp:positionV>
            <wp:extent cx="7278370"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449" w:right="239" w:bottom="1440" w:gutter="0" w:footer="0" w:header="0"/>
        </w:sectPr>
      </w:pPr>
    </w:p>
    <w:bookmarkStart w:id="1" w:name="page2"/>
    <w:bookmarkEnd w:id="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20" w:lineRule="exact"/>
        <w:rPr>
          <w:sz w:val="20"/>
          <w:szCs w:val="20"/>
          <w:color w:val="auto"/>
        </w:rPr>
      </w:pPr>
    </w:p>
    <w:p>
      <w:pPr>
        <w:ind w:left="500"/>
        <w:spacing w:after="0"/>
        <w:rPr>
          <w:sz w:val="20"/>
          <w:szCs w:val="20"/>
          <w:color w:val="auto"/>
        </w:rPr>
      </w:pPr>
      <w:r>
        <w:rPr>
          <w:rFonts w:ascii="Arial" w:cs="Arial" w:eastAsia="Arial" w:hAnsi="Arial"/>
          <w:sz w:val="12"/>
          <w:szCs w:val="12"/>
          <w:b w:val="1"/>
          <w:bCs w:val="1"/>
          <w:color w:val="auto"/>
        </w:rPr>
        <w:t>WEATHERFORD INTERNATIONAL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39370</wp:posOffset>
            </wp:positionV>
            <wp:extent cx="1454785" cy="317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54785" cy="3175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right"/>
        <w:ind w:right="5599"/>
        <w:spacing w:after="0"/>
        <w:rPr>
          <w:sz w:val="20"/>
          <w:szCs w:val="20"/>
          <w:color w:val="auto"/>
        </w:rPr>
      </w:pPr>
      <w:r>
        <w:rPr>
          <w:rFonts w:ascii="Arial" w:cs="Arial" w:eastAsia="Arial" w:hAnsi="Arial"/>
          <w:sz w:val="40"/>
          <w:szCs w:val="40"/>
          <w:b w:val="1"/>
          <w:bCs w:val="1"/>
          <w:color w:val="8F9194"/>
        </w:rPr>
        <w:t>2014 Proxy Statement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auto"/>
        </w:rPr>
        <w:t>Notice of Annual Meeting of Shareholders</w:t>
      </w:r>
    </w:p>
    <w:p>
      <w:pPr>
        <w:spacing w:after="0" w:line="22"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auto"/>
        </w:rPr>
        <w:t>to be held on September 24,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3519805</wp:posOffset>
            </wp:positionV>
            <wp:extent cx="7278370"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8370" cy="203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1336040</wp:posOffset>
            </wp:positionV>
            <wp:extent cx="5331460" cy="5664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31460" cy="566420"/>
                    </a:xfrm>
                    <a:prstGeom prst="rect">
                      <a:avLst/>
                    </a:prstGeom>
                    <a:noFill/>
                  </pic:spPr>
                </pic:pic>
              </a:graphicData>
            </a:graphic>
          </wp:anchor>
        </w:drawing>
      </w:r>
    </w:p>
    <w:p>
      <w:pPr>
        <w:sectPr>
          <w:pgSz w:w="11900" w:h="16838" w:orient="portrait"/>
          <w:cols w:equalWidth="0" w:num="1">
            <w:col w:w="10219"/>
          </w:cols>
          <w:pgMar w:left="240" w:top="563" w:right="1440"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817245</wp:posOffset>
            </wp:positionH>
            <wp:positionV relativeFrom="paragraph">
              <wp:posOffset>125095</wp:posOffset>
            </wp:positionV>
            <wp:extent cx="5630545" cy="45370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30545" cy="453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b w:val="1"/>
          <w:bCs w:val="1"/>
          <w:color w:val="BB1131"/>
        </w:rPr>
        <w:t>Our Corporate Sustainability in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6274435</wp:posOffset>
            </wp:positionH>
            <wp:positionV relativeFrom="paragraph">
              <wp:posOffset>-126365</wp:posOffset>
            </wp:positionV>
            <wp:extent cx="982980" cy="9594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82980" cy="959485"/>
                    </a:xfrm>
                    <a:prstGeom prst="rect">
                      <a:avLst/>
                    </a:prstGeom>
                    <a:noFill/>
                  </pic:spPr>
                </pic:pic>
              </a:graphicData>
            </a:graphic>
          </wp:anchor>
        </w:drawing>
      </w:r>
    </w:p>
    <w:p>
      <w:pPr>
        <w:spacing w:after="0" w:line="204" w:lineRule="exact"/>
        <w:rPr>
          <w:sz w:val="20"/>
          <w:szCs w:val="20"/>
          <w:color w:val="auto"/>
        </w:rPr>
      </w:pPr>
    </w:p>
    <w:p>
      <w:pPr>
        <w:jc w:val="both"/>
        <w:ind w:right="599"/>
        <w:spacing w:after="0" w:line="248" w:lineRule="auto"/>
        <w:rPr>
          <w:sz w:val="20"/>
          <w:szCs w:val="20"/>
          <w:color w:val="auto"/>
        </w:rPr>
      </w:pPr>
      <w:r>
        <w:rPr>
          <w:rFonts w:ascii="Arial" w:cs="Arial" w:eastAsia="Arial" w:hAnsi="Arial"/>
          <w:sz w:val="16"/>
          <w:szCs w:val="16"/>
          <w:color w:val="auto"/>
        </w:rPr>
        <w:t>Weatherford’s 335,000-square-foot office building at 2000 St. James Place, Houston, Texas, has been awarded LEED Gold certification, a rating given by the U.S. Green Building Council. Weatherford’s LEED Gold certification underlines a commitment to the environment, energy efficiency and safety. Features include:</w:t>
      </w:r>
    </w:p>
    <w:p>
      <w:pPr>
        <w:spacing w:after="0" w:line="21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Efficient heating and cooling systems properly zoned to reduce energy consumption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-91440</wp:posOffset>
            </wp:positionV>
            <wp:extent cx="64770" cy="64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770" cy="64770"/>
                    </a:xfrm>
                    <a:prstGeom prst="rect">
                      <a:avLst/>
                    </a:prstGeom>
                    <a:noFill/>
                  </pic:spPr>
                </pic:pic>
              </a:graphicData>
            </a:graphic>
          </wp:anchor>
        </w:drawing>
      </w:r>
    </w:p>
    <w:p>
      <w:pPr>
        <w:spacing w:after="0" w:line="5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Office furnishings tested or third-party certified for low emissions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-91440</wp:posOffset>
            </wp:positionV>
            <wp:extent cx="64770" cy="647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770" cy="64770"/>
                    </a:xfrm>
                    <a:prstGeom prst="rect">
                      <a:avLst/>
                    </a:prstGeom>
                    <a:noFill/>
                  </pic:spPr>
                </pic:pic>
              </a:graphicData>
            </a:graphic>
          </wp:anchor>
        </w:drawing>
      </w:r>
    </w:p>
    <w:p>
      <w:pPr>
        <w:spacing w:after="0" w:line="4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Roof with a reflective surface helping reduce heat gain in the building and community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-91440</wp:posOffset>
            </wp:positionV>
            <wp:extent cx="64770" cy="647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770" cy="64770"/>
                    </a:xfrm>
                    <a:prstGeom prst="rect">
                      <a:avLst/>
                    </a:prstGeom>
                    <a:noFill/>
                  </pic:spPr>
                </pic:pic>
              </a:graphicData>
            </a:graphic>
          </wp:anchor>
        </w:drawing>
      </w:r>
    </w:p>
    <w:p>
      <w:pPr>
        <w:spacing w:after="0" w:line="5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Automatic timers reducing light transmittance between the hours of 11 p.m. and 5 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-91440</wp:posOffset>
            </wp:positionV>
            <wp:extent cx="64770" cy="647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770" cy="64770"/>
                    </a:xfrm>
                    <a:prstGeom prst="rect">
                      <a:avLst/>
                    </a:prstGeom>
                    <a:noFill/>
                  </pic:spPr>
                </pic:pic>
              </a:graphicData>
            </a:graphic>
          </wp:anchor>
        </w:drawing>
      </w:r>
    </w:p>
    <w:p>
      <w:pPr>
        <w:spacing w:after="0" w:line="5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Implementation of a construction management plan improving air quality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-91440</wp:posOffset>
            </wp:positionV>
            <wp:extent cx="64770" cy="647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770" cy="64770"/>
                    </a:xfrm>
                    <a:prstGeom prst="rect">
                      <a:avLst/>
                    </a:prstGeom>
                    <a:noFill/>
                  </pic:spPr>
                </pic:pic>
              </a:graphicData>
            </a:graphic>
          </wp:anchor>
        </w:drawing>
      </w:r>
    </w:p>
    <w:p>
      <w:pPr>
        <w:spacing w:after="0" w:line="4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Alternative transportation, bicycle storage and changing rooms accessible to all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233045</wp:posOffset>
            </wp:positionV>
            <wp:extent cx="7278370"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8370" cy="203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-91440</wp:posOffset>
            </wp:positionV>
            <wp:extent cx="64770" cy="647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770" cy="64770"/>
                    </a:xfrm>
                    <a:prstGeom prst="rect">
                      <a:avLst/>
                    </a:prstGeom>
                    <a:noFill/>
                  </pic:spPr>
                </pic:pic>
              </a:graphicData>
            </a:graphic>
          </wp:anchor>
        </w:drawing>
      </w:r>
    </w:p>
    <w:p>
      <w:pPr>
        <w:sectPr>
          <w:pgSz w:w="11900" w:h="16838" w:orient="portrait"/>
          <w:cols w:equalWidth="0" w:num="1">
            <w:col w:w="10219"/>
          </w:cols>
          <w:pgMar w:left="240" w:top="563" w:right="1440" w:bottom="1440" w:gutter="0" w:footer="0" w:header="0"/>
        </w:sectPr>
      </w:pPr>
    </w:p>
    <w:bookmarkStart w:id="3" w:name="page4"/>
    <w:bookmarkEnd w:id="3"/>
    <w:p>
      <w:pPr>
        <w:spacing w:after="0"/>
        <w:rPr>
          <w:sz w:val="20"/>
          <w:szCs w:val="20"/>
          <w:color w:val="auto"/>
        </w:rPr>
      </w:pPr>
      <w:r>
        <w:rPr>
          <w:rFonts w:ascii="Arial" w:cs="Arial" w:eastAsia="Arial" w:hAnsi="Arial"/>
          <w:sz w:val="30"/>
          <w:szCs w:val="30"/>
          <w:color w:val="auto"/>
        </w:rPr>
        <w:t>TABLE OF</w:t>
      </w:r>
    </w:p>
    <w:p>
      <w:pPr>
        <w:spacing w:after="0"/>
        <w:rPr>
          <w:sz w:val="20"/>
          <w:szCs w:val="20"/>
          <w:color w:val="auto"/>
        </w:rPr>
      </w:pPr>
      <w:r>
        <w:rPr>
          <w:rFonts w:ascii="Arial" w:cs="Arial" w:eastAsia="Arial" w:hAnsi="Arial"/>
          <w:sz w:val="40"/>
          <w:szCs w:val="40"/>
          <w:b w:val="1"/>
          <w:bCs w:val="1"/>
          <w:color w:val="BB1131"/>
        </w:rPr>
        <w:t>CONTENTS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gridSpan w:val="9"/>
          </w:tcPr>
          <w:p>
            <w:pPr>
              <w:spacing w:after="0"/>
              <w:rPr>
                <w:rFonts w:ascii="Arial" w:cs="Arial" w:eastAsia="Arial" w:hAnsi="Arial"/>
                <w:sz w:val="20"/>
                <w:szCs w:val="20"/>
                <w:color w:val="0000EE"/>
              </w:rPr>
            </w:pPr>
            <w:hyperlink w:anchor="page5">
              <w:r>
                <w:rPr>
                  <w:rFonts w:ascii="Arial" w:cs="Arial" w:eastAsia="Arial" w:hAnsi="Arial"/>
                  <w:sz w:val="20"/>
                  <w:szCs w:val="20"/>
                  <w:color w:val="0000EE"/>
                </w:rPr>
                <w:t>A Message from Our Board of Directors</w:t>
              </w:r>
            </w:hyperlink>
          </w:p>
        </w:tc>
        <w:tc>
          <w:tcPr>
            <w:tcW w:w="2600" w:type="dxa"/>
            <w:vAlign w:val="bottom"/>
            <w:gridSpan w:val="6"/>
          </w:tcPr>
          <w:p>
            <w:pPr>
              <w:ind w:left="2360"/>
              <w:spacing w:after="0"/>
              <w:rPr>
                <w:rFonts w:ascii="Arial" w:cs="Arial" w:eastAsia="Arial" w:hAnsi="Arial"/>
                <w:sz w:val="20"/>
                <w:szCs w:val="20"/>
                <w:color w:val="0000EE"/>
              </w:rPr>
            </w:pPr>
            <w:hyperlink w:anchor="page5">
              <w:r>
                <w:rPr>
                  <w:rFonts w:ascii="Arial" w:cs="Arial" w:eastAsia="Arial" w:hAnsi="Arial"/>
                  <w:sz w:val="20"/>
                  <w:szCs w:val="20"/>
                  <w:color w:val="0000EE"/>
                </w:rPr>
                <w:t>ii</w:t>
              </w:r>
            </w:hyperlink>
          </w:p>
        </w:tc>
        <w:tc>
          <w:tcPr>
            <w:tcW w:w="3460" w:type="dxa"/>
            <w:vAlign w:val="bottom"/>
          </w:tcPr>
          <w:p>
            <w:pPr>
              <w:spacing w:after="0"/>
              <w:rPr>
                <w:sz w:val="19"/>
                <w:szCs w:val="19"/>
                <w:color w:val="auto"/>
              </w:rPr>
            </w:pPr>
          </w:p>
        </w:tc>
      </w:tr>
      <w:tr>
        <w:trPr>
          <w:trHeight w:val="20"/>
        </w:trPr>
        <w:tc>
          <w:tcPr>
            <w:tcW w:w="1620" w:type="dxa"/>
            <w:vAlign w:val="bottom"/>
            <w:tcBorders>
              <w:top w:val="single" w:sz="8" w:color="0000EE"/>
              <w:bottom w:val="single" w:sz="8" w:color="58595B"/>
            </w:tcBorders>
          </w:tcPr>
          <w:p>
            <w:pPr>
              <w:spacing w:after="0" w:line="20" w:lineRule="exact"/>
              <w:rPr>
                <w:sz w:val="1"/>
                <w:szCs w:val="1"/>
                <w:color w:val="auto"/>
              </w:rPr>
            </w:pPr>
          </w:p>
        </w:tc>
        <w:tc>
          <w:tcPr>
            <w:tcW w:w="20" w:type="dxa"/>
            <w:vAlign w:val="bottom"/>
            <w:tcBorders>
              <w:top w:val="single" w:sz="8" w:color="0000EE"/>
              <w:bottom w:val="single" w:sz="8" w:color="58595B"/>
            </w:tcBorders>
          </w:tcPr>
          <w:p>
            <w:pPr>
              <w:spacing w:after="0" w:line="20" w:lineRule="exact"/>
              <w:rPr>
                <w:sz w:val="1"/>
                <w:szCs w:val="1"/>
                <w:color w:val="auto"/>
              </w:rPr>
            </w:pPr>
          </w:p>
        </w:tc>
        <w:tc>
          <w:tcPr>
            <w:tcW w:w="200" w:type="dxa"/>
            <w:vAlign w:val="bottom"/>
            <w:tcBorders>
              <w:top w:val="single" w:sz="8" w:color="0000EE"/>
              <w:bottom w:val="single" w:sz="8" w:color="58595B"/>
            </w:tcBorders>
          </w:tcPr>
          <w:p>
            <w:pPr>
              <w:spacing w:after="0" w:line="20" w:lineRule="exact"/>
              <w:rPr>
                <w:sz w:val="1"/>
                <w:szCs w:val="1"/>
                <w:color w:val="auto"/>
              </w:rPr>
            </w:pPr>
          </w:p>
        </w:tc>
        <w:tc>
          <w:tcPr>
            <w:tcW w:w="160" w:type="dxa"/>
            <w:vAlign w:val="bottom"/>
            <w:tcBorders>
              <w:top w:val="single" w:sz="8" w:color="0000EE"/>
              <w:bottom w:val="single" w:sz="8" w:color="58595B"/>
            </w:tcBorders>
          </w:tcPr>
          <w:p>
            <w:pPr>
              <w:spacing w:after="0" w:line="20" w:lineRule="exact"/>
              <w:rPr>
                <w:sz w:val="1"/>
                <w:szCs w:val="1"/>
                <w:color w:val="auto"/>
              </w:rPr>
            </w:pPr>
          </w:p>
        </w:tc>
        <w:tc>
          <w:tcPr>
            <w:tcW w:w="200" w:type="dxa"/>
            <w:vAlign w:val="bottom"/>
            <w:tcBorders>
              <w:top w:val="single" w:sz="8" w:color="0000EE"/>
              <w:bottom w:val="single" w:sz="8" w:color="58595B"/>
            </w:tcBorders>
          </w:tcPr>
          <w:p>
            <w:pPr>
              <w:spacing w:after="0" w:line="20" w:lineRule="exact"/>
              <w:rPr>
                <w:sz w:val="1"/>
                <w:szCs w:val="1"/>
                <w:color w:val="auto"/>
              </w:rPr>
            </w:pPr>
          </w:p>
        </w:tc>
        <w:tc>
          <w:tcPr>
            <w:tcW w:w="1280" w:type="dxa"/>
            <w:vAlign w:val="bottom"/>
            <w:tcBorders>
              <w:top w:val="single" w:sz="8" w:color="0000EE"/>
              <w:bottom w:val="single" w:sz="8" w:color="58595B"/>
            </w:tcBorders>
          </w:tcPr>
          <w:p>
            <w:pPr>
              <w:spacing w:after="0" w:line="20" w:lineRule="exact"/>
              <w:rPr>
                <w:sz w:val="1"/>
                <w:szCs w:val="1"/>
                <w:color w:val="auto"/>
              </w:rPr>
            </w:pPr>
          </w:p>
        </w:tc>
        <w:tc>
          <w:tcPr>
            <w:tcW w:w="540" w:type="dxa"/>
            <w:vAlign w:val="bottom"/>
            <w:tcBorders>
              <w:bottom w:val="single" w:sz="8" w:color="58595B"/>
            </w:tcBorders>
          </w:tcPr>
          <w:p>
            <w:pPr>
              <w:spacing w:after="0" w:line="20" w:lineRule="exact"/>
              <w:rPr>
                <w:sz w:val="1"/>
                <w:szCs w:val="1"/>
                <w:color w:val="auto"/>
              </w:rPr>
            </w:pPr>
          </w:p>
        </w:tc>
        <w:tc>
          <w:tcPr>
            <w:tcW w:w="400" w:type="dxa"/>
            <w:vAlign w:val="bottom"/>
            <w:tcBorders>
              <w:bottom w:val="single" w:sz="8" w:color="58595B"/>
            </w:tcBorders>
          </w:tcPr>
          <w:p>
            <w:pPr>
              <w:spacing w:after="0" w:line="20" w:lineRule="exact"/>
              <w:rPr>
                <w:sz w:val="1"/>
                <w:szCs w:val="1"/>
                <w:color w:val="auto"/>
              </w:rPr>
            </w:pPr>
          </w:p>
        </w:tc>
        <w:tc>
          <w:tcPr>
            <w:tcW w:w="980" w:type="dxa"/>
            <w:vAlign w:val="bottom"/>
            <w:tcBorders>
              <w:bottom w:val="single" w:sz="8" w:color="58595B"/>
            </w:tcBorders>
          </w:tcPr>
          <w:p>
            <w:pPr>
              <w:spacing w:after="0" w:line="20" w:lineRule="exact"/>
              <w:rPr>
                <w:sz w:val="1"/>
                <w:szCs w:val="1"/>
                <w:color w:val="auto"/>
              </w:rPr>
            </w:pPr>
          </w:p>
        </w:tc>
        <w:tc>
          <w:tcPr>
            <w:tcW w:w="2360" w:type="dxa"/>
            <w:vAlign w:val="bottom"/>
            <w:tcBorders>
              <w:bottom w:val="single" w:sz="8" w:color="58595B"/>
            </w:tcBorders>
          </w:tcPr>
          <w:p>
            <w:pPr>
              <w:spacing w:after="0" w:line="20" w:lineRule="exact"/>
              <w:rPr>
                <w:sz w:val="1"/>
                <w:szCs w:val="1"/>
                <w:color w:val="auto"/>
              </w:rPr>
            </w:pPr>
          </w:p>
        </w:tc>
        <w:tc>
          <w:tcPr>
            <w:tcW w:w="100" w:type="dxa"/>
            <w:vAlign w:val="bottom"/>
            <w:tcBorders>
              <w:top w:val="single" w:sz="8" w:color="0000EE"/>
              <w:bottom w:val="single" w:sz="8" w:color="58595B"/>
            </w:tcBorders>
          </w:tcPr>
          <w:p>
            <w:pPr>
              <w:spacing w:after="0" w:line="20" w:lineRule="exact"/>
              <w:rPr>
                <w:sz w:val="1"/>
                <w:szCs w:val="1"/>
                <w:color w:val="auto"/>
              </w:rPr>
            </w:pPr>
          </w:p>
        </w:tc>
        <w:tc>
          <w:tcPr>
            <w:tcW w:w="20" w:type="dxa"/>
            <w:vAlign w:val="bottom"/>
            <w:tcBorders>
              <w:bottom w:val="single" w:sz="8" w:color="58595B"/>
            </w:tcBorders>
          </w:tcPr>
          <w:p>
            <w:pPr>
              <w:spacing w:after="0" w:line="20" w:lineRule="exact"/>
              <w:rPr>
                <w:sz w:val="1"/>
                <w:szCs w:val="1"/>
                <w:color w:val="auto"/>
              </w:rPr>
            </w:pPr>
          </w:p>
        </w:tc>
        <w:tc>
          <w:tcPr>
            <w:tcW w:w="20" w:type="dxa"/>
            <w:vAlign w:val="bottom"/>
            <w:tcBorders>
              <w:bottom w:val="single" w:sz="8" w:color="58595B"/>
            </w:tcBorders>
          </w:tcPr>
          <w:p>
            <w:pPr>
              <w:spacing w:after="0" w:line="20" w:lineRule="exact"/>
              <w:rPr>
                <w:sz w:val="1"/>
                <w:szCs w:val="1"/>
                <w:color w:val="auto"/>
              </w:rPr>
            </w:pPr>
          </w:p>
        </w:tc>
        <w:tc>
          <w:tcPr>
            <w:tcW w:w="60" w:type="dxa"/>
            <w:vAlign w:val="bottom"/>
            <w:tcBorders>
              <w:bottom w:val="single" w:sz="8" w:color="58595B"/>
            </w:tcBorders>
          </w:tcPr>
          <w:p>
            <w:pPr>
              <w:spacing w:after="0" w:line="20" w:lineRule="exact"/>
              <w:rPr>
                <w:sz w:val="1"/>
                <w:szCs w:val="1"/>
                <w:color w:val="auto"/>
              </w:rPr>
            </w:pPr>
          </w:p>
        </w:tc>
        <w:tc>
          <w:tcPr>
            <w:tcW w:w="40" w:type="dxa"/>
            <w:vAlign w:val="bottom"/>
            <w:tcBorders>
              <w:bottom w:val="single" w:sz="8" w:color="58595B"/>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175"/>
        </w:trPr>
        <w:tc>
          <w:tcPr>
            <w:tcW w:w="5400" w:type="dxa"/>
            <w:vAlign w:val="bottom"/>
            <w:gridSpan w:val="9"/>
          </w:tcPr>
          <w:p>
            <w:pPr>
              <w:spacing w:after="0" w:line="175" w:lineRule="exact"/>
              <w:rPr>
                <w:rFonts w:ascii="Arial" w:cs="Arial" w:eastAsia="Arial" w:hAnsi="Arial"/>
                <w:sz w:val="20"/>
                <w:szCs w:val="20"/>
                <w:color w:val="0000EE"/>
              </w:rPr>
            </w:pPr>
            <w:hyperlink w:anchor="page7">
              <w:r>
                <w:rPr>
                  <w:rFonts w:ascii="Arial" w:cs="Arial" w:eastAsia="Arial" w:hAnsi="Arial"/>
                  <w:sz w:val="20"/>
                  <w:szCs w:val="20"/>
                  <w:color w:val="0000EE"/>
                </w:rPr>
                <w:t>Letter from the Chairman, President and CEO</w:t>
              </w:r>
            </w:hyperlink>
          </w:p>
        </w:tc>
        <w:tc>
          <w:tcPr>
            <w:tcW w:w="2600" w:type="dxa"/>
            <w:vAlign w:val="bottom"/>
            <w:gridSpan w:val="6"/>
          </w:tcPr>
          <w:p>
            <w:pPr>
              <w:ind w:left="2360"/>
              <w:spacing w:after="0" w:line="175" w:lineRule="exact"/>
              <w:rPr>
                <w:rFonts w:ascii="Arial" w:cs="Arial" w:eastAsia="Arial" w:hAnsi="Arial"/>
                <w:sz w:val="20"/>
                <w:szCs w:val="20"/>
                <w:color w:val="0000EE"/>
              </w:rPr>
            </w:pPr>
            <w:hyperlink w:anchor="page7">
              <w:r>
                <w:rPr>
                  <w:rFonts w:ascii="Arial" w:cs="Arial" w:eastAsia="Arial" w:hAnsi="Arial"/>
                  <w:sz w:val="20"/>
                  <w:szCs w:val="20"/>
                  <w:color w:val="0000EE"/>
                </w:rPr>
                <w:t>iv</w:t>
              </w:r>
            </w:hyperlink>
          </w:p>
        </w:tc>
        <w:tc>
          <w:tcPr>
            <w:tcW w:w="3460" w:type="dxa"/>
            <w:vAlign w:val="bottom"/>
          </w:tcPr>
          <w:p>
            <w:pPr>
              <w:spacing w:after="0"/>
              <w:rPr>
                <w:sz w:val="15"/>
                <w:szCs w:val="15"/>
                <w:color w:val="auto"/>
              </w:rPr>
            </w:pPr>
          </w:p>
        </w:tc>
      </w:tr>
      <w:tr>
        <w:trPr>
          <w:trHeight w:val="20"/>
        </w:trPr>
        <w:tc>
          <w:tcPr>
            <w:tcW w:w="1620" w:type="dxa"/>
            <w:vAlign w:val="bottom"/>
            <w:tcBorders>
              <w:top w:val="single" w:sz="8" w:color="0000EE"/>
              <w:bottom w:val="single" w:sz="8" w:color="58595B"/>
            </w:tcBorders>
          </w:tcPr>
          <w:p>
            <w:pPr>
              <w:spacing w:after="0" w:line="20" w:lineRule="exact"/>
              <w:rPr>
                <w:sz w:val="1"/>
                <w:szCs w:val="1"/>
                <w:color w:val="auto"/>
              </w:rPr>
            </w:pPr>
          </w:p>
        </w:tc>
        <w:tc>
          <w:tcPr>
            <w:tcW w:w="20" w:type="dxa"/>
            <w:vAlign w:val="bottom"/>
            <w:tcBorders>
              <w:top w:val="single" w:sz="8" w:color="0000EE"/>
              <w:bottom w:val="single" w:sz="8" w:color="58595B"/>
            </w:tcBorders>
          </w:tcPr>
          <w:p>
            <w:pPr>
              <w:spacing w:after="0" w:line="20" w:lineRule="exact"/>
              <w:rPr>
                <w:sz w:val="1"/>
                <w:szCs w:val="1"/>
                <w:color w:val="auto"/>
              </w:rPr>
            </w:pPr>
          </w:p>
        </w:tc>
        <w:tc>
          <w:tcPr>
            <w:tcW w:w="200" w:type="dxa"/>
            <w:vAlign w:val="bottom"/>
            <w:tcBorders>
              <w:top w:val="single" w:sz="8" w:color="0000EE"/>
              <w:bottom w:val="single" w:sz="8" w:color="58595B"/>
            </w:tcBorders>
          </w:tcPr>
          <w:p>
            <w:pPr>
              <w:spacing w:after="0" w:line="20" w:lineRule="exact"/>
              <w:rPr>
                <w:sz w:val="1"/>
                <w:szCs w:val="1"/>
                <w:color w:val="auto"/>
              </w:rPr>
            </w:pPr>
          </w:p>
        </w:tc>
        <w:tc>
          <w:tcPr>
            <w:tcW w:w="160" w:type="dxa"/>
            <w:vAlign w:val="bottom"/>
            <w:tcBorders>
              <w:top w:val="single" w:sz="8" w:color="0000EE"/>
              <w:bottom w:val="single" w:sz="8" w:color="58595B"/>
            </w:tcBorders>
          </w:tcPr>
          <w:p>
            <w:pPr>
              <w:spacing w:after="0" w:line="20" w:lineRule="exact"/>
              <w:rPr>
                <w:sz w:val="1"/>
                <w:szCs w:val="1"/>
                <w:color w:val="auto"/>
              </w:rPr>
            </w:pPr>
          </w:p>
        </w:tc>
        <w:tc>
          <w:tcPr>
            <w:tcW w:w="200" w:type="dxa"/>
            <w:vAlign w:val="bottom"/>
            <w:tcBorders>
              <w:top w:val="single" w:sz="8" w:color="0000EE"/>
              <w:bottom w:val="single" w:sz="8" w:color="58595B"/>
            </w:tcBorders>
          </w:tcPr>
          <w:p>
            <w:pPr>
              <w:spacing w:after="0" w:line="20" w:lineRule="exact"/>
              <w:rPr>
                <w:sz w:val="1"/>
                <w:szCs w:val="1"/>
                <w:color w:val="auto"/>
              </w:rPr>
            </w:pPr>
          </w:p>
        </w:tc>
        <w:tc>
          <w:tcPr>
            <w:tcW w:w="1280" w:type="dxa"/>
            <w:vAlign w:val="bottom"/>
            <w:tcBorders>
              <w:top w:val="single" w:sz="8" w:color="0000EE"/>
              <w:bottom w:val="single" w:sz="8" w:color="58595B"/>
            </w:tcBorders>
          </w:tcPr>
          <w:p>
            <w:pPr>
              <w:spacing w:after="0" w:line="20" w:lineRule="exact"/>
              <w:rPr>
                <w:sz w:val="1"/>
                <w:szCs w:val="1"/>
                <w:color w:val="auto"/>
              </w:rPr>
            </w:pPr>
          </w:p>
        </w:tc>
        <w:tc>
          <w:tcPr>
            <w:tcW w:w="540" w:type="dxa"/>
            <w:vAlign w:val="bottom"/>
            <w:tcBorders>
              <w:top w:val="single" w:sz="8" w:color="0000EE"/>
              <w:bottom w:val="single" w:sz="8" w:color="58595B"/>
            </w:tcBorders>
          </w:tcPr>
          <w:p>
            <w:pPr>
              <w:spacing w:after="0" w:line="20" w:lineRule="exact"/>
              <w:rPr>
                <w:sz w:val="1"/>
                <w:szCs w:val="1"/>
                <w:color w:val="auto"/>
              </w:rPr>
            </w:pPr>
          </w:p>
        </w:tc>
        <w:tc>
          <w:tcPr>
            <w:tcW w:w="400" w:type="dxa"/>
            <w:vAlign w:val="bottom"/>
            <w:tcBorders>
              <w:bottom w:val="single" w:sz="8" w:color="58595B"/>
            </w:tcBorders>
          </w:tcPr>
          <w:p>
            <w:pPr>
              <w:spacing w:after="0" w:line="20" w:lineRule="exact"/>
              <w:rPr>
                <w:sz w:val="1"/>
                <w:szCs w:val="1"/>
                <w:color w:val="auto"/>
              </w:rPr>
            </w:pPr>
          </w:p>
        </w:tc>
        <w:tc>
          <w:tcPr>
            <w:tcW w:w="980" w:type="dxa"/>
            <w:vAlign w:val="bottom"/>
            <w:tcBorders>
              <w:bottom w:val="single" w:sz="8" w:color="58595B"/>
            </w:tcBorders>
          </w:tcPr>
          <w:p>
            <w:pPr>
              <w:spacing w:after="0" w:line="20" w:lineRule="exact"/>
              <w:rPr>
                <w:sz w:val="1"/>
                <w:szCs w:val="1"/>
                <w:color w:val="auto"/>
              </w:rPr>
            </w:pPr>
          </w:p>
        </w:tc>
        <w:tc>
          <w:tcPr>
            <w:tcW w:w="2360" w:type="dxa"/>
            <w:vAlign w:val="bottom"/>
            <w:tcBorders>
              <w:bottom w:val="single" w:sz="8" w:color="58595B"/>
            </w:tcBorders>
          </w:tcPr>
          <w:p>
            <w:pPr>
              <w:spacing w:after="0" w:line="20" w:lineRule="exact"/>
              <w:rPr>
                <w:sz w:val="1"/>
                <w:szCs w:val="1"/>
                <w:color w:val="auto"/>
              </w:rPr>
            </w:pPr>
          </w:p>
        </w:tc>
        <w:tc>
          <w:tcPr>
            <w:tcW w:w="100" w:type="dxa"/>
            <w:vAlign w:val="bottom"/>
            <w:tcBorders>
              <w:top w:val="single" w:sz="8" w:color="0000EE"/>
              <w:bottom w:val="single" w:sz="8" w:color="58595B"/>
            </w:tcBorders>
          </w:tcPr>
          <w:p>
            <w:pPr>
              <w:spacing w:after="0" w:line="20" w:lineRule="exact"/>
              <w:rPr>
                <w:sz w:val="1"/>
                <w:szCs w:val="1"/>
                <w:color w:val="auto"/>
              </w:rPr>
            </w:pPr>
          </w:p>
        </w:tc>
        <w:tc>
          <w:tcPr>
            <w:tcW w:w="20" w:type="dxa"/>
            <w:vAlign w:val="bottom"/>
            <w:tcBorders>
              <w:top w:val="single" w:sz="8" w:color="0000EE"/>
              <w:bottom w:val="single" w:sz="8" w:color="58595B"/>
            </w:tcBorders>
          </w:tcPr>
          <w:p>
            <w:pPr>
              <w:spacing w:after="0" w:line="20" w:lineRule="exact"/>
              <w:rPr>
                <w:sz w:val="1"/>
                <w:szCs w:val="1"/>
                <w:color w:val="auto"/>
              </w:rPr>
            </w:pPr>
          </w:p>
        </w:tc>
        <w:tc>
          <w:tcPr>
            <w:tcW w:w="20" w:type="dxa"/>
            <w:vAlign w:val="bottom"/>
            <w:tcBorders>
              <w:top w:val="single" w:sz="8" w:color="0000EE"/>
              <w:bottom w:val="single" w:sz="8" w:color="58595B"/>
            </w:tcBorders>
          </w:tcPr>
          <w:p>
            <w:pPr>
              <w:spacing w:after="0" w:line="20" w:lineRule="exact"/>
              <w:rPr>
                <w:sz w:val="1"/>
                <w:szCs w:val="1"/>
                <w:color w:val="auto"/>
              </w:rPr>
            </w:pPr>
          </w:p>
        </w:tc>
        <w:tc>
          <w:tcPr>
            <w:tcW w:w="60" w:type="dxa"/>
            <w:vAlign w:val="bottom"/>
            <w:tcBorders>
              <w:bottom w:val="single" w:sz="8" w:color="58595B"/>
            </w:tcBorders>
          </w:tcPr>
          <w:p>
            <w:pPr>
              <w:spacing w:after="0" w:line="20" w:lineRule="exact"/>
              <w:rPr>
                <w:sz w:val="1"/>
                <w:szCs w:val="1"/>
                <w:color w:val="auto"/>
              </w:rPr>
            </w:pPr>
          </w:p>
        </w:tc>
        <w:tc>
          <w:tcPr>
            <w:tcW w:w="40" w:type="dxa"/>
            <w:vAlign w:val="bottom"/>
            <w:tcBorders>
              <w:bottom w:val="single" w:sz="8" w:color="58595B"/>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175"/>
        </w:trPr>
        <w:tc>
          <w:tcPr>
            <w:tcW w:w="5400" w:type="dxa"/>
            <w:vAlign w:val="bottom"/>
            <w:gridSpan w:val="9"/>
          </w:tcPr>
          <w:p>
            <w:pPr>
              <w:spacing w:after="0" w:line="175" w:lineRule="exact"/>
              <w:rPr>
                <w:rFonts w:ascii="Arial" w:cs="Arial" w:eastAsia="Arial" w:hAnsi="Arial"/>
                <w:sz w:val="20"/>
                <w:szCs w:val="20"/>
                <w:color w:val="0000EE"/>
                <w:w w:val="98"/>
              </w:rPr>
            </w:pPr>
            <w:hyperlink w:anchor="page9">
              <w:r>
                <w:rPr>
                  <w:rFonts w:ascii="Arial" w:cs="Arial" w:eastAsia="Arial" w:hAnsi="Arial"/>
                  <w:sz w:val="20"/>
                  <w:szCs w:val="20"/>
                  <w:color w:val="0000EE"/>
                  <w:w w:val="98"/>
                </w:rPr>
                <w:t>Our Timeline: From Inception to Delivering on our Turnaround</w:t>
              </w:r>
            </w:hyperlink>
          </w:p>
        </w:tc>
        <w:tc>
          <w:tcPr>
            <w:tcW w:w="2600" w:type="dxa"/>
            <w:vAlign w:val="bottom"/>
            <w:gridSpan w:val="6"/>
          </w:tcPr>
          <w:p>
            <w:pPr>
              <w:ind w:left="2360"/>
              <w:spacing w:after="0" w:line="175" w:lineRule="exact"/>
              <w:rPr>
                <w:rFonts w:ascii="Arial" w:cs="Arial" w:eastAsia="Arial" w:hAnsi="Arial"/>
                <w:sz w:val="20"/>
                <w:szCs w:val="20"/>
                <w:color w:val="0000EE"/>
              </w:rPr>
            </w:pPr>
            <w:hyperlink w:anchor="page9">
              <w:r>
                <w:rPr>
                  <w:rFonts w:ascii="Arial" w:cs="Arial" w:eastAsia="Arial" w:hAnsi="Arial"/>
                  <w:sz w:val="20"/>
                  <w:szCs w:val="20"/>
                  <w:color w:val="0000EE"/>
                </w:rPr>
                <w:t>vi</w:t>
              </w:r>
            </w:hyperlink>
          </w:p>
        </w:tc>
        <w:tc>
          <w:tcPr>
            <w:tcW w:w="3460" w:type="dxa"/>
            <w:vAlign w:val="bottom"/>
          </w:tcPr>
          <w:p>
            <w:pPr>
              <w:spacing w:after="0"/>
              <w:rPr>
                <w:sz w:val="15"/>
                <w:szCs w:val="15"/>
                <w:color w:val="auto"/>
              </w:rPr>
            </w:pPr>
          </w:p>
        </w:tc>
      </w:tr>
      <w:tr>
        <w:trPr>
          <w:trHeight w:val="20"/>
        </w:trPr>
        <w:tc>
          <w:tcPr>
            <w:tcW w:w="1620" w:type="dxa"/>
            <w:vAlign w:val="bottom"/>
            <w:tcBorders>
              <w:top w:val="single" w:sz="8" w:color="0000EE"/>
              <w:bottom w:val="single" w:sz="8" w:color="58595B"/>
            </w:tcBorders>
          </w:tcPr>
          <w:p>
            <w:pPr>
              <w:spacing w:after="0" w:line="20" w:lineRule="exact"/>
              <w:rPr>
                <w:sz w:val="1"/>
                <w:szCs w:val="1"/>
                <w:color w:val="auto"/>
              </w:rPr>
            </w:pPr>
          </w:p>
        </w:tc>
        <w:tc>
          <w:tcPr>
            <w:tcW w:w="20" w:type="dxa"/>
            <w:vAlign w:val="bottom"/>
            <w:tcBorders>
              <w:top w:val="single" w:sz="8" w:color="0000EE"/>
              <w:bottom w:val="single" w:sz="8" w:color="58595B"/>
            </w:tcBorders>
          </w:tcPr>
          <w:p>
            <w:pPr>
              <w:spacing w:after="0" w:line="20" w:lineRule="exact"/>
              <w:rPr>
                <w:sz w:val="1"/>
                <w:szCs w:val="1"/>
                <w:color w:val="auto"/>
              </w:rPr>
            </w:pPr>
          </w:p>
        </w:tc>
        <w:tc>
          <w:tcPr>
            <w:tcW w:w="200" w:type="dxa"/>
            <w:vAlign w:val="bottom"/>
            <w:tcBorders>
              <w:top w:val="single" w:sz="8" w:color="0000EE"/>
              <w:bottom w:val="single" w:sz="8" w:color="58595B"/>
            </w:tcBorders>
          </w:tcPr>
          <w:p>
            <w:pPr>
              <w:spacing w:after="0" w:line="20" w:lineRule="exact"/>
              <w:rPr>
                <w:sz w:val="1"/>
                <w:szCs w:val="1"/>
                <w:color w:val="auto"/>
              </w:rPr>
            </w:pPr>
          </w:p>
        </w:tc>
        <w:tc>
          <w:tcPr>
            <w:tcW w:w="160" w:type="dxa"/>
            <w:vAlign w:val="bottom"/>
            <w:tcBorders>
              <w:top w:val="single" w:sz="8" w:color="0000EE"/>
              <w:bottom w:val="single" w:sz="8" w:color="58595B"/>
            </w:tcBorders>
          </w:tcPr>
          <w:p>
            <w:pPr>
              <w:spacing w:after="0" w:line="20" w:lineRule="exact"/>
              <w:rPr>
                <w:sz w:val="1"/>
                <w:szCs w:val="1"/>
                <w:color w:val="auto"/>
              </w:rPr>
            </w:pPr>
          </w:p>
        </w:tc>
        <w:tc>
          <w:tcPr>
            <w:tcW w:w="200" w:type="dxa"/>
            <w:vAlign w:val="bottom"/>
            <w:tcBorders>
              <w:top w:val="single" w:sz="8" w:color="0000EE"/>
              <w:bottom w:val="single" w:sz="8" w:color="58595B"/>
            </w:tcBorders>
          </w:tcPr>
          <w:p>
            <w:pPr>
              <w:spacing w:after="0" w:line="20" w:lineRule="exact"/>
              <w:rPr>
                <w:sz w:val="1"/>
                <w:szCs w:val="1"/>
                <w:color w:val="auto"/>
              </w:rPr>
            </w:pPr>
          </w:p>
        </w:tc>
        <w:tc>
          <w:tcPr>
            <w:tcW w:w="1280" w:type="dxa"/>
            <w:vAlign w:val="bottom"/>
            <w:tcBorders>
              <w:top w:val="single" w:sz="8" w:color="0000EE"/>
              <w:bottom w:val="single" w:sz="8" w:color="58595B"/>
            </w:tcBorders>
          </w:tcPr>
          <w:p>
            <w:pPr>
              <w:spacing w:after="0" w:line="20" w:lineRule="exact"/>
              <w:rPr>
                <w:sz w:val="1"/>
                <w:szCs w:val="1"/>
                <w:color w:val="auto"/>
              </w:rPr>
            </w:pPr>
          </w:p>
        </w:tc>
        <w:tc>
          <w:tcPr>
            <w:tcW w:w="540" w:type="dxa"/>
            <w:vAlign w:val="bottom"/>
            <w:tcBorders>
              <w:top w:val="single" w:sz="8" w:color="0000EE"/>
              <w:bottom w:val="single" w:sz="8" w:color="58595B"/>
            </w:tcBorders>
          </w:tcPr>
          <w:p>
            <w:pPr>
              <w:spacing w:after="0" w:line="20" w:lineRule="exact"/>
              <w:rPr>
                <w:sz w:val="1"/>
                <w:szCs w:val="1"/>
                <w:color w:val="auto"/>
              </w:rPr>
            </w:pPr>
          </w:p>
        </w:tc>
        <w:tc>
          <w:tcPr>
            <w:tcW w:w="400" w:type="dxa"/>
            <w:vAlign w:val="bottom"/>
            <w:tcBorders>
              <w:top w:val="single" w:sz="8" w:color="0000EE"/>
              <w:bottom w:val="single" w:sz="8" w:color="58595B"/>
            </w:tcBorders>
          </w:tcPr>
          <w:p>
            <w:pPr>
              <w:spacing w:after="0" w:line="20" w:lineRule="exact"/>
              <w:rPr>
                <w:sz w:val="1"/>
                <w:szCs w:val="1"/>
                <w:color w:val="auto"/>
              </w:rPr>
            </w:pPr>
          </w:p>
        </w:tc>
        <w:tc>
          <w:tcPr>
            <w:tcW w:w="980" w:type="dxa"/>
            <w:vAlign w:val="bottom"/>
            <w:tcBorders>
              <w:top w:val="single" w:sz="8" w:color="0000EE"/>
              <w:bottom w:val="single" w:sz="8" w:color="58595B"/>
            </w:tcBorders>
          </w:tcPr>
          <w:p>
            <w:pPr>
              <w:spacing w:after="0" w:line="20" w:lineRule="exact"/>
              <w:rPr>
                <w:sz w:val="1"/>
                <w:szCs w:val="1"/>
                <w:color w:val="auto"/>
              </w:rPr>
            </w:pPr>
          </w:p>
        </w:tc>
        <w:tc>
          <w:tcPr>
            <w:tcW w:w="2360" w:type="dxa"/>
            <w:vAlign w:val="bottom"/>
            <w:tcBorders>
              <w:bottom w:val="single" w:sz="8" w:color="58595B"/>
            </w:tcBorders>
          </w:tcPr>
          <w:p>
            <w:pPr>
              <w:spacing w:after="0" w:line="20" w:lineRule="exact"/>
              <w:rPr>
                <w:sz w:val="1"/>
                <w:szCs w:val="1"/>
                <w:color w:val="auto"/>
              </w:rPr>
            </w:pPr>
          </w:p>
        </w:tc>
        <w:tc>
          <w:tcPr>
            <w:tcW w:w="100" w:type="dxa"/>
            <w:vAlign w:val="bottom"/>
            <w:tcBorders>
              <w:top w:val="single" w:sz="8" w:color="0000EE"/>
              <w:bottom w:val="single" w:sz="8" w:color="58595B"/>
            </w:tcBorders>
          </w:tcPr>
          <w:p>
            <w:pPr>
              <w:spacing w:after="0" w:line="20" w:lineRule="exact"/>
              <w:rPr>
                <w:sz w:val="1"/>
                <w:szCs w:val="1"/>
                <w:color w:val="auto"/>
              </w:rPr>
            </w:pPr>
          </w:p>
        </w:tc>
        <w:tc>
          <w:tcPr>
            <w:tcW w:w="20" w:type="dxa"/>
            <w:vAlign w:val="bottom"/>
            <w:tcBorders>
              <w:top w:val="single" w:sz="8" w:color="0000EE"/>
              <w:bottom w:val="single" w:sz="8" w:color="58595B"/>
            </w:tcBorders>
          </w:tcPr>
          <w:p>
            <w:pPr>
              <w:spacing w:after="0" w:line="20" w:lineRule="exact"/>
              <w:rPr>
                <w:sz w:val="1"/>
                <w:szCs w:val="1"/>
                <w:color w:val="auto"/>
              </w:rPr>
            </w:pPr>
          </w:p>
        </w:tc>
        <w:tc>
          <w:tcPr>
            <w:tcW w:w="20" w:type="dxa"/>
            <w:vAlign w:val="bottom"/>
            <w:tcBorders>
              <w:top w:val="single" w:sz="8" w:color="0000EE"/>
              <w:bottom w:val="single" w:sz="8" w:color="58595B"/>
            </w:tcBorders>
          </w:tcPr>
          <w:p>
            <w:pPr>
              <w:spacing w:after="0" w:line="20" w:lineRule="exact"/>
              <w:rPr>
                <w:sz w:val="1"/>
                <w:szCs w:val="1"/>
                <w:color w:val="auto"/>
              </w:rPr>
            </w:pPr>
          </w:p>
        </w:tc>
        <w:tc>
          <w:tcPr>
            <w:tcW w:w="60" w:type="dxa"/>
            <w:vAlign w:val="bottom"/>
            <w:tcBorders>
              <w:bottom w:val="single" w:sz="8" w:color="58595B"/>
            </w:tcBorders>
          </w:tcPr>
          <w:p>
            <w:pPr>
              <w:spacing w:after="0" w:line="20" w:lineRule="exact"/>
              <w:rPr>
                <w:sz w:val="1"/>
                <w:szCs w:val="1"/>
                <w:color w:val="auto"/>
              </w:rPr>
            </w:pPr>
          </w:p>
        </w:tc>
        <w:tc>
          <w:tcPr>
            <w:tcW w:w="40" w:type="dxa"/>
            <w:vAlign w:val="bottom"/>
            <w:tcBorders>
              <w:bottom w:val="single" w:sz="8" w:color="58595B"/>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175"/>
        </w:trPr>
        <w:tc>
          <w:tcPr>
            <w:tcW w:w="5400" w:type="dxa"/>
            <w:vAlign w:val="bottom"/>
            <w:gridSpan w:val="9"/>
          </w:tcPr>
          <w:p>
            <w:pPr>
              <w:spacing w:after="0" w:line="175" w:lineRule="exact"/>
              <w:rPr>
                <w:rFonts w:ascii="Arial" w:cs="Arial" w:eastAsia="Arial" w:hAnsi="Arial"/>
                <w:sz w:val="20"/>
                <w:szCs w:val="20"/>
                <w:color w:val="0000EE"/>
              </w:rPr>
            </w:pPr>
            <w:hyperlink w:anchor="page11">
              <w:r>
                <w:rPr>
                  <w:rFonts w:ascii="Arial" w:cs="Arial" w:eastAsia="Arial" w:hAnsi="Arial"/>
                  <w:sz w:val="20"/>
                  <w:szCs w:val="20"/>
                  <w:color w:val="0000EE"/>
                </w:rPr>
                <w:t>Compensation Highlights</w:t>
              </w:r>
            </w:hyperlink>
          </w:p>
        </w:tc>
        <w:tc>
          <w:tcPr>
            <w:tcW w:w="2600" w:type="dxa"/>
            <w:vAlign w:val="bottom"/>
            <w:gridSpan w:val="6"/>
          </w:tcPr>
          <w:p>
            <w:pPr>
              <w:ind w:left="2360"/>
              <w:spacing w:after="0" w:line="175" w:lineRule="exact"/>
              <w:rPr>
                <w:rFonts w:ascii="Arial" w:cs="Arial" w:eastAsia="Arial" w:hAnsi="Arial"/>
                <w:sz w:val="20"/>
                <w:szCs w:val="20"/>
                <w:color w:val="0000EE"/>
                <w:w w:val="94"/>
              </w:rPr>
            </w:pPr>
            <w:hyperlink w:anchor="page11">
              <w:r>
                <w:rPr>
                  <w:rFonts w:ascii="Arial" w:cs="Arial" w:eastAsia="Arial" w:hAnsi="Arial"/>
                  <w:sz w:val="20"/>
                  <w:szCs w:val="20"/>
                  <w:color w:val="0000EE"/>
                  <w:w w:val="94"/>
                </w:rPr>
                <w:t>viii</w:t>
              </w:r>
            </w:hyperlink>
          </w:p>
        </w:tc>
        <w:tc>
          <w:tcPr>
            <w:tcW w:w="3460" w:type="dxa"/>
            <w:vAlign w:val="bottom"/>
          </w:tcPr>
          <w:p>
            <w:pPr>
              <w:spacing w:after="0"/>
              <w:rPr>
                <w:sz w:val="15"/>
                <w:szCs w:val="15"/>
                <w:color w:val="auto"/>
              </w:rPr>
            </w:pPr>
          </w:p>
        </w:tc>
      </w:tr>
      <w:tr>
        <w:trPr>
          <w:trHeight w:val="20"/>
        </w:trPr>
        <w:tc>
          <w:tcPr>
            <w:tcW w:w="1620" w:type="dxa"/>
            <w:vAlign w:val="bottom"/>
            <w:tcBorders>
              <w:top w:val="single" w:sz="8" w:color="0000EE"/>
              <w:bottom w:val="single" w:sz="8" w:color="58595B"/>
            </w:tcBorders>
          </w:tcPr>
          <w:p>
            <w:pPr>
              <w:spacing w:after="0" w:line="20" w:lineRule="exact"/>
              <w:rPr>
                <w:sz w:val="1"/>
                <w:szCs w:val="1"/>
                <w:color w:val="auto"/>
              </w:rPr>
            </w:pPr>
          </w:p>
        </w:tc>
        <w:tc>
          <w:tcPr>
            <w:tcW w:w="20" w:type="dxa"/>
            <w:vAlign w:val="bottom"/>
            <w:tcBorders>
              <w:top w:val="single" w:sz="8" w:color="0000EE"/>
              <w:bottom w:val="single" w:sz="8" w:color="58595B"/>
            </w:tcBorders>
          </w:tcPr>
          <w:p>
            <w:pPr>
              <w:spacing w:after="0" w:line="20" w:lineRule="exact"/>
              <w:rPr>
                <w:sz w:val="1"/>
                <w:szCs w:val="1"/>
                <w:color w:val="auto"/>
              </w:rPr>
            </w:pPr>
          </w:p>
        </w:tc>
        <w:tc>
          <w:tcPr>
            <w:tcW w:w="200" w:type="dxa"/>
            <w:vAlign w:val="bottom"/>
            <w:tcBorders>
              <w:top w:val="single" w:sz="8" w:color="0000EE"/>
              <w:bottom w:val="single" w:sz="8" w:color="58595B"/>
            </w:tcBorders>
          </w:tcPr>
          <w:p>
            <w:pPr>
              <w:spacing w:after="0" w:line="20" w:lineRule="exact"/>
              <w:rPr>
                <w:sz w:val="1"/>
                <w:szCs w:val="1"/>
                <w:color w:val="auto"/>
              </w:rPr>
            </w:pPr>
          </w:p>
        </w:tc>
        <w:tc>
          <w:tcPr>
            <w:tcW w:w="160" w:type="dxa"/>
            <w:vAlign w:val="bottom"/>
            <w:tcBorders>
              <w:top w:val="single" w:sz="8" w:color="0000EE"/>
              <w:bottom w:val="single" w:sz="8" w:color="58595B"/>
            </w:tcBorders>
          </w:tcPr>
          <w:p>
            <w:pPr>
              <w:spacing w:after="0" w:line="20" w:lineRule="exact"/>
              <w:rPr>
                <w:sz w:val="1"/>
                <w:szCs w:val="1"/>
                <w:color w:val="auto"/>
              </w:rPr>
            </w:pPr>
          </w:p>
        </w:tc>
        <w:tc>
          <w:tcPr>
            <w:tcW w:w="200" w:type="dxa"/>
            <w:vAlign w:val="bottom"/>
            <w:tcBorders>
              <w:top w:val="single" w:sz="8" w:color="0000EE"/>
              <w:bottom w:val="single" w:sz="8" w:color="58595B"/>
            </w:tcBorders>
          </w:tcPr>
          <w:p>
            <w:pPr>
              <w:spacing w:after="0" w:line="20" w:lineRule="exact"/>
              <w:rPr>
                <w:sz w:val="1"/>
                <w:szCs w:val="1"/>
                <w:color w:val="auto"/>
              </w:rPr>
            </w:pPr>
          </w:p>
        </w:tc>
        <w:tc>
          <w:tcPr>
            <w:tcW w:w="1280" w:type="dxa"/>
            <w:vAlign w:val="bottom"/>
            <w:tcBorders>
              <w:bottom w:val="single" w:sz="8" w:color="58595B"/>
            </w:tcBorders>
          </w:tcPr>
          <w:p>
            <w:pPr>
              <w:spacing w:after="0" w:line="20" w:lineRule="exact"/>
              <w:rPr>
                <w:sz w:val="1"/>
                <w:szCs w:val="1"/>
                <w:color w:val="auto"/>
              </w:rPr>
            </w:pPr>
          </w:p>
        </w:tc>
        <w:tc>
          <w:tcPr>
            <w:tcW w:w="540" w:type="dxa"/>
            <w:vAlign w:val="bottom"/>
            <w:tcBorders>
              <w:bottom w:val="single" w:sz="8" w:color="58595B"/>
            </w:tcBorders>
          </w:tcPr>
          <w:p>
            <w:pPr>
              <w:spacing w:after="0" w:line="20" w:lineRule="exact"/>
              <w:rPr>
                <w:sz w:val="1"/>
                <w:szCs w:val="1"/>
                <w:color w:val="auto"/>
              </w:rPr>
            </w:pPr>
          </w:p>
        </w:tc>
        <w:tc>
          <w:tcPr>
            <w:tcW w:w="400" w:type="dxa"/>
            <w:vAlign w:val="bottom"/>
            <w:tcBorders>
              <w:bottom w:val="single" w:sz="8" w:color="58595B"/>
            </w:tcBorders>
          </w:tcPr>
          <w:p>
            <w:pPr>
              <w:spacing w:after="0" w:line="20" w:lineRule="exact"/>
              <w:rPr>
                <w:sz w:val="1"/>
                <w:szCs w:val="1"/>
                <w:color w:val="auto"/>
              </w:rPr>
            </w:pPr>
          </w:p>
        </w:tc>
        <w:tc>
          <w:tcPr>
            <w:tcW w:w="980" w:type="dxa"/>
            <w:vAlign w:val="bottom"/>
            <w:tcBorders>
              <w:bottom w:val="single" w:sz="8" w:color="58595B"/>
            </w:tcBorders>
          </w:tcPr>
          <w:p>
            <w:pPr>
              <w:spacing w:after="0" w:line="20" w:lineRule="exact"/>
              <w:rPr>
                <w:sz w:val="1"/>
                <w:szCs w:val="1"/>
                <w:color w:val="auto"/>
              </w:rPr>
            </w:pPr>
          </w:p>
        </w:tc>
        <w:tc>
          <w:tcPr>
            <w:tcW w:w="2360" w:type="dxa"/>
            <w:vAlign w:val="bottom"/>
            <w:tcBorders>
              <w:bottom w:val="single" w:sz="8" w:color="58595B"/>
            </w:tcBorders>
          </w:tcPr>
          <w:p>
            <w:pPr>
              <w:spacing w:after="0" w:line="20" w:lineRule="exact"/>
              <w:rPr>
                <w:sz w:val="1"/>
                <w:szCs w:val="1"/>
                <w:color w:val="auto"/>
              </w:rPr>
            </w:pPr>
          </w:p>
        </w:tc>
        <w:tc>
          <w:tcPr>
            <w:tcW w:w="100" w:type="dxa"/>
            <w:vAlign w:val="bottom"/>
            <w:tcBorders>
              <w:top w:val="single" w:sz="8" w:color="0000EE"/>
              <w:bottom w:val="single" w:sz="8" w:color="58595B"/>
            </w:tcBorders>
          </w:tcPr>
          <w:p>
            <w:pPr>
              <w:spacing w:after="0" w:line="20" w:lineRule="exact"/>
              <w:rPr>
                <w:sz w:val="1"/>
                <w:szCs w:val="1"/>
                <w:color w:val="auto"/>
              </w:rPr>
            </w:pPr>
          </w:p>
        </w:tc>
        <w:tc>
          <w:tcPr>
            <w:tcW w:w="20" w:type="dxa"/>
            <w:vAlign w:val="bottom"/>
            <w:tcBorders>
              <w:top w:val="single" w:sz="8" w:color="0000EE"/>
              <w:bottom w:val="single" w:sz="8" w:color="58595B"/>
            </w:tcBorders>
          </w:tcPr>
          <w:p>
            <w:pPr>
              <w:spacing w:after="0" w:line="20" w:lineRule="exact"/>
              <w:rPr>
                <w:sz w:val="1"/>
                <w:szCs w:val="1"/>
                <w:color w:val="auto"/>
              </w:rPr>
            </w:pPr>
          </w:p>
        </w:tc>
        <w:tc>
          <w:tcPr>
            <w:tcW w:w="20" w:type="dxa"/>
            <w:vAlign w:val="bottom"/>
            <w:tcBorders>
              <w:top w:val="single" w:sz="8" w:color="0000EE"/>
              <w:bottom w:val="single" w:sz="8" w:color="58595B"/>
            </w:tcBorders>
          </w:tcPr>
          <w:p>
            <w:pPr>
              <w:spacing w:after="0" w:line="20" w:lineRule="exact"/>
              <w:rPr>
                <w:sz w:val="1"/>
                <w:szCs w:val="1"/>
                <w:color w:val="auto"/>
              </w:rPr>
            </w:pPr>
          </w:p>
        </w:tc>
        <w:tc>
          <w:tcPr>
            <w:tcW w:w="60" w:type="dxa"/>
            <w:vAlign w:val="bottom"/>
            <w:tcBorders>
              <w:top w:val="single" w:sz="8" w:color="0000EE"/>
              <w:bottom w:val="single" w:sz="8" w:color="58595B"/>
            </w:tcBorders>
          </w:tcPr>
          <w:p>
            <w:pPr>
              <w:spacing w:after="0" w:line="20" w:lineRule="exact"/>
              <w:rPr>
                <w:sz w:val="1"/>
                <w:szCs w:val="1"/>
                <w:color w:val="auto"/>
              </w:rPr>
            </w:pPr>
          </w:p>
        </w:tc>
        <w:tc>
          <w:tcPr>
            <w:tcW w:w="40" w:type="dxa"/>
            <w:vAlign w:val="bottom"/>
            <w:tcBorders>
              <w:top w:val="single" w:sz="8" w:color="0000EE"/>
              <w:bottom w:val="single" w:sz="8" w:color="58595B"/>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175"/>
        </w:trPr>
        <w:tc>
          <w:tcPr>
            <w:tcW w:w="5400" w:type="dxa"/>
            <w:vAlign w:val="bottom"/>
            <w:gridSpan w:val="9"/>
          </w:tcPr>
          <w:p>
            <w:pPr>
              <w:spacing w:after="0" w:line="175" w:lineRule="exact"/>
              <w:rPr>
                <w:rFonts w:ascii="Arial" w:cs="Arial" w:eastAsia="Arial" w:hAnsi="Arial"/>
                <w:sz w:val="20"/>
                <w:szCs w:val="20"/>
                <w:color w:val="0000EE"/>
              </w:rPr>
            </w:pPr>
            <w:hyperlink w:anchor="page13">
              <w:r>
                <w:rPr>
                  <w:rFonts w:ascii="Arial" w:cs="Arial" w:eastAsia="Arial" w:hAnsi="Arial"/>
                  <w:sz w:val="20"/>
                  <w:szCs w:val="20"/>
                  <w:color w:val="0000EE"/>
                </w:rPr>
                <w:t>Director Nominees</w:t>
              </w:r>
            </w:hyperlink>
          </w:p>
        </w:tc>
        <w:tc>
          <w:tcPr>
            <w:tcW w:w="2600" w:type="dxa"/>
            <w:vAlign w:val="bottom"/>
            <w:gridSpan w:val="6"/>
          </w:tcPr>
          <w:p>
            <w:pPr>
              <w:ind w:left="2360"/>
              <w:spacing w:after="0" w:line="175" w:lineRule="exact"/>
              <w:rPr>
                <w:rFonts w:ascii="Arial" w:cs="Arial" w:eastAsia="Arial" w:hAnsi="Arial"/>
                <w:sz w:val="20"/>
                <w:szCs w:val="20"/>
                <w:color w:val="0000EE"/>
              </w:rPr>
            </w:pPr>
            <w:hyperlink w:anchor="page13">
              <w:r>
                <w:rPr>
                  <w:rFonts w:ascii="Arial" w:cs="Arial" w:eastAsia="Arial" w:hAnsi="Arial"/>
                  <w:sz w:val="20"/>
                  <w:szCs w:val="20"/>
                  <w:color w:val="0000EE"/>
                </w:rPr>
                <w:t>x</w:t>
              </w:r>
            </w:hyperlink>
          </w:p>
        </w:tc>
        <w:tc>
          <w:tcPr>
            <w:tcW w:w="3460" w:type="dxa"/>
            <w:vAlign w:val="bottom"/>
          </w:tcPr>
          <w:p>
            <w:pPr>
              <w:spacing w:after="0"/>
              <w:rPr>
                <w:sz w:val="15"/>
                <w:szCs w:val="15"/>
                <w:color w:val="auto"/>
              </w:rPr>
            </w:pPr>
          </w:p>
        </w:tc>
      </w:tr>
      <w:tr>
        <w:trPr>
          <w:trHeight w:val="20"/>
        </w:trPr>
        <w:tc>
          <w:tcPr>
            <w:tcW w:w="1620" w:type="dxa"/>
            <w:vAlign w:val="bottom"/>
            <w:tcBorders>
              <w:top w:val="single" w:sz="8" w:color="0000EE"/>
              <w:bottom w:val="single" w:sz="8" w:color="58595B"/>
            </w:tcBorders>
          </w:tcPr>
          <w:p>
            <w:pPr>
              <w:spacing w:after="0" w:line="20" w:lineRule="exact"/>
              <w:rPr>
                <w:sz w:val="1"/>
                <w:szCs w:val="1"/>
                <w:color w:val="auto"/>
              </w:rPr>
            </w:pPr>
          </w:p>
        </w:tc>
        <w:tc>
          <w:tcPr>
            <w:tcW w:w="20" w:type="dxa"/>
            <w:vAlign w:val="bottom"/>
            <w:tcBorders>
              <w:top w:val="single" w:sz="8" w:color="0000EE"/>
              <w:bottom w:val="single" w:sz="8" w:color="58595B"/>
            </w:tcBorders>
          </w:tcPr>
          <w:p>
            <w:pPr>
              <w:spacing w:after="0" w:line="20" w:lineRule="exact"/>
              <w:rPr>
                <w:sz w:val="1"/>
                <w:szCs w:val="1"/>
                <w:color w:val="auto"/>
              </w:rPr>
            </w:pPr>
          </w:p>
        </w:tc>
        <w:tc>
          <w:tcPr>
            <w:tcW w:w="200" w:type="dxa"/>
            <w:vAlign w:val="bottom"/>
            <w:tcBorders>
              <w:bottom w:val="single" w:sz="8" w:color="58595B"/>
            </w:tcBorders>
          </w:tcPr>
          <w:p>
            <w:pPr>
              <w:spacing w:after="0" w:line="20" w:lineRule="exact"/>
              <w:rPr>
                <w:sz w:val="1"/>
                <w:szCs w:val="1"/>
                <w:color w:val="auto"/>
              </w:rPr>
            </w:pPr>
          </w:p>
        </w:tc>
        <w:tc>
          <w:tcPr>
            <w:tcW w:w="160" w:type="dxa"/>
            <w:vAlign w:val="bottom"/>
            <w:tcBorders>
              <w:bottom w:val="single" w:sz="8" w:color="58595B"/>
            </w:tcBorders>
          </w:tcPr>
          <w:p>
            <w:pPr>
              <w:spacing w:after="0" w:line="20" w:lineRule="exact"/>
              <w:rPr>
                <w:sz w:val="1"/>
                <w:szCs w:val="1"/>
                <w:color w:val="auto"/>
              </w:rPr>
            </w:pPr>
          </w:p>
        </w:tc>
        <w:tc>
          <w:tcPr>
            <w:tcW w:w="200" w:type="dxa"/>
            <w:vAlign w:val="bottom"/>
            <w:tcBorders>
              <w:bottom w:val="single" w:sz="8" w:color="58595B"/>
            </w:tcBorders>
          </w:tcPr>
          <w:p>
            <w:pPr>
              <w:spacing w:after="0" w:line="20" w:lineRule="exact"/>
              <w:rPr>
                <w:sz w:val="1"/>
                <w:szCs w:val="1"/>
                <w:color w:val="auto"/>
              </w:rPr>
            </w:pPr>
          </w:p>
        </w:tc>
        <w:tc>
          <w:tcPr>
            <w:tcW w:w="1280" w:type="dxa"/>
            <w:vAlign w:val="bottom"/>
            <w:tcBorders>
              <w:bottom w:val="single" w:sz="8" w:color="58595B"/>
            </w:tcBorders>
          </w:tcPr>
          <w:p>
            <w:pPr>
              <w:spacing w:after="0" w:line="20" w:lineRule="exact"/>
              <w:rPr>
                <w:sz w:val="1"/>
                <w:szCs w:val="1"/>
                <w:color w:val="auto"/>
              </w:rPr>
            </w:pPr>
          </w:p>
        </w:tc>
        <w:tc>
          <w:tcPr>
            <w:tcW w:w="540" w:type="dxa"/>
            <w:vAlign w:val="bottom"/>
            <w:tcBorders>
              <w:bottom w:val="single" w:sz="8" w:color="58595B"/>
            </w:tcBorders>
          </w:tcPr>
          <w:p>
            <w:pPr>
              <w:spacing w:after="0" w:line="20" w:lineRule="exact"/>
              <w:rPr>
                <w:sz w:val="1"/>
                <w:szCs w:val="1"/>
                <w:color w:val="auto"/>
              </w:rPr>
            </w:pPr>
          </w:p>
        </w:tc>
        <w:tc>
          <w:tcPr>
            <w:tcW w:w="400" w:type="dxa"/>
            <w:vAlign w:val="bottom"/>
            <w:tcBorders>
              <w:bottom w:val="single" w:sz="8" w:color="58595B"/>
            </w:tcBorders>
          </w:tcPr>
          <w:p>
            <w:pPr>
              <w:spacing w:after="0" w:line="20" w:lineRule="exact"/>
              <w:rPr>
                <w:sz w:val="1"/>
                <w:szCs w:val="1"/>
                <w:color w:val="auto"/>
              </w:rPr>
            </w:pPr>
          </w:p>
        </w:tc>
        <w:tc>
          <w:tcPr>
            <w:tcW w:w="980" w:type="dxa"/>
            <w:vAlign w:val="bottom"/>
            <w:tcBorders>
              <w:bottom w:val="single" w:sz="8" w:color="58595B"/>
            </w:tcBorders>
          </w:tcPr>
          <w:p>
            <w:pPr>
              <w:spacing w:after="0" w:line="20" w:lineRule="exact"/>
              <w:rPr>
                <w:sz w:val="1"/>
                <w:szCs w:val="1"/>
                <w:color w:val="auto"/>
              </w:rPr>
            </w:pPr>
          </w:p>
        </w:tc>
        <w:tc>
          <w:tcPr>
            <w:tcW w:w="2360" w:type="dxa"/>
            <w:vAlign w:val="bottom"/>
            <w:tcBorders>
              <w:bottom w:val="single" w:sz="8" w:color="58595B"/>
            </w:tcBorders>
          </w:tcPr>
          <w:p>
            <w:pPr>
              <w:spacing w:after="0" w:line="20" w:lineRule="exact"/>
              <w:rPr>
                <w:sz w:val="1"/>
                <w:szCs w:val="1"/>
                <w:color w:val="auto"/>
              </w:rPr>
            </w:pPr>
          </w:p>
        </w:tc>
        <w:tc>
          <w:tcPr>
            <w:tcW w:w="100" w:type="dxa"/>
            <w:vAlign w:val="bottom"/>
            <w:tcBorders>
              <w:top w:val="single" w:sz="8" w:color="0000EE"/>
              <w:bottom w:val="single" w:sz="8" w:color="58595B"/>
            </w:tcBorders>
          </w:tcPr>
          <w:p>
            <w:pPr>
              <w:spacing w:after="0" w:line="20" w:lineRule="exact"/>
              <w:rPr>
                <w:sz w:val="1"/>
                <w:szCs w:val="1"/>
                <w:color w:val="auto"/>
              </w:rPr>
            </w:pPr>
          </w:p>
        </w:tc>
        <w:tc>
          <w:tcPr>
            <w:tcW w:w="20" w:type="dxa"/>
            <w:vAlign w:val="bottom"/>
            <w:tcBorders>
              <w:bottom w:val="single" w:sz="8" w:color="58595B"/>
            </w:tcBorders>
          </w:tcPr>
          <w:p>
            <w:pPr>
              <w:spacing w:after="0" w:line="20" w:lineRule="exact"/>
              <w:rPr>
                <w:sz w:val="1"/>
                <w:szCs w:val="1"/>
                <w:color w:val="auto"/>
              </w:rPr>
            </w:pPr>
          </w:p>
        </w:tc>
        <w:tc>
          <w:tcPr>
            <w:tcW w:w="20" w:type="dxa"/>
            <w:vAlign w:val="bottom"/>
            <w:tcBorders>
              <w:bottom w:val="single" w:sz="8" w:color="58595B"/>
            </w:tcBorders>
          </w:tcPr>
          <w:p>
            <w:pPr>
              <w:spacing w:after="0" w:line="20" w:lineRule="exact"/>
              <w:rPr>
                <w:sz w:val="1"/>
                <w:szCs w:val="1"/>
                <w:color w:val="auto"/>
              </w:rPr>
            </w:pPr>
          </w:p>
        </w:tc>
        <w:tc>
          <w:tcPr>
            <w:tcW w:w="60" w:type="dxa"/>
            <w:vAlign w:val="bottom"/>
            <w:tcBorders>
              <w:bottom w:val="single" w:sz="8" w:color="58595B"/>
            </w:tcBorders>
          </w:tcPr>
          <w:p>
            <w:pPr>
              <w:spacing w:after="0" w:line="20" w:lineRule="exact"/>
              <w:rPr>
                <w:sz w:val="1"/>
                <w:szCs w:val="1"/>
                <w:color w:val="auto"/>
              </w:rPr>
            </w:pPr>
          </w:p>
        </w:tc>
        <w:tc>
          <w:tcPr>
            <w:tcW w:w="40" w:type="dxa"/>
            <w:vAlign w:val="bottom"/>
            <w:tcBorders>
              <w:bottom w:val="single" w:sz="8" w:color="58595B"/>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175"/>
        </w:trPr>
        <w:tc>
          <w:tcPr>
            <w:tcW w:w="5400" w:type="dxa"/>
            <w:vAlign w:val="bottom"/>
            <w:gridSpan w:val="9"/>
          </w:tcPr>
          <w:p>
            <w:pPr>
              <w:spacing w:after="0" w:line="175" w:lineRule="exact"/>
              <w:rPr>
                <w:rFonts w:ascii="Arial" w:cs="Arial" w:eastAsia="Arial" w:hAnsi="Arial"/>
                <w:sz w:val="20"/>
                <w:szCs w:val="20"/>
                <w:color w:val="0000EE"/>
              </w:rPr>
            </w:pPr>
            <w:hyperlink w:anchor="page15">
              <w:r>
                <w:rPr>
                  <w:rFonts w:ascii="Arial" w:cs="Arial" w:eastAsia="Arial" w:hAnsi="Arial"/>
                  <w:sz w:val="20"/>
                  <w:szCs w:val="20"/>
                  <w:color w:val="0000EE"/>
                </w:rPr>
                <w:t>Governance Highlights</w:t>
              </w:r>
            </w:hyperlink>
          </w:p>
        </w:tc>
        <w:tc>
          <w:tcPr>
            <w:tcW w:w="2600" w:type="dxa"/>
            <w:vAlign w:val="bottom"/>
            <w:gridSpan w:val="6"/>
          </w:tcPr>
          <w:p>
            <w:pPr>
              <w:ind w:left="2360"/>
              <w:spacing w:after="0" w:line="175" w:lineRule="exact"/>
              <w:rPr>
                <w:rFonts w:ascii="Arial" w:cs="Arial" w:eastAsia="Arial" w:hAnsi="Arial"/>
                <w:sz w:val="20"/>
                <w:szCs w:val="20"/>
                <w:color w:val="0000EE"/>
              </w:rPr>
            </w:pPr>
            <w:hyperlink w:anchor="page15">
              <w:r>
                <w:rPr>
                  <w:rFonts w:ascii="Arial" w:cs="Arial" w:eastAsia="Arial" w:hAnsi="Arial"/>
                  <w:sz w:val="20"/>
                  <w:szCs w:val="20"/>
                  <w:color w:val="0000EE"/>
                </w:rPr>
                <w:t>xii</w:t>
              </w:r>
            </w:hyperlink>
          </w:p>
        </w:tc>
        <w:tc>
          <w:tcPr>
            <w:tcW w:w="3460" w:type="dxa"/>
            <w:vAlign w:val="bottom"/>
          </w:tcPr>
          <w:p>
            <w:pPr>
              <w:spacing w:after="0"/>
              <w:rPr>
                <w:sz w:val="15"/>
                <w:szCs w:val="15"/>
                <w:color w:val="auto"/>
              </w:rPr>
            </w:pPr>
          </w:p>
        </w:tc>
      </w:tr>
      <w:tr>
        <w:trPr>
          <w:trHeight w:val="20"/>
        </w:trPr>
        <w:tc>
          <w:tcPr>
            <w:tcW w:w="1620" w:type="dxa"/>
            <w:vAlign w:val="bottom"/>
            <w:tcBorders>
              <w:top w:val="single" w:sz="8" w:color="0000EE"/>
              <w:bottom w:val="single" w:sz="8" w:color="58595B"/>
            </w:tcBorders>
          </w:tcPr>
          <w:p>
            <w:pPr>
              <w:spacing w:after="0" w:line="20" w:lineRule="exact"/>
              <w:rPr>
                <w:sz w:val="1"/>
                <w:szCs w:val="1"/>
                <w:color w:val="auto"/>
              </w:rPr>
            </w:pPr>
          </w:p>
        </w:tc>
        <w:tc>
          <w:tcPr>
            <w:tcW w:w="20" w:type="dxa"/>
            <w:vAlign w:val="bottom"/>
            <w:tcBorders>
              <w:top w:val="single" w:sz="8" w:color="0000EE"/>
              <w:bottom w:val="single" w:sz="8" w:color="58595B"/>
            </w:tcBorders>
          </w:tcPr>
          <w:p>
            <w:pPr>
              <w:spacing w:after="0" w:line="20" w:lineRule="exact"/>
              <w:rPr>
                <w:sz w:val="1"/>
                <w:szCs w:val="1"/>
                <w:color w:val="auto"/>
              </w:rPr>
            </w:pPr>
          </w:p>
        </w:tc>
        <w:tc>
          <w:tcPr>
            <w:tcW w:w="200" w:type="dxa"/>
            <w:vAlign w:val="bottom"/>
            <w:tcBorders>
              <w:top w:val="single" w:sz="8" w:color="0000EE"/>
              <w:bottom w:val="single" w:sz="8" w:color="58595B"/>
            </w:tcBorders>
          </w:tcPr>
          <w:p>
            <w:pPr>
              <w:spacing w:after="0" w:line="20" w:lineRule="exact"/>
              <w:rPr>
                <w:sz w:val="1"/>
                <w:szCs w:val="1"/>
                <w:color w:val="auto"/>
              </w:rPr>
            </w:pPr>
          </w:p>
        </w:tc>
        <w:tc>
          <w:tcPr>
            <w:tcW w:w="160" w:type="dxa"/>
            <w:vAlign w:val="bottom"/>
            <w:tcBorders>
              <w:top w:val="single" w:sz="8" w:color="0000EE"/>
              <w:bottom w:val="single" w:sz="8" w:color="58595B"/>
            </w:tcBorders>
          </w:tcPr>
          <w:p>
            <w:pPr>
              <w:spacing w:after="0" w:line="20" w:lineRule="exact"/>
              <w:rPr>
                <w:sz w:val="1"/>
                <w:szCs w:val="1"/>
                <w:color w:val="auto"/>
              </w:rPr>
            </w:pPr>
          </w:p>
        </w:tc>
        <w:tc>
          <w:tcPr>
            <w:tcW w:w="200" w:type="dxa"/>
            <w:vAlign w:val="bottom"/>
            <w:tcBorders>
              <w:bottom w:val="single" w:sz="8" w:color="58595B"/>
            </w:tcBorders>
          </w:tcPr>
          <w:p>
            <w:pPr>
              <w:spacing w:after="0" w:line="20" w:lineRule="exact"/>
              <w:rPr>
                <w:sz w:val="1"/>
                <w:szCs w:val="1"/>
                <w:color w:val="auto"/>
              </w:rPr>
            </w:pPr>
          </w:p>
        </w:tc>
        <w:tc>
          <w:tcPr>
            <w:tcW w:w="1280" w:type="dxa"/>
            <w:vAlign w:val="bottom"/>
            <w:tcBorders>
              <w:bottom w:val="single" w:sz="8" w:color="58595B"/>
            </w:tcBorders>
          </w:tcPr>
          <w:p>
            <w:pPr>
              <w:spacing w:after="0" w:line="20" w:lineRule="exact"/>
              <w:rPr>
                <w:sz w:val="1"/>
                <w:szCs w:val="1"/>
                <w:color w:val="auto"/>
              </w:rPr>
            </w:pPr>
          </w:p>
        </w:tc>
        <w:tc>
          <w:tcPr>
            <w:tcW w:w="540" w:type="dxa"/>
            <w:vAlign w:val="bottom"/>
            <w:tcBorders>
              <w:bottom w:val="single" w:sz="8" w:color="58595B"/>
            </w:tcBorders>
          </w:tcPr>
          <w:p>
            <w:pPr>
              <w:spacing w:after="0" w:line="20" w:lineRule="exact"/>
              <w:rPr>
                <w:sz w:val="1"/>
                <w:szCs w:val="1"/>
                <w:color w:val="auto"/>
              </w:rPr>
            </w:pPr>
          </w:p>
        </w:tc>
        <w:tc>
          <w:tcPr>
            <w:tcW w:w="400" w:type="dxa"/>
            <w:vAlign w:val="bottom"/>
            <w:tcBorders>
              <w:bottom w:val="single" w:sz="8" w:color="58595B"/>
            </w:tcBorders>
          </w:tcPr>
          <w:p>
            <w:pPr>
              <w:spacing w:after="0" w:line="20" w:lineRule="exact"/>
              <w:rPr>
                <w:sz w:val="1"/>
                <w:szCs w:val="1"/>
                <w:color w:val="auto"/>
              </w:rPr>
            </w:pPr>
          </w:p>
        </w:tc>
        <w:tc>
          <w:tcPr>
            <w:tcW w:w="980" w:type="dxa"/>
            <w:vAlign w:val="bottom"/>
            <w:tcBorders>
              <w:bottom w:val="single" w:sz="8" w:color="58595B"/>
            </w:tcBorders>
          </w:tcPr>
          <w:p>
            <w:pPr>
              <w:spacing w:after="0" w:line="20" w:lineRule="exact"/>
              <w:rPr>
                <w:sz w:val="1"/>
                <w:szCs w:val="1"/>
                <w:color w:val="auto"/>
              </w:rPr>
            </w:pPr>
          </w:p>
        </w:tc>
        <w:tc>
          <w:tcPr>
            <w:tcW w:w="2360" w:type="dxa"/>
            <w:vAlign w:val="bottom"/>
            <w:tcBorders>
              <w:bottom w:val="single" w:sz="8" w:color="58595B"/>
            </w:tcBorders>
          </w:tcPr>
          <w:p>
            <w:pPr>
              <w:spacing w:after="0" w:line="20" w:lineRule="exact"/>
              <w:rPr>
                <w:sz w:val="1"/>
                <w:szCs w:val="1"/>
                <w:color w:val="auto"/>
              </w:rPr>
            </w:pPr>
          </w:p>
        </w:tc>
        <w:tc>
          <w:tcPr>
            <w:tcW w:w="100" w:type="dxa"/>
            <w:vAlign w:val="bottom"/>
            <w:tcBorders>
              <w:top w:val="single" w:sz="8" w:color="0000EE"/>
              <w:bottom w:val="single" w:sz="8" w:color="58595B"/>
            </w:tcBorders>
          </w:tcPr>
          <w:p>
            <w:pPr>
              <w:spacing w:after="0" w:line="20" w:lineRule="exact"/>
              <w:rPr>
                <w:sz w:val="1"/>
                <w:szCs w:val="1"/>
                <w:color w:val="auto"/>
              </w:rPr>
            </w:pPr>
          </w:p>
        </w:tc>
        <w:tc>
          <w:tcPr>
            <w:tcW w:w="20" w:type="dxa"/>
            <w:vAlign w:val="bottom"/>
            <w:tcBorders>
              <w:top w:val="single" w:sz="8" w:color="0000EE"/>
              <w:bottom w:val="single" w:sz="8" w:color="58595B"/>
            </w:tcBorders>
          </w:tcPr>
          <w:p>
            <w:pPr>
              <w:spacing w:after="0" w:line="20" w:lineRule="exact"/>
              <w:rPr>
                <w:sz w:val="1"/>
                <w:szCs w:val="1"/>
                <w:color w:val="auto"/>
              </w:rPr>
            </w:pPr>
          </w:p>
        </w:tc>
        <w:tc>
          <w:tcPr>
            <w:tcW w:w="20" w:type="dxa"/>
            <w:vAlign w:val="bottom"/>
            <w:tcBorders>
              <w:top w:val="single" w:sz="8" w:color="0000EE"/>
              <w:bottom w:val="single" w:sz="8" w:color="58595B"/>
            </w:tcBorders>
          </w:tcPr>
          <w:p>
            <w:pPr>
              <w:spacing w:after="0" w:line="20" w:lineRule="exact"/>
              <w:rPr>
                <w:sz w:val="1"/>
                <w:szCs w:val="1"/>
                <w:color w:val="auto"/>
              </w:rPr>
            </w:pPr>
          </w:p>
        </w:tc>
        <w:tc>
          <w:tcPr>
            <w:tcW w:w="60" w:type="dxa"/>
            <w:vAlign w:val="bottom"/>
            <w:tcBorders>
              <w:top w:val="single" w:sz="8" w:color="0000EE"/>
              <w:bottom w:val="single" w:sz="8" w:color="58595B"/>
            </w:tcBorders>
          </w:tcPr>
          <w:p>
            <w:pPr>
              <w:spacing w:after="0" w:line="20" w:lineRule="exact"/>
              <w:rPr>
                <w:sz w:val="1"/>
                <w:szCs w:val="1"/>
                <w:color w:val="auto"/>
              </w:rPr>
            </w:pPr>
          </w:p>
        </w:tc>
        <w:tc>
          <w:tcPr>
            <w:tcW w:w="40" w:type="dxa"/>
            <w:vAlign w:val="bottom"/>
            <w:tcBorders>
              <w:bottom w:val="single" w:sz="8" w:color="58595B"/>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175"/>
        </w:trPr>
        <w:tc>
          <w:tcPr>
            <w:tcW w:w="5400" w:type="dxa"/>
            <w:vAlign w:val="bottom"/>
            <w:gridSpan w:val="9"/>
          </w:tcPr>
          <w:p>
            <w:pPr>
              <w:spacing w:after="0" w:line="175" w:lineRule="exact"/>
              <w:rPr>
                <w:rFonts w:ascii="Arial" w:cs="Arial" w:eastAsia="Arial" w:hAnsi="Arial"/>
                <w:sz w:val="20"/>
                <w:szCs w:val="20"/>
                <w:color w:val="0000EE"/>
              </w:rPr>
            </w:pPr>
            <w:hyperlink w:anchor="page16">
              <w:r>
                <w:rPr>
                  <w:rFonts w:ascii="Arial" w:cs="Arial" w:eastAsia="Arial" w:hAnsi="Arial"/>
                  <w:sz w:val="20"/>
                  <w:szCs w:val="20"/>
                  <w:color w:val="0000EE"/>
                </w:rPr>
                <w:t>Voting Instructions</w:t>
              </w:r>
            </w:hyperlink>
          </w:p>
        </w:tc>
        <w:tc>
          <w:tcPr>
            <w:tcW w:w="2600" w:type="dxa"/>
            <w:vAlign w:val="bottom"/>
            <w:gridSpan w:val="6"/>
          </w:tcPr>
          <w:p>
            <w:pPr>
              <w:ind w:left="2360"/>
              <w:spacing w:after="0" w:line="175" w:lineRule="exact"/>
              <w:rPr>
                <w:rFonts w:ascii="Arial" w:cs="Arial" w:eastAsia="Arial" w:hAnsi="Arial"/>
                <w:sz w:val="20"/>
                <w:szCs w:val="20"/>
                <w:color w:val="0000EE"/>
                <w:w w:val="94"/>
              </w:rPr>
            </w:pPr>
            <w:hyperlink w:anchor="page16">
              <w:r>
                <w:rPr>
                  <w:rFonts w:ascii="Arial" w:cs="Arial" w:eastAsia="Arial" w:hAnsi="Arial"/>
                  <w:sz w:val="20"/>
                  <w:szCs w:val="20"/>
                  <w:color w:val="0000EE"/>
                  <w:w w:val="94"/>
                </w:rPr>
                <w:t>xiii</w:t>
              </w:r>
            </w:hyperlink>
          </w:p>
        </w:tc>
        <w:tc>
          <w:tcPr>
            <w:tcW w:w="3460" w:type="dxa"/>
            <w:vAlign w:val="bottom"/>
          </w:tcPr>
          <w:p>
            <w:pPr>
              <w:spacing w:after="0"/>
              <w:rPr>
                <w:sz w:val="15"/>
                <w:szCs w:val="15"/>
                <w:color w:val="auto"/>
              </w:rPr>
            </w:pPr>
          </w:p>
        </w:tc>
      </w:tr>
      <w:tr>
        <w:trPr>
          <w:trHeight w:val="20"/>
        </w:trPr>
        <w:tc>
          <w:tcPr>
            <w:tcW w:w="1620" w:type="dxa"/>
            <w:vAlign w:val="bottom"/>
            <w:tcBorders>
              <w:top w:val="single" w:sz="8" w:color="0000EE"/>
              <w:bottom w:val="single" w:sz="8" w:color="58595B"/>
            </w:tcBorders>
          </w:tcPr>
          <w:p>
            <w:pPr>
              <w:spacing w:after="0" w:line="20" w:lineRule="exact"/>
              <w:rPr>
                <w:sz w:val="1"/>
                <w:szCs w:val="1"/>
                <w:color w:val="auto"/>
              </w:rPr>
            </w:pPr>
          </w:p>
        </w:tc>
        <w:tc>
          <w:tcPr>
            <w:tcW w:w="20" w:type="dxa"/>
            <w:vAlign w:val="bottom"/>
            <w:tcBorders>
              <w:bottom w:val="single" w:sz="8" w:color="58595B"/>
            </w:tcBorders>
          </w:tcPr>
          <w:p>
            <w:pPr>
              <w:spacing w:after="0" w:line="20" w:lineRule="exact"/>
              <w:rPr>
                <w:sz w:val="1"/>
                <w:szCs w:val="1"/>
                <w:color w:val="auto"/>
              </w:rPr>
            </w:pPr>
          </w:p>
        </w:tc>
        <w:tc>
          <w:tcPr>
            <w:tcW w:w="200" w:type="dxa"/>
            <w:vAlign w:val="bottom"/>
            <w:tcBorders>
              <w:bottom w:val="single" w:sz="8" w:color="58595B"/>
            </w:tcBorders>
          </w:tcPr>
          <w:p>
            <w:pPr>
              <w:spacing w:after="0" w:line="20" w:lineRule="exact"/>
              <w:rPr>
                <w:sz w:val="1"/>
                <w:szCs w:val="1"/>
                <w:color w:val="auto"/>
              </w:rPr>
            </w:pPr>
          </w:p>
        </w:tc>
        <w:tc>
          <w:tcPr>
            <w:tcW w:w="160" w:type="dxa"/>
            <w:vAlign w:val="bottom"/>
            <w:tcBorders>
              <w:bottom w:val="single" w:sz="8" w:color="58595B"/>
            </w:tcBorders>
          </w:tcPr>
          <w:p>
            <w:pPr>
              <w:spacing w:after="0" w:line="20" w:lineRule="exact"/>
              <w:rPr>
                <w:sz w:val="1"/>
                <w:szCs w:val="1"/>
                <w:color w:val="auto"/>
              </w:rPr>
            </w:pPr>
          </w:p>
        </w:tc>
        <w:tc>
          <w:tcPr>
            <w:tcW w:w="200" w:type="dxa"/>
            <w:vAlign w:val="bottom"/>
            <w:tcBorders>
              <w:bottom w:val="single" w:sz="8" w:color="58595B"/>
            </w:tcBorders>
          </w:tcPr>
          <w:p>
            <w:pPr>
              <w:spacing w:after="0" w:line="20" w:lineRule="exact"/>
              <w:rPr>
                <w:sz w:val="1"/>
                <w:szCs w:val="1"/>
                <w:color w:val="auto"/>
              </w:rPr>
            </w:pPr>
          </w:p>
        </w:tc>
        <w:tc>
          <w:tcPr>
            <w:tcW w:w="1280" w:type="dxa"/>
            <w:vAlign w:val="bottom"/>
            <w:tcBorders>
              <w:bottom w:val="single" w:sz="8" w:color="58595B"/>
            </w:tcBorders>
          </w:tcPr>
          <w:p>
            <w:pPr>
              <w:spacing w:after="0" w:line="20" w:lineRule="exact"/>
              <w:rPr>
                <w:sz w:val="1"/>
                <w:szCs w:val="1"/>
                <w:color w:val="auto"/>
              </w:rPr>
            </w:pPr>
          </w:p>
        </w:tc>
        <w:tc>
          <w:tcPr>
            <w:tcW w:w="540" w:type="dxa"/>
            <w:vAlign w:val="bottom"/>
            <w:tcBorders>
              <w:bottom w:val="single" w:sz="8" w:color="58595B"/>
            </w:tcBorders>
          </w:tcPr>
          <w:p>
            <w:pPr>
              <w:spacing w:after="0" w:line="20" w:lineRule="exact"/>
              <w:rPr>
                <w:sz w:val="1"/>
                <w:szCs w:val="1"/>
                <w:color w:val="auto"/>
              </w:rPr>
            </w:pPr>
          </w:p>
        </w:tc>
        <w:tc>
          <w:tcPr>
            <w:tcW w:w="400" w:type="dxa"/>
            <w:vAlign w:val="bottom"/>
            <w:tcBorders>
              <w:bottom w:val="single" w:sz="8" w:color="58595B"/>
            </w:tcBorders>
          </w:tcPr>
          <w:p>
            <w:pPr>
              <w:spacing w:after="0" w:line="20" w:lineRule="exact"/>
              <w:rPr>
                <w:sz w:val="1"/>
                <w:szCs w:val="1"/>
                <w:color w:val="auto"/>
              </w:rPr>
            </w:pPr>
          </w:p>
        </w:tc>
        <w:tc>
          <w:tcPr>
            <w:tcW w:w="980" w:type="dxa"/>
            <w:vAlign w:val="bottom"/>
            <w:tcBorders>
              <w:bottom w:val="single" w:sz="8" w:color="58595B"/>
            </w:tcBorders>
          </w:tcPr>
          <w:p>
            <w:pPr>
              <w:spacing w:after="0" w:line="20" w:lineRule="exact"/>
              <w:rPr>
                <w:sz w:val="1"/>
                <w:szCs w:val="1"/>
                <w:color w:val="auto"/>
              </w:rPr>
            </w:pPr>
          </w:p>
        </w:tc>
        <w:tc>
          <w:tcPr>
            <w:tcW w:w="2360" w:type="dxa"/>
            <w:vAlign w:val="bottom"/>
            <w:tcBorders>
              <w:bottom w:val="single" w:sz="8" w:color="58595B"/>
            </w:tcBorders>
          </w:tcPr>
          <w:p>
            <w:pPr>
              <w:spacing w:after="0" w:line="20" w:lineRule="exact"/>
              <w:rPr>
                <w:sz w:val="1"/>
                <w:szCs w:val="1"/>
                <w:color w:val="auto"/>
              </w:rPr>
            </w:pPr>
          </w:p>
        </w:tc>
        <w:tc>
          <w:tcPr>
            <w:tcW w:w="100" w:type="dxa"/>
            <w:vAlign w:val="bottom"/>
            <w:tcBorders>
              <w:top w:val="single" w:sz="8" w:color="0000EE"/>
              <w:bottom w:val="single" w:sz="8" w:color="58595B"/>
            </w:tcBorders>
          </w:tcPr>
          <w:p>
            <w:pPr>
              <w:spacing w:after="0" w:line="20" w:lineRule="exact"/>
              <w:rPr>
                <w:sz w:val="1"/>
                <w:szCs w:val="1"/>
                <w:color w:val="auto"/>
              </w:rPr>
            </w:pPr>
          </w:p>
        </w:tc>
        <w:tc>
          <w:tcPr>
            <w:tcW w:w="20" w:type="dxa"/>
            <w:vAlign w:val="bottom"/>
            <w:tcBorders>
              <w:top w:val="single" w:sz="8" w:color="0000EE"/>
              <w:bottom w:val="single" w:sz="8" w:color="58595B"/>
            </w:tcBorders>
          </w:tcPr>
          <w:p>
            <w:pPr>
              <w:spacing w:after="0" w:line="20" w:lineRule="exact"/>
              <w:rPr>
                <w:sz w:val="1"/>
                <w:szCs w:val="1"/>
                <w:color w:val="auto"/>
              </w:rPr>
            </w:pPr>
          </w:p>
        </w:tc>
        <w:tc>
          <w:tcPr>
            <w:tcW w:w="20" w:type="dxa"/>
            <w:vAlign w:val="bottom"/>
            <w:tcBorders>
              <w:top w:val="single" w:sz="8" w:color="0000EE"/>
              <w:bottom w:val="single" w:sz="8" w:color="58595B"/>
            </w:tcBorders>
          </w:tcPr>
          <w:p>
            <w:pPr>
              <w:spacing w:after="0" w:line="20" w:lineRule="exact"/>
              <w:rPr>
                <w:sz w:val="1"/>
                <w:szCs w:val="1"/>
                <w:color w:val="auto"/>
              </w:rPr>
            </w:pPr>
          </w:p>
        </w:tc>
        <w:tc>
          <w:tcPr>
            <w:tcW w:w="60" w:type="dxa"/>
            <w:vAlign w:val="bottom"/>
            <w:tcBorders>
              <w:top w:val="single" w:sz="8" w:color="0000EE"/>
              <w:bottom w:val="single" w:sz="8" w:color="58595B"/>
            </w:tcBorders>
          </w:tcPr>
          <w:p>
            <w:pPr>
              <w:spacing w:after="0" w:line="20" w:lineRule="exact"/>
              <w:rPr>
                <w:sz w:val="1"/>
                <w:szCs w:val="1"/>
                <w:color w:val="auto"/>
              </w:rPr>
            </w:pPr>
          </w:p>
        </w:tc>
        <w:tc>
          <w:tcPr>
            <w:tcW w:w="40" w:type="dxa"/>
            <w:vAlign w:val="bottom"/>
            <w:tcBorders>
              <w:top w:val="single" w:sz="8" w:color="0000EE"/>
              <w:bottom w:val="single" w:sz="8" w:color="58595B"/>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200"/>
        </w:trPr>
        <w:tc>
          <w:tcPr>
            <w:tcW w:w="5400" w:type="dxa"/>
            <w:vAlign w:val="bottom"/>
            <w:gridSpan w:val="9"/>
          </w:tcPr>
          <w:p>
            <w:pPr>
              <w:spacing w:after="0" w:line="200" w:lineRule="exact"/>
              <w:rPr>
                <w:rFonts w:ascii="Arial" w:cs="Arial" w:eastAsia="Arial" w:hAnsi="Arial"/>
                <w:sz w:val="20"/>
                <w:szCs w:val="20"/>
                <w:color w:val="0000EE"/>
              </w:rPr>
            </w:pPr>
            <w:hyperlink w:anchor="page19">
              <w:r>
                <w:rPr>
                  <w:rFonts w:ascii="Arial" w:cs="Arial" w:eastAsia="Arial" w:hAnsi="Arial"/>
                  <w:sz w:val="20"/>
                  <w:szCs w:val="20"/>
                  <w:color w:val="0000EE"/>
                </w:rPr>
                <w:t>Notice of Annual General Meeting of Shareholders</w:t>
              </w:r>
            </w:hyperlink>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60" w:type="dxa"/>
            <w:vAlign w:val="bottom"/>
          </w:tcPr>
          <w:p>
            <w:pPr>
              <w:spacing w:after="0"/>
              <w:rPr>
                <w:sz w:val="17"/>
                <w:szCs w:val="17"/>
                <w:color w:val="auto"/>
              </w:rPr>
            </w:pPr>
          </w:p>
        </w:tc>
      </w:tr>
      <w:tr>
        <w:trPr>
          <w:trHeight w:val="260"/>
        </w:trPr>
        <w:tc>
          <w:tcPr>
            <w:tcW w:w="4420" w:type="dxa"/>
            <w:vAlign w:val="bottom"/>
            <w:tcBorders>
              <w:top w:val="single" w:sz="8" w:color="0000EE"/>
            </w:tcBorders>
            <w:gridSpan w:val="8"/>
          </w:tcPr>
          <w:p>
            <w:pPr>
              <w:spacing w:after="0" w:line="228" w:lineRule="exact"/>
              <w:rPr>
                <w:rFonts w:ascii="Arial" w:cs="Arial" w:eastAsia="Arial" w:hAnsi="Arial"/>
                <w:sz w:val="20"/>
                <w:szCs w:val="20"/>
                <w:color w:val="0000EE"/>
              </w:rPr>
            </w:pPr>
            <w:hyperlink w:anchor="page19">
              <w:r>
                <w:rPr>
                  <w:rFonts w:ascii="Arial" w:cs="Arial" w:eastAsia="Arial" w:hAnsi="Arial"/>
                  <w:sz w:val="20"/>
                  <w:szCs w:val="20"/>
                  <w:color w:val="0000EE"/>
                </w:rPr>
                <w:t>and Proxy Statement</w:t>
              </w:r>
            </w:hyperlink>
          </w:p>
        </w:tc>
        <w:tc>
          <w:tcPr>
            <w:tcW w:w="980" w:type="dxa"/>
            <w:vAlign w:val="bottom"/>
          </w:tcPr>
          <w:p>
            <w:pPr>
              <w:spacing w:after="0"/>
              <w:rPr>
                <w:sz w:val="22"/>
                <w:szCs w:val="22"/>
                <w:color w:val="auto"/>
              </w:rPr>
            </w:pPr>
          </w:p>
        </w:tc>
        <w:tc>
          <w:tcPr>
            <w:tcW w:w="2500" w:type="dxa"/>
            <w:vAlign w:val="bottom"/>
            <w:gridSpan w:val="4"/>
          </w:tcPr>
          <w:p>
            <w:pPr>
              <w:ind w:left="2360"/>
              <w:spacing w:after="0" w:line="228" w:lineRule="exact"/>
              <w:rPr>
                <w:rFonts w:ascii="Arial" w:cs="Arial" w:eastAsia="Arial" w:hAnsi="Arial"/>
                <w:sz w:val="20"/>
                <w:szCs w:val="20"/>
                <w:color w:val="0000EE"/>
              </w:rPr>
            </w:pPr>
            <w:hyperlink w:anchor="page19">
              <w:r>
                <w:rPr>
                  <w:rFonts w:ascii="Arial" w:cs="Arial" w:eastAsia="Arial" w:hAnsi="Arial"/>
                  <w:sz w:val="20"/>
                  <w:szCs w:val="20"/>
                  <w:color w:val="0000EE"/>
                </w:rPr>
                <w:t>1</w:t>
              </w:r>
            </w:hyperlink>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60" w:type="dxa"/>
            <w:vAlign w:val="bottom"/>
          </w:tcPr>
          <w:p>
            <w:pPr>
              <w:spacing w:after="0"/>
              <w:rPr>
                <w:sz w:val="22"/>
                <w:szCs w:val="22"/>
                <w:color w:val="auto"/>
              </w:rPr>
            </w:pPr>
          </w:p>
        </w:tc>
      </w:tr>
      <w:tr>
        <w:trPr>
          <w:trHeight w:val="20"/>
        </w:trPr>
        <w:tc>
          <w:tcPr>
            <w:tcW w:w="1620" w:type="dxa"/>
            <w:vAlign w:val="bottom"/>
            <w:tcBorders>
              <w:top w:val="single" w:sz="8" w:color="0000EE"/>
              <w:bottom w:val="single" w:sz="8" w:color="58595B"/>
            </w:tcBorders>
          </w:tcPr>
          <w:p>
            <w:pPr>
              <w:spacing w:after="0" w:line="20" w:lineRule="exact"/>
              <w:rPr>
                <w:sz w:val="1"/>
                <w:szCs w:val="1"/>
                <w:color w:val="auto"/>
              </w:rPr>
            </w:pPr>
          </w:p>
        </w:tc>
        <w:tc>
          <w:tcPr>
            <w:tcW w:w="20" w:type="dxa"/>
            <w:vAlign w:val="bottom"/>
            <w:tcBorders>
              <w:top w:val="single" w:sz="8" w:color="0000EE"/>
              <w:bottom w:val="single" w:sz="8" w:color="58595B"/>
            </w:tcBorders>
          </w:tcPr>
          <w:p>
            <w:pPr>
              <w:spacing w:after="0" w:line="20" w:lineRule="exact"/>
              <w:rPr>
                <w:sz w:val="1"/>
                <w:szCs w:val="1"/>
                <w:color w:val="auto"/>
              </w:rPr>
            </w:pPr>
          </w:p>
        </w:tc>
        <w:tc>
          <w:tcPr>
            <w:tcW w:w="200" w:type="dxa"/>
            <w:vAlign w:val="bottom"/>
            <w:tcBorders>
              <w:top w:val="single" w:sz="8" w:color="0000EE"/>
              <w:bottom w:val="single" w:sz="8" w:color="58595B"/>
            </w:tcBorders>
          </w:tcPr>
          <w:p>
            <w:pPr>
              <w:spacing w:after="0" w:line="20" w:lineRule="exact"/>
              <w:rPr>
                <w:sz w:val="1"/>
                <w:szCs w:val="1"/>
                <w:color w:val="auto"/>
              </w:rPr>
            </w:pPr>
          </w:p>
        </w:tc>
        <w:tc>
          <w:tcPr>
            <w:tcW w:w="160" w:type="dxa"/>
            <w:vAlign w:val="bottom"/>
            <w:tcBorders>
              <w:bottom w:val="single" w:sz="8" w:color="58595B"/>
            </w:tcBorders>
          </w:tcPr>
          <w:p>
            <w:pPr>
              <w:spacing w:after="0" w:line="20" w:lineRule="exact"/>
              <w:rPr>
                <w:sz w:val="1"/>
                <w:szCs w:val="1"/>
                <w:color w:val="auto"/>
              </w:rPr>
            </w:pPr>
          </w:p>
        </w:tc>
        <w:tc>
          <w:tcPr>
            <w:tcW w:w="200" w:type="dxa"/>
            <w:vAlign w:val="bottom"/>
            <w:tcBorders>
              <w:bottom w:val="single" w:sz="8" w:color="58595B"/>
            </w:tcBorders>
          </w:tcPr>
          <w:p>
            <w:pPr>
              <w:spacing w:after="0" w:line="20" w:lineRule="exact"/>
              <w:rPr>
                <w:sz w:val="1"/>
                <w:szCs w:val="1"/>
                <w:color w:val="auto"/>
              </w:rPr>
            </w:pPr>
          </w:p>
        </w:tc>
        <w:tc>
          <w:tcPr>
            <w:tcW w:w="1280" w:type="dxa"/>
            <w:vAlign w:val="bottom"/>
            <w:tcBorders>
              <w:bottom w:val="single" w:sz="8" w:color="58595B"/>
            </w:tcBorders>
          </w:tcPr>
          <w:p>
            <w:pPr>
              <w:spacing w:after="0" w:line="20" w:lineRule="exact"/>
              <w:rPr>
                <w:sz w:val="1"/>
                <w:szCs w:val="1"/>
                <w:color w:val="auto"/>
              </w:rPr>
            </w:pPr>
          </w:p>
        </w:tc>
        <w:tc>
          <w:tcPr>
            <w:tcW w:w="540" w:type="dxa"/>
            <w:vAlign w:val="bottom"/>
            <w:tcBorders>
              <w:bottom w:val="single" w:sz="8" w:color="58595B"/>
            </w:tcBorders>
          </w:tcPr>
          <w:p>
            <w:pPr>
              <w:spacing w:after="0" w:line="20" w:lineRule="exact"/>
              <w:rPr>
                <w:sz w:val="1"/>
                <w:szCs w:val="1"/>
                <w:color w:val="auto"/>
              </w:rPr>
            </w:pPr>
          </w:p>
        </w:tc>
        <w:tc>
          <w:tcPr>
            <w:tcW w:w="400" w:type="dxa"/>
            <w:vAlign w:val="bottom"/>
            <w:tcBorders>
              <w:bottom w:val="single" w:sz="8" w:color="58595B"/>
            </w:tcBorders>
          </w:tcPr>
          <w:p>
            <w:pPr>
              <w:spacing w:after="0" w:line="20" w:lineRule="exact"/>
              <w:rPr>
                <w:sz w:val="1"/>
                <w:szCs w:val="1"/>
                <w:color w:val="auto"/>
              </w:rPr>
            </w:pPr>
          </w:p>
        </w:tc>
        <w:tc>
          <w:tcPr>
            <w:tcW w:w="980" w:type="dxa"/>
            <w:vAlign w:val="bottom"/>
            <w:tcBorders>
              <w:bottom w:val="single" w:sz="8" w:color="58595B"/>
            </w:tcBorders>
          </w:tcPr>
          <w:p>
            <w:pPr>
              <w:spacing w:after="0" w:line="20" w:lineRule="exact"/>
              <w:rPr>
                <w:sz w:val="1"/>
                <w:szCs w:val="1"/>
                <w:color w:val="auto"/>
              </w:rPr>
            </w:pPr>
          </w:p>
        </w:tc>
        <w:tc>
          <w:tcPr>
            <w:tcW w:w="2360" w:type="dxa"/>
            <w:vAlign w:val="bottom"/>
            <w:tcBorders>
              <w:bottom w:val="single" w:sz="8" w:color="58595B"/>
            </w:tcBorders>
          </w:tcPr>
          <w:p>
            <w:pPr>
              <w:spacing w:after="0" w:line="20" w:lineRule="exact"/>
              <w:rPr>
                <w:sz w:val="1"/>
                <w:szCs w:val="1"/>
                <w:color w:val="auto"/>
              </w:rPr>
            </w:pPr>
          </w:p>
        </w:tc>
        <w:tc>
          <w:tcPr>
            <w:tcW w:w="100" w:type="dxa"/>
            <w:vAlign w:val="bottom"/>
            <w:tcBorders>
              <w:top w:val="single" w:sz="8" w:color="0000EE"/>
              <w:bottom w:val="single" w:sz="8" w:color="58595B"/>
            </w:tcBorders>
          </w:tcPr>
          <w:p>
            <w:pPr>
              <w:spacing w:after="0" w:line="20" w:lineRule="exact"/>
              <w:rPr>
                <w:sz w:val="1"/>
                <w:szCs w:val="1"/>
                <w:color w:val="auto"/>
              </w:rPr>
            </w:pPr>
          </w:p>
        </w:tc>
        <w:tc>
          <w:tcPr>
            <w:tcW w:w="20" w:type="dxa"/>
            <w:vAlign w:val="bottom"/>
            <w:tcBorders>
              <w:top w:val="single" w:sz="8" w:color="0000EE"/>
              <w:bottom w:val="single" w:sz="8" w:color="58595B"/>
            </w:tcBorders>
          </w:tcPr>
          <w:p>
            <w:pPr>
              <w:spacing w:after="0" w:line="20" w:lineRule="exact"/>
              <w:rPr>
                <w:sz w:val="1"/>
                <w:szCs w:val="1"/>
                <w:color w:val="auto"/>
              </w:rPr>
            </w:pPr>
          </w:p>
        </w:tc>
        <w:tc>
          <w:tcPr>
            <w:tcW w:w="20" w:type="dxa"/>
            <w:vAlign w:val="bottom"/>
            <w:tcBorders>
              <w:bottom w:val="single" w:sz="8" w:color="58595B"/>
            </w:tcBorders>
          </w:tcPr>
          <w:p>
            <w:pPr>
              <w:spacing w:after="0" w:line="20" w:lineRule="exact"/>
              <w:rPr>
                <w:sz w:val="1"/>
                <w:szCs w:val="1"/>
                <w:color w:val="auto"/>
              </w:rPr>
            </w:pPr>
          </w:p>
        </w:tc>
        <w:tc>
          <w:tcPr>
            <w:tcW w:w="60" w:type="dxa"/>
            <w:vAlign w:val="bottom"/>
            <w:tcBorders>
              <w:bottom w:val="single" w:sz="8" w:color="58595B"/>
            </w:tcBorders>
          </w:tcPr>
          <w:p>
            <w:pPr>
              <w:spacing w:after="0" w:line="20" w:lineRule="exact"/>
              <w:rPr>
                <w:sz w:val="1"/>
                <w:szCs w:val="1"/>
                <w:color w:val="auto"/>
              </w:rPr>
            </w:pPr>
          </w:p>
        </w:tc>
        <w:tc>
          <w:tcPr>
            <w:tcW w:w="40" w:type="dxa"/>
            <w:vAlign w:val="bottom"/>
            <w:tcBorders>
              <w:bottom w:val="single" w:sz="8" w:color="58595B"/>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5526"/>
        </w:trPr>
        <w:tc>
          <w:tcPr>
            <w:tcW w:w="16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-2981960</wp:posOffset>
            </wp:positionV>
            <wp:extent cx="7278370" cy="29762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8370" cy="2976245"/>
                    </a:xfrm>
                    <a:prstGeom prst="rect">
                      <a:avLst/>
                    </a:prstGeom>
                    <a:noFill/>
                  </pic:spPr>
                </pic:pic>
              </a:graphicData>
            </a:graphic>
          </wp:anchor>
        </w:drawing>
      </w:r>
    </w:p>
    <w:p>
      <w:pPr>
        <w:sectPr>
          <w:pgSz w:w="11900" w:h="16838" w:orient="portrait"/>
          <w:cols w:equalWidth="0" w:num="1">
            <w:col w:w="11460"/>
          </w:cols>
          <w:pgMar w:left="240" w:top="563" w:right="199" w:bottom="1440" w:gutter="0" w:footer="0" w:header="0"/>
        </w:sectPr>
      </w:pPr>
    </w:p>
    <w:bookmarkStart w:id="4" w:name="page5"/>
    <w:bookmarkEnd w:id="4"/>
    <w:p>
      <w:pPr>
        <w:ind w:left="1"/>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9" w:lineRule="exact"/>
        <w:rPr>
          <w:sz w:val="20"/>
          <w:szCs w:val="20"/>
          <w:color w:val="auto"/>
        </w:rPr>
      </w:pPr>
    </w:p>
    <w:p>
      <w:pPr>
        <w:ind w:left="1"/>
        <w:spacing w:after="0"/>
        <w:rPr>
          <w:sz w:val="20"/>
          <w:szCs w:val="20"/>
          <w:color w:val="auto"/>
        </w:rPr>
      </w:pPr>
      <w:r>
        <w:rPr>
          <w:rFonts w:ascii="Arial" w:cs="Arial" w:eastAsia="Arial" w:hAnsi="Arial"/>
          <w:sz w:val="30"/>
          <w:szCs w:val="30"/>
          <w:color w:val="auto"/>
        </w:rPr>
        <w:t>A MESSAGE FROM OUR</w:t>
      </w:r>
    </w:p>
    <w:p>
      <w:pPr>
        <w:ind w:left="1"/>
        <w:spacing w:after="0"/>
        <w:rPr>
          <w:sz w:val="20"/>
          <w:szCs w:val="20"/>
          <w:color w:val="auto"/>
        </w:rPr>
      </w:pPr>
      <w:r>
        <w:rPr>
          <w:rFonts w:ascii="Arial" w:cs="Arial" w:eastAsia="Arial" w:hAnsi="Arial"/>
          <w:sz w:val="40"/>
          <w:szCs w:val="40"/>
          <w:b w:val="1"/>
          <w:bCs w:val="1"/>
          <w:color w:val="BB1131"/>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7258050" cy="3585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8050" cy="358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BB1131"/>
        </w:rPr>
        <w:t>To Our Fellow Weatherford Shareholders,</w:t>
      </w:r>
    </w:p>
    <w:p>
      <w:pPr>
        <w:spacing w:after="0" w:line="26" w:lineRule="exact"/>
        <w:rPr>
          <w:sz w:val="20"/>
          <w:szCs w:val="20"/>
          <w:color w:val="auto"/>
        </w:rPr>
      </w:pPr>
    </w:p>
    <w:p>
      <w:pPr>
        <w:jc w:val="both"/>
        <w:ind w:left="1"/>
        <w:spacing w:after="0" w:line="245" w:lineRule="auto"/>
        <w:rPr>
          <w:sz w:val="20"/>
          <w:szCs w:val="20"/>
          <w:color w:val="auto"/>
        </w:rPr>
      </w:pPr>
      <w:r>
        <w:rPr>
          <w:rFonts w:ascii="Arial" w:cs="Arial" w:eastAsia="Arial" w:hAnsi="Arial"/>
          <w:sz w:val="16"/>
          <w:szCs w:val="16"/>
          <w:color w:val="auto"/>
        </w:rPr>
        <w:t>In the past year, we achieved substantial, fundamental progress. Together with Weatherford’s management and employees, we worked to build a solid foundation and move the Company forward. Grounded on careful assessment, we have developed well-defined operating and financial objectives to enable our industrial core to re-emerge and reach its full potential. Amidst challenging times, when we first embarked on our transformational path, we said that Weatherford was beginning a new chapter with a disciplined focus on operating excellence and capital efficiency. Today, we are grateful and proud to have begun delivering on this commitment with improved performance, yielding a much improved market valuation of our shares.</w:t>
      </w:r>
    </w:p>
    <w:p>
      <w:pPr>
        <w:spacing w:after="0" w:line="155"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BB1131"/>
        </w:rPr>
        <w:t>Our Foundational Accomplishments</w:t>
      </w:r>
    </w:p>
    <w:p>
      <w:pPr>
        <w:spacing w:after="0" w:line="26" w:lineRule="exact"/>
        <w:rPr>
          <w:sz w:val="20"/>
          <w:szCs w:val="20"/>
          <w:color w:val="auto"/>
        </w:rPr>
      </w:pPr>
    </w:p>
    <w:p>
      <w:pPr>
        <w:jc w:val="both"/>
        <w:ind w:left="1"/>
        <w:spacing w:after="0" w:line="244" w:lineRule="auto"/>
        <w:rPr>
          <w:sz w:val="20"/>
          <w:szCs w:val="20"/>
          <w:color w:val="auto"/>
        </w:rPr>
      </w:pPr>
      <w:r>
        <w:rPr>
          <w:rFonts w:ascii="Arial" w:cs="Arial" w:eastAsia="Arial" w:hAnsi="Arial"/>
          <w:sz w:val="16"/>
          <w:szCs w:val="16"/>
          <w:color w:val="auto"/>
        </w:rPr>
        <w:t>Our major accomplishments in 2013 include the successful remediation of our material weakness in income tax accounting and the settlement of our FCPA and trade sanction matters. We are now intensely focused on growing our core product lines and on establishing a lean and efficient cost structure to produce the best possible returns on capital. In addition, with the announcement of several recent non-core asset divestitures, we are actively and purposefully working to de-lever our balance sheet. The joint effect of lowering our cost structure and divesting non-core business will be a powerful catalyst for future shareholder returns. Another recent significant strategic step was the successful re-domiciliation of your Company from Switzerland to Ireland. This move will yield the benefits we anticipated, such as the additional flexibility to manage our business more efficiently while maintaining our high standards</w:t>
      </w:r>
    </w:p>
    <w:p>
      <w:pPr>
        <w:spacing w:after="0" w:line="187" w:lineRule="exact"/>
        <w:rPr>
          <w:sz w:val="20"/>
          <w:szCs w:val="20"/>
          <w:color w:val="auto"/>
        </w:rPr>
      </w:pPr>
    </w:p>
    <w:p>
      <w:pPr>
        <w:ind w:left="241" w:hanging="241"/>
        <w:spacing w:after="0"/>
        <w:tabs>
          <w:tab w:leader="none" w:pos="241" w:val="left"/>
        </w:tabs>
        <w:numPr>
          <w:ilvl w:val="0"/>
          <w:numId w:val="6"/>
        </w:numPr>
        <w:rPr>
          <w:rFonts w:ascii="Arial" w:cs="Arial" w:eastAsia="Arial" w:hAnsi="Arial"/>
          <w:sz w:val="12"/>
          <w:szCs w:val="12"/>
          <w:b w:val="1"/>
          <w:bCs w:val="1"/>
          <w:color w:val="auto"/>
        </w:rPr>
      </w:pPr>
      <w:r>
        <w:rPr>
          <w:rFonts w:ascii="Arial" w:cs="Arial" w:eastAsia="Arial" w:hAnsi="Arial"/>
          <w:sz w:val="12"/>
          <w:szCs w:val="12"/>
          <w:color w:val="auto"/>
        </w:rPr>
        <w:t>Weatherford International plc - 2014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8370"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jc w:val="both"/>
        <w:ind w:right="40"/>
        <w:spacing w:after="0" w:line="254" w:lineRule="auto"/>
        <w:rPr>
          <w:sz w:val="20"/>
          <w:szCs w:val="20"/>
          <w:color w:val="auto"/>
        </w:rPr>
      </w:pPr>
      <w:r>
        <w:rPr>
          <w:rFonts w:ascii="Arial" w:cs="Arial" w:eastAsia="Arial" w:hAnsi="Arial"/>
          <w:sz w:val="16"/>
          <w:szCs w:val="16"/>
          <w:color w:val="auto"/>
        </w:rPr>
        <w:t>of corporate governance and enhancing the Company’s ability to retain and attract top talent. Changing our place of incorporation is a component driving our future progress and growth. Our re-domiciliation was supported by over 98% of the votes cast at our Extraordinary General Meeting of Shareholders in June.</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BB1131"/>
        </w:rPr>
        <w:t>A Key Priority – Our Shareholders</w:t>
      </w:r>
    </w:p>
    <w:p>
      <w:pPr>
        <w:spacing w:after="0" w:line="26" w:lineRule="exact"/>
        <w:rPr>
          <w:sz w:val="20"/>
          <w:szCs w:val="20"/>
          <w:color w:val="auto"/>
        </w:rPr>
      </w:pPr>
    </w:p>
    <w:p>
      <w:pPr>
        <w:jc w:val="both"/>
        <w:ind w:right="40"/>
        <w:spacing w:after="0" w:line="246" w:lineRule="auto"/>
        <w:rPr>
          <w:sz w:val="20"/>
          <w:szCs w:val="20"/>
          <w:color w:val="auto"/>
        </w:rPr>
      </w:pPr>
      <w:r>
        <w:rPr>
          <w:rFonts w:ascii="Arial" w:cs="Arial" w:eastAsia="Arial" w:hAnsi="Arial"/>
          <w:sz w:val="16"/>
          <w:szCs w:val="16"/>
          <w:color w:val="auto"/>
        </w:rPr>
        <w:t>We strongly acknowledge our primary duty is owed to our shareholders, including maintaining your trust and confidence. Success means we will also fulfill our other duties, especially those owed to our employees, communities and other stakeholders. We are also in the unique position to help guide the Company forward by acting in accordance with Weatherford’s high standards of corporate governance. We believe that maintaining and, where appropriate, enhancing these standards is critical to the effective oversight of Weatherford’s business and our shareholders.</w:t>
      </w:r>
    </w:p>
    <w:p>
      <w:pPr>
        <w:spacing w:after="0" w:line="187" w:lineRule="exact"/>
        <w:rPr>
          <w:sz w:val="20"/>
          <w:szCs w:val="20"/>
          <w:color w:val="auto"/>
        </w:rPr>
      </w:pPr>
    </w:p>
    <w:p>
      <w:pPr>
        <w:jc w:val="both"/>
        <w:ind w:right="40"/>
        <w:spacing w:after="0" w:line="246" w:lineRule="auto"/>
        <w:rPr>
          <w:sz w:val="20"/>
          <w:szCs w:val="20"/>
          <w:color w:val="auto"/>
        </w:rPr>
      </w:pPr>
      <w:r>
        <w:rPr>
          <w:rFonts w:ascii="Arial" w:cs="Arial" w:eastAsia="Arial" w:hAnsi="Arial"/>
          <w:sz w:val="16"/>
          <w:szCs w:val="16"/>
          <w:color w:val="auto"/>
        </w:rPr>
        <w:t>We firmly believe in active and regular dialogues with our current and potential shareholders and in maintaining a high level of transparency and visibility in the marketplace. For example, investor feedback has led to productive modifications in our executive compensation plan, creating an even stronger linkage between pay and performance. The management performance targets established in 2014 are the same as those we disclose to the public markets, aligning the interests of management with those of shareholders.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BB1131"/>
        </w:rPr>
        <w:t>Our Annual General Meeting</w:t>
      </w:r>
    </w:p>
    <w:p>
      <w:pPr>
        <w:spacing w:after="0" w:line="26" w:lineRule="exact"/>
        <w:rPr>
          <w:sz w:val="20"/>
          <w:szCs w:val="20"/>
          <w:color w:val="auto"/>
        </w:rPr>
      </w:pPr>
    </w:p>
    <w:p>
      <w:pPr>
        <w:jc w:val="both"/>
        <w:ind w:right="40"/>
        <w:spacing w:after="0" w:line="245" w:lineRule="auto"/>
        <w:rPr>
          <w:sz w:val="20"/>
          <w:szCs w:val="20"/>
          <w:color w:val="auto"/>
        </w:rPr>
      </w:pPr>
      <w:r>
        <w:rPr>
          <w:rFonts w:ascii="Arial" w:cs="Arial" w:eastAsia="Arial" w:hAnsi="Arial"/>
          <w:sz w:val="16"/>
          <w:szCs w:val="16"/>
          <w:color w:val="auto"/>
        </w:rPr>
        <w:t>At our Annual General Meeting discussed in this Proxy Statement, we are asking you to re-elect all nine current members of your Board of Directors as well as to take other actions. We believe we collectively have the complementary skills and experience, the deep company and industry knowledge, and the steadfast commitment to continue to act as responsible stewards of your capital. We hold ourselves to the highest standards, keeping the interest of our Company, clients, supply-chain, employees and shareholders at the center of our priorities. You can further learn about our qualifications as your Board members beginning on page 5 of this Proxy Statement.</w:t>
      </w:r>
    </w:p>
    <w:p>
      <w:pPr>
        <w:spacing w:after="0" w:line="188" w:lineRule="exact"/>
        <w:rPr>
          <w:sz w:val="20"/>
          <w:szCs w:val="20"/>
          <w:color w:val="auto"/>
        </w:rPr>
      </w:pPr>
    </w:p>
    <w:p>
      <w:pPr>
        <w:jc w:val="both"/>
        <w:ind w:right="40"/>
        <w:spacing w:after="0" w:line="254" w:lineRule="auto"/>
        <w:rPr>
          <w:sz w:val="20"/>
          <w:szCs w:val="20"/>
          <w:color w:val="auto"/>
        </w:rPr>
      </w:pPr>
      <w:r>
        <w:rPr>
          <w:rFonts w:ascii="Arial" w:cs="Arial" w:eastAsia="Arial" w:hAnsi="Arial"/>
          <w:sz w:val="16"/>
          <w:szCs w:val="16"/>
          <w:color w:val="auto"/>
        </w:rPr>
        <w:t>Earlier this year, the Company announced the retirement of former U.S. Treasury Secretary, Nicholas F. Brady, from the Board. We would like to take this opportunity to thank Mr. Brady for his service as a trusted Board colleague and advisor.</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BB1131"/>
        </w:rPr>
        <w:t>Our Appreciation and Our Commitment</w:t>
      </w:r>
    </w:p>
    <w:p>
      <w:pPr>
        <w:spacing w:after="0" w:line="26" w:lineRule="exact"/>
        <w:rPr>
          <w:sz w:val="20"/>
          <w:szCs w:val="20"/>
          <w:color w:val="auto"/>
        </w:rPr>
      </w:pPr>
    </w:p>
    <w:p>
      <w:pPr>
        <w:jc w:val="both"/>
        <w:ind w:right="40"/>
        <w:spacing w:after="0" w:line="244" w:lineRule="auto"/>
        <w:rPr>
          <w:sz w:val="20"/>
          <w:szCs w:val="20"/>
          <w:color w:val="auto"/>
        </w:rPr>
      </w:pPr>
      <w:r>
        <w:rPr>
          <w:rFonts w:ascii="Arial" w:cs="Arial" w:eastAsia="Arial" w:hAnsi="Arial"/>
          <w:sz w:val="16"/>
          <w:szCs w:val="16"/>
          <w:color w:val="auto"/>
        </w:rPr>
        <w:t>Weatherford has implemented initiatives and measures needed to leverage and further develop our industrial might and place the Company onto a long-term, financially rewarding path. These initiatives are here, in progress and designed to last. This next phase in our history is underway, and our operational and financial performance is turning around. It is with great pride and appreciation that we can now share our Company’s progress with you, our shareholders. Each member of your Board of Directors appreciates your continuing support. We are committed to ensuring that Weatherford is managed in a manner that is effective and accountable, and serves your long-term interests. After a constructive year of foundational accomplishments, we have re-emerged with a clear and disciplined focus. Today, we are strategically moving forward on a transformational path towards improved efficiency and profitability, operational excellence as well as capital and administrative quality. And given our progress and numerous achievements during the past year, we enthusiastically look forward to the upcoming year.</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770255</wp:posOffset>
            </wp:positionH>
            <wp:positionV relativeFrom="paragraph">
              <wp:posOffset>211455</wp:posOffset>
            </wp:positionV>
            <wp:extent cx="786130" cy="290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86130" cy="290830"/>
                    </a:xfrm>
                    <a:prstGeom prst="rect">
                      <a:avLst/>
                    </a:prstGeom>
                    <a:noFill/>
                  </pic:spPr>
                </pic:pic>
              </a:graphicData>
            </a:graphic>
          </wp:anchor>
        </w:drawing>
        <w:drawing>
          <wp:anchor simplePos="0" relativeHeight="251657728" behindDoc="1" locked="0" layoutInCell="0" allowOverlap="1">
            <wp:simplePos x="0" y="0"/>
            <wp:positionH relativeFrom="column">
              <wp:posOffset>3231515</wp:posOffset>
            </wp:positionH>
            <wp:positionV relativeFrom="paragraph">
              <wp:posOffset>125095</wp:posOffset>
            </wp:positionV>
            <wp:extent cx="786130" cy="3771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86130" cy="377190"/>
                    </a:xfrm>
                    <a:prstGeom prst="rect">
                      <a:avLst/>
                    </a:prstGeom>
                    <a:noFill/>
                  </pic:spPr>
                </pic:pic>
              </a:graphicData>
            </a:graphic>
          </wp:anchor>
        </w:drawing>
        <w:drawing>
          <wp:anchor simplePos="0" relativeHeight="251657728" behindDoc="1" locked="0" layoutInCell="0" allowOverlap="1">
            <wp:simplePos x="0" y="0"/>
            <wp:positionH relativeFrom="column">
              <wp:posOffset>5684520</wp:posOffset>
            </wp:positionH>
            <wp:positionV relativeFrom="paragraph">
              <wp:posOffset>211455</wp:posOffset>
            </wp:positionV>
            <wp:extent cx="802005" cy="290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02005" cy="290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tabs>
          <w:tab w:leader="none" w:pos="4780" w:val="left"/>
          <w:tab w:leader="none" w:pos="9080" w:val="left"/>
        </w:tabs>
        <w:rPr>
          <w:sz w:val="20"/>
          <w:szCs w:val="20"/>
          <w:color w:val="auto"/>
        </w:rPr>
      </w:pPr>
      <w:r>
        <w:rPr>
          <w:rFonts w:ascii="Arial" w:cs="Arial" w:eastAsia="Arial" w:hAnsi="Arial"/>
          <w:sz w:val="16"/>
          <w:szCs w:val="16"/>
          <w:color w:val="BB1131"/>
        </w:rPr>
        <w:t>David J. Butters</w:t>
      </w:r>
      <w:r>
        <w:rPr>
          <w:sz w:val="20"/>
          <w:szCs w:val="20"/>
          <w:color w:val="auto"/>
        </w:rPr>
        <w:tab/>
      </w:r>
      <w:r>
        <w:rPr>
          <w:rFonts w:ascii="Arial" w:cs="Arial" w:eastAsia="Arial" w:hAnsi="Arial"/>
          <w:sz w:val="16"/>
          <w:szCs w:val="16"/>
          <w:color w:val="BB1131"/>
        </w:rPr>
        <w:t>Bernard J. Duroc-Danner</w:t>
      </w:r>
      <w:r>
        <w:rPr>
          <w:sz w:val="20"/>
          <w:szCs w:val="20"/>
          <w:color w:val="auto"/>
        </w:rPr>
        <w:tab/>
      </w:r>
      <w:r>
        <w:rPr>
          <w:rFonts w:ascii="Arial" w:cs="Arial" w:eastAsia="Arial" w:hAnsi="Arial"/>
          <w:sz w:val="16"/>
          <w:szCs w:val="16"/>
          <w:color w:val="BB1131"/>
        </w:rPr>
        <w:t>John D. Gass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156845</wp:posOffset>
            </wp:positionV>
            <wp:extent cx="778510" cy="3378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8510" cy="337820"/>
                    </a:xfrm>
                    <a:prstGeom prst="rect">
                      <a:avLst/>
                    </a:prstGeom>
                    <a:noFill/>
                  </pic:spPr>
                </pic:pic>
              </a:graphicData>
            </a:graphic>
          </wp:anchor>
        </w:drawing>
        <w:drawing>
          <wp:anchor simplePos="0" relativeHeight="251657728" behindDoc="1" locked="0" layoutInCell="0" allowOverlap="1">
            <wp:simplePos x="0" y="0"/>
            <wp:positionH relativeFrom="column">
              <wp:posOffset>3239135</wp:posOffset>
            </wp:positionH>
            <wp:positionV relativeFrom="paragraph">
              <wp:posOffset>282575</wp:posOffset>
            </wp:positionV>
            <wp:extent cx="762635" cy="2120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2635" cy="212090"/>
                    </a:xfrm>
                    <a:prstGeom prst="rect">
                      <a:avLst/>
                    </a:prstGeom>
                    <a:noFill/>
                  </pic:spPr>
                </pic:pic>
              </a:graphicData>
            </a:graphic>
          </wp:anchor>
        </w:drawing>
        <w:drawing>
          <wp:anchor simplePos="0" relativeHeight="251657728" behindDoc="1" locked="0" layoutInCell="0" allowOverlap="1">
            <wp:simplePos x="0" y="0"/>
            <wp:positionH relativeFrom="column">
              <wp:posOffset>5692775</wp:posOffset>
            </wp:positionH>
            <wp:positionV relativeFrom="paragraph">
              <wp:posOffset>313690</wp:posOffset>
            </wp:positionV>
            <wp:extent cx="786130" cy="1809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86130" cy="180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180"/>
        <w:spacing w:after="0"/>
        <w:tabs>
          <w:tab w:leader="none" w:pos="4960" w:val="left"/>
          <w:tab w:leader="none" w:pos="8840" w:val="left"/>
        </w:tabs>
        <w:rPr>
          <w:sz w:val="20"/>
          <w:szCs w:val="20"/>
          <w:color w:val="auto"/>
        </w:rPr>
      </w:pPr>
      <w:r>
        <w:rPr>
          <w:rFonts w:ascii="Arial" w:cs="Arial" w:eastAsia="Arial" w:hAnsi="Arial"/>
          <w:sz w:val="16"/>
          <w:szCs w:val="16"/>
          <w:color w:val="BB1131"/>
        </w:rPr>
        <w:t>Francis S. Kalman</w:t>
      </w:r>
      <w:r>
        <w:rPr>
          <w:sz w:val="20"/>
          <w:szCs w:val="20"/>
          <w:color w:val="auto"/>
        </w:rPr>
        <w:tab/>
      </w:r>
      <w:r>
        <w:rPr>
          <w:rFonts w:ascii="Arial" w:cs="Arial" w:eastAsia="Arial" w:hAnsi="Arial"/>
          <w:sz w:val="16"/>
          <w:szCs w:val="16"/>
          <w:color w:val="BB1131"/>
        </w:rPr>
        <w:t>William E. Macaulay</w:t>
      </w:r>
      <w:r>
        <w:rPr>
          <w:sz w:val="20"/>
          <w:szCs w:val="20"/>
          <w:color w:val="auto"/>
        </w:rPr>
        <w:tab/>
      </w:r>
      <w:r>
        <w:rPr>
          <w:rFonts w:ascii="Arial" w:cs="Arial" w:eastAsia="Arial" w:hAnsi="Arial"/>
          <w:sz w:val="16"/>
          <w:szCs w:val="16"/>
          <w:color w:val="BB1131"/>
        </w:rPr>
        <w:t>Robert K. Moses,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329565</wp:posOffset>
            </wp:positionV>
            <wp:extent cx="778510" cy="3854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8510" cy="385445"/>
                    </a:xfrm>
                    <a:prstGeom prst="rect">
                      <a:avLst/>
                    </a:prstGeom>
                    <a:noFill/>
                  </pic:spPr>
                </pic:pic>
              </a:graphicData>
            </a:graphic>
          </wp:anchor>
        </w:drawing>
        <w:drawing>
          <wp:anchor simplePos="0" relativeHeight="251657728" behindDoc="1" locked="0" layoutInCell="0" allowOverlap="1">
            <wp:simplePos x="0" y="0"/>
            <wp:positionH relativeFrom="column">
              <wp:posOffset>3223260</wp:posOffset>
            </wp:positionH>
            <wp:positionV relativeFrom="paragraph">
              <wp:posOffset>494665</wp:posOffset>
            </wp:positionV>
            <wp:extent cx="794385" cy="2203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94385" cy="220345"/>
                    </a:xfrm>
                    <a:prstGeom prst="rect">
                      <a:avLst/>
                    </a:prstGeom>
                    <a:noFill/>
                  </pic:spPr>
                </pic:pic>
              </a:graphicData>
            </a:graphic>
          </wp:anchor>
        </w:drawing>
        <w:drawing>
          <wp:anchor simplePos="0" relativeHeight="251657728" behindDoc="1" locked="0" layoutInCell="0" allowOverlap="1">
            <wp:simplePos x="0" y="0"/>
            <wp:positionH relativeFrom="column">
              <wp:posOffset>5708015</wp:posOffset>
            </wp:positionH>
            <wp:positionV relativeFrom="paragraph">
              <wp:posOffset>156845</wp:posOffset>
            </wp:positionV>
            <wp:extent cx="762635" cy="5581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2635" cy="558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720" w:type="dxa"/>
            <w:vAlign w:val="bottom"/>
          </w:tcPr>
          <w:p>
            <w:pPr>
              <w:ind w:left="1300"/>
              <w:spacing w:after="0"/>
              <w:rPr>
                <w:sz w:val="20"/>
                <w:szCs w:val="20"/>
                <w:color w:val="auto"/>
              </w:rPr>
            </w:pPr>
            <w:r>
              <w:rPr>
                <w:rFonts w:ascii="Arial" w:cs="Arial" w:eastAsia="Arial" w:hAnsi="Arial"/>
                <w:sz w:val="16"/>
                <w:szCs w:val="16"/>
                <w:color w:val="BB1131"/>
              </w:rPr>
              <w:t>Guillermo Ortiz</w:t>
            </w:r>
          </w:p>
        </w:tc>
        <w:tc>
          <w:tcPr>
            <w:tcW w:w="3140" w:type="dxa"/>
            <w:vAlign w:val="bottom"/>
          </w:tcPr>
          <w:p>
            <w:pPr>
              <w:ind w:left="1340"/>
              <w:spacing w:after="0"/>
              <w:rPr>
                <w:sz w:val="20"/>
                <w:szCs w:val="20"/>
                <w:color w:val="auto"/>
              </w:rPr>
            </w:pPr>
            <w:r>
              <w:rPr>
                <w:rFonts w:ascii="Arial" w:cs="Arial" w:eastAsia="Arial" w:hAnsi="Arial"/>
                <w:sz w:val="16"/>
                <w:szCs w:val="16"/>
                <w:color w:val="BB1131"/>
              </w:rPr>
              <w:t>Emyr Jones Parry</w:t>
            </w:r>
          </w:p>
        </w:tc>
        <w:tc>
          <w:tcPr>
            <w:tcW w:w="4600" w:type="dxa"/>
            <w:vAlign w:val="bottom"/>
          </w:tcPr>
          <w:p>
            <w:pPr>
              <w:ind w:left="2120"/>
              <w:spacing w:after="0"/>
              <w:rPr>
                <w:sz w:val="20"/>
                <w:szCs w:val="20"/>
                <w:color w:val="auto"/>
              </w:rPr>
            </w:pPr>
            <w:r>
              <w:rPr>
                <w:rFonts w:ascii="Arial" w:cs="Arial" w:eastAsia="Arial" w:hAnsi="Arial"/>
                <w:sz w:val="16"/>
                <w:szCs w:val="16"/>
                <w:color w:val="BB1131"/>
              </w:rPr>
              <w:t>Robert A. Rayne</w:t>
            </w:r>
          </w:p>
        </w:tc>
      </w:tr>
      <w:tr>
        <w:trPr>
          <w:trHeight w:val="360"/>
        </w:trPr>
        <w:tc>
          <w:tcPr>
            <w:tcW w:w="37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600" w:type="dxa"/>
            <w:vAlign w:val="bottom"/>
          </w:tcPr>
          <w:p>
            <w:pPr>
              <w:ind w:left="520"/>
              <w:spacing w:after="0"/>
              <w:rPr>
                <w:sz w:val="20"/>
                <w:szCs w:val="20"/>
                <w:color w:val="auto"/>
              </w:rPr>
            </w:pPr>
            <w:r>
              <w:rPr>
                <w:rFonts w:ascii="Arial" w:cs="Arial" w:eastAsia="Arial" w:hAnsi="Arial"/>
                <w:sz w:val="12"/>
                <w:szCs w:val="12"/>
                <w:color w:val="auto"/>
              </w:rPr>
              <w:t xml:space="preserve">Weatherford International plc - www.WeatherfordAnnualMeeting.com   </w:t>
            </w:r>
            <w:r>
              <w:rPr>
                <w:rFonts w:ascii="Arial" w:cs="Arial" w:eastAsia="Arial" w:hAnsi="Arial"/>
                <w:sz w:val="12"/>
                <w:szCs w:val="12"/>
                <w:b w:val="1"/>
                <w:bCs w:val="1"/>
                <w:color w:val="auto"/>
              </w:rPr>
              <w:t>iii</w:t>
            </w:r>
          </w:p>
        </w:tc>
      </w:tr>
      <w:tr>
        <w:trPr>
          <w:trHeight w:val="195"/>
        </w:trPr>
        <w:tc>
          <w:tcPr>
            <w:tcW w:w="3720" w:type="dxa"/>
            <w:vAlign w:val="bottom"/>
            <w:tcBorders>
              <w:bottom w:val="single" w:sz="8" w:color="808080"/>
            </w:tcBorders>
          </w:tcPr>
          <w:p>
            <w:pPr>
              <w:spacing w:after="0"/>
              <w:rPr>
                <w:sz w:val="16"/>
                <w:szCs w:val="16"/>
                <w:color w:val="auto"/>
              </w:rPr>
            </w:pPr>
          </w:p>
        </w:tc>
        <w:tc>
          <w:tcPr>
            <w:tcW w:w="3140" w:type="dxa"/>
            <w:vAlign w:val="bottom"/>
            <w:tcBorders>
              <w:bottom w:val="single" w:sz="8" w:color="808080"/>
            </w:tcBorders>
          </w:tcPr>
          <w:p>
            <w:pPr>
              <w:spacing w:after="0"/>
              <w:rPr>
                <w:sz w:val="16"/>
                <w:szCs w:val="16"/>
                <w:color w:val="auto"/>
              </w:rPr>
            </w:pPr>
          </w:p>
        </w:tc>
        <w:tc>
          <w:tcPr>
            <w:tcW w:w="460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-13335</wp:posOffset>
            </wp:positionV>
            <wp:extent cx="1270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60"/>
          </w:cols>
          <w:pgMar w:left="240" w:top="563" w:right="199" w:bottom="1440" w:gutter="0" w:footer="0" w:header="0"/>
        </w:sectPr>
      </w:pPr>
    </w:p>
    <w:bookmarkStart w:id="6" w:name="page7"/>
    <w:bookmarkEnd w:id="6"/>
    <w:p>
      <w:pPr>
        <w:ind w:left="1"/>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5591175" cy="73837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91175" cy="7383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741"/>
        <w:spacing w:after="0"/>
        <w:rPr>
          <w:sz w:val="20"/>
          <w:szCs w:val="20"/>
          <w:color w:val="auto"/>
        </w:rPr>
      </w:pPr>
      <w:r>
        <w:rPr>
          <w:rFonts w:ascii="Arial" w:cs="Arial" w:eastAsia="Arial" w:hAnsi="Arial"/>
          <w:sz w:val="30"/>
          <w:szCs w:val="30"/>
          <w:color w:val="auto"/>
        </w:rPr>
        <w:t>LETTER FROM THE</w:t>
      </w:r>
    </w:p>
    <w:p>
      <w:pPr>
        <w:ind w:left="4741"/>
        <w:spacing w:after="0"/>
        <w:rPr>
          <w:sz w:val="20"/>
          <w:szCs w:val="20"/>
          <w:color w:val="auto"/>
        </w:rPr>
      </w:pPr>
      <w:r>
        <w:rPr>
          <w:rFonts w:ascii="Arial" w:cs="Arial" w:eastAsia="Arial" w:hAnsi="Arial"/>
          <w:sz w:val="39"/>
          <w:szCs w:val="39"/>
          <w:b w:val="1"/>
          <w:bCs w:val="1"/>
          <w:color w:val="BB1131"/>
        </w:rPr>
        <w:t>CHAIRMAN, PRESIDENT</w:t>
      </w:r>
    </w:p>
    <w:p>
      <w:pPr>
        <w:spacing w:after="0" w:line="10" w:lineRule="exact"/>
        <w:rPr>
          <w:sz w:val="20"/>
          <w:szCs w:val="20"/>
          <w:color w:val="auto"/>
        </w:rPr>
      </w:pPr>
    </w:p>
    <w:p>
      <w:pPr>
        <w:ind w:left="4741"/>
        <w:spacing w:after="0"/>
        <w:rPr>
          <w:sz w:val="20"/>
          <w:szCs w:val="20"/>
          <w:color w:val="auto"/>
        </w:rPr>
      </w:pPr>
      <w:r>
        <w:rPr>
          <w:rFonts w:ascii="Arial" w:cs="Arial" w:eastAsia="Arial" w:hAnsi="Arial"/>
          <w:sz w:val="40"/>
          <w:szCs w:val="40"/>
          <w:b w:val="1"/>
          <w:bCs w:val="1"/>
          <w:color w:val="BB1131"/>
        </w:rPr>
        <w:t>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81" w:hanging="281"/>
        <w:spacing w:after="0"/>
        <w:tabs>
          <w:tab w:leader="none" w:pos="281" w:val="left"/>
        </w:tabs>
        <w:numPr>
          <w:ilvl w:val="0"/>
          <w:numId w:val="7"/>
        </w:numPr>
        <w:rPr>
          <w:rFonts w:ascii="Arial" w:cs="Arial" w:eastAsia="Arial" w:hAnsi="Arial"/>
          <w:sz w:val="12"/>
          <w:szCs w:val="12"/>
          <w:b w:val="1"/>
          <w:bCs w:val="1"/>
          <w:color w:val="auto"/>
        </w:rPr>
      </w:pPr>
      <w:r>
        <w:rPr>
          <w:rFonts w:ascii="Arial" w:cs="Arial" w:eastAsia="Arial" w:hAnsi="Arial"/>
          <w:sz w:val="12"/>
          <w:szCs w:val="12"/>
          <w:color w:val="auto"/>
        </w:rPr>
        <w:t>Weatherford International plc - 2014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8370"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220"/>
          </w:cols>
          <w:pgMar w:left="239" w:top="563" w:right="1440"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BB1131"/>
        </w:rPr>
        <w:t>Your Vote is Important</w:t>
      </w:r>
    </w:p>
    <w:p>
      <w:pPr>
        <w:spacing w:after="0" w:line="2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We strongly encourage you to participate. Your support of our above proposals will help assure Weatherford’s continued success and further momentum. This also will reliably move the Company along its transformational path. </w:t>
      </w:r>
      <w:r>
        <w:rPr>
          <w:rFonts w:ascii="Arial" w:cs="Arial" w:eastAsia="Arial" w:hAnsi="Arial"/>
          <w:sz w:val="16"/>
          <w:szCs w:val="16"/>
          <w:b w:val="1"/>
          <w:bCs w:val="1"/>
          <w:color w:val="BB1131"/>
        </w:rPr>
        <w:t>Therefore, the Board recommends that you vote as soon as possible FOR all of the</w:t>
      </w:r>
      <w:r>
        <w:rPr>
          <w:rFonts w:ascii="Arial" w:cs="Arial" w:eastAsia="Arial" w:hAnsi="Arial"/>
          <w:sz w:val="16"/>
          <w:szCs w:val="16"/>
          <w:color w:val="auto"/>
        </w:rPr>
        <w:t xml:space="preserve"> </w:t>
      </w:r>
      <w:r>
        <w:rPr>
          <w:rFonts w:ascii="Arial" w:cs="Arial" w:eastAsia="Arial" w:hAnsi="Arial"/>
          <w:sz w:val="16"/>
          <w:szCs w:val="16"/>
          <w:b w:val="1"/>
          <w:bCs w:val="1"/>
          <w:color w:val="BB1131"/>
        </w:rPr>
        <w:t>proposed agenda items.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BB1131"/>
        </w:rPr>
        <w:t>Our Continued Focus on Shareholder Communication and Engagement</w:t>
      </w:r>
    </w:p>
    <w:p>
      <w:pPr>
        <w:spacing w:after="0" w:line="26"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 xml:space="preserve">Over recent years, we have increased our efforts and improved our focus to communicate more clearly and transparently with our shareholders. With this in mind, we enhanced our Proxy Statement, Annual Report and shareholder presentations to make our materials easier to read and navigate. As a result of the positive feedback, we have continued with these efforts. We have again this year provided our shareholders with a comprehensive discussion on Corporate Governance and Executive Compensation, using clear language and graphics to better help you understand and focus on the relevant and important information. I also invite you to visit our special website – </w:t>
      </w:r>
      <w:r>
        <w:rPr>
          <w:rFonts w:ascii="Arial" w:cs="Arial" w:eastAsia="Arial" w:hAnsi="Arial"/>
          <w:sz w:val="16"/>
          <w:szCs w:val="16"/>
          <w:b w:val="1"/>
          <w:bCs w:val="1"/>
          <w:color w:val="BB1131"/>
        </w:rPr>
        <w:t>www.WeatherfordAnnualMeeting.com</w:t>
      </w:r>
      <w:r>
        <w:rPr>
          <w:rFonts w:ascii="Arial" w:cs="Arial" w:eastAsia="Arial" w:hAnsi="Arial"/>
          <w:sz w:val="16"/>
          <w:szCs w:val="16"/>
          <w:color w:val="auto"/>
        </w:rPr>
        <w:t>—where you will find centralized and up-to-date details and instructions regarding our upcoming Annual General Meeting.</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BB1131"/>
        </w:rPr>
        <w:t>Our Appreciation and Our Commitment</w:t>
      </w:r>
    </w:p>
    <w:p>
      <w:pPr>
        <w:spacing w:after="0" w:line="26"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On behalf of your entire Board of Directors and management team, I offer my sincere thanks and humble appreciation to you, our shareholders, for your continued support and commitment to our turnaround strategy. We are confident Weatherford’s entrepreneurial spirit, combined with a disciplined and focused path, will drive great future opportunities. I also want to express my gratitude to our Board of Directors for offering steadfast direction and guidance over the last year. We are firmly committed to our transformational strategy, which will continue to leverage and further develop our industrial might, placing us on a long-term financially rewarding path. Weatherford’s future is bright. We will re-emerge as a beacon of technology and performance for our industry.</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Respectfully,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802005" cy="401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02005" cy="40132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b w:val="1"/>
          <w:bCs w:val="1"/>
          <w:color w:val="BB1131"/>
        </w:rPr>
        <w:t>Bernard J. Duroc-Danner</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Chairman of the Board,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125095</wp:posOffset>
            </wp:positionV>
            <wp:extent cx="7278370" cy="30454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8370" cy="304546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743"/>
        </w:trPr>
        <w:tc>
          <w:tcPr>
            <w:tcW w:w="20" w:type="dxa"/>
            <w:vAlign w:val="bottom"/>
          </w:tcPr>
          <w:p>
            <w:pPr>
              <w:spacing w:after="0"/>
              <w:rPr>
                <w:sz w:val="24"/>
                <w:szCs w:val="24"/>
                <w:color w:val="auto"/>
              </w:rPr>
            </w:pPr>
          </w:p>
        </w:tc>
        <w:tc>
          <w:tcPr>
            <w:tcW w:w="1420" w:type="dxa"/>
            <w:vAlign w:val="bottom"/>
            <w:shd w:val="clear" w:color="auto" w:fill="BB1131"/>
          </w:tcPr>
          <w:p>
            <w:pPr>
              <w:spacing w:after="0"/>
              <w:rPr>
                <w:sz w:val="24"/>
                <w:szCs w:val="24"/>
                <w:color w:val="auto"/>
              </w:rPr>
            </w:pPr>
          </w:p>
        </w:tc>
        <w:tc>
          <w:tcPr>
            <w:tcW w:w="3060" w:type="dxa"/>
            <w:vAlign w:val="bottom"/>
            <w:shd w:val="clear" w:color="auto" w:fill="BB1131"/>
          </w:tcPr>
          <w:p>
            <w:pPr>
              <w:spacing w:after="0"/>
              <w:rPr>
                <w:sz w:val="24"/>
                <w:szCs w:val="24"/>
                <w:color w:val="auto"/>
              </w:rPr>
            </w:pPr>
          </w:p>
        </w:tc>
        <w:tc>
          <w:tcPr>
            <w:tcW w:w="6920" w:type="dxa"/>
            <w:vAlign w:val="bottom"/>
          </w:tcPr>
          <w:p>
            <w:pPr>
              <w:ind w:left="240"/>
              <w:spacing w:after="0"/>
              <w:rPr>
                <w:sz w:val="20"/>
                <w:szCs w:val="20"/>
                <w:color w:val="auto"/>
              </w:rPr>
            </w:pPr>
            <w:r>
              <w:rPr>
                <w:rFonts w:ascii="Arial" w:cs="Arial" w:eastAsia="Arial" w:hAnsi="Arial"/>
                <w:sz w:val="30"/>
                <w:szCs w:val="30"/>
                <w:color w:val="auto"/>
              </w:rPr>
              <w:t>OUR TIMELINE: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1420" w:type="dxa"/>
            <w:vAlign w:val="bottom"/>
            <w:shd w:val="clear" w:color="auto" w:fill="BB1131"/>
          </w:tcPr>
          <w:p>
            <w:pPr>
              <w:spacing w:after="0"/>
              <w:rPr>
                <w:sz w:val="24"/>
                <w:szCs w:val="24"/>
                <w:color w:val="auto"/>
              </w:rPr>
            </w:pPr>
          </w:p>
        </w:tc>
        <w:tc>
          <w:tcPr>
            <w:tcW w:w="3060" w:type="dxa"/>
            <w:vAlign w:val="bottom"/>
            <w:shd w:val="clear" w:color="auto" w:fill="BB1131"/>
          </w:tcPr>
          <w:p>
            <w:pPr>
              <w:spacing w:after="0"/>
              <w:rPr>
                <w:sz w:val="24"/>
                <w:szCs w:val="24"/>
                <w:color w:val="auto"/>
              </w:rPr>
            </w:pPr>
          </w:p>
        </w:tc>
        <w:tc>
          <w:tcPr>
            <w:tcW w:w="6920" w:type="dxa"/>
            <w:vAlign w:val="bottom"/>
          </w:tcPr>
          <w:p>
            <w:pPr>
              <w:ind w:left="240"/>
              <w:spacing w:after="0" w:line="459" w:lineRule="exact"/>
              <w:rPr>
                <w:sz w:val="20"/>
                <w:szCs w:val="20"/>
                <w:color w:val="auto"/>
              </w:rPr>
            </w:pPr>
            <w:r>
              <w:rPr>
                <w:rFonts w:ascii="Arial" w:cs="Arial" w:eastAsia="Arial" w:hAnsi="Arial"/>
                <w:sz w:val="40"/>
                <w:szCs w:val="40"/>
                <w:b w:val="1"/>
                <w:bCs w:val="1"/>
                <w:color w:val="BB1131"/>
              </w:rPr>
              <w:t>FROM INCEPTION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1420" w:type="dxa"/>
            <w:vAlign w:val="bottom"/>
            <w:shd w:val="clear" w:color="auto" w:fill="BB1131"/>
          </w:tcPr>
          <w:p>
            <w:pPr>
              <w:spacing w:after="0"/>
              <w:rPr>
                <w:sz w:val="24"/>
                <w:szCs w:val="24"/>
                <w:color w:val="auto"/>
              </w:rPr>
            </w:pPr>
          </w:p>
        </w:tc>
        <w:tc>
          <w:tcPr>
            <w:tcW w:w="3060" w:type="dxa"/>
            <w:vAlign w:val="bottom"/>
            <w:shd w:val="clear" w:color="auto" w:fill="BB1131"/>
          </w:tcPr>
          <w:p>
            <w:pPr>
              <w:spacing w:after="0"/>
              <w:rPr>
                <w:sz w:val="24"/>
                <w:szCs w:val="24"/>
                <w:color w:val="auto"/>
              </w:rPr>
            </w:pPr>
          </w:p>
        </w:tc>
        <w:tc>
          <w:tcPr>
            <w:tcW w:w="6920" w:type="dxa"/>
            <w:vAlign w:val="bottom"/>
          </w:tcPr>
          <w:p>
            <w:pPr>
              <w:ind w:left="240"/>
              <w:spacing w:after="0" w:line="459" w:lineRule="exact"/>
              <w:rPr>
                <w:sz w:val="20"/>
                <w:szCs w:val="20"/>
                <w:color w:val="auto"/>
              </w:rPr>
            </w:pPr>
            <w:r>
              <w:rPr>
                <w:rFonts w:ascii="Arial" w:cs="Arial" w:eastAsia="Arial" w:hAnsi="Arial"/>
                <w:sz w:val="40"/>
                <w:szCs w:val="40"/>
                <w:b w:val="1"/>
                <w:bCs w:val="1"/>
                <w:color w:val="BB1131"/>
              </w:rPr>
              <w:t>TO DELIVERING 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8"/>
        </w:trPr>
        <w:tc>
          <w:tcPr>
            <w:tcW w:w="20" w:type="dxa"/>
            <w:vAlign w:val="bottom"/>
          </w:tcPr>
          <w:p>
            <w:pPr>
              <w:spacing w:after="0"/>
              <w:rPr>
                <w:sz w:val="24"/>
                <w:szCs w:val="24"/>
                <w:color w:val="auto"/>
              </w:rPr>
            </w:pPr>
          </w:p>
        </w:tc>
        <w:tc>
          <w:tcPr>
            <w:tcW w:w="1420" w:type="dxa"/>
            <w:vAlign w:val="bottom"/>
            <w:shd w:val="clear" w:color="auto" w:fill="BB1131"/>
          </w:tcPr>
          <w:p>
            <w:pPr>
              <w:spacing w:after="0"/>
              <w:rPr>
                <w:sz w:val="24"/>
                <w:szCs w:val="24"/>
                <w:color w:val="auto"/>
              </w:rPr>
            </w:pPr>
          </w:p>
        </w:tc>
        <w:tc>
          <w:tcPr>
            <w:tcW w:w="3060" w:type="dxa"/>
            <w:vAlign w:val="bottom"/>
            <w:shd w:val="clear" w:color="auto" w:fill="BB1131"/>
          </w:tcPr>
          <w:p>
            <w:pPr>
              <w:spacing w:after="0"/>
              <w:rPr>
                <w:sz w:val="24"/>
                <w:szCs w:val="24"/>
                <w:color w:val="auto"/>
              </w:rPr>
            </w:pPr>
          </w:p>
        </w:tc>
        <w:tc>
          <w:tcPr>
            <w:tcW w:w="6920" w:type="dxa"/>
            <w:vAlign w:val="bottom"/>
          </w:tcPr>
          <w:p>
            <w:pPr>
              <w:ind w:left="240"/>
              <w:spacing w:after="0"/>
              <w:rPr>
                <w:sz w:val="20"/>
                <w:szCs w:val="20"/>
                <w:color w:val="auto"/>
              </w:rPr>
            </w:pPr>
            <w:r>
              <w:rPr>
                <w:rFonts w:ascii="Arial" w:cs="Arial" w:eastAsia="Arial" w:hAnsi="Arial"/>
                <w:sz w:val="40"/>
                <w:szCs w:val="40"/>
                <w:b w:val="1"/>
                <w:bCs w:val="1"/>
                <w:color w:val="BB1131"/>
              </w:rPr>
              <w:t>OUR TURNAROUND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440" w:type="dxa"/>
            <w:vAlign w:val="bottom"/>
            <w:gridSpan w:val="2"/>
          </w:tcPr>
          <w:p>
            <w:pPr>
              <w:spacing w:after="0"/>
              <w:rPr>
                <w:sz w:val="19"/>
                <w:szCs w:val="19"/>
                <w:color w:val="auto"/>
              </w:rPr>
            </w:pPr>
          </w:p>
        </w:tc>
        <w:tc>
          <w:tcPr>
            <w:tcW w:w="998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20" w:type="dxa"/>
            <w:vAlign w:val="bottom"/>
            <w:tcBorders>
              <w:top w:val="single" w:sz="8" w:color="58595B"/>
            </w:tcBorders>
          </w:tcPr>
          <w:p>
            <w:pPr>
              <w:spacing w:after="0" w:line="136" w:lineRule="exact"/>
              <w:rPr>
                <w:sz w:val="20"/>
                <w:szCs w:val="20"/>
                <w:color w:val="auto"/>
              </w:rPr>
            </w:pPr>
            <w:r>
              <w:rPr>
                <w:rFonts w:ascii="Arial" w:cs="Arial" w:eastAsia="Arial" w:hAnsi="Arial"/>
                <w:sz w:val="15"/>
                <w:szCs w:val="15"/>
                <w:b w:val="1"/>
                <w:bCs w:val="1"/>
                <w:color w:val="BB1131"/>
              </w:rPr>
              <w:t>OUR</w:t>
            </w:r>
          </w:p>
        </w:tc>
        <w:tc>
          <w:tcPr>
            <w:tcW w:w="9980" w:type="dxa"/>
            <w:vAlign w:val="bottom"/>
            <w:tcBorders>
              <w:top w:val="single" w:sz="8" w:color="58595B"/>
            </w:tcBorders>
            <w:gridSpan w:val="2"/>
          </w:tcPr>
          <w:p>
            <w:pPr>
              <w:ind w:left="140"/>
              <w:spacing w:after="0" w:line="136" w:lineRule="exact"/>
              <w:rPr>
                <w:sz w:val="20"/>
                <w:szCs w:val="20"/>
                <w:color w:val="auto"/>
              </w:rPr>
            </w:pPr>
            <w:r>
              <w:rPr>
                <w:rFonts w:ascii="Arial" w:cs="Arial" w:eastAsia="Arial" w:hAnsi="Arial"/>
                <w:sz w:val="12"/>
                <w:szCs w:val="12"/>
                <w:color w:val="auto"/>
              </w:rPr>
              <w:t>Weatherford is one of the largest multinational oilfield service companies providing innovative solutions, technologies and services to the oil and gas industry. Our product and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440" w:type="dxa"/>
            <w:vAlign w:val="bottom"/>
            <w:gridSpan w:val="2"/>
            <w:vMerge w:val="restart"/>
          </w:tcPr>
          <w:p>
            <w:pPr>
              <w:spacing w:after="0"/>
              <w:rPr>
                <w:sz w:val="20"/>
                <w:szCs w:val="20"/>
                <w:color w:val="auto"/>
              </w:rPr>
            </w:pPr>
            <w:r>
              <w:rPr>
                <w:rFonts w:ascii="Arial" w:cs="Arial" w:eastAsia="Arial" w:hAnsi="Arial"/>
                <w:sz w:val="16"/>
                <w:szCs w:val="16"/>
                <w:b w:val="1"/>
                <w:bCs w:val="1"/>
                <w:color w:val="BB1131"/>
              </w:rPr>
              <w:t>BUSINESS</w:t>
            </w:r>
          </w:p>
        </w:tc>
        <w:tc>
          <w:tcPr>
            <w:tcW w:w="9980" w:type="dxa"/>
            <w:vAlign w:val="bottom"/>
            <w:gridSpan w:val="2"/>
          </w:tcPr>
          <w:p>
            <w:pPr>
              <w:ind w:left="140"/>
              <w:spacing w:after="0" w:line="136" w:lineRule="exact"/>
              <w:rPr>
                <w:sz w:val="20"/>
                <w:szCs w:val="20"/>
                <w:color w:val="auto"/>
              </w:rPr>
            </w:pPr>
            <w:r>
              <w:rPr>
                <w:rFonts w:ascii="Arial" w:cs="Arial" w:eastAsia="Arial" w:hAnsi="Arial"/>
                <w:sz w:val="12"/>
                <w:szCs w:val="12"/>
                <w:color w:val="auto"/>
              </w:rPr>
              <w:t>service portfolio spans the lifecycle of the well and includes Well Construction, Formation Evaluation, Completion and Artificial Lift. Weatherford is incorporated in Ireland, operates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440" w:type="dxa"/>
            <w:vAlign w:val="bottom"/>
            <w:gridSpan w:val="2"/>
            <w:vMerge w:val="continue"/>
          </w:tcPr>
          <w:p>
            <w:pPr>
              <w:spacing w:after="0"/>
              <w:rPr>
                <w:sz w:val="9"/>
                <w:szCs w:val="9"/>
                <w:color w:val="auto"/>
              </w:rPr>
            </w:pPr>
          </w:p>
        </w:tc>
        <w:tc>
          <w:tcPr>
            <w:tcW w:w="9980" w:type="dxa"/>
            <w:vAlign w:val="bottom"/>
            <w:gridSpan w:val="2"/>
            <w:vMerge w:val="restart"/>
          </w:tcPr>
          <w:p>
            <w:pPr>
              <w:ind w:left="140"/>
              <w:spacing w:after="0" w:line="137" w:lineRule="exact"/>
              <w:rPr>
                <w:sz w:val="20"/>
                <w:szCs w:val="20"/>
                <w:color w:val="auto"/>
              </w:rPr>
            </w:pPr>
            <w:r>
              <w:rPr>
                <w:rFonts w:ascii="Arial" w:cs="Arial" w:eastAsia="Arial" w:hAnsi="Arial"/>
                <w:sz w:val="12"/>
                <w:szCs w:val="12"/>
                <w:color w:val="auto"/>
              </w:rPr>
              <w:t>in over 100 countries and currently employs approximately 60,000 people worldwide.</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420" w:type="dxa"/>
            <w:vAlign w:val="bottom"/>
            <w:tcBorders>
              <w:bottom w:val="single" w:sz="8" w:color="58595B"/>
            </w:tcBorders>
          </w:tcPr>
          <w:p>
            <w:pPr>
              <w:spacing w:after="0"/>
              <w:rPr>
                <w:sz w:val="2"/>
                <w:szCs w:val="2"/>
                <w:color w:val="auto"/>
              </w:rPr>
            </w:pPr>
          </w:p>
        </w:tc>
        <w:tc>
          <w:tcPr>
            <w:tcW w:w="9980" w:type="dxa"/>
            <w:vAlign w:val="bottom"/>
            <w:tcBorders>
              <w:bottom w:val="single" w:sz="8" w:color="58595B"/>
            </w:tcBorders>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420" w:type="dxa"/>
            <w:vAlign w:val="bottom"/>
          </w:tcPr>
          <w:p>
            <w:pPr>
              <w:spacing w:after="0" w:line="128" w:lineRule="exact"/>
              <w:rPr>
                <w:sz w:val="20"/>
                <w:szCs w:val="20"/>
                <w:color w:val="auto"/>
              </w:rPr>
            </w:pPr>
            <w:r>
              <w:rPr>
                <w:rFonts w:ascii="Arial" w:cs="Arial" w:eastAsia="Arial" w:hAnsi="Arial"/>
                <w:sz w:val="14"/>
                <w:szCs w:val="14"/>
                <w:b w:val="1"/>
                <w:bCs w:val="1"/>
                <w:color w:val="BB1131"/>
              </w:rPr>
              <w:t>ORIGINS</w:t>
            </w:r>
          </w:p>
        </w:tc>
        <w:tc>
          <w:tcPr>
            <w:tcW w:w="9980" w:type="dxa"/>
            <w:vAlign w:val="bottom"/>
            <w:gridSpan w:val="2"/>
          </w:tcPr>
          <w:p>
            <w:pPr>
              <w:ind w:left="140"/>
              <w:spacing w:after="0" w:line="128" w:lineRule="exact"/>
              <w:rPr>
                <w:sz w:val="20"/>
                <w:szCs w:val="20"/>
                <w:color w:val="auto"/>
              </w:rPr>
            </w:pPr>
            <w:r>
              <w:rPr>
                <w:rFonts w:ascii="Arial" w:cs="Arial" w:eastAsia="Arial" w:hAnsi="Arial"/>
                <w:sz w:val="12"/>
                <w:szCs w:val="12"/>
                <w:color w:val="auto"/>
              </w:rPr>
              <w:t>Weatherford has built a well-defined and outstanding industrial core based upon distinctive proprietary technologies and exceptional collective expertise. Since inception, we have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440" w:type="dxa"/>
            <w:vAlign w:val="bottom"/>
            <w:gridSpan w:val="2"/>
            <w:vMerge w:val="restart"/>
          </w:tcPr>
          <w:p>
            <w:pPr>
              <w:spacing w:after="0"/>
              <w:rPr>
                <w:sz w:val="20"/>
                <w:szCs w:val="20"/>
                <w:color w:val="auto"/>
              </w:rPr>
            </w:pPr>
            <w:r>
              <w:rPr>
                <w:rFonts w:ascii="Arial" w:cs="Arial" w:eastAsia="Arial" w:hAnsi="Arial"/>
                <w:sz w:val="16"/>
                <w:szCs w:val="16"/>
                <w:b w:val="1"/>
                <w:bCs w:val="1"/>
                <w:color w:val="BB1131"/>
              </w:rPr>
              <w:t>AND</w:t>
            </w:r>
          </w:p>
        </w:tc>
        <w:tc>
          <w:tcPr>
            <w:tcW w:w="9980" w:type="dxa"/>
            <w:vAlign w:val="bottom"/>
            <w:gridSpan w:val="2"/>
          </w:tcPr>
          <w:p>
            <w:pPr>
              <w:ind w:left="140"/>
              <w:spacing w:after="0" w:line="136" w:lineRule="exact"/>
              <w:rPr>
                <w:sz w:val="20"/>
                <w:szCs w:val="20"/>
                <w:color w:val="auto"/>
              </w:rPr>
            </w:pPr>
            <w:r>
              <w:rPr>
                <w:rFonts w:ascii="Arial" w:cs="Arial" w:eastAsia="Arial" w:hAnsi="Arial"/>
                <w:sz w:val="12"/>
                <w:szCs w:val="12"/>
                <w:color w:val="auto"/>
              </w:rPr>
              <w:t>focused on addressing the needs of production declines in mature fields and the rise of unconventional hydrocarbons while maintaining a strong strategic focus on preserving well</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440" w:type="dxa"/>
            <w:vAlign w:val="bottom"/>
            <w:gridSpan w:val="2"/>
            <w:vMerge w:val="continue"/>
          </w:tcPr>
          <w:p>
            <w:pPr>
              <w:spacing w:after="0"/>
              <w:rPr>
                <w:sz w:val="9"/>
                <w:szCs w:val="9"/>
                <w:color w:val="auto"/>
              </w:rPr>
            </w:pPr>
          </w:p>
        </w:tc>
        <w:tc>
          <w:tcPr>
            <w:tcW w:w="9980" w:type="dxa"/>
            <w:vAlign w:val="bottom"/>
            <w:gridSpan w:val="2"/>
          </w:tcPr>
          <w:p>
            <w:pPr>
              <w:ind w:left="140"/>
              <w:spacing w:after="0" w:line="112" w:lineRule="exact"/>
              <w:rPr>
                <w:sz w:val="20"/>
                <w:szCs w:val="20"/>
                <w:color w:val="auto"/>
              </w:rPr>
            </w:pPr>
            <w:r>
              <w:rPr>
                <w:rFonts w:ascii="Arial" w:cs="Arial" w:eastAsia="Arial" w:hAnsi="Arial"/>
                <w:sz w:val="12"/>
                <w:szCs w:val="12"/>
                <w:color w:val="auto"/>
              </w:rPr>
              <w:t>integrity. We were greatly rewarded for a long time, and growth around our specific industrial focus enabled Weatherford to develop into a multinational integrated oilfield service</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1440" w:type="dxa"/>
            <w:vAlign w:val="bottom"/>
            <w:tcBorders>
              <w:bottom w:val="single" w:sz="8" w:color="58595B"/>
            </w:tcBorders>
            <w:gridSpan w:val="2"/>
          </w:tcPr>
          <w:p>
            <w:pPr>
              <w:spacing w:after="0" w:line="174" w:lineRule="exact"/>
              <w:rPr>
                <w:sz w:val="20"/>
                <w:szCs w:val="20"/>
                <w:color w:val="auto"/>
              </w:rPr>
            </w:pPr>
            <w:r>
              <w:rPr>
                <w:rFonts w:ascii="Arial" w:cs="Arial" w:eastAsia="Arial" w:hAnsi="Arial"/>
                <w:sz w:val="16"/>
                <w:szCs w:val="16"/>
                <w:b w:val="1"/>
                <w:bCs w:val="1"/>
                <w:color w:val="BB1131"/>
              </w:rPr>
              <w:t>REWARDS</w:t>
            </w:r>
          </w:p>
        </w:tc>
        <w:tc>
          <w:tcPr>
            <w:tcW w:w="9980" w:type="dxa"/>
            <w:vAlign w:val="bottom"/>
            <w:tcBorders>
              <w:bottom w:val="single" w:sz="8" w:color="58595B"/>
            </w:tcBorders>
            <w:gridSpan w:val="2"/>
          </w:tcPr>
          <w:p>
            <w:pPr>
              <w:ind w:left="140"/>
              <w:spacing w:after="0"/>
              <w:rPr>
                <w:sz w:val="20"/>
                <w:szCs w:val="20"/>
                <w:color w:val="auto"/>
              </w:rPr>
            </w:pPr>
            <w:r>
              <w:rPr>
                <w:rFonts w:ascii="Arial" w:cs="Arial" w:eastAsia="Arial" w:hAnsi="Arial"/>
                <w:sz w:val="12"/>
                <w:szCs w:val="12"/>
                <w:color w:val="auto"/>
              </w:rPr>
              <w:t>provider in only a quarter of a century. This course was rewarding to shareholders, customers and employees.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440" w:type="dxa"/>
            <w:vAlign w:val="bottom"/>
            <w:gridSpan w:val="2"/>
          </w:tcPr>
          <w:p>
            <w:pPr>
              <w:spacing w:after="0" w:line="128" w:lineRule="exact"/>
              <w:rPr>
                <w:sz w:val="20"/>
                <w:szCs w:val="20"/>
                <w:color w:val="auto"/>
              </w:rPr>
            </w:pPr>
            <w:r>
              <w:rPr>
                <w:rFonts w:ascii="Arial" w:cs="Arial" w:eastAsia="Arial" w:hAnsi="Arial"/>
                <w:sz w:val="14"/>
                <w:szCs w:val="14"/>
                <w:b w:val="1"/>
                <w:bCs w:val="1"/>
                <w:color w:val="BB1131"/>
              </w:rPr>
              <w:t>OUR</w:t>
            </w:r>
          </w:p>
        </w:tc>
        <w:tc>
          <w:tcPr>
            <w:tcW w:w="9980" w:type="dxa"/>
            <w:vAlign w:val="bottom"/>
            <w:gridSpan w:val="2"/>
          </w:tcPr>
          <w:p>
            <w:pPr>
              <w:ind w:left="140"/>
              <w:spacing w:after="0" w:line="128" w:lineRule="exact"/>
              <w:rPr>
                <w:sz w:val="20"/>
                <w:szCs w:val="20"/>
                <w:color w:val="auto"/>
              </w:rPr>
            </w:pPr>
            <w:r>
              <w:rPr>
                <w:rFonts w:ascii="Arial" w:cs="Arial" w:eastAsia="Arial" w:hAnsi="Arial"/>
                <w:sz w:val="12"/>
                <w:szCs w:val="12"/>
                <w:color w:val="auto"/>
              </w:rPr>
              <w:t>Along the way we experienced serious difficulties and setbacks. We lost our industrial bearing and implications of scale were not well managed. As a result, the years 2011 and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440" w:type="dxa"/>
            <w:vAlign w:val="bottom"/>
            <w:gridSpan w:val="2"/>
            <w:vMerge w:val="restart"/>
          </w:tcPr>
          <w:p>
            <w:pPr>
              <w:spacing w:after="0"/>
              <w:rPr>
                <w:sz w:val="20"/>
                <w:szCs w:val="20"/>
                <w:color w:val="auto"/>
              </w:rPr>
            </w:pPr>
            <w:r>
              <w:rPr>
                <w:rFonts w:ascii="Arial" w:cs="Arial" w:eastAsia="Arial" w:hAnsi="Arial"/>
                <w:sz w:val="16"/>
                <w:szCs w:val="16"/>
                <w:b w:val="1"/>
                <w:bCs w:val="1"/>
                <w:color w:val="BB1131"/>
              </w:rPr>
              <w:t>CHALLENGES</w:t>
            </w:r>
          </w:p>
        </w:tc>
        <w:tc>
          <w:tcPr>
            <w:tcW w:w="9980" w:type="dxa"/>
            <w:vAlign w:val="bottom"/>
            <w:gridSpan w:val="2"/>
          </w:tcPr>
          <w:p>
            <w:pPr>
              <w:ind w:left="140"/>
              <w:spacing w:after="0" w:line="136" w:lineRule="exact"/>
              <w:rPr>
                <w:sz w:val="20"/>
                <w:szCs w:val="20"/>
                <w:color w:val="auto"/>
              </w:rPr>
            </w:pPr>
            <w:r>
              <w:rPr>
                <w:rFonts w:ascii="Arial" w:cs="Arial" w:eastAsia="Arial" w:hAnsi="Arial"/>
                <w:sz w:val="12"/>
                <w:szCs w:val="12"/>
                <w:color w:val="auto"/>
              </w:rPr>
              <w:t>2012 were a very punitive time for our organization and for you, our shareholders. The cause and effect was clearly understood by the Board and your management. We guided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440" w:type="dxa"/>
            <w:vAlign w:val="bottom"/>
            <w:gridSpan w:val="2"/>
            <w:vMerge w:val="continue"/>
          </w:tcPr>
          <w:p>
            <w:pPr>
              <w:spacing w:after="0"/>
              <w:rPr>
                <w:sz w:val="9"/>
                <w:szCs w:val="9"/>
                <w:color w:val="auto"/>
              </w:rPr>
            </w:pPr>
          </w:p>
        </w:tc>
        <w:tc>
          <w:tcPr>
            <w:tcW w:w="9980" w:type="dxa"/>
            <w:vAlign w:val="bottom"/>
            <w:gridSpan w:val="2"/>
            <w:vMerge w:val="restart"/>
          </w:tcPr>
          <w:p>
            <w:pPr>
              <w:ind w:left="140"/>
              <w:spacing w:after="0" w:line="137" w:lineRule="exact"/>
              <w:rPr>
                <w:sz w:val="20"/>
                <w:szCs w:val="20"/>
                <w:color w:val="auto"/>
              </w:rPr>
            </w:pPr>
            <w:r>
              <w:rPr>
                <w:rFonts w:ascii="Arial" w:cs="Arial" w:eastAsia="Arial" w:hAnsi="Arial"/>
                <w:sz w:val="12"/>
                <w:szCs w:val="12"/>
                <w:color w:val="auto"/>
              </w:rPr>
              <w:t>ourselves through the turbulence and, as soon as it became possible, we focused on a turnaround of our Company.</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420" w:type="dxa"/>
            <w:vAlign w:val="bottom"/>
            <w:tcBorders>
              <w:bottom w:val="single" w:sz="8" w:color="58595B"/>
            </w:tcBorders>
          </w:tcPr>
          <w:p>
            <w:pPr>
              <w:spacing w:after="0"/>
              <w:rPr>
                <w:sz w:val="2"/>
                <w:szCs w:val="2"/>
                <w:color w:val="auto"/>
              </w:rPr>
            </w:pPr>
          </w:p>
        </w:tc>
        <w:tc>
          <w:tcPr>
            <w:tcW w:w="9980" w:type="dxa"/>
            <w:vAlign w:val="bottom"/>
            <w:tcBorders>
              <w:bottom w:val="single" w:sz="8" w:color="58595B"/>
            </w:tcBorders>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420" w:type="dxa"/>
            <w:vAlign w:val="bottom"/>
          </w:tcPr>
          <w:p>
            <w:pPr>
              <w:spacing w:after="0" w:line="128" w:lineRule="exact"/>
              <w:rPr>
                <w:sz w:val="20"/>
                <w:szCs w:val="20"/>
                <w:color w:val="auto"/>
              </w:rPr>
            </w:pPr>
            <w:r>
              <w:rPr>
                <w:rFonts w:ascii="Arial" w:cs="Arial" w:eastAsia="Arial" w:hAnsi="Arial"/>
                <w:sz w:val="14"/>
                <w:szCs w:val="14"/>
                <w:b w:val="1"/>
                <w:bCs w:val="1"/>
                <w:color w:val="BB1131"/>
              </w:rPr>
              <w:t>OUR</w:t>
            </w:r>
          </w:p>
        </w:tc>
        <w:tc>
          <w:tcPr>
            <w:tcW w:w="9980" w:type="dxa"/>
            <w:vAlign w:val="bottom"/>
            <w:gridSpan w:val="2"/>
          </w:tcPr>
          <w:p>
            <w:pPr>
              <w:ind w:left="140"/>
              <w:spacing w:after="0" w:line="128" w:lineRule="exact"/>
              <w:rPr>
                <w:sz w:val="20"/>
                <w:szCs w:val="20"/>
                <w:color w:val="auto"/>
              </w:rPr>
            </w:pPr>
            <w:r>
              <w:rPr>
                <w:rFonts w:ascii="Arial" w:cs="Arial" w:eastAsia="Arial" w:hAnsi="Arial"/>
                <w:sz w:val="12"/>
                <w:szCs w:val="12"/>
                <w:color w:val="auto"/>
              </w:rPr>
              <w:t>Today, while remaining dedicated to our industrial vision and entrepreneurial spirit, we have reemerged a stronger and better Company. After a constructive year in 2013 of closing</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40" w:type="dxa"/>
            <w:vAlign w:val="bottom"/>
            <w:gridSpan w:val="2"/>
            <w:vMerge w:val="restart"/>
          </w:tcPr>
          <w:p>
            <w:pPr>
              <w:spacing w:after="0"/>
              <w:rPr>
                <w:sz w:val="20"/>
                <w:szCs w:val="20"/>
                <w:color w:val="auto"/>
              </w:rPr>
            </w:pPr>
            <w:r>
              <w:rPr>
                <w:rFonts w:ascii="Arial" w:cs="Arial" w:eastAsia="Arial" w:hAnsi="Arial"/>
                <w:sz w:val="16"/>
                <w:szCs w:val="16"/>
                <w:b w:val="1"/>
                <w:bCs w:val="1"/>
                <w:color w:val="BB1131"/>
              </w:rPr>
              <w:t>OPPORTUNITIES</w:t>
            </w:r>
          </w:p>
        </w:tc>
        <w:tc>
          <w:tcPr>
            <w:tcW w:w="9980" w:type="dxa"/>
            <w:vAlign w:val="bottom"/>
            <w:gridSpan w:val="2"/>
          </w:tcPr>
          <w:p>
            <w:pPr>
              <w:ind w:left="140"/>
              <w:spacing w:after="0"/>
              <w:rPr>
                <w:sz w:val="20"/>
                <w:szCs w:val="20"/>
                <w:color w:val="auto"/>
              </w:rPr>
            </w:pPr>
            <w:r>
              <w:rPr>
                <w:rFonts w:ascii="Arial" w:cs="Arial" w:eastAsia="Arial" w:hAnsi="Arial"/>
                <w:sz w:val="12"/>
                <w:szCs w:val="12"/>
                <w:color w:val="auto"/>
              </w:rPr>
              <w:t>critical problems, we have come forth with a clear and disciplined focus on Core, Cost and Cash, all of which should deliver significant shareholder value.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tcBorders>
              <w:bottom w:val="single" w:sz="8" w:color="58595B"/>
            </w:tcBorders>
            <w:gridSpan w:val="2"/>
            <w:vMerge w:val="continue"/>
          </w:tcPr>
          <w:p>
            <w:pPr>
              <w:spacing w:after="0"/>
              <w:rPr>
                <w:sz w:val="7"/>
                <w:szCs w:val="7"/>
                <w:color w:val="auto"/>
              </w:rPr>
            </w:pPr>
          </w:p>
        </w:tc>
        <w:tc>
          <w:tcPr>
            <w:tcW w:w="3060" w:type="dxa"/>
            <w:vAlign w:val="bottom"/>
            <w:tcBorders>
              <w:bottom w:val="single" w:sz="8" w:color="58595B"/>
            </w:tcBorders>
          </w:tcPr>
          <w:p>
            <w:pPr>
              <w:spacing w:after="0"/>
              <w:rPr>
                <w:sz w:val="7"/>
                <w:szCs w:val="7"/>
                <w:color w:val="auto"/>
              </w:rPr>
            </w:pPr>
          </w:p>
        </w:tc>
        <w:tc>
          <w:tcPr>
            <w:tcW w:w="6920" w:type="dxa"/>
            <w:vAlign w:val="bottom"/>
            <w:tcBorders>
              <w:bottom w:val="single" w:sz="8" w:color="58595B"/>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1440" w:type="dxa"/>
            <w:vAlign w:val="bottom"/>
            <w:gridSpan w:val="2"/>
          </w:tcPr>
          <w:p>
            <w:pPr>
              <w:spacing w:after="0" w:line="128" w:lineRule="exact"/>
              <w:rPr>
                <w:sz w:val="20"/>
                <w:szCs w:val="20"/>
                <w:color w:val="auto"/>
              </w:rPr>
            </w:pPr>
            <w:r>
              <w:rPr>
                <w:rFonts w:ascii="Arial" w:cs="Arial" w:eastAsia="Arial" w:hAnsi="Arial"/>
                <w:sz w:val="14"/>
                <w:szCs w:val="14"/>
                <w:b w:val="1"/>
                <w:bCs w:val="1"/>
                <w:color w:val="BB1131"/>
              </w:rPr>
              <w:t>OUR</w:t>
            </w:r>
          </w:p>
        </w:tc>
        <w:tc>
          <w:tcPr>
            <w:tcW w:w="9980" w:type="dxa"/>
            <w:vAlign w:val="bottom"/>
            <w:gridSpan w:val="2"/>
          </w:tcPr>
          <w:p>
            <w:pPr>
              <w:ind w:left="140"/>
              <w:spacing w:after="0" w:line="128" w:lineRule="exact"/>
              <w:rPr>
                <w:sz w:val="20"/>
                <w:szCs w:val="20"/>
                <w:color w:val="auto"/>
              </w:rPr>
            </w:pPr>
            <w:r>
              <w:rPr>
                <w:rFonts w:ascii="Arial" w:cs="Arial" w:eastAsia="Arial" w:hAnsi="Arial"/>
                <w:sz w:val="12"/>
                <w:szCs w:val="12"/>
                <w:color w:val="auto"/>
              </w:rPr>
              <w:t>The joint effect of divesting non-core businesses and lowering our cost structure is simple and powerful. We are focused on generating free cash flow, efficiently managing working</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440" w:type="dxa"/>
            <w:vAlign w:val="bottom"/>
            <w:gridSpan w:val="2"/>
            <w:vMerge w:val="restart"/>
          </w:tcPr>
          <w:p>
            <w:pPr>
              <w:spacing w:after="0"/>
              <w:rPr>
                <w:sz w:val="20"/>
                <w:szCs w:val="20"/>
                <w:color w:val="auto"/>
              </w:rPr>
            </w:pPr>
            <w:r>
              <w:rPr>
                <w:rFonts w:ascii="Arial" w:cs="Arial" w:eastAsia="Arial" w:hAnsi="Arial"/>
                <w:sz w:val="16"/>
                <w:szCs w:val="16"/>
                <w:b w:val="1"/>
                <w:bCs w:val="1"/>
                <w:color w:val="BB1131"/>
              </w:rPr>
              <w:t>DELIVERY</w:t>
            </w:r>
          </w:p>
        </w:tc>
        <w:tc>
          <w:tcPr>
            <w:tcW w:w="9980" w:type="dxa"/>
            <w:vAlign w:val="bottom"/>
            <w:gridSpan w:val="2"/>
          </w:tcPr>
          <w:p>
            <w:pPr>
              <w:ind w:left="140"/>
              <w:spacing w:after="0" w:line="136" w:lineRule="exact"/>
              <w:rPr>
                <w:sz w:val="20"/>
                <w:szCs w:val="20"/>
                <w:color w:val="auto"/>
              </w:rPr>
            </w:pPr>
            <w:r>
              <w:rPr>
                <w:rFonts w:ascii="Arial" w:cs="Arial" w:eastAsia="Arial" w:hAnsi="Arial"/>
                <w:sz w:val="12"/>
                <w:szCs w:val="12"/>
                <w:color w:val="auto"/>
              </w:rPr>
              <w:t>capital and lowering capital intensity while growing our core business. We believe that our team’s efforts and our strategy will serve as a strong catalyst for improved and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440" w:type="dxa"/>
            <w:vAlign w:val="bottom"/>
            <w:gridSpan w:val="2"/>
            <w:vMerge w:val="continue"/>
          </w:tcPr>
          <w:p>
            <w:pPr>
              <w:spacing w:after="0"/>
              <w:rPr>
                <w:sz w:val="9"/>
                <w:szCs w:val="9"/>
                <w:color w:val="auto"/>
              </w:rPr>
            </w:pPr>
          </w:p>
        </w:tc>
        <w:tc>
          <w:tcPr>
            <w:tcW w:w="9980" w:type="dxa"/>
            <w:vAlign w:val="bottom"/>
            <w:gridSpan w:val="2"/>
            <w:vMerge w:val="restart"/>
          </w:tcPr>
          <w:p>
            <w:pPr>
              <w:ind w:left="140"/>
              <w:spacing w:after="0" w:line="137" w:lineRule="exact"/>
              <w:rPr>
                <w:sz w:val="20"/>
                <w:szCs w:val="20"/>
                <w:color w:val="auto"/>
              </w:rPr>
            </w:pPr>
            <w:r>
              <w:rPr>
                <w:rFonts w:ascii="Arial" w:cs="Arial" w:eastAsia="Arial" w:hAnsi="Arial"/>
                <w:sz w:val="12"/>
                <w:szCs w:val="12"/>
                <w:color w:val="auto"/>
              </w:rPr>
              <w:t>sustainable shareholder returns.</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420" w:type="dxa"/>
            <w:vAlign w:val="bottom"/>
            <w:tcBorders>
              <w:bottom w:val="single" w:sz="8" w:color="58595B"/>
            </w:tcBorders>
          </w:tcPr>
          <w:p>
            <w:pPr>
              <w:spacing w:after="0"/>
              <w:rPr>
                <w:sz w:val="2"/>
                <w:szCs w:val="2"/>
                <w:color w:val="auto"/>
              </w:rPr>
            </w:pPr>
          </w:p>
        </w:tc>
        <w:tc>
          <w:tcPr>
            <w:tcW w:w="9980" w:type="dxa"/>
            <w:vAlign w:val="bottom"/>
            <w:tcBorders>
              <w:bottom w:val="single" w:sz="8" w:color="58595B"/>
            </w:tcBorders>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598"/>
        </w:trPr>
        <w:tc>
          <w:tcPr>
            <w:tcW w:w="20" w:type="dxa"/>
            <w:vAlign w:val="bottom"/>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3060" w:type="dxa"/>
            <w:vAlign w:val="bottom"/>
            <w:tcBorders>
              <w:bottom w:val="single" w:sz="8" w:color="808080"/>
            </w:tcBorders>
          </w:tcPr>
          <w:p>
            <w:pPr>
              <w:spacing w:after="0"/>
              <w:rPr>
                <w:sz w:val="24"/>
                <w:szCs w:val="24"/>
                <w:color w:val="auto"/>
              </w:rPr>
            </w:pPr>
          </w:p>
        </w:tc>
        <w:tc>
          <w:tcPr>
            <w:tcW w:w="69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-3304540</wp:posOffset>
            </wp:positionV>
            <wp:extent cx="7278370" cy="32988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8370" cy="3298825"/>
                    </a:xfrm>
                    <a:prstGeom prst="rect">
                      <a:avLst/>
                    </a:prstGeom>
                    <a:noFill/>
                  </pic:spPr>
                </pic:pic>
              </a:graphicData>
            </a:graphic>
          </wp:anchor>
        </w:drawing>
      </w:r>
    </w:p>
    <w:p>
      <w:pPr>
        <w:sectPr>
          <w:pgSz w:w="11900" w:h="16838" w:orient="portrait"/>
          <w:cols w:equalWidth="0" w:num="1">
            <w:col w:w="11460"/>
          </w:cols>
          <w:pgMar w:left="240" w:top="563" w:right="19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BB1131"/>
        </w:rPr>
        <w:t>Our Direction – Core, Cost and Cash</w:t>
      </w:r>
    </w:p>
    <w:p>
      <w:pPr>
        <w:spacing w:after="0" w:line="224" w:lineRule="exact"/>
        <w:rPr>
          <w:sz w:val="20"/>
          <w:szCs w:val="20"/>
          <w:color w:val="auto"/>
        </w:rPr>
      </w:pPr>
    </w:p>
    <w:p>
      <w:pPr>
        <w:ind w:right="400"/>
        <w:spacing w:after="0" w:line="254" w:lineRule="auto"/>
        <w:rPr>
          <w:sz w:val="20"/>
          <w:szCs w:val="20"/>
          <w:color w:val="auto"/>
        </w:rPr>
      </w:pPr>
      <w:r>
        <w:rPr>
          <w:rFonts w:ascii="Arial" w:cs="Arial" w:eastAsia="Arial" w:hAnsi="Arial"/>
          <w:sz w:val="16"/>
          <w:szCs w:val="16"/>
          <w:color w:val="auto"/>
        </w:rPr>
        <w:t xml:space="preserve">Weatherford has implemented measures intended to leverage and further develop our industrial strength, and place us on a long-term, financially rewarding path. We are committed to delivering sustainable high returns to shareholders through a steadfast focus on </w:t>
      </w:r>
      <w:r>
        <w:rPr>
          <w:rFonts w:ascii="Arial" w:cs="Arial" w:eastAsia="Arial" w:hAnsi="Arial"/>
          <w:sz w:val="16"/>
          <w:szCs w:val="16"/>
          <w:b w:val="1"/>
          <w:bCs w:val="1"/>
          <w:color w:val="BB1131"/>
        </w:rPr>
        <w:t>Core, Cost and Cash</w:t>
      </w:r>
      <w:r>
        <w:rPr>
          <w:rFonts w:ascii="Arial" w:cs="Arial" w:eastAsia="Arial" w:hAnsi="Arial"/>
          <w:sz w:val="16"/>
          <w:szCs w:val="16"/>
          <w:color w:val="auto"/>
        </w:rPr>
        <w: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0" w:type="dxa"/>
            <w:vAlign w:val="bottom"/>
            <w:tcBorders>
              <w:top w:val="single" w:sz="8" w:color="58595B"/>
            </w:tcBorders>
            <w:gridSpan w:val="2"/>
          </w:tcPr>
          <w:p>
            <w:pPr>
              <w:spacing w:after="0" w:line="173" w:lineRule="exact"/>
              <w:rPr>
                <w:sz w:val="20"/>
                <w:szCs w:val="20"/>
                <w:color w:val="auto"/>
              </w:rPr>
            </w:pPr>
            <w:r>
              <w:rPr>
                <w:rFonts w:ascii="Arial" w:cs="Arial" w:eastAsia="Arial" w:hAnsi="Arial"/>
                <w:sz w:val="16"/>
                <w:szCs w:val="16"/>
                <w:b w:val="1"/>
                <w:bCs w:val="1"/>
                <w:color w:val="BB1131"/>
              </w:rPr>
              <w:t>CORE</w:t>
            </w:r>
          </w:p>
        </w:tc>
        <w:tc>
          <w:tcPr>
            <w:tcW w:w="10820" w:type="dxa"/>
            <w:vAlign w:val="bottom"/>
            <w:tcBorders>
              <w:top w:val="single" w:sz="8" w:color="58595B"/>
            </w:tcBorders>
          </w:tcPr>
          <w:p>
            <w:pPr>
              <w:ind w:left="120"/>
              <w:spacing w:after="0"/>
              <w:rPr>
                <w:sz w:val="20"/>
                <w:szCs w:val="20"/>
                <w:color w:val="auto"/>
              </w:rPr>
            </w:pPr>
            <w:r>
              <w:rPr>
                <w:rFonts w:ascii="Arial" w:cs="Arial" w:eastAsia="Arial" w:hAnsi="Arial"/>
                <w:sz w:val="12"/>
                <w:szCs w:val="12"/>
                <w:b w:val="1"/>
                <w:bCs w:val="1"/>
                <w:color w:val="BB310E"/>
              </w:rPr>
              <w:t xml:space="preserve">The core consists of four product segments: Well Construction, Formation Evaluation, Completion and Artificial Lift, </w:t>
            </w:r>
            <w:r>
              <w:rPr>
                <w:rFonts w:ascii="Arial" w:cs="Arial" w:eastAsia="Arial" w:hAnsi="Arial"/>
                <w:sz w:val="12"/>
                <w:szCs w:val="12"/>
                <w:color w:val="000000"/>
              </w:rPr>
              <w:t>all of which we believe offer distinctive, specialized services to our</w:t>
            </w:r>
          </w:p>
        </w:tc>
        <w:tc>
          <w:tcPr>
            <w:tcW w:w="40" w:type="dxa"/>
            <w:vAlign w:val="bottom"/>
          </w:tcPr>
          <w:p>
            <w:pPr>
              <w:spacing w:after="0"/>
              <w:rPr>
                <w:sz w:val="15"/>
                <w:szCs w:val="15"/>
                <w:color w:val="auto"/>
              </w:rPr>
            </w:pPr>
          </w:p>
        </w:tc>
      </w:tr>
      <w:tr>
        <w:trPr>
          <w:trHeight w:val="137"/>
        </w:trPr>
        <w:tc>
          <w:tcPr>
            <w:tcW w:w="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820" w:type="dxa"/>
            <w:vAlign w:val="bottom"/>
            <w:tcBorders>
              <w:bottom w:val="single" w:sz="8" w:color="auto"/>
            </w:tcBorders>
          </w:tcPr>
          <w:p>
            <w:pPr>
              <w:ind w:left="120"/>
              <w:spacing w:after="0" w:line="137" w:lineRule="exact"/>
              <w:rPr>
                <w:sz w:val="20"/>
                <w:szCs w:val="20"/>
                <w:color w:val="auto"/>
              </w:rPr>
            </w:pPr>
            <w:r>
              <w:rPr>
                <w:rFonts w:ascii="Arial" w:cs="Arial" w:eastAsia="Arial" w:hAnsi="Arial"/>
                <w:sz w:val="12"/>
                <w:szCs w:val="12"/>
                <w:color w:val="auto"/>
              </w:rPr>
              <w:t>customers, have solid capital attributes, exceptional growth and margin profiles and an outstanding future.</w:t>
            </w:r>
          </w:p>
        </w:tc>
        <w:tc>
          <w:tcPr>
            <w:tcW w:w="40" w:type="dxa"/>
            <w:vAlign w:val="bottom"/>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4"/>
                <w:szCs w:val="14"/>
                <w:b w:val="1"/>
                <w:bCs w:val="1"/>
                <w:color w:val="BB310E"/>
              </w:rPr>
              <w:t>COST</w:t>
            </w:r>
          </w:p>
        </w:tc>
        <w:tc>
          <w:tcPr>
            <w:tcW w:w="10820" w:type="dxa"/>
            <w:vAlign w:val="bottom"/>
          </w:tcPr>
          <w:p>
            <w:pPr>
              <w:ind w:left="120"/>
              <w:spacing w:after="0" w:line="128" w:lineRule="exact"/>
              <w:rPr>
                <w:sz w:val="20"/>
                <w:szCs w:val="20"/>
                <w:color w:val="auto"/>
              </w:rPr>
            </w:pPr>
            <w:r>
              <w:rPr>
                <w:rFonts w:ascii="Arial" w:cs="Arial" w:eastAsia="Arial" w:hAnsi="Arial"/>
                <w:sz w:val="12"/>
                <w:szCs w:val="12"/>
                <w:b w:val="1"/>
                <w:bCs w:val="1"/>
                <w:color w:val="BB310E"/>
              </w:rPr>
              <w:t xml:space="preserve">Cost efficiency is now a way of life. </w:t>
            </w:r>
            <w:r>
              <w:rPr>
                <w:rFonts w:ascii="Arial" w:cs="Arial" w:eastAsia="Arial" w:hAnsi="Arial"/>
                <w:sz w:val="12"/>
                <w:szCs w:val="12"/>
                <w:color w:val="000000"/>
              </w:rPr>
              <w:t>Running support functions and operations with a lower cost structure, while maintaining a high quality of execution, is now an integral and established</w:t>
            </w:r>
          </w:p>
        </w:tc>
        <w:tc>
          <w:tcPr>
            <w:tcW w:w="40" w:type="dxa"/>
            <w:vAlign w:val="bottom"/>
          </w:tcPr>
          <w:p>
            <w:pPr>
              <w:spacing w:after="0"/>
              <w:rPr>
                <w:sz w:val="11"/>
                <w:szCs w:val="11"/>
                <w:color w:val="auto"/>
              </w:rPr>
            </w:pPr>
          </w:p>
        </w:tc>
      </w:tr>
      <w:tr>
        <w:trPr>
          <w:trHeight w:val="136"/>
        </w:trPr>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20" w:type="dxa"/>
            <w:vAlign w:val="bottom"/>
          </w:tcPr>
          <w:p>
            <w:pPr>
              <w:ind w:left="120"/>
              <w:spacing w:after="0" w:line="136" w:lineRule="exact"/>
              <w:rPr>
                <w:sz w:val="20"/>
                <w:szCs w:val="20"/>
                <w:color w:val="auto"/>
              </w:rPr>
            </w:pPr>
            <w:r>
              <w:rPr>
                <w:rFonts w:ascii="Arial" w:cs="Arial" w:eastAsia="Arial" w:hAnsi="Arial"/>
                <w:sz w:val="12"/>
                <w:szCs w:val="12"/>
                <w:color w:val="auto"/>
              </w:rPr>
              <w:t>Company metric. We are currently engaged in an aggressive cost reduction program, specifically involving decreasing headcount and streamlining operations. Weatherford is determined in our</w:t>
            </w:r>
          </w:p>
        </w:tc>
        <w:tc>
          <w:tcPr>
            <w:tcW w:w="40" w:type="dxa"/>
            <w:vAlign w:val="bottom"/>
          </w:tcPr>
          <w:p>
            <w:pPr>
              <w:spacing w:after="0"/>
              <w:rPr>
                <w:sz w:val="11"/>
                <w:szCs w:val="11"/>
                <w:color w:val="auto"/>
              </w:rPr>
            </w:pPr>
          </w:p>
        </w:tc>
      </w:tr>
      <w:tr>
        <w:trPr>
          <w:trHeight w:val="137"/>
        </w:trPr>
        <w:tc>
          <w:tcPr>
            <w:tcW w:w="20" w:type="dxa"/>
            <w:vAlign w:val="bottom"/>
          </w:tcPr>
          <w:p>
            <w:pPr>
              <w:spacing w:after="0"/>
              <w:rPr>
                <w:sz w:val="11"/>
                <w:szCs w:val="11"/>
                <w:color w:val="auto"/>
              </w:rPr>
            </w:pPr>
          </w:p>
        </w:tc>
        <w:tc>
          <w:tcPr>
            <w:tcW w:w="580" w:type="dxa"/>
            <w:vAlign w:val="bottom"/>
            <w:tcBorders>
              <w:bottom w:val="single" w:sz="8" w:color="58595B"/>
            </w:tcBorders>
          </w:tcPr>
          <w:p>
            <w:pPr>
              <w:spacing w:after="0"/>
              <w:rPr>
                <w:sz w:val="11"/>
                <w:szCs w:val="11"/>
                <w:color w:val="auto"/>
              </w:rPr>
            </w:pPr>
          </w:p>
        </w:tc>
        <w:tc>
          <w:tcPr>
            <w:tcW w:w="10820" w:type="dxa"/>
            <w:vAlign w:val="bottom"/>
            <w:tcBorders>
              <w:bottom w:val="single" w:sz="8" w:color="58595B"/>
            </w:tcBorders>
          </w:tcPr>
          <w:p>
            <w:pPr>
              <w:ind w:left="120"/>
              <w:spacing w:after="0" w:line="137" w:lineRule="exact"/>
              <w:rPr>
                <w:sz w:val="20"/>
                <w:szCs w:val="20"/>
                <w:color w:val="auto"/>
              </w:rPr>
            </w:pPr>
            <w:r>
              <w:rPr>
                <w:rFonts w:ascii="Arial" w:cs="Arial" w:eastAsia="Arial" w:hAnsi="Arial"/>
                <w:sz w:val="12"/>
                <w:szCs w:val="12"/>
                <w:color w:val="auto"/>
              </w:rPr>
              <w:t>commitment to keep the Company’s cost base efficient with an aim of driving better returns.</w:t>
            </w:r>
          </w:p>
        </w:tc>
        <w:tc>
          <w:tcPr>
            <w:tcW w:w="40" w:type="dxa"/>
            <w:vAlign w:val="bottom"/>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4"/>
                <w:szCs w:val="14"/>
                <w:b w:val="1"/>
                <w:bCs w:val="1"/>
                <w:color w:val="BB310E"/>
              </w:rPr>
              <w:t>CASH</w:t>
            </w:r>
          </w:p>
        </w:tc>
        <w:tc>
          <w:tcPr>
            <w:tcW w:w="10820" w:type="dxa"/>
            <w:vAlign w:val="bottom"/>
          </w:tcPr>
          <w:p>
            <w:pPr>
              <w:ind w:left="120"/>
              <w:spacing w:after="0" w:line="128" w:lineRule="exact"/>
              <w:rPr>
                <w:sz w:val="20"/>
                <w:szCs w:val="20"/>
                <w:color w:val="auto"/>
              </w:rPr>
            </w:pPr>
            <w:r>
              <w:rPr>
                <w:rFonts w:ascii="Arial" w:cs="Arial" w:eastAsia="Arial" w:hAnsi="Arial"/>
                <w:sz w:val="12"/>
                <w:szCs w:val="12"/>
                <w:b w:val="1"/>
                <w:bCs w:val="1"/>
                <w:color w:val="BB1131"/>
              </w:rPr>
              <w:t xml:space="preserve">A culture of cash is now embedded in Weatherford’s DNA. </w:t>
            </w:r>
            <w:r>
              <w:rPr>
                <w:rFonts w:ascii="Arial" w:cs="Arial" w:eastAsia="Arial" w:hAnsi="Arial"/>
                <w:sz w:val="12"/>
                <w:szCs w:val="12"/>
                <w:color w:val="000000"/>
              </w:rPr>
              <w:t>We are focused on generating free cash flow, efficiently managing working capital, and lowering capital intensity, all in a manner</w:t>
            </w:r>
          </w:p>
        </w:tc>
        <w:tc>
          <w:tcPr>
            <w:tcW w:w="40" w:type="dxa"/>
            <w:vAlign w:val="bottom"/>
          </w:tcPr>
          <w:p>
            <w:pPr>
              <w:spacing w:after="0"/>
              <w:rPr>
                <w:sz w:val="11"/>
                <w:szCs w:val="11"/>
                <w:color w:val="auto"/>
              </w:rPr>
            </w:pPr>
          </w:p>
        </w:tc>
      </w:tr>
      <w:tr>
        <w:trPr>
          <w:trHeight w:val="136"/>
        </w:trPr>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20" w:type="dxa"/>
            <w:vAlign w:val="bottom"/>
          </w:tcPr>
          <w:p>
            <w:pPr>
              <w:ind w:left="120"/>
              <w:spacing w:after="0" w:line="136" w:lineRule="exact"/>
              <w:rPr>
                <w:sz w:val="20"/>
                <w:szCs w:val="20"/>
                <w:color w:val="auto"/>
              </w:rPr>
            </w:pPr>
            <w:r>
              <w:rPr>
                <w:rFonts w:ascii="Arial" w:cs="Arial" w:eastAsia="Arial" w:hAnsi="Arial"/>
                <w:sz w:val="12"/>
                <w:szCs w:val="12"/>
                <w:color w:val="auto"/>
              </w:rPr>
              <w:t>compatible with growing the Company’s core. Weatherford’s continued objective is to reduce the ratio of net debt to total capitalization through growth and sustainable free cash flow,</w:t>
            </w:r>
          </w:p>
        </w:tc>
        <w:tc>
          <w:tcPr>
            <w:tcW w:w="40" w:type="dxa"/>
            <w:vAlign w:val="bottom"/>
          </w:tcPr>
          <w:p>
            <w:pPr>
              <w:spacing w:after="0"/>
              <w:rPr>
                <w:sz w:val="11"/>
                <w:szCs w:val="11"/>
                <w:color w:val="auto"/>
              </w:rPr>
            </w:pPr>
          </w:p>
        </w:tc>
      </w:tr>
      <w:tr>
        <w:trPr>
          <w:trHeight w:val="137"/>
        </w:trPr>
        <w:tc>
          <w:tcPr>
            <w:tcW w:w="20" w:type="dxa"/>
            <w:vAlign w:val="bottom"/>
          </w:tcPr>
          <w:p>
            <w:pPr>
              <w:spacing w:after="0"/>
              <w:rPr>
                <w:sz w:val="11"/>
                <w:szCs w:val="11"/>
                <w:color w:val="auto"/>
              </w:rPr>
            </w:pPr>
          </w:p>
        </w:tc>
        <w:tc>
          <w:tcPr>
            <w:tcW w:w="580" w:type="dxa"/>
            <w:vAlign w:val="bottom"/>
            <w:tcBorders>
              <w:bottom w:val="single" w:sz="8" w:color="58595B"/>
            </w:tcBorders>
          </w:tcPr>
          <w:p>
            <w:pPr>
              <w:spacing w:after="0"/>
              <w:rPr>
                <w:sz w:val="11"/>
                <w:szCs w:val="11"/>
                <w:color w:val="auto"/>
              </w:rPr>
            </w:pPr>
          </w:p>
        </w:tc>
        <w:tc>
          <w:tcPr>
            <w:tcW w:w="10820" w:type="dxa"/>
            <w:vAlign w:val="bottom"/>
            <w:tcBorders>
              <w:bottom w:val="single" w:sz="8" w:color="58595B"/>
            </w:tcBorders>
          </w:tcPr>
          <w:p>
            <w:pPr>
              <w:ind w:left="120"/>
              <w:spacing w:after="0" w:line="137" w:lineRule="exact"/>
              <w:rPr>
                <w:sz w:val="20"/>
                <w:szCs w:val="20"/>
                <w:color w:val="auto"/>
              </w:rPr>
            </w:pPr>
            <w:r>
              <w:rPr>
                <w:rFonts w:ascii="Arial" w:cs="Arial" w:eastAsia="Arial" w:hAnsi="Arial"/>
                <w:sz w:val="12"/>
                <w:szCs w:val="12"/>
                <w:color w:val="auto"/>
              </w:rPr>
              <w:t>complemented by our planned divestiture proceeds.</w:t>
            </w:r>
          </w:p>
        </w:tc>
        <w:tc>
          <w:tcPr>
            <w:tcW w:w="40" w:type="dxa"/>
            <w:vAlign w:val="bottom"/>
          </w:tcPr>
          <w:p>
            <w:pPr>
              <w:spacing w:after="0"/>
              <w:rPr>
                <w:sz w:val="11"/>
                <w:szCs w:val="11"/>
                <w:color w:val="auto"/>
              </w:rPr>
            </w:pPr>
          </w:p>
        </w:tc>
      </w:tr>
      <w:tr>
        <w:trPr>
          <w:trHeight w:val="5710"/>
        </w:trPr>
        <w:tc>
          <w:tcPr>
            <w:tcW w:w="20" w:type="dxa"/>
            <w:vAlign w:val="bottom"/>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08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-3375025</wp:posOffset>
            </wp:positionV>
            <wp:extent cx="7278370" cy="33693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8370" cy="3369310"/>
                    </a:xfrm>
                    <a:prstGeom prst="rect">
                      <a:avLst/>
                    </a:prstGeom>
                    <a:noFill/>
                  </pic:spPr>
                </pic:pic>
              </a:graphicData>
            </a:graphic>
          </wp:anchor>
        </w:drawing>
      </w:r>
    </w:p>
    <w:p>
      <w:pPr>
        <w:sectPr>
          <w:pgSz w:w="11900" w:h="16838" w:orient="portrait"/>
          <w:cols w:equalWidth="0" w:num="1">
            <w:col w:w="11460"/>
          </w:cols>
          <w:pgMar w:left="240" w:top="563" w:right="199" w:bottom="1440" w:gutter="0" w:footer="0" w:header="0"/>
        </w:sectPr>
      </w:pPr>
    </w:p>
    <w:bookmarkStart w:id="10" w:name="page11"/>
    <w:bookmarkEnd w:id="10"/>
    <w:p>
      <w:pPr>
        <w:ind w:left="1"/>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3286760" cy="9906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86760" cy="99060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5321"/>
        <w:spacing w:after="0"/>
        <w:rPr>
          <w:sz w:val="20"/>
          <w:szCs w:val="20"/>
          <w:color w:val="auto"/>
        </w:rPr>
      </w:pPr>
      <w:r>
        <w:rPr>
          <w:rFonts w:ascii="Arial" w:cs="Arial" w:eastAsia="Arial" w:hAnsi="Arial"/>
          <w:sz w:val="40"/>
          <w:szCs w:val="40"/>
          <w:b w:val="1"/>
          <w:bCs w:val="1"/>
          <w:color w:val="BB1131"/>
        </w:rPr>
        <w:t>COMPENSATION</w:t>
      </w:r>
    </w:p>
    <w:p>
      <w:pPr>
        <w:spacing w:after="0" w:line="51" w:lineRule="exact"/>
        <w:rPr>
          <w:sz w:val="20"/>
          <w:szCs w:val="20"/>
          <w:color w:val="auto"/>
        </w:rPr>
      </w:pPr>
    </w:p>
    <w:p>
      <w:pPr>
        <w:ind w:left="5321"/>
        <w:spacing w:after="0"/>
        <w:rPr>
          <w:sz w:val="20"/>
          <w:szCs w:val="20"/>
          <w:color w:val="auto"/>
        </w:rPr>
      </w:pPr>
      <w:r>
        <w:rPr>
          <w:rFonts w:ascii="Arial" w:cs="Arial" w:eastAsia="Arial" w:hAnsi="Arial"/>
          <w:sz w:val="30"/>
          <w:szCs w:val="30"/>
          <w:color w:val="auto"/>
        </w:rPr>
        <w:t>HIGHLIGHTS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761" w:right="2920" w:hanging="131"/>
        <w:spacing w:after="0" w:line="236" w:lineRule="auto"/>
        <w:rPr>
          <w:sz w:val="20"/>
          <w:szCs w:val="20"/>
          <w:color w:val="auto"/>
        </w:rPr>
      </w:pPr>
      <w:r>
        <w:rPr>
          <w:rFonts w:ascii="Arial" w:cs="Arial" w:eastAsia="Arial" w:hAnsi="Arial"/>
          <w:sz w:val="30"/>
          <w:szCs w:val="30"/>
          <w:b w:val="1"/>
          <w:bCs w:val="1"/>
          <w:color w:val="BB1131"/>
        </w:rPr>
        <w:t>“</w:t>
      </w:r>
      <w:r>
        <w:rPr>
          <w:rFonts w:ascii="Arial" w:cs="Arial" w:eastAsia="Arial" w:hAnsi="Arial"/>
          <w:sz w:val="22"/>
          <w:szCs w:val="22"/>
          <w:b w:val="1"/>
          <w:bCs w:val="1"/>
          <w:color w:val="000000"/>
        </w:rPr>
        <w:t>Our executives’ compensation is based upon the Company’s</w:t>
      </w:r>
      <w:r>
        <w:rPr>
          <w:rFonts w:ascii="Arial" w:cs="Arial" w:eastAsia="Arial" w:hAnsi="Arial"/>
          <w:sz w:val="30"/>
          <w:szCs w:val="30"/>
          <w:b w:val="1"/>
          <w:bCs w:val="1"/>
          <w:color w:val="BB1131"/>
        </w:rPr>
        <w:t xml:space="preserve"> </w:t>
      </w:r>
      <w:r>
        <w:rPr>
          <w:rFonts w:ascii="Arial" w:cs="Arial" w:eastAsia="Arial" w:hAnsi="Arial"/>
          <w:sz w:val="22"/>
          <w:szCs w:val="22"/>
          <w:b w:val="1"/>
          <w:bCs w:val="1"/>
          <w:color w:val="000000"/>
        </w:rPr>
        <w:t>performance and the actions taken by each executive to contribute to that performance. We strive for transparency in aligning Company performance and pay. In fact, the performance targets our management seeks to achieve are identical to those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5370830</wp:posOffset>
            </wp:positionH>
            <wp:positionV relativeFrom="paragraph">
              <wp:posOffset>-882015</wp:posOffset>
            </wp:positionV>
            <wp:extent cx="1391920" cy="1942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91920" cy="1942465"/>
                    </a:xfrm>
                    <a:prstGeom prst="rect">
                      <a:avLst/>
                    </a:prstGeom>
                    <a:noFill/>
                  </pic:spPr>
                </pic:pic>
              </a:graphicData>
            </a:graphic>
          </wp:anchor>
        </w:drawing>
      </w:r>
    </w:p>
    <w:p>
      <w:pPr>
        <w:ind w:left="761"/>
        <w:spacing w:after="0"/>
        <w:rPr>
          <w:sz w:val="20"/>
          <w:szCs w:val="20"/>
          <w:color w:val="auto"/>
        </w:rPr>
      </w:pPr>
      <w:r>
        <w:rPr>
          <w:rFonts w:ascii="Arial" w:cs="Arial" w:eastAsia="Arial" w:hAnsi="Arial"/>
          <w:sz w:val="22"/>
          <w:szCs w:val="22"/>
          <w:b w:val="1"/>
          <w:bCs w:val="1"/>
          <w:color w:val="auto"/>
        </w:rPr>
        <w:t>we disclose to the public markets.</w:t>
      </w:r>
      <w:r>
        <w:rPr>
          <w:rFonts w:ascii="Arial" w:cs="Arial" w:eastAsia="Arial" w:hAnsi="Arial"/>
          <w:sz w:val="29"/>
          <w:szCs w:val="29"/>
          <w:b w:val="1"/>
          <w:bCs w:val="1"/>
          <w:color w:val="BB1131"/>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7660"/>
        <w:spacing w:after="0"/>
        <w:rPr>
          <w:sz w:val="20"/>
          <w:szCs w:val="20"/>
          <w:color w:val="auto"/>
        </w:rPr>
      </w:pPr>
      <w:r>
        <w:rPr>
          <w:rFonts w:ascii="Arial" w:cs="Arial" w:eastAsia="Arial" w:hAnsi="Arial"/>
          <w:sz w:val="12"/>
          <w:szCs w:val="12"/>
          <w:color w:val="auto"/>
        </w:rPr>
        <w:t>William E. Macaulay</w:t>
      </w:r>
    </w:p>
    <w:p>
      <w:pPr>
        <w:jc w:val="center"/>
        <w:ind w:left="7660"/>
        <w:spacing w:after="0"/>
        <w:rPr>
          <w:sz w:val="20"/>
          <w:szCs w:val="20"/>
          <w:color w:val="auto"/>
        </w:rPr>
      </w:pPr>
      <w:r>
        <w:rPr>
          <w:rFonts w:ascii="Arial" w:cs="Arial" w:eastAsia="Arial" w:hAnsi="Arial"/>
          <w:sz w:val="12"/>
          <w:szCs w:val="12"/>
          <w:color w:val="auto"/>
        </w:rPr>
        <w:t>Chairman,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408305</wp:posOffset>
            </wp:positionV>
            <wp:extent cx="4340860" cy="8337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340860" cy="833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860"/>
        <w:spacing w:after="0"/>
        <w:rPr>
          <w:sz w:val="20"/>
          <w:szCs w:val="20"/>
          <w:color w:val="auto"/>
        </w:rPr>
      </w:pPr>
      <w:r>
        <w:rPr>
          <w:rFonts w:ascii="Arial" w:cs="Arial" w:eastAsia="Arial" w:hAnsi="Arial"/>
          <w:sz w:val="22"/>
          <w:szCs w:val="22"/>
          <w:b w:val="1"/>
          <w:bCs w:val="1"/>
          <w:color w:val="BB1131"/>
        </w:rPr>
        <w:t>Proactive Approach</w:t>
      </w:r>
    </w:p>
    <w:p>
      <w:pPr>
        <w:spacing w:after="0" w:line="36" w:lineRule="exact"/>
        <w:rPr>
          <w:sz w:val="20"/>
          <w:szCs w:val="20"/>
          <w:color w:val="auto"/>
        </w:rPr>
      </w:pPr>
    </w:p>
    <w:p>
      <w:pPr>
        <w:ind w:left="3361"/>
        <w:spacing w:after="0"/>
        <w:rPr>
          <w:sz w:val="20"/>
          <w:szCs w:val="20"/>
          <w:color w:val="auto"/>
        </w:rPr>
      </w:pPr>
      <w:r>
        <w:rPr>
          <w:rFonts w:ascii="Arial" w:cs="Arial" w:eastAsia="Arial" w:hAnsi="Arial"/>
          <w:sz w:val="12"/>
          <w:szCs w:val="12"/>
          <w:b w:val="1"/>
          <w:bCs w:val="1"/>
          <w:color w:val="BB1131"/>
        </w:rPr>
        <w:t>We maintain best governance practices with respect to executive compensation</w:t>
      </w:r>
    </w:p>
    <w:p>
      <w:pPr>
        <w:ind w:left="241" w:hanging="241"/>
        <w:spacing w:after="0" w:line="181" w:lineRule="auto"/>
        <w:tabs>
          <w:tab w:leader="none" w:pos="241" w:val="left"/>
        </w:tabs>
        <w:numPr>
          <w:ilvl w:val="0"/>
          <w:numId w:val="8"/>
        </w:numPr>
        <w:rPr>
          <w:rFonts w:ascii="Arial" w:cs="Arial" w:eastAsia="Arial" w:hAnsi="Arial"/>
          <w:sz w:val="17"/>
          <w:szCs w:val="17"/>
          <w:color w:val="BB1131"/>
          <w:vertAlign w:val="subscript"/>
        </w:rPr>
      </w:pPr>
      <w:r>
        <w:rPr>
          <w:rFonts w:ascii="Arial" w:cs="Arial" w:eastAsia="Arial" w:hAnsi="Arial"/>
          <w:sz w:val="9"/>
          <w:szCs w:val="9"/>
          <w:color w:val="auto"/>
        </w:rPr>
        <w:t>We engage in regular and ongoing dialogue with our shareholders and have improved our executive compensation program based on investor feedback.</w:t>
      </w:r>
    </w:p>
    <w:p>
      <w:pPr>
        <w:spacing w:after="0" w:line="49" w:lineRule="exact"/>
        <w:rPr>
          <w:rFonts w:ascii="Arial" w:cs="Arial" w:eastAsia="Arial" w:hAnsi="Arial"/>
          <w:sz w:val="17"/>
          <w:szCs w:val="17"/>
          <w:color w:val="BB1131"/>
          <w:vertAlign w:val="subscript"/>
        </w:rPr>
      </w:pPr>
    </w:p>
    <w:p>
      <w:pPr>
        <w:ind w:left="241" w:hanging="241"/>
        <w:spacing w:after="0" w:line="182" w:lineRule="auto"/>
        <w:tabs>
          <w:tab w:leader="none" w:pos="241" w:val="left"/>
        </w:tabs>
        <w:numPr>
          <w:ilvl w:val="0"/>
          <w:numId w:val="8"/>
        </w:numPr>
        <w:rPr>
          <w:rFonts w:ascii="Arial" w:cs="Arial" w:eastAsia="Arial" w:hAnsi="Arial"/>
          <w:sz w:val="17"/>
          <w:szCs w:val="17"/>
          <w:color w:val="BB1131"/>
          <w:vertAlign w:val="subscript"/>
        </w:rPr>
      </w:pPr>
      <w:r>
        <w:rPr>
          <w:rFonts w:ascii="Arial" w:cs="Arial" w:eastAsia="Arial" w:hAnsi="Arial"/>
          <w:sz w:val="9"/>
          <w:szCs w:val="9"/>
          <w:color w:val="auto"/>
        </w:rPr>
        <w:t>We have designed an executive compensation program that aligns executive interests with that of our shareholders.</w:t>
      </w:r>
    </w:p>
    <w:p>
      <w:pPr>
        <w:spacing w:after="0" w:line="49" w:lineRule="exact"/>
        <w:rPr>
          <w:rFonts w:ascii="Arial" w:cs="Arial" w:eastAsia="Arial" w:hAnsi="Arial"/>
          <w:sz w:val="17"/>
          <w:szCs w:val="17"/>
          <w:color w:val="BB1131"/>
          <w:vertAlign w:val="subscript"/>
        </w:rPr>
      </w:pPr>
    </w:p>
    <w:p>
      <w:pPr>
        <w:ind w:left="241" w:hanging="241"/>
        <w:spacing w:after="0" w:line="182" w:lineRule="auto"/>
        <w:tabs>
          <w:tab w:leader="none" w:pos="241" w:val="left"/>
        </w:tabs>
        <w:numPr>
          <w:ilvl w:val="0"/>
          <w:numId w:val="8"/>
        </w:numPr>
        <w:rPr>
          <w:rFonts w:ascii="Arial" w:cs="Arial" w:eastAsia="Arial" w:hAnsi="Arial"/>
          <w:sz w:val="17"/>
          <w:szCs w:val="17"/>
          <w:color w:val="BB1131"/>
          <w:vertAlign w:val="subscript"/>
        </w:rPr>
      </w:pPr>
      <w:r>
        <w:rPr>
          <w:rFonts w:ascii="Arial" w:cs="Arial" w:eastAsia="Arial" w:hAnsi="Arial"/>
          <w:sz w:val="9"/>
          <w:szCs w:val="9"/>
          <w:color w:val="auto"/>
        </w:rPr>
        <w:t>We have established sound practices and are committed to continually improving those practices in our executive compensation program.</w:t>
      </w:r>
    </w:p>
    <w:p>
      <w:pPr>
        <w:spacing w:after="0" w:line="49" w:lineRule="exact"/>
        <w:rPr>
          <w:rFonts w:ascii="Arial" w:cs="Arial" w:eastAsia="Arial" w:hAnsi="Arial"/>
          <w:sz w:val="17"/>
          <w:szCs w:val="17"/>
          <w:color w:val="BB1131"/>
          <w:vertAlign w:val="subscript"/>
        </w:rPr>
      </w:pPr>
    </w:p>
    <w:p>
      <w:pPr>
        <w:ind w:left="241" w:hanging="241"/>
        <w:spacing w:after="0" w:line="182" w:lineRule="auto"/>
        <w:tabs>
          <w:tab w:leader="none" w:pos="241" w:val="left"/>
        </w:tabs>
        <w:numPr>
          <w:ilvl w:val="0"/>
          <w:numId w:val="8"/>
        </w:numPr>
        <w:rPr>
          <w:rFonts w:ascii="Arial" w:cs="Arial" w:eastAsia="Arial" w:hAnsi="Arial"/>
          <w:sz w:val="17"/>
          <w:szCs w:val="17"/>
          <w:color w:val="BB1131"/>
          <w:vertAlign w:val="subscript"/>
        </w:rPr>
      </w:pPr>
      <w:r>
        <w:rPr>
          <w:rFonts w:ascii="Arial" w:cs="Arial" w:eastAsia="Arial" w:hAnsi="Arial"/>
          <w:sz w:val="9"/>
          <w:szCs w:val="9"/>
          <w:color w:val="auto"/>
        </w:rPr>
        <w:t>We avoid objectionable pay practices in our executive compensation program.</w:t>
      </w:r>
    </w:p>
    <w:p>
      <w:pPr>
        <w:spacing w:after="0" w:line="49" w:lineRule="exact"/>
        <w:rPr>
          <w:rFonts w:ascii="Arial" w:cs="Arial" w:eastAsia="Arial" w:hAnsi="Arial"/>
          <w:sz w:val="17"/>
          <w:szCs w:val="17"/>
          <w:color w:val="BB1131"/>
          <w:vertAlign w:val="subscript"/>
        </w:rPr>
      </w:pPr>
    </w:p>
    <w:p>
      <w:pPr>
        <w:ind w:left="241" w:hanging="241"/>
        <w:spacing w:after="0" w:line="182" w:lineRule="auto"/>
        <w:tabs>
          <w:tab w:leader="none" w:pos="241" w:val="left"/>
        </w:tabs>
        <w:numPr>
          <w:ilvl w:val="0"/>
          <w:numId w:val="8"/>
        </w:numPr>
        <w:rPr>
          <w:rFonts w:ascii="Arial" w:cs="Arial" w:eastAsia="Arial" w:hAnsi="Arial"/>
          <w:sz w:val="17"/>
          <w:szCs w:val="17"/>
          <w:color w:val="BB1131"/>
          <w:vertAlign w:val="subscript"/>
        </w:rPr>
      </w:pPr>
      <w:r>
        <w:rPr>
          <w:rFonts w:ascii="Arial" w:cs="Arial" w:eastAsia="Arial" w:hAnsi="Arial"/>
          <w:sz w:val="9"/>
          <w:szCs w:val="9"/>
          <w:color w:val="auto"/>
        </w:rPr>
        <w:t>We structure our executive compensation to align performance with pay.</w:t>
      </w:r>
    </w:p>
    <w:p>
      <w:pPr>
        <w:spacing w:after="0" w:line="200" w:lineRule="exact"/>
        <w:rPr>
          <w:sz w:val="20"/>
          <w:szCs w:val="20"/>
          <w:color w:val="auto"/>
        </w:rPr>
      </w:pPr>
    </w:p>
    <w:p>
      <w:pPr>
        <w:spacing w:after="0" w:line="297" w:lineRule="exact"/>
        <w:rPr>
          <w:sz w:val="20"/>
          <w:szCs w:val="20"/>
          <w:color w:val="auto"/>
        </w:rPr>
      </w:pPr>
    </w:p>
    <w:p>
      <w:pPr>
        <w:ind w:left="341" w:hanging="341"/>
        <w:spacing w:after="0"/>
        <w:tabs>
          <w:tab w:leader="none" w:pos="341" w:val="left"/>
        </w:tabs>
        <w:numPr>
          <w:ilvl w:val="0"/>
          <w:numId w:val="9"/>
        </w:numPr>
        <w:rPr>
          <w:rFonts w:ascii="Arial" w:cs="Arial" w:eastAsia="Arial" w:hAnsi="Arial"/>
          <w:sz w:val="12"/>
          <w:szCs w:val="12"/>
          <w:b w:val="1"/>
          <w:bCs w:val="1"/>
          <w:color w:val="auto"/>
        </w:rPr>
      </w:pPr>
      <w:r>
        <w:rPr>
          <w:rFonts w:ascii="Arial" w:cs="Arial" w:eastAsia="Arial" w:hAnsi="Arial"/>
          <w:sz w:val="12"/>
          <w:szCs w:val="12"/>
          <w:color w:val="auto"/>
        </w:rPr>
        <w:t>Weatherford International plc - 2014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8370" cy="2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561"/>
          </w:cols>
          <w:pgMar w:left="239" w:top="563" w:right="109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BB1131"/>
        </w:rPr>
        <w:t>2013 Performance Highlights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In 2013, we made significant progress, successfully accomplishing the following:</w:t>
      </w:r>
    </w:p>
    <w:p>
      <w:pPr>
        <w:spacing w:after="0" w:line="225" w:lineRule="exact"/>
        <w:rPr>
          <w:sz w:val="20"/>
          <w:szCs w:val="20"/>
          <w:color w:val="auto"/>
        </w:rPr>
      </w:pPr>
    </w:p>
    <w:p>
      <w:pPr>
        <w:ind w:left="700" w:right="4840"/>
        <w:spacing w:after="0" w:line="331" w:lineRule="auto"/>
        <w:rPr>
          <w:sz w:val="20"/>
          <w:szCs w:val="20"/>
          <w:color w:val="auto"/>
        </w:rPr>
      </w:pPr>
      <w:r>
        <w:rPr>
          <w:rFonts w:ascii="Arial" w:cs="Arial" w:eastAsia="Arial" w:hAnsi="Arial"/>
          <w:sz w:val="16"/>
          <w:szCs w:val="16"/>
          <w:color w:val="auto"/>
        </w:rPr>
        <w:t>remediating our material weakness in internal controls over income tax accounting; negotiating a settlement of our U.S. governmental investigations;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-296545</wp:posOffset>
            </wp:positionV>
            <wp:extent cx="64770" cy="647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770" cy="6477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-131445</wp:posOffset>
            </wp:positionV>
            <wp:extent cx="64770" cy="647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4770" cy="64770"/>
                    </a:xfrm>
                    <a:prstGeom prst="rect">
                      <a:avLst/>
                    </a:prstGeom>
                    <a:noFill/>
                  </pic:spPr>
                </pic:pic>
              </a:graphicData>
            </a:graphic>
          </wp:anchor>
        </w:drawing>
      </w:r>
    </w:p>
    <w:p>
      <w:pPr>
        <w:ind w:left="700" w:right="4000"/>
        <w:spacing w:after="0" w:line="339" w:lineRule="auto"/>
        <w:rPr>
          <w:sz w:val="20"/>
          <w:szCs w:val="20"/>
          <w:color w:val="auto"/>
        </w:rPr>
      </w:pPr>
      <w:r>
        <w:rPr>
          <w:rFonts w:ascii="Arial" w:cs="Arial" w:eastAsia="Arial" w:hAnsi="Arial"/>
          <w:sz w:val="16"/>
          <w:szCs w:val="16"/>
          <w:color w:val="auto"/>
        </w:rPr>
        <w:t>initiating and establishing a focus on cash and returns as a guiding principle and value system; commencing our divestiture program of non-core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-304800</wp:posOffset>
            </wp:positionV>
            <wp:extent cx="64770" cy="647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770" cy="6477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-139700</wp:posOffset>
            </wp:positionV>
            <wp:extent cx="64770" cy="647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770" cy="6477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6"/>
          <w:szCs w:val="16"/>
          <w:color w:val="auto"/>
        </w:rPr>
        <w:t>achieving significant improvement in our safety statistics over prior years;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-91440</wp:posOffset>
            </wp:positionV>
            <wp:extent cx="64770" cy="647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770" cy="64770"/>
                    </a:xfrm>
                    <a:prstGeom prst="rect">
                      <a:avLst/>
                    </a:prstGeom>
                    <a:noFill/>
                  </pic:spPr>
                </pic:pic>
              </a:graphicData>
            </a:graphic>
          </wp:anchor>
        </w:drawing>
      </w:r>
    </w:p>
    <w:p>
      <w:pPr>
        <w:spacing w:after="0" w:line="4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generating a 38% total shareholder return in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-91440</wp:posOffset>
            </wp:positionV>
            <wp:extent cx="64770" cy="647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4770" cy="64770"/>
                    </a:xfrm>
                    <a:prstGeom prst="rect">
                      <a:avLst/>
                    </a:prstGeom>
                    <a:noFill/>
                  </pic:spPr>
                </pic:pic>
              </a:graphicData>
            </a:graphic>
          </wp:anchor>
        </w:drawing>
      </w:r>
    </w:p>
    <w:p>
      <w:pPr>
        <w:spacing w:after="0" w:line="229" w:lineRule="exact"/>
        <w:rPr>
          <w:sz w:val="20"/>
          <w:szCs w:val="20"/>
          <w:color w:val="auto"/>
        </w:rPr>
      </w:pPr>
    </w:p>
    <w:p>
      <w:pPr>
        <w:ind w:right="820"/>
        <w:spacing w:after="0" w:line="254" w:lineRule="auto"/>
        <w:rPr>
          <w:sz w:val="20"/>
          <w:szCs w:val="20"/>
          <w:color w:val="auto"/>
        </w:rPr>
      </w:pPr>
      <w:r>
        <w:rPr>
          <w:rFonts w:ascii="Arial" w:cs="Arial" w:eastAsia="Arial" w:hAnsi="Arial"/>
          <w:sz w:val="16"/>
          <w:szCs w:val="16"/>
          <w:color w:val="auto"/>
        </w:rPr>
        <w:t>These achievements help propel Weatherford on a path of clear progression building towards improved capital efficiency, operational excellence, and administrative quality.</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b w:val="1"/>
          <w:bCs w:val="1"/>
          <w:color w:val="BB1131"/>
        </w:rPr>
        <w:t>Pay for Performance</w:t>
      </w:r>
    </w:p>
    <w:p>
      <w:pPr>
        <w:spacing w:after="0" w:line="224" w:lineRule="exact"/>
        <w:rPr>
          <w:sz w:val="20"/>
          <w:szCs w:val="20"/>
          <w:color w:val="auto"/>
        </w:rPr>
      </w:pPr>
    </w:p>
    <w:p>
      <w:pPr>
        <w:ind w:right="260"/>
        <w:spacing w:after="0" w:line="248" w:lineRule="auto"/>
        <w:rPr>
          <w:sz w:val="20"/>
          <w:szCs w:val="20"/>
          <w:color w:val="auto"/>
        </w:rPr>
      </w:pPr>
      <w:r>
        <w:rPr>
          <w:rFonts w:ascii="Arial" w:cs="Arial" w:eastAsia="Arial" w:hAnsi="Arial"/>
          <w:sz w:val="16"/>
          <w:szCs w:val="16"/>
          <w:color w:val="auto"/>
        </w:rPr>
        <w:t>Weatherford’s 2014 compensation program is designed to reward executives for financial and operational achievements which are aligned with shareholder interests. Our executive officers receive their maximum reward opportunity only if Weatherford performs exceptionally well, and our shareholders benefit from that performance.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00" w:type="dxa"/>
            <w:vAlign w:val="bottom"/>
          </w:tcPr>
          <w:p>
            <w:pPr>
              <w:ind w:left="140"/>
              <w:spacing w:after="0"/>
              <w:rPr>
                <w:sz w:val="20"/>
                <w:szCs w:val="20"/>
                <w:color w:val="auto"/>
              </w:rPr>
            </w:pPr>
            <w:r>
              <w:rPr>
                <w:rFonts w:ascii="Arial" w:cs="Arial" w:eastAsia="Arial" w:hAnsi="Arial"/>
                <w:sz w:val="16"/>
                <w:szCs w:val="16"/>
                <w:b w:val="1"/>
                <w:bCs w:val="1"/>
                <w:color w:val="BB1131"/>
              </w:rPr>
              <w:t>COMPENSATION</w:t>
            </w:r>
          </w:p>
        </w:tc>
        <w:tc>
          <w:tcPr>
            <w:tcW w:w="3480" w:type="dxa"/>
            <w:vAlign w:val="bottom"/>
            <w:vMerge w:val="restart"/>
          </w:tcPr>
          <w:p>
            <w:pPr>
              <w:ind w:left="1340"/>
              <w:spacing w:after="0"/>
              <w:rPr>
                <w:sz w:val="20"/>
                <w:szCs w:val="20"/>
                <w:color w:val="auto"/>
              </w:rPr>
            </w:pPr>
            <w:r>
              <w:rPr>
                <w:rFonts w:ascii="Arial" w:cs="Arial" w:eastAsia="Arial" w:hAnsi="Arial"/>
                <w:sz w:val="16"/>
                <w:szCs w:val="16"/>
                <w:b w:val="1"/>
                <w:bCs w:val="1"/>
                <w:color w:val="BB1131"/>
              </w:rPr>
              <w:t>OBJECTIVE</w:t>
            </w:r>
          </w:p>
        </w:tc>
        <w:tc>
          <w:tcPr>
            <w:tcW w:w="3600" w:type="dxa"/>
            <w:vAlign w:val="bottom"/>
            <w:vMerge w:val="restart"/>
          </w:tcPr>
          <w:p>
            <w:pPr>
              <w:ind w:left="1220"/>
              <w:spacing w:after="0"/>
              <w:rPr>
                <w:sz w:val="20"/>
                <w:szCs w:val="20"/>
                <w:color w:val="auto"/>
              </w:rPr>
            </w:pPr>
            <w:r>
              <w:rPr>
                <w:rFonts w:ascii="Arial" w:cs="Arial" w:eastAsia="Arial" w:hAnsi="Arial"/>
                <w:sz w:val="16"/>
                <w:szCs w:val="16"/>
                <w:b w:val="1"/>
                <w:bCs w:val="1"/>
                <w:color w:val="BB1131"/>
              </w:rPr>
              <w:t>KEY FEATURES</w:t>
            </w:r>
          </w:p>
        </w:tc>
        <w:tc>
          <w:tcPr>
            <w:tcW w:w="2740" w:type="dxa"/>
            <w:vAlign w:val="bottom"/>
          </w:tcPr>
          <w:p>
            <w:pPr>
              <w:ind w:left="740"/>
              <w:spacing w:after="0"/>
              <w:rPr>
                <w:sz w:val="20"/>
                <w:szCs w:val="20"/>
                <w:color w:val="auto"/>
              </w:rPr>
            </w:pPr>
            <w:r>
              <w:rPr>
                <w:rFonts w:ascii="Arial" w:cs="Arial" w:eastAsia="Arial" w:hAnsi="Arial"/>
                <w:sz w:val="16"/>
                <w:szCs w:val="16"/>
                <w:b w:val="1"/>
                <w:bCs w:val="1"/>
                <w:color w:val="BB1131"/>
              </w:rPr>
              <w:t>PERFORMANCE /</w:t>
            </w:r>
          </w:p>
        </w:tc>
        <w:tc>
          <w:tcPr>
            <w:tcW w:w="0" w:type="dxa"/>
            <w:vAlign w:val="bottom"/>
          </w:tcPr>
          <w:p>
            <w:pPr>
              <w:spacing w:after="0"/>
              <w:rPr>
                <w:sz w:val="1"/>
                <w:szCs w:val="1"/>
                <w:color w:val="auto"/>
              </w:rPr>
            </w:pPr>
          </w:p>
        </w:tc>
      </w:tr>
      <w:tr>
        <w:trPr>
          <w:trHeight w:val="115"/>
        </w:trPr>
        <w:tc>
          <w:tcPr>
            <w:tcW w:w="1600" w:type="dxa"/>
            <w:vAlign w:val="bottom"/>
            <w:vMerge w:val="restart"/>
          </w:tcPr>
          <w:p>
            <w:pPr>
              <w:ind w:left="420"/>
              <w:spacing w:after="0"/>
              <w:rPr>
                <w:sz w:val="20"/>
                <w:szCs w:val="20"/>
                <w:color w:val="auto"/>
              </w:rPr>
            </w:pPr>
            <w:r>
              <w:rPr>
                <w:rFonts w:ascii="Arial" w:cs="Arial" w:eastAsia="Arial" w:hAnsi="Arial"/>
                <w:sz w:val="16"/>
                <w:szCs w:val="16"/>
                <w:b w:val="1"/>
                <w:bCs w:val="1"/>
                <w:color w:val="BB1131"/>
              </w:rPr>
              <w:t>ELEMENT</w:t>
            </w:r>
          </w:p>
        </w:tc>
        <w:tc>
          <w:tcPr>
            <w:tcW w:w="3480" w:type="dxa"/>
            <w:vAlign w:val="bottom"/>
            <w:vMerge w:val="continue"/>
          </w:tcPr>
          <w:p>
            <w:pPr>
              <w:spacing w:after="0"/>
              <w:rPr>
                <w:sz w:val="9"/>
                <w:szCs w:val="9"/>
                <w:color w:val="auto"/>
              </w:rPr>
            </w:pPr>
          </w:p>
        </w:tc>
        <w:tc>
          <w:tcPr>
            <w:tcW w:w="3600" w:type="dxa"/>
            <w:vAlign w:val="bottom"/>
            <w:vMerge w:val="continue"/>
          </w:tcPr>
          <w:p>
            <w:pPr>
              <w:spacing w:after="0"/>
              <w:rPr>
                <w:sz w:val="9"/>
                <w:szCs w:val="9"/>
                <w:color w:val="auto"/>
              </w:rPr>
            </w:pPr>
          </w:p>
        </w:tc>
        <w:tc>
          <w:tcPr>
            <w:tcW w:w="2740" w:type="dxa"/>
            <w:vAlign w:val="bottom"/>
            <w:vMerge w:val="restart"/>
          </w:tcPr>
          <w:p>
            <w:pPr>
              <w:ind w:left="1060"/>
              <w:spacing w:after="0"/>
              <w:rPr>
                <w:sz w:val="20"/>
                <w:szCs w:val="20"/>
                <w:color w:val="auto"/>
              </w:rPr>
            </w:pPr>
            <w:r>
              <w:rPr>
                <w:rFonts w:ascii="Arial" w:cs="Arial" w:eastAsia="Arial" w:hAnsi="Arial"/>
                <w:sz w:val="16"/>
                <w:szCs w:val="16"/>
                <w:b w:val="1"/>
                <w:bCs w:val="1"/>
                <w:color w:val="BB1131"/>
              </w:rPr>
              <w:t>AT RISK?</w:t>
            </w:r>
          </w:p>
        </w:tc>
        <w:tc>
          <w:tcPr>
            <w:tcW w:w="0" w:type="dxa"/>
            <w:vAlign w:val="bottom"/>
          </w:tcPr>
          <w:p>
            <w:pPr>
              <w:spacing w:after="0"/>
              <w:rPr>
                <w:sz w:val="1"/>
                <w:szCs w:val="1"/>
                <w:color w:val="auto"/>
              </w:rPr>
            </w:pPr>
          </w:p>
        </w:tc>
      </w:tr>
      <w:tr>
        <w:trPr>
          <w:trHeight w:val="93"/>
        </w:trPr>
        <w:tc>
          <w:tcPr>
            <w:tcW w:w="1600" w:type="dxa"/>
            <w:vAlign w:val="bottom"/>
            <w:tcBorders>
              <w:bottom w:val="single" w:sz="8" w:color="58595B"/>
            </w:tcBorders>
            <w:vMerge w:val="continue"/>
          </w:tcPr>
          <w:p>
            <w:pPr>
              <w:spacing w:after="0"/>
              <w:rPr>
                <w:sz w:val="8"/>
                <w:szCs w:val="8"/>
                <w:color w:val="auto"/>
              </w:rPr>
            </w:pPr>
          </w:p>
        </w:tc>
        <w:tc>
          <w:tcPr>
            <w:tcW w:w="3480" w:type="dxa"/>
            <w:vAlign w:val="bottom"/>
            <w:tcBorders>
              <w:bottom w:val="single" w:sz="8" w:color="58595B"/>
            </w:tcBorders>
          </w:tcPr>
          <w:p>
            <w:pPr>
              <w:spacing w:after="0"/>
              <w:rPr>
                <w:sz w:val="8"/>
                <w:szCs w:val="8"/>
                <w:color w:val="auto"/>
              </w:rPr>
            </w:pPr>
          </w:p>
        </w:tc>
        <w:tc>
          <w:tcPr>
            <w:tcW w:w="3600" w:type="dxa"/>
            <w:vAlign w:val="bottom"/>
            <w:tcBorders>
              <w:bottom w:val="single" w:sz="8" w:color="58595B"/>
            </w:tcBorders>
          </w:tcPr>
          <w:p>
            <w:pPr>
              <w:spacing w:after="0"/>
              <w:rPr>
                <w:sz w:val="8"/>
                <w:szCs w:val="8"/>
                <w:color w:val="auto"/>
              </w:rPr>
            </w:pPr>
          </w:p>
        </w:tc>
        <w:tc>
          <w:tcPr>
            <w:tcW w:w="2740" w:type="dxa"/>
            <w:vAlign w:val="bottom"/>
            <w:tcBorders>
              <w:bottom w:val="single" w:sz="8" w:color="58595B"/>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600" w:type="dxa"/>
            <w:vAlign w:val="bottom"/>
          </w:tcPr>
          <w:p>
            <w:pPr>
              <w:spacing w:after="0"/>
              <w:rPr>
                <w:sz w:val="20"/>
                <w:szCs w:val="20"/>
                <w:color w:val="auto"/>
              </w:rPr>
            </w:pPr>
            <w:r>
              <w:rPr>
                <w:rFonts w:ascii="Arial" w:cs="Arial" w:eastAsia="Arial" w:hAnsi="Arial"/>
                <w:sz w:val="16"/>
                <w:szCs w:val="16"/>
                <w:color w:val="auto"/>
              </w:rPr>
              <w:t>Base Salary</w:t>
            </w:r>
          </w:p>
        </w:tc>
        <w:tc>
          <w:tcPr>
            <w:tcW w:w="3480" w:type="dxa"/>
            <w:vAlign w:val="bottom"/>
          </w:tcPr>
          <w:p>
            <w:pPr>
              <w:ind w:left="140"/>
              <w:spacing w:after="0"/>
              <w:rPr>
                <w:sz w:val="20"/>
                <w:szCs w:val="20"/>
                <w:color w:val="auto"/>
              </w:rPr>
            </w:pPr>
            <w:r>
              <w:rPr>
                <w:rFonts w:ascii="Arial" w:cs="Arial" w:eastAsia="Arial" w:hAnsi="Arial"/>
                <w:sz w:val="16"/>
                <w:szCs w:val="16"/>
                <w:color w:val="auto"/>
              </w:rPr>
              <w:t>Reflects executive responsibilities, job</w:t>
            </w:r>
          </w:p>
        </w:tc>
        <w:tc>
          <w:tcPr>
            <w:tcW w:w="3600" w:type="dxa"/>
            <w:vAlign w:val="bottom"/>
          </w:tcPr>
          <w:p>
            <w:pPr>
              <w:ind w:left="120"/>
              <w:spacing w:after="0"/>
              <w:rPr>
                <w:sz w:val="20"/>
                <w:szCs w:val="20"/>
                <w:color w:val="auto"/>
              </w:rPr>
            </w:pPr>
            <w:r>
              <w:rPr>
                <w:rFonts w:ascii="Arial" w:cs="Arial" w:eastAsia="Arial" w:hAnsi="Arial"/>
                <w:sz w:val="16"/>
                <w:szCs w:val="16"/>
                <w:color w:val="auto"/>
              </w:rPr>
              <w:t>Reviewed annually and subject to adjustment</w:t>
            </w:r>
          </w:p>
        </w:tc>
        <w:tc>
          <w:tcPr>
            <w:tcW w:w="2740" w:type="dxa"/>
            <w:vAlign w:val="bottom"/>
          </w:tcPr>
          <w:p>
            <w:pPr>
              <w:ind w:left="100"/>
              <w:spacing w:after="0"/>
              <w:rPr>
                <w:sz w:val="20"/>
                <w:szCs w:val="20"/>
                <w:color w:val="auto"/>
              </w:rPr>
            </w:pPr>
            <w:r>
              <w:rPr>
                <w:rFonts w:ascii="Arial" w:cs="Arial" w:eastAsia="Arial" w:hAnsi="Arial"/>
                <w:sz w:val="16"/>
                <w:szCs w:val="16"/>
                <w:color w:val="auto"/>
              </w:rPr>
              <w:t>No.</w:t>
            </w:r>
          </w:p>
        </w:tc>
        <w:tc>
          <w:tcPr>
            <w:tcW w:w="0" w:type="dxa"/>
            <w:vAlign w:val="bottom"/>
          </w:tcPr>
          <w:p>
            <w:pPr>
              <w:spacing w:after="0"/>
              <w:rPr>
                <w:sz w:val="1"/>
                <w:szCs w:val="1"/>
                <w:color w:val="auto"/>
              </w:rPr>
            </w:pPr>
          </w:p>
        </w:tc>
      </w:tr>
      <w:tr>
        <w:trPr>
          <w:trHeight w:val="186"/>
        </w:trPr>
        <w:tc>
          <w:tcPr>
            <w:tcW w:w="1600" w:type="dxa"/>
            <w:vAlign w:val="bottom"/>
          </w:tcPr>
          <w:p>
            <w:pPr>
              <w:spacing w:after="0"/>
              <w:rPr>
                <w:sz w:val="16"/>
                <w:szCs w:val="16"/>
                <w:color w:val="auto"/>
              </w:rPr>
            </w:pPr>
          </w:p>
        </w:tc>
        <w:tc>
          <w:tcPr>
            <w:tcW w:w="3480" w:type="dxa"/>
            <w:vAlign w:val="bottom"/>
          </w:tcPr>
          <w:p>
            <w:pPr>
              <w:ind w:left="140"/>
              <w:spacing w:after="0"/>
              <w:rPr>
                <w:sz w:val="20"/>
                <w:szCs w:val="20"/>
                <w:color w:val="auto"/>
              </w:rPr>
            </w:pPr>
            <w:r>
              <w:rPr>
                <w:rFonts w:ascii="Arial" w:cs="Arial" w:eastAsia="Arial" w:hAnsi="Arial"/>
                <w:sz w:val="16"/>
                <w:szCs w:val="16"/>
                <w:color w:val="auto"/>
              </w:rPr>
              <w:t>characteristics, seniority, experience and skill</w:t>
            </w:r>
          </w:p>
        </w:tc>
        <w:tc>
          <w:tcPr>
            <w:tcW w:w="3600" w:type="dxa"/>
            <w:vAlign w:val="bottom"/>
          </w:tcPr>
          <w:p>
            <w:pPr>
              <w:ind w:left="120"/>
              <w:spacing w:after="0"/>
              <w:rPr>
                <w:sz w:val="20"/>
                <w:szCs w:val="20"/>
                <w:color w:val="auto"/>
              </w:rPr>
            </w:pPr>
            <w:r>
              <w:rPr>
                <w:rFonts w:ascii="Arial" w:cs="Arial" w:eastAsia="Arial" w:hAnsi="Arial"/>
                <w:sz w:val="16"/>
                <w:szCs w:val="16"/>
                <w:color w:val="auto"/>
              </w:rPr>
              <w:t>based on individual performance, experience,</w:t>
            </w:r>
          </w:p>
        </w:tc>
        <w:tc>
          <w:tcPr>
            <w:tcW w:w="2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600" w:type="dxa"/>
            <w:vAlign w:val="bottom"/>
          </w:tcPr>
          <w:p>
            <w:pPr>
              <w:spacing w:after="0"/>
              <w:rPr>
                <w:sz w:val="16"/>
                <w:szCs w:val="16"/>
                <w:color w:val="auto"/>
              </w:rPr>
            </w:pPr>
          </w:p>
        </w:tc>
        <w:tc>
          <w:tcPr>
            <w:tcW w:w="3480" w:type="dxa"/>
            <w:vAlign w:val="bottom"/>
          </w:tcPr>
          <w:p>
            <w:pPr>
              <w:ind w:left="140"/>
              <w:spacing w:after="0"/>
              <w:rPr>
                <w:sz w:val="20"/>
                <w:szCs w:val="20"/>
                <w:color w:val="auto"/>
              </w:rPr>
            </w:pPr>
            <w:r>
              <w:rPr>
                <w:rFonts w:ascii="Arial" w:cs="Arial" w:eastAsia="Arial" w:hAnsi="Arial"/>
                <w:sz w:val="16"/>
                <w:szCs w:val="16"/>
                <w:color w:val="auto"/>
              </w:rPr>
              <w:t>set.</w:t>
            </w:r>
          </w:p>
        </w:tc>
        <w:tc>
          <w:tcPr>
            <w:tcW w:w="3600" w:type="dxa"/>
            <w:vAlign w:val="bottom"/>
          </w:tcPr>
          <w:p>
            <w:pPr>
              <w:ind w:left="120"/>
              <w:spacing w:after="0"/>
              <w:rPr>
                <w:sz w:val="20"/>
                <w:szCs w:val="20"/>
                <w:color w:val="auto"/>
              </w:rPr>
            </w:pPr>
            <w:r>
              <w:rPr>
                <w:rFonts w:ascii="Arial" w:cs="Arial" w:eastAsia="Arial" w:hAnsi="Arial"/>
                <w:sz w:val="16"/>
                <w:szCs w:val="16"/>
                <w:color w:val="auto"/>
              </w:rPr>
              <w:t>leadership and market factors.</w:t>
            </w:r>
          </w:p>
        </w:tc>
        <w:tc>
          <w:tcPr>
            <w:tcW w:w="2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600" w:type="dxa"/>
            <w:vAlign w:val="bottom"/>
            <w:tcBorders>
              <w:bottom w:val="single" w:sz="8" w:color="58595B"/>
            </w:tcBorders>
          </w:tcPr>
          <w:p>
            <w:pPr>
              <w:spacing w:after="0"/>
              <w:rPr>
                <w:sz w:val="15"/>
                <w:szCs w:val="15"/>
                <w:color w:val="auto"/>
              </w:rPr>
            </w:pPr>
          </w:p>
        </w:tc>
        <w:tc>
          <w:tcPr>
            <w:tcW w:w="3480" w:type="dxa"/>
            <w:vAlign w:val="bottom"/>
            <w:tcBorders>
              <w:bottom w:val="single" w:sz="8" w:color="58595B"/>
            </w:tcBorders>
          </w:tcPr>
          <w:p>
            <w:pPr>
              <w:spacing w:after="0"/>
              <w:rPr>
                <w:sz w:val="15"/>
                <w:szCs w:val="15"/>
                <w:color w:val="auto"/>
              </w:rPr>
            </w:pPr>
          </w:p>
        </w:tc>
        <w:tc>
          <w:tcPr>
            <w:tcW w:w="3600" w:type="dxa"/>
            <w:vAlign w:val="bottom"/>
            <w:tcBorders>
              <w:bottom w:val="single" w:sz="8" w:color="58595B"/>
            </w:tcBorders>
          </w:tcPr>
          <w:p>
            <w:pPr>
              <w:spacing w:after="0"/>
              <w:rPr>
                <w:sz w:val="15"/>
                <w:szCs w:val="15"/>
                <w:color w:val="auto"/>
              </w:rPr>
            </w:pPr>
          </w:p>
        </w:tc>
        <w:tc>
          <w:tcPr>
            <w:tcW w:w="2740" w:type="dxa"/>
            <w:vAlign w:val="bottom"/>
            <w:tcBorders>
              <w:bottom w:val="single" w:sz="8" w:color="58595B"/>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600" w:type="dxa"/>
            <w:vAlign w:val="bottom"/>
          </w:tcPr>
          <w:p>
            <w:pPr>
              <w:spacing w:after="0" w:line="181" w:lineRule="exact"/>
              <w:rPr>
                <w:sz w:val="20"/>
                <w:szCs w:val="20"/>
                <w:color w:val="auto"/>
              </w:rPr>
            </w:pPr>
            <w:r>
              <w:rPr>
                <w:rFonts w:ascii="Arial" w:cs="Arial" w:eastAsia="Arial" w:hAnsi="Arial"/>
                <w:sz w:val="16"/>
                <w:szCs w:val="16"/>
                <w:color w:val="auto"/>
              </w:rPr>
              <w:t>Annual Cash</w:t>
            </w:r>
          </w:p>
        </w:tc>
        <w:tc>
          <w:tcPr>
            <w:tcW w:w="3480" w:type="dxa"/>
            <w:vAlign w:val="bottom"/>
          </w:tcPr>
          <w:p>
            <w:pPr>
              <w:ind w:left="140"/>
              <w:spacing w:after="0" w:line="181" w:lineRule="exact"/>
              <w:rPr>
                <w:sz w:val="20"/>
                <w:szCs w:val="20"/>
                <w:color w:val="auto"/>
              </w:rPr>
            </w:pPr>
            <w:r>
              <w:rPr>
                <w:rFonts w:ascii="Arial" w:cs="Arial" w:eastAsia="Arial" w:hAnsi="Arial"/>
                <w:sz w:val="16"/>
                <w:szCs w:val="16"/>
                <w:color w:val="auto"/>
              </w:rPr>
              <w:t>Rewards executives’ contributions to the</w:t>
            </w:r>
          </w:p>
        </w:tc>
        <w:tc>
          <w:tcPr>
            <w:tcW w:w="3600" w:type="dxa"/>
            <w:vAlign w:val="bottom"/>
          </w:tcPr>
          <w:p>
            <w:pPr>
              <w:ind w:left="120"/>
              <w:spacing w:after="0" w:line="181" w:lineRule="exact"/>
              <w:rPr>
                <w:sz w:val="20"/>
                <w:szCs w:val="20"/>
                <w:color w:val="auto"/>
              </w:rPr>
            </w:pPr>
            <w:r>
              <w:rPr>
                <w:rFonts w:ascii="Arial" w:cs="Arial" w:eastAsia="Arial" w:hAnsi="Arial"/>
                <w:sz w:val="16"/>
                <w:szCs w:val="16"/>
                <w:color w:val="auto"/>
              </w:rPr>
              <w:t>Compensation Committee establishes</w:t>
            </w:r>
          </w:p>
        </w:tc>
        <w:tc>
          <w:tcPr>
            <w:tcW w:w="2740" w:type="dxa"/>
            <w:vAlign w:val="bottom"/>
          </w:tcPr>
          <w:p>
            <w:pPr>
              <w:ind w:left="100"/>
              <w:spacing w:after="0" w:line="181" w:lineRule="exact"/>
              <w:rPr>
                <w:sz w:val="20"/>
                <w:szCs w:val="20"/>
                <w:color w:val="auto"/>
              </w:rPr>
            </w:pPr>
            <w:r>
              <w:rPr>
                <w:rFonts w:ascii="Arial" w:cs="Arial" w:eastAsia="Arial" w:hAnsi="Arial"/>
                <w:sz w:val="16"/>
                <w:szCs w:val="16"/>
                <w:color w:val="auto"/>
              </w:rPr>
              <w:t>Yes, pays out only based on</w:t>
            </w:r>
          </w:p>
        </w:tc>
        <w:tc>
          <w:tcPr>
            <w:tcW w:w="0" w:type="dxa"/>
            <w:vAlign w:val="bottom"/>
          </w:tcPr>
          <w:p>
            <w:pPr>
              <w:spacing w:after="0"/>
              <w:rPr>
                <w:sz w:val="1"/>
                <w:szCs w:val="1"/>
                <w:color w:val="auto"/>
              </w:rPr>
            </w:pPr>
          </w:p>
        </w:tc>
      </w:tr>
      <w:tr>
        <w:trPr>
          <w:trHeight w:val="186"/>
        </w:trPr>
        <w:tc>
          <w:tcPr>
            <w:tcW w:w="1600" w:type="dxa"/>
            <w:vAlign w:val="bottom"/>
          </w:tcPr>
          <w:p>
            <w:pPr>
              <w:spacing w:after="0"/>
              <w:rPr>
                <w:sz w:val="20"/>
                <w:szCs w:val="20"/>
                <w:color w:val="auto"/>
              </w:rPr>
            </w:pPr>
            <w:r>
              <w:rPr>
                <w:rFonts w:ascii="Arial" w:cs="Arial" w:eastAsia="Arial" w:hAnsi="Arial"/>
                <w:sz w:val="16"/>
                <w:szCs w:val="16"/>
                <w:color w:val="auto"/>
              </w:rPr>
              <w:t>Incentive</w:t>
            </w:r>
          </w:p>
        </w:tc>
        <w:tc>
          <w:tcPr>
            <w:tcW w:w="3480" w:type="dxa"/>
            <w:vAlign w:val="bottom"/>
          </w:tcPr>
          <w:p>
            <w:pPr>
              <w:ind w:left="140"/>
              <w:spacing w:after="0"/>
              <w:rPr>
                <w:sz w:val="20"/>
                <w:szCs w:val="20"/>
                <w:color w:val="auto"/>
              </w:rPr>
            </w:pPr>
            <w:r>
              <w:rPr>
                <w:rFonts w:ascii="Arial" w:cs="Arial" w:eastAsia="Arial" w:hAnsi="Arial"/>
                <w:sz w:val="16"/>
                <w:szCs w:val="16"/>
                <w:color w:val="auto"/>
              </w:rPr>
              <w:t>achievement of predetermined financial and</w:t>
            </w:r>
          </w:p>
        </w:tc>
        <w:tc>
          <w:tcPr>
            <w:tcW w:w="3600" w:type="dxa"/>
            <w:vAlign w:val="bottom"/>
          </w:tcPr>
          <w:p>
            <w:pPr>
              <w:ind w:left="120"/>
              <w:spacing w:after="0"/>
              <w:rPr>
                <w:sz w:val="20"/>
                <w:szCs w:val="20"/>
                <w:color w:val="auto"/>
              </w:rPr>
            </w:pPr>
            <w:r>
              <w:rPr>
                <w:rFonts w:ascii="Arial" w:cs="Arial" w:eastAsia="Arial" w:hAnsi="Arial"/>
                <w:sz w:val="16"/>
                <w:szCs w:val="16"/>
                <w:color w:val="auto"/>
              </w:rPr>
              <w:t>performance measures to best align</w:t>
            </w:r>
          </w:p>
        </w:tc>
        <w:tc>
          <w:tcPr>
            <w:tcW w:w="2740" w:type="dxa"/>
            <w:vAlign w:val="bottom"/>
          </w:tcPr>
          <w:p>
            <w:pPr>
              <w:ind w:left="100"/>
              <w:spacing w:after="0"/>
              <w:rPr>
                <w:sz w:val="20"/>
                <w:szCs w:val="20"/>
                <w:color w:val="auto"/>
              </w:rPr>
            </w:pPr>
            <w:r>
              <w:rPr>
                <w:rFonts w:ascii="Arial" w:cs="Arial" w:eastAsia="Arial" w:hAnsi="Arial"/>
                <w:sz w:val="16"/>
                <w:szCs w:val="16"/>
                <w:color w:val="auto"/>
              </w:rPr>
              <w:t>achievement of established</w:t>
            </w:r>
          </w:p>
        </w:tc>
        <w:tc>
          <w:tcPr>
            <w:tcW w:w="0" w:type="dxa"/>
            <w:vAlign w:val="bottom"/>
          </w:tcPr>
          <w:p>
            <w:pPr>
              <w:spacing w:after="0"/>
              <w:rPr>
                <w:sz w:val="1"/>
                <w:szCs w:val="1"/>
                <w:color w:val="auto"/>
              </w:rPr>
            </w:pPr>
          </w:p>
        </w:tc>
      </w:tr>
      <w:tr>
        <w:trPr>
          <w:trHeight w:val="186"/>
        </w:trPr>
        <w:tc>
          <w:tcPr>
            <w:tcW w:w="1600" w:type="dxa"/>
            <w:vAlign w:val="bottom"/>
          </w:tcPr>
          <w:p>
            <w:pPr>
              <w:spacing w:after="0"/>
              <w:rPr>
                <w:sz w:val="16"/>
                <w:szCs w:val="16"/>
                <w:color w:val="auto"/>
              </w:rPr>
            </w:pPr>
          </w:p>
        </w:tc>
        <w:tc>
          <w:tcPr>
            <w:tcW w:w="3480" w:type="dxa"/>
            <w:vAlign w:val="bottom"/>
          </w:tcPr>
          <w:p>
            <w:pPr>
              <w:ind w:left="140"/>
              <w:spacing w:after="0"/>
              <w:rPr>
                <w:sz w:val="20"/>
                <w:szCs w:val="20"/>
                <w:color w:val="auto"/>
              </w:rPr>
            </w:pPr>
            <w:r>
              <w:rPr>
                <w:rFonts w:ascii="Arial" w:cs="Arial" w:eastAsia="Arial" w:hAnsi="Arial"/>
                <w:sz w:val="16"/>
                <w:szCs w:val="16"/>
                <w:color w:val="auto"/>
              </w:rPr>
              <w:t>operational objectives.</w:t>
            </w:r>
          </w:p>
        </w:tc>
        <w:tc>
          <w:tcPr>
            <w:tcW w:w="3600" w:type="dxa"/>
            <w:vAlign w:val="bottom"/>
          </w:tcPr>
          <w:p>
            <w:pPr>
              <w:ind w:left="120"/>
              <w:spacing w:after="0"/>
              <w:rPr>
                <w:sz w:val="20"/>
                <w:szCs w:val="20"/>
                <w:color w:val="auto"/>
              </w:rPr>
            </w:pPr>
            <w:r>
              <w:rPr>
                <w:rFonts w:ascii="Arial" w:cs="Arial" w:eastAsia="Arial" w:hAnsi="Arial"/>
                <w:sz w:val="16"/>
                <w:szCs w:val="16"/>
                <w:color w:val="auto"/>
              </w:rPr>
              <w:t>performance relative to meeting financial,</w:t>
            </w:r>
          </w:p>
        </w:tc>
        <w:tc>
          <w:tcPr>
            <w:tcW w:w="2740" w:type="dxa"/>
            <w:vAlign w:val="bottom"/>
          </w:tcPr>
          <w:p>
            <w:pPr>
              <w:ind w:left="100"/>
              <w:spacing w:after="0"/>
              <w:rPr>
                <w:sz w:val="20"/>
                <w:szCs w:val="20"/>
                <w:color w:val="auto"/>
              </w:rPr>
            </w:pPr>
            <w:r>
              <w:rPr>
                <w:rFonts w:ascii="Arial" w:cs="Arial" w:eastAsia="Arial" w:hAnsi="Arial"/>
                <w:sz w:val="16"/>
                <w:szCs w:val="16"/>
                <w:color w:val="auto"/>
              </w:rPr>
              <w:t>measurable goals; may not pay out.</w:t>
            </w:r>
          </w:p>
        </w:tc>
        <w:tc>
          <w:tcPr>
            <w:tcW w:w="0" w:type="dxa"/>
            <w:vAlign w:val="bottom"/>
          </w:tcPr>
          <w:p>
            <w:pPr>
              <w:spacing w:after="0"/>
              <w:rPr>
                <w:sz w:val="1"/>
                <w:szCs w:val="1"/>
                <w:color w:val="auto"/>
              </w:rPr>
            </w:pPr>
          </w:p>
        </w:tc>
      </w:tr>
      <w:tr>
        <w:trPr>
          <w:trHeight w:val="186"/>
        </w:trPr>
        <w:tc>
          <w:tcPr>
            <w:tcW w:w="16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3600" w:type="dxa"/>
            <w:vAlign w:val="bottom"/>
          </w:tcPr>
          <w:p>
            <w:pPr>
              <w:ind w:left="120"/>
              <w:spacing w:after="0"/>
              <w:rPr>
                <w:sz w:val="20"/>
                <w:szCs w:val="20"/>
                <w:color w:val="auto"/>
              </w:rPr>
            </w:pPr>
            <w:r>
              <w:rPr>
                <w:rFonts w:ascii="Arial" w:cs="Arial" w:eastAsia="Arial" w:hAnsi="Arial"/>
                <w:sz w:val="16"/>
                <w:szCs w:val="16"/>
                <w:color w:val="auto"/>
              </w:rPr>
              <w:t>operational and safety goals ultimately driving</w:t>
            </w:r>
          </w:p>
        </w:tc>
        <w:tc>
          <w:tcPr>
            <w:tcW w:w="2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6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3600" w:type="dxa"/>
            <w:vAlign w:val="bottom"/>
          </w:tcPr>
          <w:p>
            <w:pPr>
              <w:ind w:left="120"/>
              <w:spacing w:after="0"/>
              <w:rPr>
                <w:sz w:val="20"/>
                <w:szCs w:val="20"/>
                <w:color w:val="auto"/>
              </w:rPr>
            </w:pPr>
            <w:r>
              <w:rPr>
                <w:rFonts w:ascii="Arial" w:cs="Arial" w:eastAsia="Arial" w:hAnsi="Arial"/>
                <w:sz w:val="16"/>
                <w:szCs w:val="16"/>
                <w:color w:val="auto"/>
              </w:rPr>
              <w:t>shareholder value.</w:t>
            </w:r>
          </w:p>
        </w:tc>
        <w:tc>
          <w:tcPr>
            <w:tcW w:w="2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600" w:type="dxa"/>
            <w:vAlign w:val="bottom"/>
            <w:tcBorders>
              <w:bottom w:val="single" w:sz="8" w:color="58595B"/>
            </w:tcBorders>
          </w:tcPr>
          <w:p>
            <w:pPr>
              <w:spacing w:after="0"/>
              <w:rPr>
                <w:sz w:val="15"/>
                <w:szCs w:val="15"/>
                <w:color w:val="auto"/>
              </w:rPr>
            </w:pPr>
          </w:p>
        </w:tc>
        <w:tc>
          <w:tcPr>
            <w:tcW w:w="3480" w:type="dxa"/>
            <w:vAlign w:val="bottom"/>
            <w:tcBorders>
              <w:bottom w:val="single" w:sz="8" w:color="58595B"/>
            </w:tcBorders>
          </w:tcPr>
          <w:p>
            <w:pPr>
              <w:spacing w:after="0"/>
              <w:rPr>
                <w:sz w:val="15"/>
                <w:szCs w:val="15"/>
                <w:color w:val="auto"/>
              </w:rPr>
            </w:pPr>
          </w:p>
        </w:tc>
        <w:tc>
          <w:tcPr>
            <w:tcW w:w="3600" w:type="dxa"/>
            <w:vAlign w:val="bottom"/>
            <w:tcBorders>
              <w:bottom w:val="single" w:sz="8" w:color="58595B"/>
            </w:tcBorders>
          </w:tcPr>
          <w:p>
            <w:pPr>
              <w:spacing w:after="0"/>
              <w:rPr>
                <w:sz w:val="15"/>
                <w:szCs w:val="15"/>
                <w:color w:val="auto"/>
              </w:rPr>
            </w:pPr>
          </w:p>
        </w:tc>
        <w:tc>
          <w:tcPr>
            <w:tcW w:w="2740" w:type="dxa"/>
            <w:vAlign w:val="bottom"/>
            <w:tcBorders>
              <w:bottom w:val="single" w:sz="8" w:color="58595B"/>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600" w:type="dxa"/>
            <w:vAlign w:val="bottom"/>
          </w:tcPr>
          <w:p>
            <w:pPr>
              <w:spacing w:after="0" w:line="181" w:lineRule="exact"/>
              <w:rPr>
                <w:sz w:val="20"/>
                <w:szCs w:val="20"/>
                <w:color w:val="auto"/>
              </w:rPr>
            </w:pPr>
            <w:r>
              <w:rPr>
                <w:rFonts w:ascii="Arial" w:cs="Arial" w:eastAsia="Arial" w:hAnsi="Arial"/>
                <w:sz w:val="16"/>
                <w:szCs w:val="16"/>
                <w:color w:val="auto"/>
              </w:rPr>
              <w:t>Performance</w:t>
            </w:r>
          </w:p>
        </w:tc>
        <w:tc>
          <w:tcPr>
            <w:tcW w:w="3480" w:type="dxa"/>
            <w:vAlign w:val="bottom"/>
          </w:tcPr>
          <w:p>
            <w:pPr>
              <w:ind w:left="140"/>
              <w:spacing w:after="0" w:line="181" w:lineRule="exact"/>
              <w:rPr>
                <w:sz w:val="20"/>
                <w:szCs w:val="20"/>
                <w:color w:val="auto"/>
              </w:rPr>
            </w:pPr>
            <w:r>
              <w:rPr>
                <w:rFonts w:ascii="Arial" w:cs="Arial" w:eastAsia="Arial" w:hAnsi="Arial"/>
                <w:sz w:val="16"/>
                <w:szCs w:val="16"/>
                <w:color w:val="auto"/>
              </w:rPr>
              <w:t>Correlates realized pay with increases in</w:t>
            </w:r>
          </w:p>
        </w:tc>
        <w:tc>
          <w:tcPr>
            <w:tcW w:w="3600" w:type="dxa"/>
            <w:vAlign w:val="bottom"/>
          </w:tcPr>
          <w:p>
            <w:pPr>
              <w:ind w:left="120"/>
              <w:spacing w:after="0" w:line="181" w:lineRule="exact"/>
              <w:rPr>
                <w:sz w:val="20"/>
                <w:szCs w:val="20"/>
                <w:color w:val="auto"/>
              </w:rPr>
            </w:pPr>
            <w:r>
              <w:rPr>
                <w:rFonts w:ascii="Arial" w:cs="Arial" w:eastAsia="Arial" w:hAnsi="Arial"/>
                <w:sz w:val="16"/>
                <w:szCs w:val="16"/>
                <w:color w:val="auto"/>
              </w:rPr>
              <w:t>In periods of low shareholder return, executives</w:t>
            </w:r>
          </w:p>
        </w:tc>
        <w:tc>
          <w:tcPr>
            <w:tcW w:w="2740" w:type="dxa"/>
            <w:vAlign w:val="bottom"/>
          </w:tcPr>
          <w:p>
            <w:pPr>
              <w:ind w:left="100"/>
              <w:spacing w:after="0" w:line="181" w:lineRule="exact"/>
              <w:rPr>
                <w:sz w:val="20"/>
                <w:szCs w:val="20"/>
                <w:color w:val="auto"/>
              </w:rPr>
            </w:pPr>
            <w:r>
              <w:rPr>
                <w:rFonts w:ascii="Arial" w:cs="Arial" w:eastAsia="Arial" w:hAnsi="Arial"/>
                <w:sz w:val="16"/>
                <w:szCs w:val="16"/>
                <w:color w:val="auto"/>
              </w:rPr>
              <w:t>Yes, pays out only based on</w:t>
            </w:r>
          </w:p>
        </w:tc>
        <w:tc>
          <w:tcPr>
            <w:tcW w:w="0" w:type="dxa"/>
            <w:vAlign w:val="bottom"/>
          </w:tcPr>
          <w:p>
            <w:pPr>
              <w:spacing w:after="0"/>
              <w:rPr>
                <w:sz w:val="1"/>
                <w:szCs w:val="1"/>
                <w:color w:val="auto"/>
              </w:rPr>
            </w:pPr>
          </w:p>
        </w:tc>
      </w:tr>
      <w:tr>
        <w:trPr>
          <w:trHeight w:val="186"/>
        </w:trPr>
        <w:tc>
          <w:tcPr>
            <w:tcW w:w="1600" w:type="dxa"/>
            <w:vAlign w:val="bottom"/>
          </w:tcPr>
          <w:p>
            <w:pPr>
              <w:spacing w:after="0"/>
              <w:rPr>
                <w:sz w:val="20"/>
                <w:szCs w:val="20"/>
                <w:color w:val="auto"/>
              </w:rPr>
            </w:pPr>
            <w:r>
              <w:rPr>
                <w:rFonts w:ascii="Arial" w:cs="Arial" w:eastAsia="Arial" w:hAnsi="Arial"/>
                <w:sz w:val="16"/>
                <w:szCs w:val="16"/>
                <w:color w:val="auto"/>
              </w:rPr>
              <w:t>Units (Long-Term</w:t>
            </w:r>
          </w:p>
        </w:tc>
        <w:tc>
          <w:tcPr>
            <w:tcW w:w="3480" w:type="dxa"/>
            <w:vAlign w:val="bottom"/>
          </w:tcPr>
          <w:p>
            <w:pPr>
              <w:ind w:left="140"/>
              <w:spacing w:after="0"/>
              <w:rPr>
                <w:sz w:val="20"/>
                <w:szCs w:val="20"/>
                <w:color w:val="auto"/>
              </w:rPr>
            </w:pPr>
            <w:r>
              <w:rPr>
                <w:rFonts w:ascii="Arial" w:cs="Arial" w:eastAsia="Arial" w:hAnsi="Arial"/>
                <w:sz w:val="16"/>
                <w:szCs w:val="16"/>
                <w:color w:val="auto"/>
              </w:rPr>
              <w:t>shareholder value in absolute terms over a</w:t>
            </w:r>
          </w:p>
        </w:tc>
        <w:tc>
          <w:tcPr>
            <w:tcW w:w="3600" w:type="dxa"/>
            <w:vAlign w:val="bottom"/>
          </w:tcPr>
          <w:p>
            <w:pPr>
              <w:ind w:left="120"/>
              <w:spacing w:after="0"/>
              <w:rPr>
                <w:sz w:val="20"/>
                <w:szCs w:val="20"/>
                <w:color w:val="auto"/>
              </w:rPr>
            </w:pPr>
            <w:r>
              <w:rPr>
                <w:rFonts w:ascii="Arial" w:cs="Arial" w:eastAsia="Arial" w:hAnsi="Arial"/>
                <w:sz w:val="16"/>
                <w:szCs w:val="16"/>
                <w:color w:val="auto"/>
              </w:rPr>
              <w:t>realize little or no value. In periods of high</w:t>
            </w:r>
          </w:p>
        </w:tc>
        <w:tc>
          <w:tcPr>
            <w:tcW w:w="2740" w:type="dxa"/>
            <w:vAlign w:val="bottom"/>
          </w:tcPr>
          <w:p>
            <w:pPr>
              <w:ind w:left="100"/>
              <w:spacing w:after="0"/>
              <w:rPr>
                <w:sz w:val="20"/>
                <w:szCs w:val="20"/>
                <w:color w:val="auto"/>
              </w:rPr>
            </w:pPr>
            <w:r>
              <w:rPr>
                <w:rFonts w:ascii="Arial" w:cs="Arial" w:eastAsia="Arial" w:hAnsi="Arial"/>
                <w:sz w:val="16"/>
                <w:szCs w:val="16"/>
                <w:color w:val="auto"/>
              </w:rPr>
              <w:t>increased shareholder value; may</w:t>
            </w:r>
          </w:p>
        </w:tc>
        <w:tc>
          <w:tcPr>
            <w:tcW w:w="0" w:type="dxa"/>
            <w:vAlign w:val="bottom"/>
          </w:tcPr>
          <w:p>
            <w:pPr>
              <w:spacing w:after="0"/>
              <w:rPr>
                <w:sz w:val="1"/>
                <w:szCs w:val="1"/>
                <w:color w:val="auto"/>
              </w:rPr>
            </w:pPr>
          </w:p>
        </w:tc>
      </w:tr>
      <w:tr>
        <w:trPr>
          <w:trHeight w:val="186"/>
        </w:trPr>
        <w:tc>
          <w:tcPr>
            <w:tcW w:w="1600" w:type="dxa"/>
            <w:vAlign w:val="bottom"/>
          </w:tcPr>
          <w:p>
            <w:pPr>
              <w:spacing w:after="0"/>
              <w:rPr>
                <w:sz w:val="20"/>
                <w:szCs w:val="20"/>
                <w:color w:val="auto"/>
              </w:rPr>
            </w:pPr>
            <w:r>
              <w:rPr>
                <w:rFonts w:ascii="Arial" w:cs="Arial" w:eastAsia="Arial" w:hAnsi="Arial"/>
                <w:sz w:val="16"/>
                <w:szCs w:val="16"/>
                <w:color w:val="auto"/>
              </w:rPr>
              <w:t>Equity Awards)</w:t>
            </w:r>
          </w:p>
        </w:tc>
        <w:tc>
          <w:tcPr>
            <w:tcW w:w="3480" w:type="dxa"/>
            <w:vAlign w:val="bottom"/>
          </w:tcPr>
          <w:p>
            <w:pPr>
              <w:ind w:left="140"/>
              <w:spacing w:after="0"/>
              <w:rPr>
                <w:sz w:val="20"/>
                <w:szCs w:val="20"/>
                <w:color w:val="auto"/>
              </w:rPr>
            </w:pPr>
            <w:r>
              <w:rPr>
                <w:rFonts w:ascii="Arial" w:cs="Arial" w:eastAsia="Arial" w:hAnsi="Arial"/>
                <w:sz w:val="16"/>
                <w:szCs w:val="16"/>
                <w:color w:val="auto"/>
              </w:rPr>
              <w:t>long-term period.</w:t>
            </w:r>
          </w:p>
        </w:tc>
        <w:tc>
          <w:tcPr>
            <w:tcW w:w="3600" w:type="dxa"/>
            <w:vAlign w:val="bottom"/>
          </w:tcPr>
          <w:p>
            <w:pPr>
              <w:ind w:left="120"/>
              <w:spacing w:after="0"/>
              <w:rPr>
                <w:sz w:val="20"/>
                <w:szCs w:val="20"/>
                <w:color w:val="auto"/>
              </w:rPr>
            </w:pPr>
            <w:r>
              <w:rPr>
                <w:rFonts w:ascii="Arial" w:cs="Arial" w:eastAsia="Arial" w:hAnsi="Arial"/>
                <w:sz w:val="16"/>
                <w:szCs w:val="16"/>
                <w:color w:val="auto"/>
              </w:rPr>
              <w:t>shareholder return, executives may realize</w:t>
            </w:r>
          </w:p>
        </w:tc>
        <w:tc>
          <w:tcPr>
            <w:tcW w:w="2740" w:type="dxa"/>
            <w:vAlign w:val="bottom"/>
          </w:tcPr>
          <w:p>
            <w:pPr>
              <w:ind w:left="100"/>
              <w:spacing w:after="0"/>
              <w:rPr>
                <w:sz w:val="20"/>
                <w:szCs w:val="20"/>
                <w:color w:val="auto"/>
              </w:rPr>
            </w:pPr>
            <w:r>
              <w:rPr>
                <w:rFonts w:ascii="Arial" w:cs="Arial" w:eastAsia="Arial" w:hAnsi="Arial"/>
                <w:sz w:val="16"/>
                <w:szCs w:val="16"/>
                <w:color w:val="auto"/>
              </w:rPr>
              <w:t>not vest depending upon</w:t>
            </w:r>
          </w:p>
        </w:tc>
        <w:tc>
          <w:tcPr>
            <w:tcW w:w="0" w:type="dxa"/>
            <w:vAlign w:val="bottom"/>
          </w:tcPr>
          <w:p>
            <w:pPr>
              <w:spacing w:after="0"/>
              <w:rPr>
                <w:sz w:val="1"/>
                <w:szCs w:val="1"/>
                <w:color w:val="auto"/>
              </w:rPr>
            </w:pPr>
          </w:p>
        </w:tc>
      </w:tr>
      <w:tr>
        <w:trPr>
          <w:trHeight w:val="194"/>
        </w:trPr>
        <w:tc>
          <w:tcPr>
            <w:tcW w:w="16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3600" w:type="dxa"/>
            <w:vAlign w:val="bottom"/>
          </w:tcPr>
          <w:p>
            <w:pPr>
              <w:ind w:left="120"/>
              <w:spacing w:after="0"/>
              <w:rPr>
                <w:sz w:val="20"/>
                <w:szCs w:val="20"/>
                <w:color w:val="auto"/>
              </w:rPr>
            </w:pPr>
            <w:r>
              <w:rPr>
                <w:rFonts w:ascii="Arial" w:cs="Arial" w:eastAsia="Arial" w:hAnsi="Arial"/>
                <w:sz w:val="16"/>
                <w:szCs w:val="16"/>
                <w:color w:val="auto"/>
              </w:rPr>
              <w:t>substantial value.</w:t>
            </w:r>
          </w:p>
        </w:tc>
        <w:tc>
          <w:tcPr>
            <w:tcW w:w="2740" w:type="dxa"/>
            <w:vAlign w:val="bottom"/>
          </w:tcPr>
          <w:p>
            <w:pPr>
              <w:ind w:left="100"/>
              <w:spacing w:after="0"/>
              <w:rPr>
                <w:sz w:val="20"/>
                <w:szCs w:val="20"/>
                <w:color w:val="auto"/>
              </w:rPr>
            </w:pPr>
            <w:r>
              <w:rPr>
                <w:rFonts w:ascii="Arial" w:cs="Arial" w:eastAsia="Arial" w:hAnsi="Arial"/>
                <w:sz w:val="16"/>
                <w:szCs w:val="16"/>
                <w:color w:val="auto"/>
              </w:rPr>
              <w:t>shareholder return.</w:t>
            </w:r>
          </w:p>
        </w:tc>
        <w:tc>
          <w:tcPr>
            <w:tcW w:w="0" w:type="dxa"/>
            <w:vAlign w:val="bottom"/>
          </w:tcPr>
          <w:p>
            <w:pPr>
              <w:spacing w:after="0"/>
              <w:rPr>
                <w:sz w:val="1"/>
                <w:szCs w:val="1"/>
                <w:color w:val="auto"/>
              </w:rPr>
            </w:pPr>
          </w:p>
        </w:tc>
      </w:tr>
      <w:tr>
        <w:trPr>
          <w:trHeight w:val="175"/>
        </w:trPr>
        <w:tc>
          <w:tcPr>
            <w:tcW w:w="1600" w:type="dxa"/>
            <w:vAlign w:val="bottom"/>
            <w:tcBorders>
              <w:bottom w:val="single" w:sz="8" w:color="58595B"/>
            </w:tcBorders>
          </w:tcPr>
          <w:p>
            <w:pPr>
              <w:spacing w:after="0"/>
              <w:rPr>
                <w:sz w:val="15"/>
                <w:szCs w:val="15"/>
                <w:color w:val="auto"/>
              </w:rPr>
            </w:pPr>
          </w:p>
        </w:tc>
        <w:tc>
          <w:tcPr>
            <w:tcW w:w="3480" w:type="dxa"/>
            <w:vAlign w:val="bottom"/>
            <w:tcBorders>
              <w:bottom w:val="single" w:sz="8" w:color="58595B"/>
            </w:tcBorders>
          </w:tcPr>
          <w:p>
            <w:pPr>
              <w:spacing w:after="0"/>
              <w:rPr>
                <w:sz w:val="15"/>
                <w:szCs w:val="15"/>
                <w:color w:val="auto"/>
              </w:rPr>
            </w:pPr>
          </w:p>
        </w:tc>
        <w:tc>
          <w:tcPr>
            <w:tcW w:w="3600" w:type="dxa"/>
            <w:vAlign w:val="bottom"/>
            <w:tcBorders>
              <w:bottom w:val="single" w:sz="8" w:color="58595B"/>
            </w:tcBorders>
          </w:tcPr>
          <w:p>
            <w:pPr>
              <w:spacing w:after="0"/>
              <w:rPr>
                <w:sz w:val="15"/>
                <w:szCs w:val="15"/>
                <w:color w:val="auto"/>
              </w:rPr>
            </w:pPr>
          </w:p>
        </w:tc>
        <w:tc>
          <w:tcPr>
            <w:tcW w:w="2740" w:type="dxa"/>
            <w:vAlign w:val="bottom"/>
            <w:tcBorders>
              <w:bottom w:val="single" w:sz="8" w:color="58595B"/>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600" w:type="dxa"/>
            <w:vAlign w:val="bottom"/>
          </w:tcPr>
          <w:p>
            <w:pPr>
              <w:spacing w:after="0" w:line="181" w:lineRule="exact"/>
              <w:rPr>
                <w:sz w:val="20"/>
                <w:szCs w:val="20"/>
                <w:color w:val="auto"/>
              </w:rPr>
            </w:pPr>
            <w:r>
              <w:rPr>
                <w:rFonts w:ascii="Arial" w:cs="Arial" w:eastAsia="Arial" w:hAnsi="Arial"/>
                <w:sz w:val="16"/>
                <w:szCs w:val="16"/>
                <w:color w:val="auto"/>
              </w:rPr>
              <w:t>Restricted Share</w:t>
            </w:r>
          </w:p>
        </w:tc>
        <w:tc>
          <w:tcPr>
            <w:tcW w:w="3480" w:type="dxa"/>
            <w:vAlign w:val="bottom"/>
          </w:tcPr>
          <w:p>
            <w:pPr>
              <w:ind w:left="140"/>
              <w:spacing w:after="0" w:line="181" w:lineRule="exact"/>
              <w:rPr>
                <w:sz w:val="20"/>
                <w:szCs w:val="20"/>
                <w:color w:val="auto"/>
              </w:rPr>
            </w:pPr>
            <w:r>
              <w:rPr>
                <w:rFonts w:ascii="Arial" w:cs="Arial" w:eastAsia="Arial" w:hAnsi="Arial"/>
                <w:sz w:val="16"/>
                <w:szCs w:val="16"/>
                <w:color w:val="auto"/>
              </w:rPr>
              <w:t>Incentivizes management contributions to</w:t>
            </w:r>
          </w:p>
        </w:tc>
        <w:tc>
          <w:tcPr>
            <w:tcW w:w="3600" w:type="dxa"/>
            <w:vAlign w:val="bottom"/>
          </w:tcPr>
          <w:p>
            <w:pPr>
              <w:ind w:left="120"/>
              <w:spacing w:after="0" w:line="181" w:lineRule="exact"/>
              <w:rPr>
                <w:sz w:val="20"/>
                <w:szCs w:val="20"/>
                <w:color w:val="auto"/>
              </w:rPr>
            </w:pPr>
            <w:r>
              <w:rPr>
                <w:rFonts w:ascii="Arial" w:cs="Arial" w:eastAsia="Arial" w:hAnsi="Arial"/>
                <w:sz w:val="16"/>
                <w:szCs w:val="16"/>
                <w:color w:val="auto"/>
              </w:rPr>
              <w:t>A portion of executive compensation is paid in</w:t>
            </w:r>
          </w:p>
        </w:tc>
        <w:tc>
          <w:tcPr>
            <w:tcW w:w="2740" w:type="dxa"/>
            <w:vAlign w:val="bottom"/>
          </w:tcPr>
          <w:p>
            <w:pPr>
              <w:ind w:left="100"/>
              <w:spacing w:after="0" w:line="181" w:lineRule="exact"/>
              <w:rPr>
                <w:sz w:val="20"/>
                <w:szCs w:val="20"/>
                <w:color w:val="auto"/>
              </w:rPr>
            </w:pPr>
            <w:r>
              <w:rPr>
                <w:rFonts w:ascii="Arial" w:cs="Arial" w:eastAsia="Arial" w:hAnsi="Arial"/>
                <w:sz w:val="16"/>
                <w:szCs w:val="16"/>
                <w:color w:val="auto"/>
              </w:rPr>
              <w:t>Yes, value increases or decreases in</w:t>
            </w:r>
          </w:p>
        </w:tc>
        <w:tc>
          <w:tcPr>
            <w:tcW w:w="0" w:type="dxa"/>
            <w:vAlign w:val="bottom"/>
          </w:tcPr>
          <w:p>
            <w:pPr>
              <w:spacing w:after="0"/>
              <w:rPr>
                <w:sz w:val="1"/>
                <w:szCs w:val="1"/>
                <w:color w:val="auto"/>
              </w:rPr>
            </w:pPr>
          </w:p>
        </w:tc>
      </w:tr>
      <w:tr>
        <w:trPr>
          <w:trHeight w:val="186"/>
        </w:trPr>
        <w:tc>
          <w:tcPr>
            <w:tcW w:w="1600" w:type="dxa"/>
            <w:vAlign w:val="bottom"/>
          </w:tcPr>
          <w:p>
            <w:pPr>
              <w:spacing w:after="0"/>
              <w:rPr>
                <w:sz w:val="20"/>
                <w:szCs w:val="20"/>
                <w:color w:val="auto"/>
              </w:rPr>
            </w:pPr>
            <w:r>
              <w:rPr>
                <w:rFonts w:ascii="Arial" w:cs="Arial" w:eastAsia="Arial" w:hAnsi="Arial"/>
                <w:sz w:val="16"/>
                <w:szCs w:val="16"/>
                <w:color w:val="auto"/>
              </w:rPr>
              <w:t>Units (Long-Term</w:t>
            </w:r>
          </w:p>
        </w:tc>
        <w:tc>
          <w:tcPr>
            <w:tcW w:w="3480" w:type="dxa"/>
            <w:vAlign w:val="bottom"/>
          </w:tcPr>
          <w:p>
            <w:pPr>
              <w:ind w:left="140"/>
              <w:spacing w:after="0"/>
              <w:rPr>
                <w:sz w:val="20"/>
                <w:szCs w:val="20"/>
                <w:color w:val="auto"/>
              </w:rPr>
            </w:pPr>
            <w:r>
              <w:rPr>
                <w:rFonts w:ascii="Arial" w:cs="Arial" w:eastAsia="Arial" w:hAnsi="Arial"/>
                <w:sz w:val="16"/>
                <w:szCs w:val="16"/>
                <w:color w:val="auto"/>
              </w:rPr>
              <w:t>long-term increases in shareholder value.</w:t>
            </w:r>
          </w:p>
        </w:tc>
        <w:tc>
          <w:tcPr>
            <w:tcW w:w="3600" w:type="dxa"/>
            <w:vAlign w:val="bottom"/>
          </w:tcPr>
          <w:p>
            <w:pPr>
              <w:ind w:left="120"/>
              <w:spacing w:after="0"/>
              <w:rPr>
                <w:sz w:val="20"/>
                <w:szCs w:val="20"/>
                <w:color w:val="auto"/>
              </w:rPr>
            </w:pPr>
            <w:r>
              <w:rPr>
                <w:rFonts w:ascii="Arial" w:cs="Arial" w:eastAsia="Arial" w:hAnsi="Arial"/>
                <w:sz w:val="16"/>
                <w:szCs w:val="16"/>
                <w:color w:val="auto"/>
              </w:rPr>
              <w:t>equity, and value is realized based on future</w:t>
            </w:r>
          </w:p>
        </w:tc>
        <w:tc>
          <w:tcPr>
            <w:tcW w:w="2740" w:type="dxa"/>
            <w:vAlign w:val="bottom"/>
          </w:tcPr>
          <w:p>
            <w:pPr>
              <w:ind w:left="100"/>
              <w:spacing w:after="0"/>
              <w:rPr>
                <w:sz w:val="20"/>
                <w:szCs w:val="20"/>
                <w:color w:val="auto"/>
              </w:rPr>
            </w:pPr>
            <w:r>
              <w:rPr>
                <w:rFonts w:ascii="Arial" w:cs="Arial" w:eastAsia="Arial" w:hAnsi="Arial"/>
                <w:sz w:val="16"/>
                <w:szCs w:val="16"/>
                <w:color w:val="auto"/>
              </w:rPr>
              <w:t>correlation to share price.</w:t>
            </w:r>
          </w:p>
        </w:tc>
        <w:tc>
          <w:tcPr>
            <w:tcW w:w="0" w:type="dxa"/>
            <w:vAlign w:val="bottom"/>
          </w:tcPr>
          <w:p>
            <w:pPr>
              <w:spacing w:after="0"/>
              <w:rPr>
                <w:sz w:val="1"/>
                <w:szCs w:val="1"/>
                <w:color w:val="auto"/>
              </w:rPr>
            </w:pPr>
          </w:p>
        </w:tc>
      </w:tr>
      <w:tr>
        <w:trPr>
          <w:trHeight w:val="186"/>
        </w:trPr>
        <w:tc>
          <w:tcPr>
            <w:tcW w:w="1600" w:type="dxa"/>
            <w:vAlign w:val="bottom"/>
          </w:tcPr>
          <w:p>
            <w:pPr>
              <w:spacing w:after="0"/>
              <w:rPr>
                <w:sz w:val="20"/>
                <w:szCs w:val="20"/>
                <w:color w:val="auto"/>
              </w:rPr>
            </w:pPr>
            <w:r>
              <w:rPr>
                <w:rFonts w:ascii="Arial" w:cs="Arial" w:eastAsia="Arial" w:hAnsi="Arial"/>
                <w:sz w:val="16"/>
                <w:szCs w:val="16"/>
                <w:color w:val="auto"/>
              </w:rPr>
              <w:t>Equity Awards)</w:t>
            </w:r>
          </w:p>
        </w:tc>
        <w:tc>
          <w:tcPr>
            <w:tcW w:w="3480" w:type="dxa"/>
            <w:vAlign w:val="bottom"/>
          </w:tcPr>
          <w:p>
            <w:pPr>
              <w:ind w:left="140"/>
              <w:spacing w:after="0"/>
              <w:rPr>
                <w:sz w:val="20"/>
                <w:szCs w:val="20"/>
                <w:color w:val="auto"/>
              </w:rPr>
            </w:pPr>
            <w:r>
              <w:rPr>
                <w:rFonts w:ascii="Arial" w:cs="Arial" w:eastAsia="Arial" w:hAnsi="Arial"/>
                <w:sz w:val="16"/>
                <w:szCs w:val="16"/>
                <w:color w:val="auto"/>
              </w:rPr>
              <w:t>Retains executives in the competitive energy</w:t>
            </w:r>
          </w:p>
        </w:tc>
        <w:tc>
          <w:tcPr>
            <w:tcW w:w="3600" w:type="dxa"/>
            <w:vAlign w:val="bottom"/>
          </w:tcPr>
          <w:p>
            <w:pPr>
              <w:ind w:left="120"/>
              <w:spacing w:after="0"/>
              <w:rPr>
                <w:sz w:val="20"/>
                <w:szCs w:val="20"/>
                <w:color w:val="auto"/>
              </w:rPr>
            </w:pPr>
            <w:r>
              <w:rPr>
                <w:rFonts w:ascii="Arial" w:cs="Arial" w:eastAsia="Arial" w:hAnsi="Arial"/>
                <w:sz w:val="16"/>
                <w:szCs w:val="16"/>
                <w:color w:val="auto"/>
              </w:rPr>
              <w:t>share price. Provides a direct correlation of</w:t>
            </w:r>
          </w:p>
        </w:tc>
        <w:tc>
          <w:tcPr>
            <w:tcW w:w="2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600" w:type="dxa"/>
            <w:vAlign w:val="bottom"/>
          </w:tcPr>
          <w:p>
            <w:pPr>
              <w:spacing w:after="0"/>
              <w:rPr>
                <w:sz w:val="16"/>
                <w:szCs w:val="16"/>
                <w:color w:val="auto"/>
              </w:rPr>
            </w:pPr>
          </w:p>
        </w:tc>
        <w:tc>
          <w:tcPr>
            <w:tcW w:w="3480" w:type="dxa"/>
            <w:vAlign w:val="bottom"/>
          </w:tcPr>
          <w:p>
            <w:pPr>
              <w:ind w:left="140"/>
              <w:spacing w:after="0"/>
              <w:rPr>
                <w:sz w:val="20"/>
                <w:szCs w:val="20"/>
                <w:color w:val="auto"/>
              </w:rPr>
            </w:pPr>
            <w:r>
              <w:rPr>
                <w:rFonts w:ascii="Arial" w:cs="Arial" w:eastAsia="Arial" w:hAnsi="Arial"/>
                <w:sz w:val="16"/>
                <w:szCs w:val="16"/>
                <w:color w:val="auto"/>
              </w:rPr>
              <w:t>market.</w:t>
            </w:r>
          </w:p>
        </w:tc>
        <w:tc>
          <w:tcPr>
            <w:tcW w:w="3600" w:type="dxa"/>
            <w:vAlign w:val="bottom"/>
          </w:tcPr>
          <w:p>
            <w:pPr>
              <w:ind w:left="120"/>
              <w:spacing w:after="0"/>
              <w:rPr>
                <w:sz w:val="20"/>
                <w:szCs w:val="20"/>
                <w:color w:val="auto"/>
              </w:rPr>
            </w:pPr>
            <w:r>
              <w:rPr>
                <w:rFonts w:ascii="Arial" w:cs="Arial" w:eastAsia="Arial" w:hAnsi="Arial"/>
                <w:sz w:val="16"/>
                <w:szCs w:val="16"/>
                <w:color w:val="auto"/>
              </w:rPr>
              <w:t>realized pay to changes in shareholder value.</w:t>
            </w:r>
          </w:p>
        </w:tc>
        <w:tc>
          <w:tcPr>
            <w:tcW w:w="2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600" w:type="dxa"/>
            <w:vAlign w:val="bottom"/>
            <w:tcBorders>
              <w:bottom w:val="single" w:sz="8" w:color="58595B"/>
            </w:tcBorders>
          </w:tcPr>
          <w:p>
            <w:pPr>
              <w:spacing w:after="0"/>
              <w:rPr>
                <w:sz w:val="15"/>
                <w:szCs w:val="15"/>
                <w:color w:val="auto"/>
              </w:rPr>
            </w:pPr>
          </w:p>
        </w:tc>
        <w:tc>
          <w:tcPr>
            <w:tcW w:w="3480" w:type="dxa"/>
            <w:vAlign w:val="bottom"/>
            <w:tcBorders>
              <w:bottom w:val="single" w:sz="8" w:color="58595B"/>
            </w:tcBorders>
          </w:tcPr>
          <w:p>
            <w:pPr>
              <w:spacing w:after="0"/>
              <w:rPr>
                <w:sz w:val="15"/>
                <w:szCs w:val="15"/>
                <w:color w:val="auto"/>
              </w:rPr>
            </w:pPr>
          </w:p>
        </w:tc>
        <w:tc>
          <w:tcPr>
            <w:tcW w:w="3600" w:type="dxa"/>
            <w:vAlign w:val="bottom"/>
            <w:tcBorders>
              <w:bottom w:val="single" w:sz="8" w:color="58595B"/>
            </w:tcBorders>
          </w:tcPr>
          <w:p>
            <w:pPr>
              <w:spacing w:after="0"/>
              <w:rPr>
                <w:sz w:val="15"/>
                <w:szCs w:val="15"/>
                <w:color w:val="auto"/>
              </w:rPr>
            </w:pPr>
          </w:p>
        </w:tc>
        <w:tc>
          <w:tcPr>
            <w:tcW w:w="2740" w:type="dxa"/>
            <w:vAlign w:val="bottom"/>
            <w:tcBorders>
              <w:bottom w:val="single" w:sz="8" w:color="58595B"/>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2"/>
          <w:szCs w:val="12"/>
          <w:color w:val="auto"/>
        </w:rPr>
        <w:t>Weatherford International plc - www.WeatherfordAnnualMeeting.com</w:t>
      </w:r>
      <w:r>
        <w:rPr>
          <w:sz w:val="20"/>
          <w:szCs w:val="20"/>
          <w:color w:val="auto"/>
        </w:rPr>
        <w:tab/>
      </w:r>
      <w:r>
        <w:rPr>
          <w:rFonts w:ascii="Arial" w:cs="Arial" w:eastAsia="Arial" w:hAnsi="Arial"/>
          <w:sz w:val="11"/>
          <w:szCs w:val="11"/>
          <w:b w:val="1"/>
          <w:bCs w:val="1"/>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131445</wp:posOffset>
            </wp:positionV>
            <wp:extent cx="7278370" cy="20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2" w:name="page13"/>
    <w:bookmarkEnd w:id="12"/>
    <w:p>
      <w:pPr>
        <w:ind w:left="1"/>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3286760" cy="8489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86760" cy="84899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5321"/>
        <w:spacing w:after="0"/>
        <w:rPr>
          <w:sz w:val="20"/>
          <w:szCs w:val="20"/>
          <w:color w:val="auto"/>
        </w:rPr>
      </w:pPr>
      <w:r>
        <w:rPr>
          <w:rFonts w:ascii="Arial" w:cs="Arial" w:eastAsia="Arial" w:hAnsi="Arial"/>
          <w:sz w:val="30"/>
          <w:szCs w:val="30"/>
          <w:color w:val="auto"/>
        </w:rPr>
        <w:t>OUR DIRECTOR</w:t>
      </w:r>
    </w:p>
    <w:p>
      <w:pPr>
        <w:ind w:left="5321"/>
        <w:spacing w:after="0"/>
        <w:rPr>
          <w:sz w:val="20"/>
          <w:szCs w:val="20"/>
          <w:color w:val="auto"/>
        </w:rPr>
      </w:pPr>
      <w:r>
        <w:rPr>
          <w:rFonts w:ascii="Arial" w:cs="Arial" w:eastAsia="Arial" w:hAnsi="Arial"/>
          <w:sz w:val="40"/>
          <w:szCs w:val="40"/>
          <w:b w:val="1"/>
          <w:bCs w:val="1"/>
          <w:color w:val="BB1131"/>
        </w:rPr>
        <w:t>NOMINEES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
        <w:spacing w:after="0" w:line="254" w:lineRule="auto"/>
        <w:rPr>
          <w:sz w:val="20"/>
          <w:szCs w:val="20"/>
          <w:color w:val="auto"/>
        </w:rPr>
      </w:pPr>
      <w:r>
        <w:rPr>
          <w:rFonts w:ascii="Arial" w:cs="Arial" w:eastAsia="Arial" w:hAnsi="Arial"/>
          <w:sz w:val="16"/>
          <w:szCs w:val="16"/>
          <w:color w:val="auto"/>
        </w:rPr>
        <w:t>You are being asked to vote on the election of nine Directors. All Directors are elected annually by a majority of votes cast. Detailed information about each Director’s background, skillset and areas of expertise can be found beginning on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112395</wp:posOffset>
            </wp:positionV>
            <wp:extent cx="5724525" cy="59131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24525" cy="5913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41" w:hanging="241"/>
        <w:spacing w:after="0"/>
        <w:tabs>
          <w:tab w:leader="none" w:pos="241" w:val="left"/>
        </w:tabs>
        <w:numPr>
          <w:ilvl w:val="0"/>
          <w:numId w:val="10"/>
        </w:numPr>
        <w:rPr>
          <w:rFonts w:ascii="Arial" w:cs="Arial" w:eastAsia="Arial" w:hAnsi="Arial"/>
          <w:sz w:val="12"/>
          <w:szCs w:val="12"/>
          <w:b w:val="1"/>
          <w:bCs w:val="1"/>
          <w:color w:val="auto"/>
        </w:rPr>
      </w:pPr>
      <w:r>
        <w:rPr>
          <w:rFonts w:ascii="Arial" w:cs="Arial" w:eastAsia="Arial" w:hAnsi="Arial"/>
          <w:sz w:val="12"/>
          <w:szCs w:val="12"/>
          <w:color w:val="auto"/>
        </w:rPr>
        <w:t>Weatherford International plc - 2014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8370" cy="20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5779770" cy="74155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79770" cy="7415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2"/>
          <w:szCs w:val="12"/>
          <w:color w:val="auto"/>
        </w:rPr>
        <w:t>Weatherford International plc - www.WeatherfordAnnualMeeting.com</w:t>
      </w:r>
      <w:r>
        <w:rPr>
          <w:sz w:val="20"/>
          <w:szCs w:val="20"/>
          <w:color w:val="auto"/>
        </w:rPr>
        <w:tab/>
      </w:r>
      <w:r>
        <w:rPr>
          <w:rFonts w:ascii="Arial" w:cs="Arial" w:eastAsia="Arial" w:hAnsi="Arial"/>
          <w:sz w:val="11"/>
          <w:szCs w:val="11"/>
          <w:b w:val="1"/>
          <w:bCs w:val="1"/>
          <w:color w:val="auto"/>
        </w:rPr>
        <w:t>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131445</wp:posOffset>
            </wp:positionV>
            <wp:extent cx="7278370" cy="20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4" w:name="page15"/>
    <w:bookmarkEnd w:id="14"/>
    <w:p>
      <w:pPr>
        <w:ind w:left="1"/>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3286760" cy="8489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86760" cy="848995"/>
                    </a:xfrm>
                    <a:prstGeom prst="rect">
                      <a:avLst/>
                    </a:prstGeom>
                    <a:noFill/>
                  </pic:spPr>
                </pic:pic>
              </a:graphicData>
            </a:graphic>
          </wp:anchor>
        </w:drawing>
      </w:r>
    </w:p>
    <w:p>
      <w:pPr>
        <w:spacing w:after="0" w:line="388" w:lineRule="exact"/>
        <w:rPr>
          <w:sz w:val="20"/>
          <w:szCs w:val="20"/>
          <w:color w:val="auto"/>
        </w:rPr>
      </w:pPr>
    </w:p>
    <w:p>
      <w:pPr>
        <w:ind w:left="5321"/>
        <w:spacing w:after="0"/>
        <w:rPr>
          <w:sz w:val="20"/>
          <w:szCs w:val="20"/>
          <w:color w:val="auto"/>
        </w:rPr>
      </w:pPr>
      <w:r>
        <w:rPr>
          <w:rFonts w:ascii="Arial" w:cs="Arial" w:eastAsia="Arial" w:hAnsi="Arial"/>
          <w:sz w:val="40"/>
          <w:szCs w:val="40"/>
          <w:b w:val="1"/>
          <w:bCs w:val="1"/>
          <w:color w:val="BB1131"/>
        </w:rPr>
        <w:t>GOVERNANCE</w:t>
      </w:r>
    </w:p>
    <w:p>
      <w:pPr>
        <w:spacing w:after="0" w:line="51" w:lineRule="exact"/>
        <w:rPr>
          <w:sz w:val="20"/>
          <w:szCs w:val="20"/>
          <w:color w:val="auto"/>
        </w:rPr>
      </w:pPr>
    </w:p>
    <w:p>
      <w:pPr>
        <w:ind w:left="5321"/>
        <w:spacing w:after="0"/>
        <w:rPr>
          <w:sz w:val="20"/>
          <w:szCs w:val="20"/>
          <w:color w:val="auto"/>
        </w:rPr>
      </w:pPr>
      <w:r>
        <w:rPr>
          <w:rFonts w:ascii="Arial" w:cs="Arial" w:eastAsia="Arial" w:hAnsi="Arial"/>
          <w:sz w:val="30"/>
          <w:szCs w:val="30"/>
          <w:color w:val="auto"/>
        </w:rPr>
        <w:t>HIGHLIGHTS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
        <w:spacing w:after="0" w:line="254" w:lineRule="auto"/>
        <w:rPr>
          <w:sz w:val="20"/>
          <w:szCs w:val="20"/>
          <w:color w:val="auto"/>
        </w:rPr>
      </w:pPr>
      <w:r>
        <w:rPr>
          <w:rFonts w:ascii="Arial" w:cs="Arial" w:eastAsia="Arial" w:hAnsi="Arial"/>
          <w:sz w:val="16"/>
          <w:szCs w:val="16"/>
          <w:color w:val="auto"/>
        </w:rPr>
        <w:t>The Board recognizes the importance of acting in accordance with Weatherford’s high principles of corporate governance. Maintaining and enhancing these standards is critical to the effective oversight of Weatherford’s business and is an important element of fulfilling the Company’s duties to shareholders.</w:t>
      </w:r>
    </w:p>
    <w:p>
      <w:pPr>
        <w:spacing w:after="0" w:line="180" w:lineRule="exact"/>
        <w:rPr>
          <w:sz w:val="20"/>
          <w:szCs w:val="20"/>
          <w:color w:val="auto"/>
        </w:rPr>
      </w:pPr>
    </w:p>
    <w:p>
      <w:pPr>
        <w:ind w:left="1"/>
        <w:spacing w:after="0" w:line="254" w:lineRule="auto"/>
        <w:rPr>
          <w:sz w:val="20"/>
          <w:szCs w:val="20"/>
          <w:color w:val="auto"/>
        </w:rPr>
      </w:pPr>
      <w:r>
        <w:rPr>
          <w:rFonts w:ascii="Arial" w:cs="Arial" w:eastAsia="Arial" w:hAnsi="Arial"/>
          <w:sz w:val="16"/>
          <w:szCs w:val="16"/>
          <w:color w:val="auto"/>
        </w:rPr>
        <w:t>We acknowledge our responsibility of being accountable stewards and hold ourselves to high ethical standards and believe these to be essential to the growth, health and sustainability of our organization.</w:t>
      </w:r>
    </w:p>
    <w:p>
      <w:pPr>
        <w:spacing w:after="0" w:line="180"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following highlights some key characteristics of our Board and governance practices.</w:t>
      </w:r>
    </w:p>
    <w:p>
      <w:pPr>
        <w:spacing w:after="0" w:line="200" w:lineRule="exact"/>
        <w:rPr>
          <w:sz w:val="20"/>
          <w:szCs w:val="20"/>
          <w:color w:val="auto"/>
        </w:rPr>
      </w:pPr>
    </w:p>
    <w:p>
      <w:pPr>
        <w:spacing w:after="0" w:line="202" w:lineRule="exact"/>
        <w:rPr>
          <w:sz w:val="20"/>
          <w:szCs w:val="20"/>
          <w:color w:val="auto"/>
        </w:rPr>
      </w:pPr>
    </w:p>
    <w:tbl>
      <w:tblPr>
        <w:tblLayout w:type="fixed"/>
        <w:tblInd w:w="1621" w:type="dxa"/>
        <w:tblCellMar>
          <w:top w:w="0" w:type="dxa"/>
          <w:left w:w="0" w:type="dxa"/>
          <w:bottom w:w="0" w:type="dxa"/>
          <w:right w:w="0" w:type="dxa"/>
        </w:tblCellMar>
      </w:tblPr>
      <w:tr>
        <w:trPr>
          <w:trHeight w:val="261"/>
        </w:trPr>
        <w:tc>
          <w:tcPr>
            <w:tcW w:w="6920" w:type="dxa"/>
            <w:vAlign w:val="bottom"/>
          </w:tcPr>
          <w:p>
            <w:pPr>
              <w:ind w:left="100"/>
              <w:spacing w:after="0"/>
              <w:rPr>
                <w:sz w:val="20"/>
                <w:szCs w:val="20"/>
                <w:color w:val="auto"/>
              </w:rPr>
            </w:pPr>
            <w:r>
              <w:rPr>
                <w:rFonts w:ascii="Arial" w:cs="Arial" w:eastAsia="Arial" w:hAnsi="Arial"/>
                <w:sz w:val="16"/>
                <w:szCs w:val="16"/>
                <w:b w:val="1"/>
                <w:bCs w:val="1"/>
                <w:color w:val="BB1131"/>
              </w:rPr>
              <w:t>BOARD AND GOVERNANCE PRACTICES</w:t>
            </w:r>
          </w:p>
        </w:tc>
        <w:tc>
          <w:tcPr>
            <w:tcW w:w="2880" w:type="dxa"/>
            <w:vAlign w:val="bottom"/>
          </w:tcPr>
          <w:p>
            <w:pPr>
              <w:jc w:val="center"/>
              <w:ind w:left="2358"/>
              <w:spacing w:after="0"/>
              <w:rPr>
                <w:sz w:val="20"/>
                <w:szCs w:val="20"/>
                <w:color w:val="auto"/>
              </w:rPr>
            </w:pPr>
            <w:r>
              <w:rPr>
                <w:rFonts w:ascii="Arial" w:cs="Arial" w:eastAsia="Arial" w:hAnsi="Arial"/>
                <w:sz w:val="20"/>
                <w:szCs w:val="20"/>
                <w:b w:val="1"/>
                <w:bCs w:val="1"/>
                <w:color w:val="BB1131"/>
                <w:w w:val="98"/>
              </w:rPr>
              <w:t>2014</w:t>
            </w:r>
          </w:p>
        </w:tc>
        <w:tc>
          <w:tcPr>
            <w:tcW w:w="0" w:type="dxa"/>
            <w:vAlign w:val="bottom"/>
          </w:tcPr>
          <w:p>
            <w:pPr>
              <w:spacing w:after="0"/>
              <w:rPr>
                <w:sz w:val="1"/>
                <w:szCs w:val="1"/>
                <w:color w:val="auto"/>
              </w:rPr>
            </w:pPr>
          </w:p>
        </w:tc>
      </w:tr>
      <w:tr>
        <w:trPr>
          <w:trHeight w:val="83"/>
        </w:trPr>
        <w:tc>
          <w:tcPr>
            <w:tcW w:w="6920" w:type="dxa"/>
            <w:vAlign w:val="bottom"/>
            <w:tcBorders>
              <w:bottom w:val="single" w:sz="8" w:color="58595B"/>
            </w:tcBorders>
          </w:tcPr>
          <w:p>
            <w:pPr>
              <w:spacing w:after="0"/>
              <w:rPr>
                <w:sz w:val="7"/>
                <w:szCs w:val="7"/>
                <w:color w:val="auto"/>
              </w:rPr>
            </w:pPr>
          </w:p>
        </w:tc>
        <w:tc>
          <w:tcPr>
            <w:tcW w:w="2880" w:type="dxa"/>
            <w:vAlign w:val="bottom"/>
            <w:tcBorders>
              <w:bottom w:val="single" w:sz="8" w:color="58595B"/>
            </w:tcBorders>
          </w:tcPr>
          <w:p>
            <w:pPr>
              <w:spacing w:after="0"/>
              <w:rPr>
                <w:sz w:val="7"/>
                <w:szCs w:val="7"/>
                <w:color w:val="auto"/>
              </w:rPr>
            </w:pPr>
          </w:p>
        </w:tc>
        <w:tc>
          <w:tcPr>
            <w:tcW w:w="0" w:type="dxa"/>
            <w:vAlign w:val="bottom"/>
          </w:tcPr>
          <w:p>
            <w:pPr>
              <w:spacing w:after="0"/>
              <w:rPr>
                <w:sz w:val="1"/>
                <w:szCs w:val="1"/>
                <w:color w:val="auto"/>
              </w:rPr>
            </w:pPr>
          </w:p>
        </w:tc>
      </w:tr>
      <w:tr>
        <w:trPr>
          <w:trHeight w:val="296"/>
        </w:trPr>
        <w:tc>
          <w:tcPr>
            <w:tcW w:w="6920" w:type="dxa"/>
            <w:vAlign w:val="bottom"/>
          </w:tcPr>
          <w:p>
            <w:pPr>
              <w:ind w:left="100"/>
              <w:spacing w:after="0"/>
              <w:rPr>
                <w:sz w:val="20"/>
                <w:szCs w:val="20"/>
                <w:color w:val="auto"/>
              </w:rPr>
            </w:pPr>
            <w:r>
              <w:rPr>
                <w:rFonts w:ascii="Arial" w:cs="Arial" w:eastAsia="Arial" w:hAnsi="Arial"/>
                <w:sz w:val="16"/>
                <w:szCs w:val="16"/>
                <w:color w:val="auto"/>
              </w:rPr>
              <w:t>Size of Board</w:t>
            </w:r>
          </w:p>
        </w:tc>
        <w:tc>
          <w:tcPr>
            <w:tcW w:w="2880" w:type="dxa"/>
            <w:vAlign w:val="bottom"/>
          </w:tcPr>
          <w:p>
            <w:pPr>
              <w:jc w:val="center"/>
              <w:ind w:left="2378"/>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6"/>
        </w:trPr>
        <w:tc>
          <w:tcPr>
            <w:tcW w:w="6920" w:type="dxa"/>
            <w:vAlign w:val="bottom"/>
            <w:tcBorders>
              <w:bottom w:val="single" w:sz="8" w:color="58595B"/>
            </w:tcBorders>
          </w:tcPr>
          <w:p>
            <w:pPr>
              <w:spacing w:after="0"/>
              <w:rPr>
                <w:sz w:val="2"/>
                <w:szCs w:val="2"/>
                <w:color w:val="auto"/>
              </w:rPr>
            </w:pPr>
          </w:p>
        </w:tc>
        <w:tc>
          <w:tcPr>
            <w:tcW w:w="2880" w:type="dxa"/>
            <w:vAlign w:val="bottom"/>
            <w:tcBorders>
              <w:bottom w:val="single" w:sz="8" w:color="58595B"/>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920" w:type="dxa"/>
            <w:vAlign w:val="bottom"/>
          </w:tcPr>
          <w:p>
            <w:pPr>
              <w:ind w:left="100"/>
              <w:spacing w:after="0"/>
              <w:rPr>
                <w:sz w:val="20"/>
                <w:szCs w:val="20"/>
                <w:color w:val="auto"/>
              </w:rPr>
            </w:pPr>
            <w:r>
              <w:rPr>
                <w:rFonts w:ascii="Arial" w:cs="Arial" w:eastAsia="Arial" w:hAnsi="Arial"/>
                <w:sz w:val="16"/>
                <w:szCs w:val="16"/>
                <w:color w:val="auto"/>
              </w:rPr>
              <w:t>Average Age of Directors</w:t>
            </w:r>
          </w:p>
        </w:tc>
        <w:tc>
          <w:tcPr>
            <w:tcW w:w="2880" w:type="dxa"/>
            <w:vAlign w:val="bottom"/>
          </w:tcPr>
          <w:p>
            <w:pPr>
              <w:jc w:val="center"/>
              <w:ind w:left="2378"/>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6"/>
        </w:trPr>
        <w:tc>
          <w:tcPr>
            <w:tcW w:w="6920" w:type="dxa"/>
            <w:vAlign w:val="bottom"/>
            <w:tcBorders>
              <w:bottom w:val="single" w:sz="8" w:color="58595B"/>
            </w:tcBorders>
          </w:tcPr>
          <w:p>
            <w:pPr>
              <w:spacing w:after="0"/>
              <w:rPr>
                <w:sz w:val="2"/>
                <w:szCs w:val="2"/>
                <w:color w:val="auto"/>
              </w:rPr>
            </w:pPr>
          </w:p>
        </w:tc>
        <w:tc>
          <w:tcPr>
            <w:tcW w:w="2880" w:type="dxa"/>
            <w:vAlign w:val="bottom"/>
            <w:tcBorders>
              <w:bottom w:val="single" w:sz="8" w:color="58595B"/>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920" w:type="dxa"/>
            <w:vAlign w:val="bottom"/>
          </w:tcPr>
          <w:p>
            <w:pPr>
              <w:ind w:left="100"/>
              <w:spacing w:after="0"/>
              <w:rPr>
                <w:sz w:val="20"/>
                <w:szCs w:val="20"/>
                <w:color w:val="auto"/>
              </w:rPr>
            </w:pPr>
            <w:r>
              <w:rPr>
                <w:rFonts w:ascii="Arial" w:cs="Arial" w:eastAsia="Arial" w:hAnsi="Arial"/>
                <w:sz w:val="16"/>
                <w:szCs w:val="16"/>
                <w:color w:val="auto"/>
              </w:rPr>
              <w:t>Number of Independent Directors</w:t>
            </w:r>
          </w:p>
        </w:tc>
        <w:tc>
          <w:tcPr>
            <w:tcW w:w="2880" w:type="dxa"/>
            <w:vAlign w:val="bottom"/>
          </w:tcPr>
          <w:p>
            <w:pPr>
              <w:jc w:val="center"/>
              <w:ind w:left="2378"/>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6"/>
        </w:trPr>
        <w:tc>
          <w:tcPr>
            <w:tcW w:w="6920" w:type="dxa"/>
            <w:vAlign w:val="bottom"/>
            <w:tcBorders>
              <w:bottom w:val="single" w:sz="8" w:color="58595B"/>
            </w:tcBorders>
          </w:tcPr>
          <w:p>
            <w:pPr>
              <w:spacing w:after="0"/>
              <w:rPr>
                <w:sz w:val="2"/>
                <w:szCs w:val="2"/>
                <w:color w:val="auto"/>
              </w:rPr>
            </w:pPr>
          </w:p>
        </w:tc>
        <w:tc>
          <w:tcPr>
            <w:tcW w:w="2880" w:type="dxa"/>
            <w:vAlign w:val="bottom"/>
            <w:tcBorders>
              <w:bottom w:val="single" w:sz="8" w:color="58595B"/>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6920" w:type="dxa"/>
            <w:vAlign w:val="bottom"/>
          </w:tcPr>
          <w:p>
            <w:pPr>
              <w:ind w:left="100"/>
              <w:spacing w:after="0"/>
              <w:rPr>
                <w:sz w:val="20"/>
                <w:szCs w:val="20"/>
                <w:color w:val="auto"/>
              </w:rPr>
            </w:pPr>
            <w:r>
              <w:rPr>
                <w:rFonts w:ascii="Arial" w:cs="Arial" w:eastAsia="Arial" w:hAnsi="Arial"/>
                <w:sz w:val="16"/>
                <w:szCs w:val="16"/>
                <w:color w:val="auto"/>
              </w:rPr>
              <w:t>Annual Election of All Directors</w:t>
            </w:r>
          </w:p>
        </w:tc>
        <w:tc>
          <w:tcPr>
            <w:tcW w:w="2880" w:type="dxa"/>
            <w:vAlign w:val="bottom"/>
            <w:vMerge w:val="restart"/>
          </w:tcPr>
          <w:p>
            <w:pPr>
              <w:ind w:left="2540"/>
              <w:spacing w:after="0"/>
              <w:rPr>
                <w:sz w:val="20"/>
                <w:szCs w:val="20"/>
                <w:color w:val="auto"/>
              </w:rPr>
            </w:pPr>
            <w:r>
              <w:rPr>
                <w:rFonts w:ascii="Arial" w:cs="Arial" w:eastAsia="Arial" w:hAnsi="Arial"/>
                <w:sz w:val="16"/>
                <w:szCs w:val="16"/>
                <w:color w:val="auto"/>
              </w:rPr>
              <w:t>Yes</w:t>
            </w:r>
          </w:p>
        </w:tc>
        <w:tc>
          <w:tcPr>
            <w:tcW w:w="0" w:type="dxa"/>
            <w:vAlign w:val="bottom"/>
          </w:tcPr>
          <w:p>
            <w:pPr>
              <w:spacing w:after="0"/>
              <w:rPr>
                <w:sz w:val="1"/>
                <w:szCs w:val="1"/>
                <w:color w:val="auto"/>
              </w:rPr>
            </w:pPr>
          </w:p>
        </w:tc>
      </w:tr>
      <w:tr>
        <w:trPr>
          <w:trHeight w:val="50"/>
        </w:trPr>
        <w:tc>
          <w:tcPr>
            <w:tcW w:w="6920" w:type="dxa"/>
            <w:vAlign w:val="bottom"/>
          </w:tcPr>
          <w:p>
            <w:pPr>
              <w:spacing w:after="0"/>
              <w:rPr>
                <w:sz w:val="4"/>
                <w:szCs w:val="4"/>
                <w:color w:val="auto"/>
              </w:rPr>
            </w:pPr>
          </w:p>
        </w:tc>
        <w:tc>
          <w:tcPr>
            <w:tcW w:w="2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6920" w:type="dxa"/>
            <w:vAlign w:val="bottom"/>
            <w:tcBorders>
              <w:bottom w:val="single" w:sz="8" w:color="58595B"/>
            </w:tcBorders>
          </w:tcPr>
          <w:p>
            <w:pPr>
              <w:spacing w:after="0"/>
              <w:rPr>
                <w:sz w:val="2"/>
                <w:szCs w:val="2"/>
                <w:color w:val="auto"/>
              </w:rPr>
            </w:pPr>
          </w:p>
        </w:tc>
        <w:tc>
          <w:tcPr>
            <w:tcW w:w="2880" w:type="dxa"/>
            <w:vAlign w:val="bottom"/>
            <w:tcBorders>
              <w:bottom w:val="single" w:sz="8" w:color="58595B"/>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920" w:type="dxa"/>
            <w:vAlign w:val="bottom"/>
          </w:tcPr>
          <w:p>
            <w:pPr>
              <w:ind w:left="100"/>
              <w:spacing w:after="0"/>
              <w:rPr>
                <w:sz w:val="20"/>
                <w:szCs w:val="20"/>
                <w:color w:val="auto"/>
              </w:rPr>
            </w:pPr>
            <w:r>
              <w:rPr>
                <w:rFonts w:ascii="Arial" w:cs="Arial" w:eastAsia="Arial" w:hAnsi="Arial"/>
                <w:sz w:val="16"/>
                <w:szCs w:val="16"/>
                <w:color w:val="auto"/>
              </w:rPr>
              <w:t>Majority Voting for Directors</w:t>
            </w:r>
          </w:p>
        </w:tc>
        <w:tc>
          <w:tcPr>
            <w:tcW w:w="2880" w:type="dxa"/>
            <w:vAlign w:val="bottom"/>
          </w:tcPr>
          <w:p>
            <w:pPr>
              <w:ind w:left="2540"/>
              <w:spacing w:after="0"/>
              <w:rPr>
                <w:sz w:val="20"/>
                <w:szCs w:val="20"/>
                <w:color w:val="auto"/>
              </w:rPr>
            </w:pPr>
            <w:r>
              <w:rPr>
                <w:rFonts w:ascii="Arial" w:cs="Arial" w:eastAsia="Arial" w:hAnsi="Arial"/>
                <w:sz w:val="16"/>
                <w:szCs w:val="16"/>
                <w:color w:val="auto"/>
              </w:rPr>
              <w:t>Yes</w:t>
            </w:r>
          </w:p>
        </w:tc>
        <w:tc>
          <w:tcPr>
            <w:tcW w:w="0" w:type="dxa"/>
            <w:vAlign w:val="bottom"/>
          </w:tcPr>
          <w:p>
            <w:pPr>
              <w:spacing w:after="0"/>
              <w:rPr>
                <w:sz w:val="1"/>
                <w:szCs w:val="1"/>
                <w:color w:val="auto"/>
              </w:rPr>
            </w:pPr>
          </w:p>
        </w:tc>
      </w:tr>
      <w:tr>
        <w:trPr>
          <w:trHeight w:val="26"/>
        </w:trPr>
        <w:tc>
          <w:tcPr>
            <w:tcW w:w="6920" w:type="dxa"/>
            <w:vAlign w:val="bottom"/>
            <w:tcBorders>
              <w:bottom w:val="single" w:sz="8" w:color="58595B"/>
            </w:tcBorders>
          </w:tcPr>
          <w:p>
            <w:pPr>
              <w:spacing w:after="0"/>
              <w:rPr>
                <w:sz w:val="2"/>
                <w:szCs w:val="2"/>
                <w:color w:val="auto"/>
              </w:rPr>
            </w:pPr>
          </w:p>
        </w:tc>
        <w:tc>
          <w:tcPr>
            <w:tcW w:w="2880" w:type="dxa"/>
            <w:vAlign w:val="bottom"/>
            <w:tcBorders>
              <w:bottom w:val="single" w:sz="8" w:color="58595B"/>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920" w:type="dxa"/>
            <w:vAlign w:val="bottom"/>
          </w:tcPr>
          <w:p>
            <w:pPr>
              <w:ind w:left="100"/>
              <w:spacing w:after="0"/>
              <w:rPr>
                <w:sz w:val="20"/>
                <w:szCs w:val="20"/>
                <w:color w:val="auto"/>
              </w:rPr>
            </w:pPr>
            <w:r>
              <w:rPr>
                <w:rFonts w:ascii="Arial" w:cs="Arial" w:eastAsia="Arial" w:hAnsi="Arial"/>
                <w:sz w:val="16"/>
                <w:szCs w:val="16"/>
                <w:color w:val="auto"/>
              </w:rPr>
              <w:t>Presiding Independent Director</w:t>
            </w:r>
          </w:p>
        </w:tc>
        <w:tc>
          <w:tcPr>
            <w:tcW w:w="2880" w:type="dxa"/>
            <w:vAlign w:val="bottom"/>
          </w:tcPr>
          <w:p>
            <w:pPr>
              <w:ind w:left="2540"/>
              <w:spacing w:after="0"/>
              <w:rPr>
                <w:sz w:val="20"/>
                <w:szCs w:val="20"/>
                <w:color w:val="auto"/>
              </w:rPr>
            </w:pPr>
            <w:r>
              <w:rPr>
                <w:rFonts w:ascii="Arial" w:cs="Arial" w:eastAsia="Arial" w:hAnsi="Arial"/>
                <w:sz w:val="16"/>
                <w:szCs w:val="16"/>
                <w:color w:val="auto"/>
              </w:rPr>
              <w:t>Yes</w:t>
            </w:r>
          </w:p>
        </w:tc>
        <w:tc>
          <w:tcPr>
            <w:tcW w:w="0" w:type="dxa"/>
            <w:vAlign w:val="bottom"/>
          </w:tcPr>
          <w:p>
            <w:pPr>
              <w:spacing w:after="0"/>
              <w:rPr>
                <w:sz w:val="1"/>
                <w:szCs w:val="1"/>
                <w:color w:val="auto"/>
              </w:rPr>
            </w:pPr>
          </w:p>
        </w:tc>
      </w:tr>
      <w:tr>
        <w:trPr>
          <w:trHeight w:val="26"/>
        </w:trPr>
        <w:tc>
          <w:tcPr>
            <w:tcW w:w="6920" w:type="dxa"/>
            <w:vAlign w:val="bottom"/>
            <w:tcBorders>
              <w:bottom w:val="single" w:sz="8" w:color="58595B"/>
            </w:tcBorders>
          </w:tcPr>
          <w:p>
            <w:pPr>
              <w:spacing w:after="0"/>
              <w:rPr>
                <w:sz w:val="2"/>
                <w:szCs w:val="2"/>
                <w:color w:val="auto"/>
              </w:rPr>
            </w:pPr>
          </w:p>
        </w:tc>
        <w:tc>
          <w:tcPr>
            <w:tcW w:w="2880" w:type="dxa"/>
            <w:vAlign w:val="bottom"/>
            <w:tcBorders>
              <w:bottom w:val="single" w:sz="8" w:color="58595B"/>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920" w:type="dxa"/>
            <w:vAlign w:val="bottom"/>
          </w:tcPr>
          <w:p>
            <w:pPr>
              <w:ind w:left="100"/>
              <w:spacing w:after="0"/>
              <w:rPr>
                <w:sz w:val="20"/>
                <w:szCs w:val="20"/>
                <w:color w:val="auto"/>
              </w:rPr>
            </w:pPr>
            <w:r>
              <w:rPr>
                <w:rFonts w:ascii="Arial" w:cs="Arial" w:eastAsia="Arial" w:hAnsi="Arial"/>
                <w:sz w:val="16"/>
                <w:szCs w:val="16"/>
                <w:color w:val="auto"/>
              </w:rPr>
              <w:t>Independent Directors Meet Without Management Present</w:t>
            </w:r>
          </w:p>
        </w:tc>
        <w:tc>
          <w:tcPr>
            <w:tcW w:w="2880" w:type="dxa"/>
            <w:vAlign w:val="bottom"/>
          </w:tcPr>
          <w:p>
            <w:pPr>
              <w:ind w:left="2540"/>
              <w:spacing w:after="0"/>
              <w:rPr>
                <w:sz w:val="20"/>
                <w:szCs w:val="20"/>
                <w:color w:val="auto"/>
              </w:rPr>
            </w:pPr>
            <w:r>
              <w:rPr>
                <w:rFonts w:ascii="Arial" w:cs="Arial" w:eastAsia="Arial" w:hAnsi="Arial"/>
                <w:sz w:val="16"/>
                <w:szCs w:val="16"/>
                <w:color w:val="auto"/>
              </w:rPr>
              <w:t>Yes</w:t>
            </w:r>
          </w:p>
        </w:tc>
        <w:tc>
          <w:tcPr>
            <w:tcW w:w="0" w:type="dxa"/>
            <w:vAlign w:val="bottom"/>
          </w:tcPr>
          <w:p>
            <w:pPr>
              <w:spacing w:after="0"/>
              <w:rPr>
                <w:sz w:val="1"/>
                <w:szCs w:val="1"/>
                <w:color w:val="auto"/>
              </w:rPr>
            </w:pPr>
          </w:p>
        </w:tc>
      </w:tr>
      <w:tr>
        <w:trPr>
          <w:trHeight w:val="26"/>
        </w:trPr>
        <w:tc>
          <w:tcPr>
            <w:tcW w:w="6920" w:type="dxa"/>
            <w:vAlign w:val="bottom"/>
            <w:tcBorders>
              <w:bottom w:val="single" w:sz="8" w:color="58595B"/>
            </w:tcBorders>
          </w:tcPr>
          <w:p>
            <w:pPr>
              <w:spacing w:after="0"/>
              <w:rPr>
                <w:sz w:val="2"/>
                <w:szCs w:val="2"/>
                <w:color w:val="auto"/>
              </w:rPr>
            </w:pPr>
          </w:p>
        </w:tc>
        <w:tc>
          <w:tcPr>
            <w:tcW w:w="2880" w:type="dxa"/>
            <w:vAlign w:val="bottom"/>
            <w:tcBorders>
              <w:bottom w:val="single" w:sz="8" w:color="58595B"/>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6920" w:type="dxa"/>
            <w:vAlign w:val="bottom"/>
          </w:tcPr>
          <w:p>
            <w:pPr>
              <w:ind w:left="100"/>
              <w:spacing w:after="0"/>
              <w:rPr>
                <w:sz w:val="20"/>
                <w:szCs w:val="20"/>
                <w:color w:val="auto"/>
              </w:rPr>
            </w:pPr>
            <w:r>
              <w:rPr>
                <w:rFonts w:ascii="Arial" w:cs="Arial" w:eastAsia="Arial" w:hAnsi="Arial"/>
                <w:sz w:val="16"/>
                <w:szCs w:val="16"/>
                <w:color w:val="auto"/>
              </w:rPr>
              <w:t>Annual Board and Committee Self-Evaluations</w:t>
            </w:r>
          </w:p>
        </w:tc>
        <w:tc>
          <w:tcPr>
            <w:tcW w:w="2880" w:type="dxa"/>
            <w:vAlign w:val="bottom"/>
            <w:vMerge w:val="restart"/>
          </w:tcPr>
          <w:p>
            <w:pPr>
              <w:ind w:left="2540"/>
              <w:spacing w:after="0"/>
              <w:rPr>
                <w:sz w:val="20"/>
                <w:szCs w:val="20"/>
                <w:color w:val="auto"/>
              </w:rPr>
            </w:pPr>
            <w:r>
              <w:rPr>
                <w:rFonts w:ascii="Arial" w:cs="Arial" w:eastAsia="Arial" w:hAnsi="Arial"/>
                <w:sz w:val="16"/>
                <w:szCs w:val="16"/>
                <w:color w:val="auto"/>
              </w:rPr>
              <w:t>Yes</w:t>
            </w:r>
          </w:p>
        </w:tc>
        <w:tc>
          <w:tcPr>
            <w:tcW w:w="0" w:type="dxa"/>
            <w:vAlign w:val="bottom"/>
          </w:tcPr>
          <w:p>
            <w:pPr>
              <w:spacing w:after="0"/>
              <w:rPr>
                <w:sz w:val="1"/>
                <w:szCs w:val="1"/>
                <w:color w:val="auto"/>
              </w:rPr>
            </w:pPr>
          </w:p>
        </w:tc>
      </w:tr>
      <w:tr>
        <w:trPr>
          <w:trHeight w:val="50"/>
        </w:trPr>
        <w:tc>
          <w:tcPr>
            <w:tcW w:w="6920" w:type="dxa"/>
            <w:vAlign w:val="bottom"/>
          </w:tcPr>
          <w:p>
            <w:pPr>
              <w:spacing w:after="0"/>
              <w:rPr>
                <w:sz w:val="4"/>
                <w:szCs w:val="4"/>
                <w:color w:val="auto"/>
              </w:rPr>
            </w:pPr>
          </w:p>
        </w:tc>
        <w:tc>
          <w:tcPr>
            <w:tcW w:w="2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6920" w:type="dxa"/>
            <w:vAlign w:val="bottom"/>
            <w:tcBorders>
              <w:bottom w:val="single" w:sz="8" w:color="58595B"/>
            </w:tcBorders>
          </w:tcPr>
          <w:p>
            <w:pPr>
              <w:spacing w:after="0"/>
              <w:rPr>
                <w:sz w:val="2"/>
                <w:szCs w:val="2"/>
                <w:color w:val="auto"/>
              </w:rPr>
            </w:pPr>
          </w:p>
        </w:tc>
        <w:tc>
          <w:tcPr>
            <w:tcW w:w="2880" w:type="dxa"/>
            <w:vAlign w:val="bottom"/>
            <w:tcBorders>
              <w:bottom w:val="single" w:sz="8" w:color="58595B"/>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920" w:type="dxa"/>
            <w:vAlign w:val="bottom"/>
          </w:tcPr>
          <w:p>
            <w:pPr>
              <w:ind w:left="100"/>
              <w:spacing w:after="0"/>
              <w:rPr>
                <w:sz w:val="20"/>
                <w:szCs w:val="20"/>
                <w:color w:val="auto"/>
              </w:rPr>
            </w:pPr>
            <w:r>
              <w:rPr>
                <w:rFonts w:ascii="Arial" w:cs="Arial" w:eastAsia="Arial" w:hAnsi="Arial"/>
                <w:sz w:val="16"/>
                <w:szCs w:val="16"/>
                <w:color w:val="auto"/>
              </w:rPr>
              <w:t>Equity Grants to Non-Employee Directors</w:t>
            </w:r>
          </w:p>
        </w:tc>
        <w:tc>
          <w:tcPr>
            <w:tcW w:w="2880" w:type="dxa"/>
            <w:vAlign w:val="bottom"/>
          </w:tcPr>
          <w:p>
            <w:pPr>
              <w:ind w:left="2540"/>
              <w:spacing w:after="0"/>
              <w:rPr>
                <w:sz w:val="20"/>
                <w:szCs w:val="20"/>
                <w:color w:val="auto"/>
              </w:rPr>
            </w:pPr>
            <w:r>
              <w:rPr>
                <w:rFonts w:ascii="Arial" w:cs="Arial" w:eastAsia="Arial" w:hAnsi="Arial"/>
                <w:sz w:val="16"/>
                <w:szCs w:val="16"/>
                <w:color w:val="auto"/>
              </w:rPr>
              <w:t>Yes</w:t>
            </w:r>
          </w:p>
        </w:tc>
        <w:tc>
          <w:tcPr>
            <w:tcW w:w="0" w:type="dxa"/>
            <w:vAlign w:val="bottom"/>
          </w:tcPr>
          <w:p>
            <w:pPr>
              <w:spacing w:after="0"/>
              <w:rPr>
                <w:sz w:val="1"/>
                <w:szCs w:val="1"/>
                <w:color w:val="auto"/>
              </w:rPr>
            </w:pPr>
          </w:p>
        </w:tc>
      </w:tr>
      <w:tr>
        <w:trPr>
          <w:trHeight w:val="26"/>
        </w:trPr>
        <w:tc>
          <w:tcPr>
            <w:tcW w:w="6920" w:type="dxa"/>
            <w:vAlign w:val="bottom"/>
            <w:tcBorders>
              <w:bottom w:val="single" w:sz="8" w:color="58595B"/>
            </w:tcBorders>
          </w:tcPr>
          <w:p>
            <w:pPr>
              <w:spacing w:after="0"/>
              <w:rPr>
                <w:sz w:val="2"/>
                <w:szCs w:val="2"/>
                <w:color w:val="auto"/>
              </w:rPr>
            </w:pPr>
          </w:p>
        </w:tc>
        <w:tc>
          <w:tcPr>
            <w:tcW w:w="2880" w:type="dxa"/>
            <w:vAlign w:val="bottom"/>
            <w:tcBorders>
              <w:bottom w:val="single" w:sz="8" w:color="58595B"/>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920" w:type="dxa"/>
            <w:vAlign w:val="bottom"/>
          </w:tcPr>
          <w:p>
            <w:pPr>
              <w:ind w:left="100"/>
              <w:spacing w:after="0"/>
              <w:rPr>
                <w:sz w:val="20"/>
                <w:szCs w:val="20"/>
                <w:color w:val="auto"/>
              </w:rPr>
            </w:pPr>
            <w:r>
              <w:rPr>
                <w:rFonts w:ascii="Arial" w:cs="Arial" w:eastAsia="Arial" w:hAnsi="Arial"/>
                <w:sz w:val="16"/>
                <w:szCs w:val="16"/>
                <w:color w:val="auto"/>
              </w:rPr>
              <w:t>Number of Board Meetings Held</w:t>
            </w:r>
          </w:p>
        </w:tc>
        <w:tc>
          <w:tcPr>
            <w:tcW w:w="2880" w:type="dxa"/>
            <w:vAlign w:val="bottom"/>
          </w:tcPr>
          <w:p>
            <w:pPr>
              <w:jc w:val="center"/>
              <w:ind w:left="2378"/>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6"/>
        </w:trPr>
        <w:tc>
          <w:tcPr>
            <w:tcW w:w="6920" w:type="dxa"/>
            <w:vAlign w:val="bottom"/>
            <w:tcBorders>
              <w:bottom w:val="single" w:sz="8" w:color="58595B"/>
            </w:tcBorders>
          </w:tcPr>
          <w:p>
            <w:pPr>
              <w:spacing w:after="0"/>
              <w:rPr>
                <w:sz w:val="2"/>
                <w:szCs w:val="2"/>
                <w:color w:val="auto"/>
              </w:rPr>
            </w:pPr>
          </w:p>
        </w:tc>
        <w:tc>
          <w:tcPr>
            <w:tcW w:w="2880" w:type="dxa"/>
            <w:vAlign w:val="bottom"/>
            <w:tcBorders>
              <w:bottom w:val="single" w:sz="8" w:color="58595B"/>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920" w:type="dxa"/>
            <w:vAlign w:val="bottom"/>
          </w:tcPr>
          <w:p>
            <w:pPr>
              <w:ind w:left="100"/>
              <w:spacing w:after="0"/>
              <w:rPr>
                <w:sz w:val="20"/>
                <w:szCs w:val="20"/>
                <w:color w:val="auto"/>
              </w:rPr>
            </w:pPr>
            <w:r>
              <w:rPr>
                <w:rFonts w:ascii="Arial" w:cs="Arial" w:eastAsia="Arial" w:hAnsi="Arial"/>
                <w:sz w:val="16"/>
                <w:szCs w:val="16"/>
                <w:color w:val="auto"/>
              </w:rPr>
              <w:t>Code of Business Conduct Applicable to Directors</w:t>
            </w:r>
          </w:p>
        </w:tc>
        <w:tc>
          <w:tcPr>
            <w:tcW w:w="2880" w:type="dxa"/>
            <w:vAlign w:val="bottom"/>
          </w:tcPr>
          <w:p>
            <w:pPr>
              <w:ind w:left="2540"/>
              <w:spacing w:after="0"/>
              <w:rPr>
                <w:sz w:val="20"/>
                <w:szCs w:val="20"/>
                <w:color w:val="auto"/>
              </w:rPr>
            </w:pPr>
            <w:r>
              <w:rPr>
                <w:rFonts w:ascii="Arial" w:cs="Arial" w:eastAsia="Arial" w:hAnsi="Arial"/>
                <w:sz w:val="16"/>
                <w:szCs w:val="16"/>
                <w:color w:val="auto"/>
              </w:rPr>
              <w:t>Yes</w:t>
            </w:r>
          </w:p>
        </w:tc>
        <w:tc>
          <w:tcPr>
            <w:tcW w:w="0" w:type="dxa"/>
            <w:vAlign w:val="bottom"/>
          </w:tcPr>
          <w:p>
            <w:pPr>
              <w:spacing w:after="0"/>
              <w:rPr>
                <w:sz w:val="1"/>
                <w:szCs w:val="1"/>
                <w:color w:val="auto"/>
              </w:rPr>
            </w:pPr>
          </w:p>
        </w:tc>
      </w:tr>
      <w:tr>
        <w:trPr>
          <w:trHeight w:val="26"/>
        </w:trPr>
        <w:tc>
          <w:tcPr>
            <w:tcW w:w="6920" w:type="dxa"/>
            <w:vAlign w:val="bottom"/>
            <w:tcBorders>
              <w:bottom w:val="single" w:sz="8" w:color="58595B"/>
            </w:tcBorders>
          </w:tcPr>
          <w:p>
            <w:pPr>
              <w:spacing w:after="0"/>
              <w:rPr>
                <w:sz w:val="2"/>
                <w:szCs w:val="2"/>
                <w:color w:val="auto"/>
              </w:rPr>
            </w:pPr>
          </w:p>
        </w:tc>
        <w:tc>
          <w:tcPr>
            <w:tcW w:w="2880" w:type="dxa"/>
            <w:vAlign w:val="bottom"/>
            <w:tcBorders>
              <w:bottom w:val="single" w:sz="8" w:color="58595B"/>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920" w:type="dxa"/>
            <w:vAlign w:val="bottom"/>
          </w:tcPr>
          <w:p>
            <w:pPr>
              <w:ind w:left="100"/>
              <w:spacing w:after="0"/>
              <w:rPr>
                <w:sz w:val="20"/>
                <w:szCs w:val="20"/>
                <w:color w:val="auto"/>
              </w:rPr>
            </w:pPr>
            <w:r>
              <w:rPr>
                <w:rFonts w:ascii="Arial" w:cs="Arial" w:eastAsia="Arial" w:hAnsi="Arial"/>
                <w:sz w:val="16"/>
                <w:szCs w:val="16"/>
                <w:color w:val="auto"/>
              </w:rPr>
              <w:t>Corporate Compliance Program</w:t>
            </w:r>
          </w:p>
        </w:tc>
        <w:tc>
          <w:tcPr>
            <w:tcW w:w="2880" w:type="dxa"/>
            <w:vAlign w:val="bottom"/>
          </w:tcPr>
          <w:p>
            <w:pPr>
              <w:ind w:left="2540"/>
              <w:spacing w:after="0"/>
              <w:rPr>
                <w:sz w:val="20"/>
                <w:szCs w:val="20"/>
                <w:color w:val="auto"/>
              </w:rPr>
            </w:pPr>
            <w:r>
              <w:rPr>
                <w:rFonts w:ascii="Arial" w:cs="Arial" w:eastAsia="Arial" w:hAnsi="Arial"/>
                <w:sz w:val="16"/>
                <w:szCs w:val="16"/>
                <w:color w:val="auto"/>
              </w:rPr>
              <w:t>Yes</w:t>
            </w:r>
          </w:p>
        </w:tc>
        <w:tc>
          <w:tcPr>
            <w:tcW w:w="0" w:type="dxa"/>
            <w:vAlign w:val="bottom"/>
          </w:tcPr>
          <w:p>
            <w:pPr>
              <w:spacing w:after="0"/>
              <w:rPr>
                <w:sz w:val="1"/>
                <w:szCs w:val="1"/>
                <w:color w:val="auto"/>
              </w:rPr>
            </w:pPr>
          </w:p>
        </w:tc>
      </w:tr>
      <w:tr>
        <w:trPr>
          <w:trHeight w:val="26"/>
        </w:trPr>
        <w:tc>
          <w:tcPr>
            <w:tcW w:w="6920" w:type="dxa"/>
            <w:vAlign w:val="bottom"/>
            <w:tcBorders>
              <w:bottom w:val="single" w:sz="8" w:color="58595B"/>
            </w:tcBorders>
          </w:tcPr>
          <w:p>
            <w:pPr>
              <w:spacing w:after="0"/>
              <w:rPr>
                <w:sz w:val="2"/>
                <w:szCs w:val="2"/>
                <w:color w:val="auto"/>
              </w:rPr>
            </w:pPr>
          </w:p>
        </w:tc>
        <w:tc>
          <w:tcPr>
            <w:tcW w:w="2880" w:type="dxa"/>
            <w:vAlign w:val="bottom"/>
            <w:tcBorders>
              <w:bottom w:val="single" w:sz="8" w:color="58595B"/>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6920" w:type="dxa"/>
            <w:vAlign w:val="bottom"/>
          </w:tcPr>
          <w:p>
            <w:pPr>
              <w:ind w:left="100"/>
              <w:spacing w:after="0"/>
              <w:rPr>
                <w:sz w:val="20"/>
                <w:szCs w:val="20"/>
                <w:color w:val="auto"/>
              </w:rPr>
            </w:pPr>
            <w:r>
              <w:rPr>
                <w:rFonts w:ascii="Arial" w:cs="Arial" w:eastAsia="Arial" w:hAnsi="Arial"/>
                <w:sz w:val="16"/>
                <w:szCs w:val="16"/>
                <w:color w:val="auto"/>
              </w:rPr>
              <w:t>Policy on Related Person Transactions</w:t>
            </w:r>
          </w:p>
        </w:tc>
        <w:tc>
          <w:tcPr>
            <w:tcW w:w="2880" w:type="dxa"/>
            <w:vAlign w:val="bottom"/>
            <w:vMerge w:val="restart"/>
          </w:tcPr>
          <w:p>
            <w:pPr>
              <w:ind w:left="2540"/>
              <w:spacing w:after="0"/>
              <w:rPr>
                <w:sz w:val="20"/>
                <w:szCs w:val="20"/>
                <w:color w:val="auto"/>
              </w:rPr>
            </w:pPr>
            <w:r>
              <w:rPr>
                <w:rFonts w:ascii="Arial" w:cs="Arial" w:eastAsia="Arial" w:hAnsi="Arial"/>
                <w:sz w:val="16"/>
                <w:szCs w:val="16"/>
                <w:color w:val="auto"/>
              </w:rPr>
              <w:t>Yes</w:t>
            </w:r>
          </w:p>
        </w:tc>
        <w:tc>
          <w:tcPr>
            <w:tcW w:w="0" w:type="dxa"/>
            <w:vAlign w:val="bottom"/>
          </w:tcPr>
          <w:p>
            <w:pPr>
              <w:spacing w:after="0"/>
              <w:rPr>
                <w:sz w:val="1"/>
                <w:szCs w:val="1"/>
                <w:color w:val="auto"/>
              </w:rPr>
            </w:pPr>
          </w:p>
        </w:tc>
      </w:tr>
      <w:tr>
        <w:trPr>
          <w:trHeight w:val="50"/>
        </w:trPr>
        <w:tc>
          <w:tcPr>
            <w:tcW w:w="6920" w:type="dxa"/>
            <w:vAlign w:val="bottom"/>
          </w:tcPr>
          <w:p>
            <w:pPr>
              <w:spacing w:after="0"/>
              <w:rPr>
                <w:sz w:val="4"/>
                <w:szCs w:val="4"/>
                <w:color w:val="auto"/>
              </w:rPr>
            </w:pPr>
          </w:p>
        </w:tc>
        <w:tc>
          <w:tcPr>
            <w:tcW w:w="2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6920" w:type="dxa"/>
            <w:vAlign w:val="bottom"/>
            <w:tcBorders>
              <w:bottom w:val="single" w:sz="8" w:color="58595B"/>
            </w:tcBorders>
          </w:tcPr>
          <w:p>
            <w:pPr>
              <w:spacing w:after="0"/>
              <w:rPr>
                <w:sz w:val="2"/>
                <w:szCs w:val="2"/>
                <w:color w:val="auto"/>
              </w:rPr>
            </w:pPr>
          </w:p>
        </w:tc>
        <w:tc>
          <w:tcPr>
            <w:tcW w:w="2880" w:type="dxa"/>
            <w:vAlign w:val="bottom"/>
            <w:tcBorders>
              <w:bottom w:val="single" w:sz="8" w:color="58595B"/>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920" w:type="dxa"/>
            <w:vAlign w:val="bottom"/>
          </w:tcPr>
          <w:p>
            <w:pPr>
              <w:ind w:left="100"/>
              <w:spacing w:after="0"/>
              <w:rPr>
                <w:sz w:val="20"/>
                <w:szCs w:val="20"/>
                <w:color w:val="auto"/>
              </w:rPr>
            </w:pPr>
            <w:r>
              <w:rPr>
                <w:rFonts w:ascii="Arial" w:cs="Arial" w:eastAsia="Arial" w:hAnsi="Arial"/>
                <w:sz w:val="16"/>
                <w:szCs w:val="16"/>
                <w:color w:val="auto"/>
              </w:rPr>
              <w:t>Board-Level Health, Safety and Environment Committee</w:t>
            </w:r>
          </w:p>
        </w:tc>
        <w:tc>
          <w:tcPr>
            <w:tcW w:w="2880" w:type="dxa"/>
            <w:vAlign w:val="bottom"/>
          </w:tcPr>
          <w:p>
            <w:pPr>
              <w:ind w:left="2540"/>
              <w:spacing w:after="0"/>
              <w:rPr>
                <w:sz w:val="20"/>
                <w:szCs w:val="20"/>
                <w:color w:val="auto"/>
              </w:rPr>
            </w:pPr>
            <w:r>
              <w:rPr>
                <w:rFonts w:ascii="Arial" w:cs="Arial" w:eastAsia="Arial" w:hAnsi="Arial"/>
                <w:sz w:val="16"/>
                <w:szCs w:val="16"/>
                <w:color w:val="auto"/>
              </w:rPr>
              <w:t>Yes</w:t>
            </w:r>
          </w:p>
        </w:tc>
        <w:tc>
          <w:tcPr>
            <w:tcW w:w="0" w:type="dxa"/>
            <w:vAlign w:val="bottom"/>
          </w:tcPr>
          <w:p>
            <w:pPr>
              <w:spacing w:after="0"/>
              <w:rPr>
                <w:sz w:val="1"/>
                <w:szCs w:val="1"/>
                <w:color w:val="auto"/>
              </w:rPr>
            </w:pPr>
          </w:p>
        </w:tc>
      </w:tr>
      <w:tr>
        <w:trPr>
          <w:trHeight w:val="26"/>
        </w:trPr>
        <w:tc>
          <w:tcPr>
            <w:tcW w:w="6920" w:type="dxa"/>
            <w:vAlign w:val="bottom"/>
            <w:tcBorders>
              <w:bottom w:val="single" w:sz="8" w:color="58595B"/>
            </w:tcBorders>
          </w:tcPr>
          <w:p>
            <w:pPr>
              <w:spacing w:after="0"/>
              <w:rPr>
                <w:sz w:val="2"/>
                <w:szCs w:val="2"/>
                <w:color w:val="auto"/>
              </w:rPr>
            </w:pPr>
          </w:p>
        </w:tc>
        <w:tc>
          <w:tcPr>
            <w:tcW w:w="2880" w:type="dxa"/>
            <w:vAlign w:val="bottom"/>
            <w:tcBorders>
              <w:bottom w:val="single" w:sz="8" w:color="58595B"/>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920" w:type="dxa"/>
            <w:vAlign w:val="bottom"/>
          </w:tcPr>
          <w:p>
            <w:pPr>
              <w:ind w:left="100"/>
              <w:spacing w:after="0"/>
              <w:rPr>
                <w:sz w:val="20"/>
                <w:szCs w:val="20"/>
                <w:color w:val="auto"/>
              </w:rPr>
            </w:pPr>
            <w:r>
              <w:rPr>
                <w:rFonts w:ascii="Arial" w:cs="Arial" w:eastAsia="Arial" w:hAnsi="Arial"/>
                <w:sz w:val="16"/>
                <w:szCs w:val="16"/>
                <w:color w:val="auto"/>
              </w:rPr>
              <w:t>Disclosure Committee for Financial Reporting</w:t>
            </w:r>
          </w:p>
        </w:tc>
        <w:tc>
          <w:tcPr>
            <w:tcW w:w="2880" w:type="dxa"/>
            <w:vAlign w:val="bottom"/>
          </w:tcPr>
          <w:p>
            <w:pPr>
              <w:ind w:left="2540"/>
              <w:spacing w:after="0"/>
              <w:rPr>
                <w:sz w:val="20"/>
                <w:szCs w:val="20"/>
                <w:color w:val="auto"/>
              </w:rPr>
            </w:pPr>
            <w:r>
              <w:rPr>
                <w:rFonts w:ascii="Arial" w:cs="Arial" w:eastAsia="Arial" w:hAnsi="Arial"/>
                <w:sz w:val="16"/>
                <w:szCs w:val="16"/>
                <w:color w:val="auto"/>
              </w:rPr>
              <w:t>Yes</w:t>
            </w:r>
          </w:p>
        </w:tc>
        <w:tc>
          <w:tcPr>
            <w:tcW w:w="0" w:type="dxa"/>
            <w:vAlign w:val="bottom"/>
          </w:tcPr>
          <w:p>
            <w:pPr>
              <w:spacing w:after="0"/>
              <w:rPr>
                <w:sz w:val="1"/>
                <w:szCs w:val="1"/>
                <w:color w:val="auto"/>
              </w:rPr>
            </w:pPr>
          </w:p>
        </w:tc>
      </w:tr>
      <w:tr>
        <w:trPr>
          <w:trHeight w:val="26"/>
        </w:trPr>
        <w:tc>
          <w:tcPr>
            <w:tcW w:w="6920" w:type="dxa"/>
            <w:vAlign w:val="bottom"/>
            <w:tcBorders>
              <w:bottom w:val="single" w:sz="8" w:color="58595B"/>
            </w:tcBorders>
          </w:tcPr>
          <w:p>
            <w:pPr>
              <w:spacing w:after="0"/>
              <w:rPr>
                <w:sz w:val="2"/>
                <w:szCs w:val="2"/>
                <w:color w:val="auto"/>
              </w:rPr>
            </w:pPr>
          </w:p>
        </w:tc>
        <w:tc>
          <w:tcPr>
            <w:tcW w:w="2880" w:type="dxa"/>
            <w:vAlign w:val="bottom"/>
            <w:tcBorders>
              <w:bottom w:val="single" w:sz="8" w:color="58595B"/>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920" w:type="dxa"/>
            <w:vAlign w:val="bottom"/>
          </w:tcPr>
          <w:p>
            <w:pPr>
              <w:ind w:left="100"/>
              <w:spacing w:after="0"/>
              <w:rPr>
                <w:sz w:val="20"/>
                <w:szCs w:val="20"/>
                <w:color w:val="auto"/>
              </w:rPr>
            </w:pPr>
            <w:r>
              <w:rPr>
                <w:rFonts w:ascii="Arial" w:cs="Arial" w:eastAsia="Arial" w:hAnsi="Arial"/>
                <w:sz w:val="16"/>
                <w:szCs w:val="16"/>
                <w:color w:val="auto"/>
              </w:rPr>
              <w:t>Annual Advisory Approval of Executive Compensation</w:t>
            </w:r>
          </w:p>
        </w:tc>
        <w:tc>
          <w:tcPr>
            <w:tcW w:w="2880" w:type="dxa"/>
            <w:vAlign w:val="bottom"/>
          </w:tcPr>
          <w:p>
            <w:pPr>
              <w:ind w:left="2540"/>
              <w:spacing w:after="0"/>
              <w:rPr>
                <w:sz w:val="20"/>
                <w:szCs w:val="20"/>
                <w:color w:val="auto"/>
              </w:rPr>
            </w:pPr>
            <w:r>
              <w:rPr>
                <w:rFonts w:ascii="Arial" w:cs="Arial" w:eastAsia="Arial" w:hAnsi="Arial"/>
                <w:sz w:val="16"/>
                <w:szCs w:val="16"/>
                <w:color w:val="auto"/>
              </w:rPr>
              <w:t>Yes</w:t>
            </w:r>
          </w:p>
        </w:tc>
        <w:tc>
          <w:tcPr>
            <w:tcW w:w="0" w:type="dxa"/>
            <w:vAlign w:val="bottom"/>
          </w:tcPr>
          <w:p>
            <w:pPr>
              <w:spacing w:after="0"/>
              <w:rPr>
                <w:sz w:val="1"/>
                <w:szCs w:val="1"/>
                <w:color w:val="auto"/>
              </w:rPr>
            </w:pPr>
          </w:p>
        </w:tc>
      </w:tr>
      <w:tr>
        <w:trPr>
          <w:trHeight w:val="26"/>
        </w:trPr>
        <w:tc>
          <w:tcPr>
            <w:tcW w:w="6920" w:type="dxa"/>
            <w:vAlign w:val="bottom"/>
            <w:tcBorders>
              <w:bottom w:val="single" w:sz="8" w:color="58595B"/>
            </w:tcBorders>
          </w:tcPr>
          <w:p>
            <w:pPr>
              <w:spacing w:after="0"/>
              <w:rPr>
                <w:sz w:val="2"/>
                <w:szCs w:val="2"/>
                <w:color w:val="auto"/>
              </w:rPr>
            </w:pPr>
          </w:p>
        </w:tc>
        <w:tc>
          <w:tcPr>
            <w:tcW w:w="2880" w:type="dxa"/>
            <w:vAlign w:val="bottom"/>
            <w:tcBorders>
              <w:bottom w:val="single" w:sz="8" w:color="58595B"/>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6920" w:type="dxa"/>
            <w:vAlign w:val="bottom"/>
          </w:tcPr>
          <w:p>
            <w:pPr>
              <w:ind w:left="100"/>
              <w:spacing w:after="0"/>
              <w:rPr>
                <w:sz w:val="20"/>
                <w:szCs w:val="20"/>
                <w:color w:val="auto"/>
              </w:rPr>
            </w:pPr>
            <w:r>
              <w:rPr>
                <w:rFonts w:ascii="Arial" w:cs="Arial" w:eastAsia="Arial" w:hAnsi="Arial"/>
                <w:sz w:val="16"/>
                <w:szCs w:val="16"/>
                <w:color w:val="auto"/>
              </w:rPr>
              <w:t>Shareholder Ability to Call Special Meetings (10% Threshold)</w:t>
            </w:r>
          </w:p>
        </w:tc>
        <w:tc>
          <w:tcPr>
            <w:tcW w:w="2880" w:type="dxa"/>
            <w:vAlign w:val="bottom"/>
            <w:vMerge w:val="restart"/>
          </w:tcPr>
          <w:p>
            <w:pPr>
              <w:ind w:left="2540"/>
              <w:spacing w:after="0"/>
              <w:rPr>
                <w:sz w:val="20"/>
                <w:szCs w:val="20"/>
                <w:color w:val="auto"/>
              </w:rPr>
            </w:pPr>
            <w:r>
              <w:rPr>
                <w:rFonts w:ascii="Arial" w:cs="Arial" w:eastAsia="Arial" w:hAnsi="Arial"/>
                <w:sz w:val="16"/>
                <w:szCs w:val="16"/>
                <w:color w:val="auto"/>
              </w:rPr>
              <w:t>Yes</w:t>
            </w:r>
          </w:p>
        </w:tc>
        <w:tc>
          <w:tcPr>
            <w:tcW w:w="0" w:type="dxa"/>
            <w:vAlign w:val="bottom"/>
          </w:tcPr>
          <w:p>
            <w:pPr>
              <w:spacing w:after="0"/>
              <w:rPr>
                <w:sz w:val="1"/>
                <w:szCs w:val="1"/>
                <w:color w:val="auto"/>
              </w:rPr>
            </w:pPr>
          </w:p>
        </w:tc>
      </w:tr>
      <w:tr>
        <w:trPr>
          <w:trHeight w:val="50"/>
        </w:trPr>
        <w:tc>
          <w:tcPr>
            <w:tcW w:w="6920" w:type="dxa"/>
            <w:vAlign w:val="bottom"/>
          </w:tcPr>
          <w:p>
            <w:pPr>
              <w:spacing w:after="0"/>
              <w:rPr>
                <w:sz w:val="4"/>
                <w:szCs w:val="4"/>
                <w:color w:val="auto"/>
              </w:rPr>
            </w:pPr>
          </w:p>
        </w:tc>
        <w:tc>
          <w:tcPr>
            <w:tcW w:w="2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-3836035</wp:posOffset>
            </wp:positionV>
            <wp:extent cx="7258050" cy="38608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8050" cy="3860800"/>
                    </a:xfrm>
                    <a:prstGeom prst="rect">
                      <a:avLst/>
                    </a:prstGeom>
                    <a:noFill/>
                  </pic:spPr>
                </pic:pic>
              </a:graphicData>
            </a:graphic>
          </wp:anchor>
        </w:drawing>
      </w:r>
    </w:p>
    <w:p>
      <w:pPr>
        <w:spacing w:after="0" w:line="43" w:lineRule="exact"/>
        <w:rPr>
          <w:sz w:val="20"/>
          <w:szCs w:val="20"/>
          <w:color w:val="auto"/>
        </w:rPr>
      </w:pPr>
    </w:p>
    <w:p>
      <w:pPr>
        <w:ind w:left="1"/>
        <w:spacing w:after="0"/>
        <w:rPr>
          <w:sz w:val="20"/>
          <w:szCs w:val="20"/>
          <w:color w:val="auto"/>
        </w:rPr>
      </w:pPr>
      <w:r>
        <w:rPr>
          <w:rFonts w:ascii="Arial" w:cs="Arial" w:eastAsia="Arial" w:hAnsi="Arial"/>
          <w:sz w:val="12"/>
          <w:szCs w:val="12"/>
          <w:i w:val="1"/>
          <w:iCs w:val="1"/>
          <w:color w:val="auto"/>
        </w:rPr>
        <w:t>Milling assembly, Weatherford QuickCut™ casing exit system.</w:t>
      </w:r>
    </w:p>
    <w:p>
      <w:pPr>
        <w:spacing w:after="0" w:line="200" w:lineRule="exact"/>
        <w:rPr>
          <w:sz w:val="20"/>
          <w:szCs w:val="20"/>
          <w:color w:val="auto"/>
        </w:rPr>
      </w:pPr>
    </w:p>
    <w:p>
      <w:pPr>
        <w:spacing w:after="0" w:line="293" w:lineRule="exact"/>
        <w:rPr>
          <w:sz w:val="20"/>
          <w:szCs w:val="20"/>
          <w:color w:val="auto"/>
        </w:rPr>
      </w:pPr>
    </w:p>
    <w:p>
      <w:pPr>
        <w:ind w:left="301" w:hanging="301"/>
        <w:spacing w:after="0"/>
        <w:tabs>
          <w:tab w:leader="none" w:pos="301" w:val="left"/>
        </w:tabs>
        <w:numPr>
          <w:ilvl w:val="0"/>
          <w:numId w:val="11"/>
        </w:numPr>
        <w:rPr>
          <w:rFonts w:ascii="Arial" w:cs="Arial" w:eastAsia="Arial" w:hAnsi="Arial"/>
          <w:sz w:val="12"/>
          <w:szCs w:val="12"/>
          <w:b w:val="1"/>
          <w:bCs w:val="1"/>
          <w:color w:val="auto"/>
        </w:rPr>
      </w:pPr>
      <w:r>
        <w:rPr>
          <w:rFonts w:ascii="Arial" w:cs="Arial" w:eastAsia="Arial" w:hAnsi="Arial"/>
          <w:sz w:val="12"/>
          <w:szCs w:val="12"/>
          <w:color w:val="auto"/>
        </w:rPr>
        <w:t>Weatherford International plc - 2014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8370" cy="20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3286760" cy="8489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86760" cy="84899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5320"/>
        <w:spacing w:after="0"/>
        <w:rPr>
          <w:sz w:val="20"/>
          <w:szCs w:val="20"/>
          <w:color w:val="auto"/>
        </w:rPr>
      </w:pPr>
      <w:r>
        <w:rPr>
          <w:rFonts w:ascii="Arial" w:cs="Arial" w:eastAsia="Arial" w:hAnsi="Arial"/>
          <w:sz w:val="30"/>
          <w:szCs w:val="30"/>
          <w:color w:val="auto"/>
        </w:rPr>
        <w:t>VOTING</w:t>
      </w:r>
    </w:p>
    <w:p>
      <w:pPr>
        <w:ind w:left="5320"/>
        <w:spacing w:after="0"/>
        <w:rPr>
          <w:sz w:val="20"/>
          <w:szCs w:val="20"/>
          <w:color w:val="auto"/>
        </w:rPr>
      </w:pPr>
      <w:r>
        <w:rPr>
          <w:rFonts w:ascii="Arial" w:cs="Arial" w:eastAsia="Arial" w:hAnsi="Arial"/>
          <w:sz w:val="40"/>
          <w:szCs w:val="40"/>
          <w:b w:val="1"/>
          <w:bCs w:val="1"/>
          <w:color w:val="BB1131"/>
        </w:rPr>
        <w:t>INSTRUCTIONS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color w:val="BB1131"/>
        </w:rPr>
        <w:t>Vote before our Annual General Meeting</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Every vote matters to the future of Weatherford. Even if you plan to attend the meeting, please take the time to vote in advance using one of the following methods.</w:t>
      </w:r>
    </w:p>
    <w:p>
      <w:pPr>
        <w:spacing w:after="0" w:line="196" w:lineRule="exact"/>
        <w:rPr>
          <w:sz w:val="20"/>
          <w:szCs w:val="20"/>
          <w:color w:val="auto"/>
        </w:rPr>
      </w:pPr>
    </w:p>
    <w:p>
      <w:pPr>
        <w:spacing w:after="0"/>
        <w:rPr>
          <w:sz w:val="20"/>
          <w:szCs w:val="20"/>
          <w:color w:val="auto"/>
        </w:rPr>
      </w:pPr>
      <w:r>
        <w:rPr>
          <w:rFonts w:ascii="Arial" w:cs="Arial" w:eastAsia="Arial" w:hAnsi="Arial"/>
          <w:sz w:val="12"/>
          <w:szCs w:val="12"/>
          <w:color w:val="auto"/>
        </w:rPr>
        <w:t>In all cases, have your proxy card or voting instruction form in hand and follow the instructions.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636466"/>
        </w:rPr>
        <w:t>AGENDA ITEMS THAT REQUIRE YOUR VOTE</w:t>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Borders>
              <w:top w:val="single" w:sz="8" w:color="58595B"/>
            </w:tcBorders>
          </w:tcPr>
          <w:p>
            <w:pPr>
              <w:spacing w:after="0"/>
              <w:rPr>
                <w:sz w:val="14"/>
                <w:szCs w:val="14"/>
                <w:color w:val="auto"/>
              </w:rPr>
            </w:pPr>
          </w:p>
        </w:tc>
        <w:tc>
          <w:tcPr>
            <w:tcW w:w="4300" w:type="dxa"/>
            <w:vAlign w:val="bottom"/>
            <w:tcBorders>
              <w:top w:val="single" w:sz="8" w:color="58595B"/>
            </w:tcBorders>
          </w:tcPr>
          <w:p>
            <w:pPr>
              <w:ind w:left="2140"/>
              <w:spacing w:after="0" w:line="161" w:lineRule="exact"/>
              <w:rPr>
                <w:sz w:val="20"/>
                <w:szCs w:val="20"/>
                <w:color w:val="auto"/>
              </w:rPr>
            </w:pPr>
            <w:r>
              <w:rPr>
                <w:rFonts w:ascii="Arial" w:cs="Arial" w:eastAsia="Arial" w:hAnsi="Arial"/>
                <w:sz w:val="16"/>
                <w:szCs w:val="16"/>
                <w:b w:val="1"/>
                <w:bCs w:val="1"/>
                <w:color w:val="BB1131"/>
              </w:rPr>
              <w:t>BOARD</w:t>
            </w:r>
          </w:p>
        </w:tc>
        <w:tc>
          <w:tcPr>
            <w:tcW w:w="4120" w:type="dxa"/>
            <w:vAlign w:val="bottom"/>
            <w:tcBorders>
              <w:top w:val="single" w:sz="8" w:color="58595B"/>
            </w:tcBorders>
          </w:tcPr>
          <w:p>
            <w:pPr>
              <w:spacing w:after="0"/>
              <w:rPr>
                <w:sz w:val="14"/>
                <w:szCs w:val="14"/>
                <w:color w:val="auto"/>
              </w:rPr>
            </w:pPr>
          </w:p>
        </w:tc>
        <w:tc>
          <w:tcPr>
            <w:tcW w:w="1120" w:type="dxa"/>
            <w:vAlign w:val="bottom"/>
            <w:tcBorders>
              <w:top w:val="single" w:sz="8" w:color="58595B"/>
            </w:tcBorders>
          </w:tcPr>
          <w:p>
            <w:pPr>
              <w:jc w:val="center"/>
              <w:spacing w:after="0" w:line="161" w:lineRule="exact"/>
              <w:rPr>
                <w:sz w:val="20"/>
                <w:szCs w:val="20"/>
                <w:color w:val="auto"/>
              </w:rPr>
            </w:pPr>
            <w:r>
              <w:rPr>
                <w:rFonts w:ascii="Arial" w:cs="Arial" w:eastAsia="Arial" w:hAnsi="Arial"/>
                <w:sz w:val="16"/>
                <w:szCs w:val="16"/>
                <w:b w:val="1"/>
                <w:bCs w:val="1"/>
                <w:color w:val="BB1131"/>
                <w:w w:val="96"/>
              </w:rPr>
              <w:t>PAGE</w:t>
            </w:r>
          </w:p>
        </w:tc>
      </w:tr>
      <w:tr>
        <w:trPr>
          <w:trHeight w:val="208"/>
        </w:trPr>
        <w:tc>
          <w:tcPr>
            <w:tcW w:w="20" w:type="dxa"/>
            <w:vAlign w:val="bottom"/>
          </w:tcPr>
          <w:p>
            <w:pPr>
              <w:spacing w:after="0"/>
              <w:rPr>
                <w:sz w:val="18"/>
                <w:szCs w:val="18"/>
                <w:color w:val="auto"/>
              </w:rPr>
            </w:pPr>
          </w:p>
        </w:tc>
        <w:tc>
          <w:tcPr>
            <w:tcW w:w="1860" w:type="dxa"/>
            <w:vAlign w:val="bottom"/>
            <w:tcBorders>
              <w:bottom w:val="single" w:sz="8" w:color="58595B"/>
            </w:tcBorders>
          </w:tcPr>
          <w:p>
            <w:pPr>
              <w:ind w:left="860"/>
              <w:spacing w:after="0"/>
              <w:rPr>
                <w:sz w:val="20"/>
                <w:szCs w:val="20"/>
                <w:color w:val="auto"/>
              </w:rPr>
            </w:pPr>
            <w:r>
              <w:rPr>
                <w:rFonts w:ascii="Arial" w:cs="Arial" w:eastAsia="Arial" w:hAnsi="Arial"/>
                <w:sz w:val="16"/>
                <w:szCs w:val="16"/>
                <w:b w:val="1"/>
                <w:bCs w:val="1"/>
                <w:color w:val="BB1131"/>
              </w:rPr>
              <w:t>ITEMS</w:t>
            </w:r>
          </w:p>
        </w:tc>
        <w:tc>
          <w:tcPr>
            <w:tcW w:w="4300" w:type="dxa"/>
            <w:vAlign w:val="bottom"/>
            <w:tcBorders>
              <w:bottom w:val="single" w:sz="8" w:color="58595B"/>
            </w:tcBorders>
          </w:tcPr>
          <w:p>
            <w:pPr>
              <w:ind w:left="1660"/>
              <w:spacing w:after="0"/>
              <w:rPr>
                <w:sz w:val="20"/>
                <w:szCs w:val="20"/>
                <w:color w:val="auto"/>
              </w:rPr>
            </w:pPr>
            <w:r>
              <w:rPr>
                <w:rFonts w:ascii="Arial" w:cs="Arial" w:eastAsia="Arial" w:hAnsi="Arial"/>
                <w:sz w:val="16"/>
                <w:szCs w:val="16"/>
                <w:b w:val="1"/>
                <w:bCs w:val="1"/>
                <w:color w:val="BB1131"/>
              </w:rPr>
              <w:t>RECOMMENDATION</w:t>
            </w:r>
          </w:p>
        </w:tc>
        <w:tc>
          <w:tcPr>
            <w:tcW w:w="4120" w:type="dxa"/>
            <w:vAlign w:val="bottom"/>
            <w:tcBorders>
              <w:bottom w:val="single" w:sz="8" w:color="58595B"/>
            </w:tcBorders>
          </w:tcPr>
          <w:p>
            <w:pPr>
              <w:ind w:left="360"/>
              <w:spacing w:after="0"/>
              <w:rPr>
                <w:sz w:val="20"/>
                <w:szCs w:val="20"/>
                <w:color w:val="auto"/>
              </w:rPr>
            </w:pPr>
            <w:r>
              <w:rPr>
                <w:rFonts w:ascii="Arial" w:cs="Arial" w:eastAsia="Arial" w:hAnsi="Arial"/>
                <w:sz w:val="16"/>
                <w:szCs w:val="16"/>
                <w:b w:val="1"/>
                <w:bCs w:val="1"/>
                <w:color w:val="BB1131"/>
              </w:rPr>
              <w:t>REASONS FOR BOARD RECOMMENDATION</w:t>
            </w:r>
          </w:p>
        </w:tc>
        <w:tc>
          <w:tcPr>
            <w:tcW w:w="1120" w:type="dxa"/>
            <w:vAlign w:val="bottom"/>
            <w:tcBorders>
              <w:bottom w:val="single" w:sz="8" w:color="58595B"/>
            </w:tcBorders>
          </w:tcPr>
          <w:p>
            <w:pPr>
              <w:jc w:val="center"/>
              <w:spacing w:after="0"/>
              <w:rPr>
                <w:sz w:val="20"/>
                <w:szCs w:val="20"/>
                <w:color w:val="auto"/>
              </w:rPr>
            </w:pPr>
            <w:r>
              <w:rPr>
                <w:rFonts w:ascii="Arial" w:cs="Arial" w:eastAsia="Arial" w:hAnsi="Arial"/>
                <w:sz w:val="16"/>
                <w:szCs w:val="16"/>
                <w:b w:val="1"/>
                <w:bCs w:val="1"/>
                <w:color w:val="BB1131"/>
              </w:rPr>
              <w:t>NUMBER</w:t>
            </w:r>
          </w:p>
        </w:tc>
      </w:tr>
      <w:tr>
        <w:trPr>
          <w:trHeight w:val="136"/>
        </w:trPr>
        <w:tc>
          <w:tcPr>
            <w:tcW w:w="20" w:type="dxa"/>
            <w:vAlign w:val="bottom"/>
          </w:tcPr>
          <w:p>
            <w:pPr>
              <w:spacing w:after="0"/>
              <w:rPr>
                <w:sz w:val="11"/>
                <w:szCs w:val="11"/>
                <w:color w:val="auto"/>
              </w:rPr>
            </w:pPr>
          </w:p>
        </w:tc>
        <w:tc>
          <w:tcPr>
            <w:tcW w:w="1860" w:type="dxa"/>
            <w:vAlign w:val="bottom"/>
          </w:tcPr>
          <w:p>
            <w:pPr>
              <w:spacing w:after="0" w:line="136" w:lineRule="exact"/>
              <w:rPr>
                <w:sz w:val="20"/>
                <w:szCs w:val="20"/>
                <w:color w:val="auto"/>
              </w:rPr>
            </w:pPr>
            <w:r>
              <w:rPr>
                <w:rFonts w:ascii="Arial" w:cs="Arial" w:eastAsia="Arial" w:hAnsi="Arial"/>
                <w:sz w:val="12"/>
                <w:szCs w:val="12"/>
                <w:color w:val="auto"/>
              </w:rPr>
              <w:t>Election of Directors</w:t>
            </w:r>
          </w:p>
        </w:tc>
        <w:tc>
          <w:tcPr>
            <w:tcW w:w="4300" w:type="dxa"/>
            <w:vAlign w:val="bottom"/>
          </w:tcPr>
          <w:p>
            <w:pPr>
              <w:ind w:left="520"/>
              <w:spacing w:after="0" w:line="136" w:lineRule="exact"/>
              <w:rPr>
                <w:sz w:val="20"/>
                <w:szCs w:val="20"/>
                <w:color w:val="auto"/>
              </w:rPr>
            </w:pPr>
            <w:r>
              <w:rPr>
                <w:rFonts w:ascii="Arial" w:cs="Arial" w:eastAsia="Arial" w:hAnsi="Arial"/>
                <w:sz w:val="12"/>
                <w:szCs w:val="12"/>
                <w:color w:val="BB1131"/>
              </w:rPr>
              <w:t xml:space="preserve">FOR </w:t>
            </w:r>
            <w:r>
              <w:rPr>
                <w:rFonts w:ascii="Arial" w:cs="Arial" w:eastAsia="Arial" w:hAnsi="Arial"/>
                <w:sz w:val="12"/>
                <w:szCs w:val="12"/>
                <w:color w:val="000000"/>
              </w:rPr>
              <w:t>all nominees</w:t>
            </w:r>
          </w:p>
        </w:tc>
        <w:tc>
          <w:tcPr>
            <w:tcW w:w="4120" w:type="dxa"/>
            <w:vAlign w:val="bottom"/>
          </w:tcPr>
          <w:p>
            <w:pPr>
              <w:ind w:left="200"/>
              <w:spacing w:after="0" w:line="136" w:lineRule="exact"/>
              <w:rPr>
                <w:sz w:val="20"/>
                <w:szCs w:val="20"/>
                <w:color w:val="auto"/>
              </w:rPr>
            </w:pPr>
            <w:r>
              <w:rPr>
                <w:rFonts w:ascii="Arial" w:cs="Arial" w:eastAsia="Arial" w:hAnsi="Arial"/>
                <w:sz w:val="12"/>
                <w:szCs w:val="12"/>
                <w:color w:val="auto"/>
              </w:rPr>
              <w:t>The Board believes the members of the Board collectively have the</w:t>
            </w:r>
          </w:p>
        </w:tc>
        <w:tc>
          <w:tcPr>
            <w:tcW w:w="1120" w:type="dxa"/>
            <w:vAlign w:val="bottom"/>
          </w:tcPr>
          <w:p>
            <w:pPr>
              <w:jc w:val="center"/>
              <w:spacing w:after="0" w:line="136" w:lineRule="exact"/>
              <w:rPr>
                <w:sz w:val="20"/>
                <w:szCs w:val="20"/>
                <w:color w:val="auto"/>
              </w:rPr>
            </w:pPr>
            <w:r>
              <w:rPr>
                <w:rFonts w:ascii="Arial" w:cs="Arial" w:eastAsia="Arial" w:hAnsi="Arial"/>
                <w:sz w:val="12"/>
                <w:szCs w:val="12"/>
                <w:color w:val="auto"/>
              </w:rPr>
              <w:t>5</w:t>
            </w:r>
          </w:p>
        </w:tc>
      </w:tr>
      <w:tr>
        <w:trPr>
          <w:trHeight w:val="136"/>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4120" w:type="dxa"/>
            <w:vAlign w:val="bottom"/>
          </w:tcPr>
          <w:p>
            <w:pPr>
              <w:ind w:left="200"/>
              <w:spacing w:after="0" w:line="136" w:lineRule="exact"/>
              <w:rPr>
                <w:sz w:val="20"/>
                <w:szCs w:val="20"/>
                <w:color w:val="auto"/>
              </w:rPr>
            </w:pPr>
            <w:r>
              <w:rPr>
                <w:rFonts w:ascii="Arial" w:cs="Arial" w:eastAsia="Arial" w:hAnsi="Arial"/>
                <w:sz w:val="12"/>
                <w:szCs w:val="12"/>
                <w:color w:val="auto"/>
              </w:rPr>
              <w:t>skills and experience needed to continue to oversee the</w:t>
            </w:r>
          </w:p>
        </w:tc>
        <w:tc>
          <w:tcPr>
            <w:tcW w:w="1120" w:type="dxa"/>
            <w:vAlign w:val="bottom"/>
          </w:tcPr>
          <w:p>
            <w:pPr>
              <w:spacing w:after="0"/>
              <w:rPr>
                <w:sz w:val="11"/>
                <w:szCs w:val="11"/>
                <w:color w:val="auto"/>
              </w:rPr>
            </w:pPr>
          </w:p>
        </w:tc>
      </w:tr>
      <w:tr>
        <w:trPr>
          <w:trHeight w:val="136"/>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4120" w:type="dxa"/>
            <w:vAlign w:val="bottom"/>
          </w:tcPr>
          <w:p>
            <w:pPr>
              <w:ind w:left="200"/>
              <w:spacing w:after="0" w:line="136" w:lineRule="exact"/>
              <w:rPr>
                <w:sz w:val="20"/>
                <w:szCs w:val="20"/>
                <w:color w:val="auto"/>
              </w:rPr>
            </w:pPr>
            <w:r>
              <w:rPr>
                <w:rFonts w:ascii="Arial" w:cs="Arial" w:eastAsia="Arial" w:hAnsi="Arial"/>
                <w:sz w:val="12"/>
                <w:szCs w:val="12"/>
                <w:color w:val="auto"/>
              </w:rPr>
              <w:t>implementation of Weatherford’s strategic plan for the benefit of</w:t>
            </w:r>
          </w:p>
        </w:tc>
        <w:tc>
          <w:tcPr>
            <w:tcW w:w="1120" w:type="dxa"/>
            <w:vAlign w:val="bottom"/>
          </w:tcPr>
          <w:p>
            <w:pPr>
              <w:spacing w:after="0"/>
              <w:rPr>
                <w:sz w:val="11"/>
                <w:szCs w:val="11"/>
                <w:color w:val="auto"/>
              </w:rPr>
            </w:pPr>
          </w:p>
        </w:tc>
      </w:tr>
      <w:tr>
        <w:trPr>
          <w:trHeight w:val="137"/>
        </w:trPr>
        <w:tc>
          <w:tcPr>
            <w:tcW w:w="20" w:type="dxa"/>
            <w:vAlign w:val="bottom"/>
          </w:tcPr>
          <w:p>
            <w:pPr>
              <w:spacing w:after="0"/>
              <w:rPr>
                <w:sz w:val="11"/>
                <w:szCs w:val="11"/>
                <w:color w:val="auto"/>
              </w:rPr>
            </w:pPr>
          </w:p>
        </w:tc>
        <w:tc>
          <w:tcPr>
            <w:tcW w:w="1860" w:type="dxa"/>
            <w:vAlign w:val="bottom"/>
            <w:tcBorders>
              <w:bottom w:val="single" w:sz="8" w:color="58595B"/>
            </w:tcBorders>
          </w:tcPr>
          <w:p>
            <w:pPr>
              <w:spacing w:after="0"/>
              <w:rPr>
                <w:sz w:val="11"/>
                <w:szCs w:val="11"/>
                <w:color w:val="auto"/>
              </w:rPr>
            </w:pPr>
          </w:p>
        </w:tc>
        <w:tc>
          <w:tcPr>
            <w:tcW w:w="4300" w:type="dxa"/>
            <w:vAlign w:val="bottom"/>
            <w:tcBorders>
              <w:bottom w:val="single" w:sz="8" w:color="58595B"/>
            </w:tcBorders>
          </w:tcPr>
          <w:p>
            <w:pPr>
              <w:spacing w:after="0"/>
              <w:rPr>
                <w:sz w:val="11"/>
                <w:szCs w:val="11"/>
                <w:color w:val="auto"/>
              </w:rPr>
            </w:pPr>
          </w:p>
        </w:tc>
        <w:tc>
          <w:tcPr>
            <w:tcW w:w="4120" w:type="dxa"/>
            <w:vAlign w:val="bottom"/>
            <w:tcBorders>
              <w:bottom w:val="single" w:sz="8" w:color="58595B"/>
            </w:tcBorders>
          </w:tcPr>
          <w:p>
            <w:pPr>
              <w:ind w:left="200"/>
              <w:spacing w:after="0" w:line="137" w:lineRule="exact"/>
              <w:rPr>
                <w:sz w:val="20"/>
                <w:szCs w:val="20"/>
                <w:color w:val="auto"/>
              </w:rPr>
            </w:pPr>
            <w:r>
              <w:rPr>
                <w:rFonts w:ascii="Arial" w:cs="Arial" w:eastAsia="Arial" w:hAnsi="Arial"/>
                <w:sz w:val="12"/>
                <w:szCs w:val="12"/>
                <w:color w:val="auto"/>
              </w:rPr>
              <w:t>shareholders, employees and other stakeholders</w:t>
            </w:r>
          </w:p>
        </w:tc>
        <w:tc>
          <w:tcPr>
            <w:tcW w:w="1120" w:type="dxa"/>
            <w:vAlign w:val="bottom"/>
            <w:tcBorders>
              <w:bottom w:val="single" w:sz="8" w:color="58595B"/>
            </w:tcBorders>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1860" w:type="dxa"/>
            <w:vAlign w:val="bottom"/>
          </w:tcPr>
          <w:p>
            <w:pPr>
              <w:spacing w:after="0" w:line="128" w:lineRule="exact"/>
              <w:rPr>
                <w:sz w:val="20"/>
                <w:szCs w:val="20"/>
                <w:color w:val="auto"/>
              </w:rPr>
            </w:pPr>
            <w:r>
              <w:rPr>
                <w:rFonts w:ascii="Arial" w:cs="Arial" w:eastAsia="Arial" w:hAnsi="Arial"/>
                <w:sz w:val="12"/>
                <w:szCs w:val="12"/>
                <w:color w:val="auto"/>
              </w:rPr>
              <w:t>Appointment of Auditors</w:t>
            </w:r>
          </w:p>
        </w:tc>
        <w:tc>
          <w:tcPr>
            <w:tcW w:w="4300" w:type="dxa"/>
            <w:vAlign w:val="bottom"/>
          </w:tcPr>
          <w:p>
            <w:pPr>
              <w:ind w:left="520"/>
              <w:spacing w:after="0" w:line="128" w:lineRule="exact"/>
              <w:rPr>
                <w:sz w:val="20"/>
                <w:szCs w:val="20"/>
                <w:color w:val="auto"/>
              </w:rPr>
            </w:pPr>
            <w:r>
              <w:rPr>
                <w:rFonts w:ascii="Arial" w:cs="Arial" w:eastAsia="Arial" w:hAnsi="Arial"/>
                <w:sz w:val="12"/>
                <w:szCs w:val="12"/>
                <w:color w:val="BB1131"/>
              </w:rPr>
              <w:t xml:space="preserve">FOR </w:t>
            </w:r>
            <w:r>
              <w:rPr>
                <w:rFonts w:ascii="Arial" w:cs="Arial" w:eastAsia="Arial" w:hAnsi="Arial"/>
                <w:sz w:val="12"/>
                <w:szCs w:val="12"/>
                <w:color w:val="000000"/>
              </w:rPr>
              <w:t>the appointment of KPMG LLP and authorizing the Board to</w:t>
            </w:r>
          </w:p>
        </w:tc>
        <w:tc>
          <w:tcPr>
            <w:tcW w:w="4120" w:type="dxa"/>
            <w:vAlign w:val="bottom"/>
          </w:tcPr>
          <w:p>
            <w:pPr>
              <w:ind w:left="200"/>
              <w:spacing w:after="0" w:line="128" w:lineRule="exact"/>
              <w:rPr>
                <w:sz w:val="20"/>
                <w:szCs w:val="20"/>
                <w:color w:val="auto"/>
              </w:rPr>
            </w:pPr>
            <w:r>
              <w:rPr>
                <w:rFonts w:ascii="Arial" w:cs="Arial" w:eastAsia="Arial" w:hAnsi="Arial"/>
                <w:sz w:val="12"/>
                <w:szCs w:val="12"/>
                <w:color w:val="auto"/>
              </w:rPr>
              <w:t>Based on the recommendation of the Audit Committee</w:t>
            </w:r>
          </w:p>
        </w:tc>
        <w:tc>
          <w:tcPr>
            <w:tcW w:w="1120" w:type="dxa"/>
            <w:vAlign w:val="bottom"/>
          </w:tcPr>
          <w:p>
            <w:pPr>
              <w:jc w:val="center"/>
              <w:spacing w:after="0" w:line="128" w:lineRule="exact"/>
              <w:rPr>
                <w:sz w:val="20"/>
                <w:szCs w:val="20"/>
                <w:color w:val="auto"/>
              </w:rPr>
            </w:pPr>
            <w:r>
              <w:rPr>
                <w:rFonts w:ascii="Arial" w:cs="Arial" w:eastAsia="Arial" w:hAnsi="Arial"/>
                <w:sz w:val="12"/>
                <w:szCs w:val="12"/>
                <w:color w:val="auto"/>
                <w:w w:val="89"/>
              </w:rPr>
              <w:t>18</w:t>
            </w:r>
          </w:p>
        </w:tc>
      </w:tr>
      <w:tr>
        <w:trPr>
          <w:trHeight w:val="136"/>
        </w:trPr>
        <w:tc>
          <w:tcPr>
            <w:tcW w:w="1880" w:type="dxa"/>
            <w:vAlign w:val="bottom"/>
            <w:gridSpan w:val="2"/>
          </w:tcPr>
          <w:p>
            <w:pPr>
              <w:spacing w:after="0" w:line="136" w:lineRule="exact"/>
              <w:rPr>
                <w:sz w:val="20"/>
                <w:szCs w:val="20"/>
                <w:color w:val="auto"/>
              </w:rPr>
            </w:pPr>
            <w:r>
              <w:rPr>
                <w:rFonts w:ascii="Arial" w:cs="Arial" w:eastAsia="Arial" w:hAnsi="Arial"/>
                <w:sz w:val="12"/>
                <w:szCs w:val="12"/>
                <w:color w:val="auto"/>
              </w:rPr>
              <w:t>for 2014 and determining</w:t>
            </w:r>
          </w:p>
        </w:tc>
        <w:tc>
          <w:tcPr>
            <w:tcW w:w="4300" w:type="dxa"/>
            <w:vAlign w:val="bottom"/>
          </w:tcPr>
          <w:p>
            <w:pPr>
              <w:ind w:left="520"/>
              <w:spacing w:after="0" w:line="136" w:lineRule="exact"/>
              <w:rPr>
                <w:sz w:val="20"/>
                <w:szCs w:val="20"/>
                <w:color w:val="auto"/>
              </w:rPr>
            </w:pPr>
            <w:r>
              <w:rPr>
                <w:rFonts w:ascii="Arial" w:cs="Arial" w:eastAsia="Arial" w:hAnsi="Arial"/>
                <w:sz w:val="12"/>
                <w:szCs w:val="12"/>
                <w:color w:val="auto"/>
              </w:rPr>
              <w:t>determine the auditors’ remuneration</w:t>
            </w:r>
          </w:p>
        </w:tc>
        <w:tc>
          <w:tcPr>
            <w:tcW w:w="412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37"/>
        </w:trPr>
        <w:tc>
          <w:tcPr>
            <w:tcW w:w="1880" w:type="dxa"/>
            <w:vAlign w:val="bottom"/>
            <w:tcBorders>
              <w:bottom w:val="single" w:sz="8" w:color="58595B"/>
            </w:tcBorders>
            <w:gridSpan w:val="2"/>
          </w:tcPr>
          <w:p>
            <w:pPr>
              <w:spacing w:after="0" w:line="137" w:lineRule="exact"/>
              <w:rPr>
                <w:sz w:val="20"/>
                <w:szCs w:val="20"/>
                <w:color w:val="auto"/>
              </w:rPr>
            </w:pPr>
            <w:r>
              <w:rPr>
                <w:rFonts w:ascii="Arial" w:cs="Arial" w:eastAsia="Arial" w:hAnsi="Arial"/>
                <w:sz w:val="12"/>
                <w:szCs w:val="12"/>
                <w:color w:val="auto"/>
              </w:rPr>
              <w:t>their remuneration</w:t>
            </w:r>
          </w:p>
        </w:tc>
        <w:tc>
          <w:tcPr>
            <w:tcW w:w="4300" w:type="dxa"/>
            <w:vAlign w:val="bottom"/>
            <w:tcBorders>
              <w:bottom w:val="single" w:sz="8" w:color="58595B"/>
            </w:tcBorders>
          </w:tcPr>
          <w:p>
            <w:pPr>
              <w:spacing w:after="0"/>
              <w:rPr>
                <w:sz w:val="11"/>
                <w:szCs w:val="11"/>
                <w:color w:val="auto"/>
              </w:rPr>
            </w:pPr>
          </w:p>
        </w:tc>
        <w:tc>
          <w:tcPr>
            <w:tcW w:w="4120" w:type="dxa"/>
            <w:vAlign w:val="bottom"/>
            <w:tcBorders>
              <w:bottom w:val="single" w:sz="8" w:color="58595B"/>
            </w:tcBorders>
          </w:tcPr>
          <w:p>
            <w:pPr>
              <w:spacing w:after="0"/>
              <w:rPr>
                <w:sz w:val="11"/>
                <w:szCs w:val="11"/>
                <w:color w:val="auto"/>
              </w:rPr>
            </w:pPr>
          </w:p>
        </w:tc>
        <w:tc>
          <w:tcPr>
            <w:tcW w:w="1120" w:type="dxa"/>
            <w:vAlign w:val="bottom"/>
            <w:tcBorders>
              <w:bottom w:val="single" w:sz="8" w:color="58595B"/>
            </w:tcBorders>
          </w:tcPr>
          <w:p>
            <w:pPr>
              <w:spacing w:after="0"/>
              <w:rPr>
                <w:sz w:val="11"/>
                <w:szCs w:val="11"/>
                <w:color w:val="auto"/>
              </w:rPr>
            </w:pPr>
          </w:p>
        </w:tc>
      </w:tr>
      <w:tr>
        <w:trPr>
          <w:trHeight w:val="128"/>
        </w:trPr>
        <w:tc>
          <w:tcPr>
            <w:tcW w:w="1880" w:type="dxa"/>
            <w:vAlign w:val="bottom"/>
            <w:gridSpan w:val="2"/>
          </w:tcPr>
          <w:p>
            <w:pPr>
              <w:spacing w:after="0" w:line="128" w:lineRule="exact"/>
              <w:rPr>
                <w:sz w:val="20"/>
                <w:szCs w:val="20"/>
                <w:color w:val="auto"/>
              </w:rPr>
            </w:pPr>
            <w:r>
              <w:rPr>
                <w:rFonts w:ascii="Arial" w:cs="Arial" w:eastAsia="Arial" w:hAnsi="Arial"/>
                <w:sz w:val="12"/>
                <w:szCs w:val="12"/>
                <w:color w:val="auto"/>
              </w:rPr>
              <w:t>Advisory resolution on</w:t>
            </w:r>
          </w:p>
        </w:tc>
        <w:tc>
          <w:tcPr>
            <w:tcW w:w="4300" w:type="dxa"/>
            <w:vAlign w:val="bottom"/>
          </w:tcPr>
          <w:p>
            <w:pPr>
              <w:ind w:left="520"/>
              <w:spacing w:after="0" w:line="128" w:lineRule="exact"/>
              <w:rPr>
                <w:sz w:val="20"/>
                <w:szCs w:val="20"/>
                <w:color w:val="auto"/>
              </w:rPr>
            </w:pPr>
            <w:r>
              <w:rPr>
                <w:rFonts w:ascii="Arial" w:cs="Arial" w:eastAsia="Arial" w:hAnsi="Arial"/>
                <w:sz w:val="12"/>
                <w:szCs w:val="12"/>
                <w:color w:val="BB1131"/>
              </w:rPr>
              <w:t xml:space="preserve">FOR </w:t>
            </w:r>
            <w:r>
              <w:rPr>
                <w:rFonts w:ascii="Arial" w:cs="Arial" w:eastAsia="Arial" w:hAnsi="Arial"/>
                <w:sz w:val="12"/>
                <w:szCs w:val="12"/>
                <w:color w:val="000000"/>
              </w:rPr>
              <w:t>the resolution</w:t>
            </w:r>
          </w:p>
        </w:tc>
        <w:tc>
          <w:tcPr>
            <w:tcW w:w="4120" w:type="dxa"/>
            <w:vAlign w:val="bottom"/>
          </w:tcPr>
          <w:p>
            <w:pPr>
              <w:ind w:left="200"/>
              <w:spacing w:after="0" w:line="128" w:lineRule="exact"/>
              <w:rPr>
                <w:sz w:val="20"/>
                <w:szCs w:val="20"/>
                <w:color w:val="auto"/>
              </w:rPr>
            </w:pPr>
            <w:r>
              <w:rPr>
                <w:rFonts w:ascii="Arial" w:cs="Arial" w:eastAsia="Arial" w:hAnsi="Arial"/>
                <w:sz w:val="12"/>
                <w:szCs w:val="12"/>
                <w:color w:val="auto"/>
              </w:rPr>
              <w:t>The Board believes Weatherford’s executive compensation program</w:t>
            </w:r>
          </w:p>
        </w:tc>
        <w:tc>
          <w:tcPr>
            <w:tcW w:w="1120" w:type="dxa"/>
            <w:vAlign w:val="bottom"/>
          </w:tcPr>
          <w:p>
            <w:pPr>
              <w:jc w:val="center"/>
              <w:spacing w:after="0" w:line="128" w:lineRule="exact"/>
              <w:rPr>
                <w:sz w:val="20"/>
                <w:szCs w:val="20"/>
                <w:color w:val="auto"/>
              </w:rPr>
            </w:pPr>
            <w:r>
              <w:rPr>
                <w:rFonts w:ascii="Arial" w:cs="Arial" w:eastAsia="Arial" w:hAnsi="Arial"/>
                <w:sz w:val="12"/>
                <w:szCs w:val="12"/>
                <w:color w:val="auto"/>
                <w:w w:val="89"/>
              </w:rPr>
              <w:t>20</w:t>
            </w:r>
          </w:p>
        </w:tc>
      </w:tr>
      <w:tr>
        <w:trPr>
          <w:trHeight w:val="136"/>
        </w:trPr>
        <w:tc>
          <w:tcPr>
            <w:tcW w:w="1880" w:type="dxa"/>
            <w:vAlign w:val="bottom"/>
            <w:gridSpan w:val="2"/>
          </w:tcPr>
          <w:p>
            <w:pPr>
              <w:spacing w:after="0" w:line="136" w:lineRule="exact"/>
              <w:rPr>
                <w:sz w:val="20"/>
                <w:szCs w:val="20"/>
                <w:color w:val="auto"/>
              </w:rPr>
            </w:pPr>
            <w:r>
              <w:rPr>
                <w:rFonts w:ascii="Arial" w:cs="Arial" w:eastAsia="Arial" w:hAnsi="Arial"/>
                <w:sz w:val="12"/>
                <w:szCs w:val="12"/>
                <w:color w:val="auto"/>
              </w:rPr>
              <w:t>compensation of Named</w:t>
            </w:r>
          </w:p>
        </w:tc>
        <w:tc>
          <w:tcPr>
            <w:tcW w:w="4300" w:type="dxa"/>
            <w:vAlign w:val="bottom"/>
          </w:tcPr>
          <w:p>
            <w:pPr>
              <w:spacing w:after="0"/>
              <w:rPr>
                <w:sz w:val="11"/>
                <w:szCs w:val="11"/>
                <w:color w:val="auto"/>
              </w:rPr>
            </w:pPr>
          </w:p>
        </w:tc>
        <w:tc>
          <w:tcPr>
            <w:tcW w:w="4120" w:type="dxa"/>
            <w:vAlign w:val="bottom"/>
          </w:tcPr>
          <w:p>
            <w:pPr>
              <w:ind w:left="200"/>
              <w:spacing w:after="0" w:line="136" w:lineRule="exact"/>
              <w:rPr>
                <w:sz w:val="20"/>
                <w:szCs w:val="20"/>
                <w:color w:val="auto"/>
              </w:rPr>
            </w:pPr>
            <w:r>
              <w:rPr>
                <w:rFonts w:ascii="Arial" w:cs="Arial" w:eastAsia="Arial" w:hAnsi="Arial"/>
                <w:sz w:val="12"/>
                <w:szCs w:val="12"/>
                <w:color w:val="auto"/>
              </w:rPr>
              <w:t>is effective in achieving the Company’s objectives</w:t>
            </w:r>
          </w:p>
        </w:tc>
        <w:tc>
          <w:tcPr>
            <w:tcW w:w="1120" w:type="dxa"/>
            <w:vAlign w:val="bottom"/>
          </w:tcPr>
          <w:p>
            <w:pPr>
              <w:spacing w:after="0"/>
              <w:rPr>
                <w:sz w:val="11"/>
                <w:szCs w:val="11"/>
                <w:color w:val="auto"/>
              </w:rPr>
            </w:pPr>
          </w:p>
        </w:tc>
      </w:tr>
      <w:tr>
        <w:trPr>
          <w:trHeight w:val="137"/>
        </w:trPr>
        <w:tc>
          <w:tcPr>
            <w:tcW w:w="1880" w:type="dxa"/>
            <w:vAlign w:val="bottom"/>
            <w:tcBorders>
              <w:bottom w:val="single" w:sz="8" w:color="58595B"/>
            </w:tcBorders>
            <w:gridSpan w:val="2"/>
          </w:tcPr>
          <w:p>
            <w:pPr>
              <w:spacing w:after="0" w:line="137" w:lineRule="exact"/>
              <w:rPr>
                <w:sz w:val="20"/>
                <w:szCs w:val="20"/>
                <w:color w:val="auto"/>
              </w:rPr>
            </w:pPr>
            <w:r>
              <w:rPr>
                <w:rFonts w:ascii="Arial" w:cs="Arial" w:eastAsia="Arial" w:hAnsi="Arial"/>
                <w:sz w:val="12"/>
                <w:szCs w:val="12"/>
                <w:color w:val="auto"/>
              </w:rPr>
              <w:t>Executive Officers</w:t>
            </w:r>
          </w:p>
        </w:tc>
        <w:tc>
          <w:tcPr>
            <w:tcW w:w="4300" w:type="dxa"/>
            <w:vAlign w:val="bottom"/>
            <w:tcBorders>
              <w:bottom w:val="single" w:sz="8" w:color="58595B"/>
            </w:tcBorders>
          </w:tcPr>
          <w:p>
            <w:pPr>
              <w:spacing w:after="0"/>
              <w:rPr>
                <w:sz w:val="11"/>
                <w:szCs w:val="11"/>
                <w:color w:val="auto"/>
              </w:rPr>
            </w:pPr>
          </w:p>
        </w:tc>
        <w:tc>
          <w:tcPr>
            <w:tcW w:w="4120" w:type="dxa"/>
            <w:vAlign w:val="bottom"/>
            <w:tcBorders>
              <w:bottom w:val="single" w:sz="8" w:color="58595B"/>
            </w:tcBorders>
          </w:tcPr>
          <w:p>
            <w:pPr>
              <w:spacing w:after="0"/>
              <w:rPr>
                <w:sz w:val="11"/>
                <w:szCs w:val="11"/>
                <w:color w:val="auto"/>
              </w:rPr>
            </w:pPr>
          </w:p>
        </w:tc>
        <w:tc>
          <w:tcPr>
            <w:tcW w:w="1120" w:type="dxa"/>
            <w:vAlign w:val="bottom"/>
            <w:tcBorders>
              <w:bottom w:val="single" w:sz="8" w:color="58595B"/>
            </w:tcBorders>
          </w:tcPr>
          <w:p>
            <w:pPr>
              <w:spacing w:after="0"/>
              <w:rPr>
                <w:sz w:val="11"/>
                <w:szCs w:val="11"/>
                <w:color w:val="auto"/>
              </w:rPr>
            </w:pPr>
          </w:p>
        </w:tc>
      </w:tr>
      <w:tr>
        <w:trPr>
          <w:trHeight w:val="128"/>
        </w:trPr>
        <w:tc>
          <w:tcPr>
            <w:tcW w:w="1880" w:type="dxa"/>
            <w:vAlign w:val="bottom"/>
            <w:gridSpan w:val="2"/>
          </w:tcPr>
          <w:p>
            <w:pPr>
              <w:spacing w:after="0" w:line="128" w:lineRule="exact"/>
              <w:rPr>
                <w:sz w:val="20"/>
                <w:szCs w:val="20"/>
                <w:color w:val="auto"/>
              </w:rPr>
            </w:pPr>
            <w:r>
              <w:rPr>
                <w:rFonts w:ascii="Arial" w:cs="Arial" w:eastAsia="Arial" w:hAnsi="Arial"/>
                <w:sz w:val="12"/>
                <w:szCs w:val="12"/>
                <w:color w:val="auto"/>
              </w:rPr>
              <w:t>Authorizing holding 2015</w:t>
            </w:r>
          </w:p>
        </w:tc>
        <w:tc>
          <w:tcPr>
            <w:tcW w:w="4300" w:type="dxa"/>
            <w:vAlign w:val="bottom"/>
          </w:tcPr>
          <w:p>
            <w:pPr>
              <w:ind w:left="520"/>
              <w:spacing w:after="0" w:line="128" w:lineRule="exact"/>
              <w:rPr>
                <w:sz w:val="20"/>
                <w:szCs w:val="20"/>
                <w:color w:val="auto"/>
              </w:rPr>
            </w:pPr>
            <w:r>
              <w:rPr>
                <w:rFonts w:ascii="Arial" w:cs="Arial" w:eastAsia="Arial" w:hAnsi="Arial"/>
                <w:sz w:val="12"/>
                <w:szCs w:val="12"/>
                <w:color w:val="BB1131"/>
              </w:rPr>
              <w:t xml:space="preserve">FOR </w:t>
            </w:r>
            <w:r>
              <w:rPr>
                <w:rFonts w:ascii="Arial" w:cs="Arial" w:eastAsia="Arial" w:hAnsi="Arial"/>
                <w:sz w:val="12"/>
                <w:szCs w:val="12"/>
                <w:color w:val="000000"/>
              </w:rPr>
              <w:t>the authorization</w:t>
            </w:r>
          </w:p>
        </w:tc>
        <w:tc>
          <w:tcPr>
            <w:tcW w:w="4120" w:type="dxa"/>
            <w:vAlign w:val="bottom"/>
          </w:tcPr>
          <w:p>
            <w:pPr>
              <w:ind w:left="200"/>
              <w:spacing w:after="0" w:line="128" w:lineRule="exact"/>
              <w:rPr>
                <w:sz w:val="20"/>
                <w:szCs w:val="20"/>
                <w:color w:val="auto"/>
              </w:rPr>
            </w:pPr>
            <w:r>
              <w:rPr>
                <w:rFonts w:ascii="Arial" w:cs="Arial" w:eastAsia="Arial" w:hAnsi="Arial"/>
                <w:sz w:val="12"/>
                <w:szCs w:val="12"/>
                <w:color w:val="auto"/>
              </w:rPr>
              <w:t>The Board would like to ensure flexibility in determining the optimal</w:t>
            </w:r>
          </w:p>
        </w:tc>
        <w:tc>
          <w:tcPr>
            <w:tcW w:w="1120" w:type="dxa"/>
            <w:vAlign w:val="bottom"/>
          </w:tcPr>
          <w:p>
            <w:pPr>
              <w:jc w:val="center"/>
              <w:spacing w:after="0" w:line="128" w:lineRule="exact"/>
              <w:rPr>
                <w:sz w:val="20"/>
                <w:szCs w:val="20"/>
                <w:color w:val="auto"/>
              </w:rPr>
            </w:pPr>
            <w:r>
              <w:rPr>
                <w:rFonts w:ascii="Arial" w:cs="Arial" w:eastAsia="Arial" w:hAnsi="Arial"/>
                <w:sz w:val="12"/>
                <w:szCs w:val="12"/>
                <w:color w:val="auto"/>
                <w:w w:val="89"/>
              </w:rPr>
              <w:t>45</w:t>
            </w:r>
          </w:p>
        </w:tc>
      </w:tr>
      <w:tr>
        <w:trPr>
          <w:trHeight w:val="136"/>
        </w:trPr>
        <w:tc>
          <w:tcPr>
            <w:tcW w:w="1880" w:type="dxa"/>
            <w:vAlign w:val="bottom"/>
            <w:gridSpan w:val="2"/>
          </w:tcPr>
          <w:p>
            <w:pPr>
              <w:spacing w:after="0" w:line="136" w:lineRule="exact"/>
              <w:rPr>
                <w:sz w:val="20"/>
                <w:szCs w:val="20"/>
                <w:color w:val="auto"/>
              </w:rPr>
            </w:pPr>
            <w:r>
              <w:rPr>
                <w:rFonts w:ascii="Arial" w:cs="Arial" w:eastAsia="Arial" w:hAnsi="Arial"/>
                <w:sz w:val="12"/>
                <w:szCs w:val="12"/>
                <w:color w:val="auto"/>
              </w:rPr>
              <w:t>Annual General Meeting</w:t>
            </w:r>
          </w:p>
        </w:tc>
        <w:tc>
          <w:tcPr>
            <w:tcW w:w="4300" w:type="dxa"/>
            <w:vAlign w:val="bottom"/>
          </w:tcPr>
          <w:p>
            <w:pPr>
              <w:spacing w:after="0"/>
              <w:rPr>
                <w:sz w:val="11"/>
                <w:szCs w:val="11"/>
                <w:color w:val="auto"/>
              </w:rPr>
            </w:pPr>
          </w:p>
        </w:tc>
        <w:tc>
          <w:tcPr>
            <w:tcW w:w="4120" w:type="dxa"/>
            <w:vAlign w:val="bottom"/>
          </w:tcPr>
          <w:p>
            <w:pPr>
              <w:ind w:left="200"/>
              <w:spacing w:after="0" w:line="136" w:lineRule="exact"/>
              <w:rPr>
                <w:sz w:val="20"/>
                <w:szCs w:val="20"/>
                <w:color w:val="auto"/>
              </w:rPr>
            </w:pPr>
            <w:r>
              <w:rPr>
                <w:rFonts w:ascii="Arial" w:cs="Arial" w:eastAsia="Arial" w:hAnsi="Arial"/>
                <w:sz w:val="12"/>
                <w:szCs w:val="12"/>
                <w:color w:val="auto"/>
              </w:rPr>
              <w:t>location of the 2015 Annual General Meeting</w:t>
            </w:r>
          </w:p>
        </w:tc>
        <w:tc>
          <w:tcPr>
            <w:tcW w:w="1120" w:type="dxa"/>
            <w:vAlign w:val="bottom"/>
          </w:tcPr>
          <w:p>
            <w:pPr>
              <w:spacing w:after="0"/>
              <w:rPr>
                <w:sz w:val="11"/>
                <w:szCs w:val="11"/>
                <w:color w:val="auto"/>
              </w:rPr>
            </w:pPr>
          </w:p>
        </w:tc>
      </w:tr>
      <w:tr>
        <w:trPr>
          <w:trHeight w:val="137"/>
        </w:trPr>
        <w:tc>
          <w:tcPr>
            <w:tcW w:w="1880" w:type="dxa"/>
            <w:vAlign w:val="bottom"/>
            <w:tcBorders>
              <w:bottom w:val="single" w:sz="8" w:color="58595B"/>
            </w:tcBorders>
            <w:gridSpan w:val="2"/>
          </w:tcPr>
          <w:p>
            <w:pPr>
              <w:spacing w:after="0" w:line="137" w:lineRule="exact"/>
              <w:rPr>
                <w:sz w:val="20"/>
                <w:szCs w:val="20"/>
                <w:color w:val="auto"/>
              </w:rPr>
            </w:pPr>
            <w:r>
              <w:rPr>
                <w:rFonts w:ascii="Arial" w:cs="Arial" w:eastAsia="Arial" w:hAnsi="Arial"/>
                <w:sz w:val="12"/>
                <w:szCs w:val="12"/>
                <w:color w:val="auto"/>
              </w:rPr>
              <w:t>outside of Ireland</w:t>
            </w:r>
          </w:p>
        </w:tc>
        <w:tc>
          <w:tcPr>
            <w:tcW w:w="4300" w:type="dxa"/>
            <w:vAlign w:val="bottom"/>
            <w:tcBorders>
              <w:bottom w:val="single" w:sz="8" w:color="58595B"/>
            </w:tcBorders>
          </w:tcPr>
          <w:p>
            <w:pPr>
              <w:spacing w:after="0"/>
              <w:rPr>
                <w:sz w:val="11"/>
                <w:szCs w:val="11"/>
                <w:color w:val="auto"/>
              </w:rPr>
            </w:pPr>
          </w:p>
        </w:tc>
        <w:tc>
          <w:tcPr>
            <w:tcW w:w="4120" w:type="dxa"/>
            <w:vAlign w:val="bottom"/>
            <w:tcBorders>
              <w:bottom w:val="single" w:sz="8" w:color="58595B"/>
            </w:tcBorders>
          </w:tcPr>
          <w:p>
            <w:pPr>
              <w:spacing w:after="0"/>
              <w:rPr>
                <w:sz w:val="11"/>
                <w:szCs w:val="11"/>
                <w:color w:val="auto"/>
              </w:rPr>
            </w:pPr>
          </w:p>
        </w:tc>
        <w:tc>
          <w:tcPr>
            <w:tcW w:w="1120" w:type="dxa"/>
            <w:vAlign w:val="bottom"/>
            <w:tcBorders>
              <w:bottom w:val="single" w:sz="8" w:color="58595B"/>
            </w:tcBorders>
          </w:tcPr>
          <w:p>
            <w:pPr>
              <w:spacing w:after="0"/>
              <w:rPr>
                <w:sz w:val="11"/>
                <w:szCs w:val="1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FFFFFF"/>
        </w:rPr>
        <w:t>If you are a shareholder of record or a beneficial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7258050" cy="1416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8050" cy="14160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You may vote using one of the following options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125095</wp:posOffset>
            </wp:positionV>
            <wp:extent cx="5496560" cy="26339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496560" cy="263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2"/>
          <w:szCs w:val="12"/>
          <w:color w:val="auto"/>
        </w:rPr>
        <w:t>Weatherford International plc - www.WeatherfordAnnualMeeting.com</w:t>
      </w:r>
      <w:r>
        <w:rPr>
          <w:sz w:val="20"/>
          <w:szCs w:val="20"/>
          <w:color w:val="auto"/>
        </w:rPr>
        <w:tab/>
      </w:r>
      <w:r>
        <w:rPr>
          <w:rFonts w:ascii="Arial" w:cs="Arial" w:eastAsia="Arial" w:hAnsi="Arial"/>
          <w:sz w:val="11"/>
          <w:szCs w:val="11"/>
          <w:b w:val="1"/>
          <w:bCs w:val="1"/>
          <w:color w:val="auto"/>
        </w:rPr>
        <w:t>xiii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131445</wp:posOffset>
            </wp:positionV>
            <wp:extent cx="7278370" cy="20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6" w:name="page17"/>
    <w:bookmarkEnd w:id="16"/>
    <w:p>
      <w:pPr>
        <w:ind w:left="1"/>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ind w:left="1" w:right="4780"/>
        <w:spacing w:after="0" w:line="307" w:lineRule="auto"/>
        <w:rPr>
          <w:sz w:val="20"/>
          <w:szCs w:val="20"/>
          <w:color w:val="auto"/>
        </w:rPr>
      </w:pPr>
      <w:r>
        <w:rPr>
          <w:rFonts w:ascii="Arial" w:cs="Arial" w:eastAsia="Arial" w:hAnsi="Arial"/>
          <w:sz w:val="30"/>
          <w:szCs w:val="30"/>
          <w:color w:val="BB1131"/>
        </w:rPr>
        <w:t xml:space="preserve">Notice of Annual General Meeting of Shareholders </w:t>
      </w:r>
      <w:r>
        <w:rPr>
          <w:rFonts w:ascii="Arial" w:cs="Arial" w:eastAsia="Arial" w:hAnsi="Arial"/>
          <w:sz w:val="30"/>
          <w:szCs w:val="30"/>
          <w:b w:val="1"/>
          <w:bCs w:val="1"/>
          <w:color w:val="BB1131"/>
        </w:rPr>
        <w:t>September 24, 2014</w:t>
      </w:r>
    </w:p>
    <w:p>
      <w:pPr>
        <w:spacing w:after="0" w:line="2"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BB1131"/>
        </w:rPr>
        <w:t>10:00 A.M. (Central European Time)</w:t>
      </w:r>
    </w:p>
    <w:p>
      <w:pPr>
        <w:spacing w:after="0" w:line="5"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BB1131"/>
        </w:rPr>
        <w:t>The Mandarin Oriental Hotel, Quai Turrettini 1, 1201 Geneva, Switzerland</w:t>
      </w:r>
    </w:p>
    <w:p>
      <w:pPr>
        <w:spacing w:after="0" w:line="196" w:lineRule="exact"/>
        <w:rPr>
          <w:sz w:val="20"/>
          <w:szCs w:val="20"/>
          <w:color w:val="auto"/>
        </w:rPr>
      </w:pPr>
    </w:p>
    <w:p>
      <w:pPr>
        <w:ind w:left="1"/>
        <w:spacing w:after="0" w:line="254" w:lineRule="auto"/>
        <w:rPr>
          <w:sz w:val="20"/>
          <w:szCs w:val="20"/>
          <w:color w:val="auto"/>
        </w:rPr>
      </w:pPr>
      <w:r>
        <w:rPr>
          <w:rFonts w:ascii="Arial" w:cs="Arial" w:eastAsia="Arial" w:hAnsi="Arial"/>
          <w:sz w:val="12"/>
          <w:szCs w:val="12"/>
          <w:color w:val="auto"/>
        </w:rPr>
        <w:t>Notice is hereby given that the 2014 Annual General Meeting of Shareholders (the “Annual General Meeting”) of Weatherford International plc (the “Company”) will be held at 10:00 a.m. (Central European Time) on Wednesday, September 24, 2014, at The Mandarin Oriental Hotel, Quai Turrettini 1, 1201 Geneva, Switzerland, for the following purposes:</w:t>
      </w:r>
    </w:p>
    <w:p>
      <w:pPr>
        <w:spacing w:after="0" w:line="182" w:lineRule="exact"/>
        <w:rPr>
          <w:sz w:val="20"/>
          <w:szCs w:val="20"/>
          <w:color w:val="auto"/>
        </w:rPr>
      </w:pPr>
    </w:p>
    <w:p>
      <w:pPr>
        <w:ind w:left="1"/>
        <w:spacing w:after="0"/>
        <w:rPr>
          <w:sz w:val="20"/>
          <w:szCs w:val="20"/>
          <w:color w:val="auto"/>
        </w:rPr>
      </w:pPr>
      <w:r>
        <w:rPr>
          <w:rFonts w:ascii="Arial" w:cs="Arial" w:eastAsia="Arial" w:hAnsi="Arial"/>
          <w:sz w:val="16"/>
          <w:szCs w:val="16"/>
          <w:color w:val="BB1131"/>
        </w:rPr>
        <w:t>AGENDA ITEMS:</w:t>
      </w:r>
    </w:p>
    <w:p>
      <w:pPr>
        <w:spacing w:after="0" w:line="97" w:lineRule="exact"/>
        <w:rPr>
          <w:sz w:val="20"/>
          <w:szCs w:val="20"/>
          <w:color w:val="auto"/>
        </w:rPr>
      </w:pPr>
    </w:p>
    <w:p>
      <w:pPr>
        <w:ind w:left="341" w:hanging="341"/>
        <w:spacing w:after="0" w:line="254" w:lineRule="auto"/>
        <w:tabs>
          <w:tab w:leader="none" w:pos="341" w:val="left"/>
        </w:tabs>
        <w:numPr>
          <w:ilvl w:val="0"/>
          <w:numId w:val="12"/>
        </w:numPr>
        <w:rPr>
          <w:rFonts w:ascii="Arial" w:cs="Arial" w:eastAsia="Arial" w:hAnsi="Arial"/>
          <w:sz w:val="12"/>
          <w:szCs w:val="12"/>
          <w:color w:val="BB1131"/>
        </w:rPr>
      </w:pPr>
      <w:r>
        <w:rPr>
          <w:rFonts w:ascii="Arial" w:cs="Arial" w:eastAsia="Arial" w:hAnsi="Arial"/>
          <w:sz w:val="12"/>
          <w:szCs w:val="12"/>
          <w:color w:val="auto"/>
        </w:rPr>
        <w:t>By separate resolutions, to elect the following nine individuals as directors of the Company to hold office until the 2015 annual general meeting of shareholders of the Company (the “2015 Annual General Meeting”) or, in each case, until his earlier death, retirement, resignation or removal from the position of director:</w:t>
      </w:r>
    </w:p>
    <w:p>
      <w:pPr>
        <w:spacing w:after="0" w:line="104" w:lineRule="exact"/>
        <w:rPr>
          <w:sz w:val="20"/>
          <w:szCs w:val="20"/>
          <w:color w:val="auto"/>
        </w:rPr>
      </w:pPr>
    </w:p>
    <w:tbl>
      <w:tblPr>
        <w:tblLayout w:type="fixed"/>
        <w:tblInd w:w="421" w:type="dxa"/>
        <w:tblCellMar>
          <w:top w:w="0" w:type="dxa"/>
          <w:left w:w="0" w:type="dxa"/>
          <w:bottom w:w="0" w:type="dxa"/>
          <w:right w:w="0" w:type="dxa"/>
        </w:tblCellMar>
      </w:tblPr>
      <w:tr>
        <w:trPr>
          <w:trHeight w:val="148"/>
        </w:trPr>
        <w:tc>
          <w:tcPr>
            <w:tcW w:w="160" w:type="dxa"/>
            <w:vAlign w:val="bottom"/>
          </w:tcPr>
          <w:p>
            <w:pPr>
              <w:jc w:val="right"/>
              <w:spacing w:after="0"/>
              <w:rPr>
                <w:sz w:val="20"/>
                <w:szCs w:val="20"/>
                <w:color w:val="auto"/>
              </w:rPr>
            </w:pPr>
            <w:r>
              <w:rPr>
                <w:rFonts w:ascii="Arial" w:cs="Arial" w:eastAsia="Arial" w:hAnsi="Arial"/>
                <w:sz w:val="12"/>
                <w:szCs w:val="12"/>
                <w:color w:val="BB1131"/>
                <w:w w:val="81"/>
              </w:rPr>
              <w:t>(1)</w:t>
            </w:r>
          </w:p>
        </w:tc>
        <w:tc>
          <w:tcPr>
            <w:tcW w:w="1840" w:type="dxa"/>
            <w:vAlign w:val="bottom"/>
          </w:tcPr>
          <w:p>
            <w:pPr>
              <w:ind w:left="20"/>
              <w:spacing w:after="0"/>
              <w:rPr>
                <w:sz w:val="20"/>
                <w:szCs w:val="20"/>
                <w:color w:val="auto"/>
              </w:rPr>
            </w:pPr>
            <w:r>
              <w:rPr>
                <w:rFonts w:ascii="Arial" w:cs="Arial" w:eastAsia="Arial" w:hAnsi="Arial"/>
                <w:sz w:val="12"/>
                <w:szCs w:val="12"/>
                <w:color w:val="auto"/>
              </w:rPr>
              <w:t>David J. Butters</w:t>
            </w:r>
          </w:p>
        </w:tc>
        <w:tc>
          <w:tcPr>
            <w:tcW w:w="420" w:type="dxa"/>
            <w:vAlign w:val="bottom"/>
          </w:tcPr>
          <w:p>
            <w:pPr>
              <w:jc w:val="right"/>
              <w:spacing w:after="0"/>
              <w:rPr>
                <w:sz w:val="20"/>
                <w:szCs w:val="20"/>
                <w:color w:val="auto"/>
              </w:rPr>
            </w:pPr>
            <w:r>
              <w:rPr>
                <w:rFonts w:ascii="Arial" w:cs="Arial" w:eastAsia="Arial" w:hAnsi="Arial"/>
                <w:sz w:val="12"/>
                <w:szCs w:val="12"/>
                <w:color w:val="BB1131"/>
              </w:rPr>
              <w:t>(6)</w:t>
            </w:r>
          </w:p>
        </w:tc>
        <w:tc>
          <w:tcPr>
            <w:tcW w:w="1180" w:type="dxa"/>
            <w:vAlign w:val="bottom"/>
          </w:tcPr>
          <w:p>
            <w:pPr>
              <w:ind w:left="20"/>
              <w:spacing w:after="0"/>
              <w:rPr>
                <w:sz w:val="20"/>
                <w:szCs w:val="20"/>
                <w:color w:val="auto"/>
              </w:rPr>
            </w:pPr>
            <w:r>
              <w:rPr>
                <w:rFonts w:ascii="Arial" w:cs="Arial" w:eastAsia="Arial" w:hAnsi="Arial"/>
                <w:sz w:val="12"/>
                <w:szCs w:val="12"/>
                <w:color w:val="auto"/>
              </w:rPr>
              <w:t>Robert K. Moses, Jr.</w:t>
            </w:r>
          </w:p>
        </w:tc>
      </w:tr>
      <w:tr>
        <w:trPr>
          <w:trHeight w:val="198"/>
        </w:trPr>
        <w:tc>
          <w:tcPr>
            <w:tcW w:w="160" w:type="dxa"/>
            <w:vAlign w:val="bottom"/>
          </w:tcPr>
          <w:p>
            <w:pPr>
              <w:jc w:val="right"/>
              <w:spacing w:after="0"/>
              <w:rPr>
                <w:sz w:val="20"/>
                <w:szCs w:val="20"/>
                <w:color w:val="auto"/>
              </w:rPr>
            </w:pPr>
            <w:r>
              <w:rPr>
                <w:rFonts w:ascii="Arial" w:cs="Arial" w:eastAsia="Arial" w:hAnsi="Arial"/>
                <w:sz w:val="12"/>
                <w:szCs w:val="12"/>
                <w:color w:val="BB1131"/>
                <w:w w:val="81"/>
              </w:rPr>
              <w:t>(2)</w:t>
            </w:r>
          </w:p>
        </w:tc>
        <w:tc>
          <w:tcPr>
            <w:tcW w:w="1840" w:type="dxa"/>
            <w:vAlign w:val="bottom"/>
          </w:tcPr>
          <w:p>
            <w:pPr>
              <w:ind w:left="20"/>
              <w:spacing w:after="0"/>
              <w:rPr>
                <w:sz w:val="20"/>
                <w:szCs w:val="20"/>
                <w:color w:val="auto"/>
              </w:rPr>
            </w:pPr>
            <w:r>
              <w:rPr>
                <w:rFonts w:ascii="Arial" w:cs="Arial" w:eastAsia="Arial" w:hAnsi="Arial"/>
                <w:sz w:val="12"/>
                <w:szCs w:val="12"/>
                <w:color w:val="auto"/>
              </w:rPr>
              <w:t>Dr. Bernard J. Duroc-Danner</w:t>
            </w:r>
          </w:p>
        </w:tc>
        <w:tc>
          <w:tcPr>
            <w:tcW w:w="420" w:type="dxa"/>
            <w:vAlign w:val="bottom"/>
          </w:tcPr>
          <w:p>
            <w:pPr>
              <w:jc w:val="right"/>
              <w:spacing w:after="0"/>
              <w:rPr>
                <w:sz w:val="20"/>
                <w:szCs w:val="20"/>
                <w:color w:val="auto"/>
              </w:rPr>
            </w:pPr>
            <w:r>
              <w:rPr>
                <w:rFonts w:ascii="Arial" w:cs="Arial" w:eastAsia="Arial" w:hAnsi="Arial"/>
                <w:sz w:val="12"/>
                <w:szCs w:val="12"/>
                <w:color w:val="BB1131"/>
              </w:rPr>
              <w:t>(7)</w:t>
            </w:r>
          </w:p>
        </w:tc>
        <w:tc>
          <w:tcPr>
            <w:tcW w:w="1180" w:type="dxa"/>
            <w:vAlign w:val="bottom"/>
          </w:tcPr>
          <w:p>
            <w:pPr>
              <w:ind w:left="20"/>
              <w:spacing w:after="0"/>
              <w:rPr>
                <w:sz w:val="20"/>
                <w:szCs w:val="20"/>
                <w:color w:val="auto"/>
              </w:rPr>
            </w:pPr>
            <w:r>
              <w:rPr>
                <w:rFonts w:ascii="Arial" w:cs="Arial" w:eastAsia="Arial" w:hAnsi="Arial"/>
                <w:sz w:val="12"/>
                <w:szCs w:val="12"/>
                <w:color w:val="auto"/>
              </w:rPr>
              <w:t>Dr. Guillermo Ortiz</w:t>
            </w:r>
          </w:p>
        </w:tc>
      </w:tr>
      <w:tr>
        <w:trPr>
          <w:trHeight w:val="198"/>
        </w:trPr>
        <w:tc>
          <w:tcPr>
            <w:tcW w:w="160" w:type="dxa"/>
            <w:vAlign w:val="bottom"/>
          </w:tcPr>
          <w:p>
            <w:pPr>
              <w:jc w:val="right"/>
              <w:spacing w:after="0"/>
              <w:rPr>
                <w:sz w:val="20"/>
                <w:szCs w:val="20"/>
                <w:color w:val="auto"/>
              </w:rPr>
            </w:pPr>
            <w:r>
              <w:rPr>
                <w:rFonts w:ascii="Arial" w:cs="Arial" w:eastAsia="Arial" w:hAnsi="Arial"/>
                <w:sz w:val="12"/>
                <w:szCs w:val="12"/>
                <w:color w:val="BB1131"/>
                <w:w w:val="81"/>
              </w:rPr>
              <w:t>(3)</w:t>
            </w:r>
          </w:p>
        </w:tc>
        <w:tc>
          <w:tcPr>
            <w:tcW w:w="1840" w:type="dxa"/>
            <w:vAlign w:val="bottom"/>
          </w:tcPr>
          <w:p>
            <w:pPr>
              <w:ind w:left="20"/>
              <w:spacing w:after="0"/>
              <w:rPr>
                <w:sz w:val="20"/>
                <w:szCs w:val="20"/>
                <w:color w:val="auto"/>
              </w:rPr>
            </w:pPr>
            <w:r>
              <w:rPr>
                <w:rFonts w:ascii="Arial" w:cs="Arial" w:eastAsia="Arial" w:hAnsi="Arial"/>
                <w:sz w:val="12"/>
                <w:szCs w:val="12"/>
                <w:color w:val="auto"/>
              </w:rPr>
              <w:t>John D. Gass</w:t>
            </w:r>
          </w:p>
        </w:tc>
        <w:tc>
          <w:tcPr>
            <w:tcW w:w="420" w:type="dxa"/>
            <w:vAlign w:val="bottom"/>
          </w:tcPr>
          <w:p>
            <w:pPr>
              <w:jc w:val="right"/>
              <w:spacing w:after="0"/>
              <w:rPr>
                <w:sz w:val="20"/>
                <w:szCs w:val="20"/>
                <w:color w:val="auto"/>
              </w:rPr>
            </w:pPr>
            <w:r>
              <w:rPr>
                <w:rFonts w:ascii="Arial" w:cs="Arial" w:eastAsia="Arial" w:hAnsi="Arial"/>
                <w:sz w:val="12"/>
                <w:szCs w:val="12"/>
                <w:color w:val="BB1131"/>
              </w:rPr>
              <w:t>(8)</w:t>
            </w:r>
          </w:p>
        </w:tc>
        <w:tc>
          <w:tcPr>
            <w:tcW w:w="1180" w:type="dxa"/>
            <w:vAlign w:val="bottom"/>
          </w:tcPr>
          <w:p>
            <w:pPr>
              <w:ind w:left="20"/>
              <w:spacing w:after="0"/>
              <w:rPr>
                <w:sz w:val="20"/>
                <w:szCs w:val="20"/>
                <w:color w:val="auto"/>
              </w:rPr>
            </w:pPr>
            <w:r>
              <w:rPr>
                <w:rFonts w:ascii="Arial" w:cs="Arial" w:eastAsia="Arial" w:hAnsi="Arial"/>
                <w:sz w:val="12"/>
                <w:szCs w:val="12"/>
                <w:color w:val="auto"/>
              </w:rPr>
              <w:t>Sir Emyr Jones Parry</w:t>
            </w:r>
          </w:p>
        </w:tc>
      </w:tr>
      <w:tr>
        <w:trPr>
          <w:trHeight w:val="198"/>
        </w:trPr>
        <w:tc>
          <w:tcPr>
            <w:tcW w:w="160" w:type="dxa"/>
            <w:vAlign w:val="bottom"/>
          </w:tcPr>
          <w:p>
            <w:pPr>
              <w:jc w:val="right"/>
              <w:spacing w:after="0"/>
              <w:rPr>
                <w:sz w:val="20"/>
                <w:szCs w:val="20"/>
                <w:color w:val="auto"/>
              </w:rPr>
            </w:pPr>
            <w:r>
              <w:rPr>
                <w:rFonts w:ascii="Arial" w:cs="Arial" w:eastAsia="Arial" w:hAnsi="Arial"/>
                <w:sz w:val="12"/>
                <w:szCs w:val="12"/>
                <w:color w:val="BB1131"/>
                <w:w w:val="81"/>
              </w:rPr>
              <w:t>(4)</w:t>
            </w:r>
          </w:p>
        </w:tc>
        <w:tc>
          <w:tcPr>
            <w:tcW w:w="1840" w:type="dxa"/>
            <w:vAlign w:val="bottom"/>
          </w:tcPr>
          <w:p>
            <w:pPr>
              <w:ind w:left="20"/>
              <w:spacing w:after="0"/>
              <w:rPr>
                <w:sz w:val="20"/>
                <w:szCs w:val="20"/>
                <w:color w:val="auto"/>
              </w:rPr>
            </w:pPr>
            <w:r>
              <w:rPr>
                <w:rFonts w:ascii="Arial" w:cs="Arial" w:eastAsia="Arial" w:hAnsi="Arial"/>
                <w:sz w:val="12"/>
                <w:szCs w:val="12"/>
                <w:color w:val="auto"/>
              </w:rPr>
              <w:t>Francis S. Kalman</w:t>
            </w:r>
          </w:p>
        </w:tc>
        <w:tc>
          <w:tcPr>
            <w:tcW w:w="420" w:type="dxa"/>
            <w:vAlign w:val="bottom"/>
          </w:tcPr>
          <w:p>
            <w:pPr>
              <w:jc w:val="right"/>
              <w:spacing w:after="0"/>
              <w:rPr>
                <w:sz w:val="20"/>
                <w:szCs w:val="20"/>
                <w:color w:val="auto"/>
              </w:rPr>
            </w:pPr>
            <w:r>
              <w:rPr>
                <w:rFonts w:ascii="Arial" w:cs="Arial" w:eastAsia="Arial" w:hAnsi="Arial"/>
                <w:sz w:val="12"/>
                <w:szCs w:val="12"/>
                <w:color w:val="BB1131"/>
              </w:rPr>
              <w:t>(9)</w:t>
            </w:r>
          </w:p>
        </w:tc>
        <w:tc>
          <w:tcPr>
            <w:tcW w:w="1180" w:type="dxa"/>
            <w:vAlign w:val="bottom"/>
          </w:tcPr>
          <w:p>
            <w:pPr>
              <w:ind w:left="20"/>
              <w:spacing w:after="0"/>
              <w:rPr>
                <w:sz w:val="20"/>
                <w:szCs w:val="20"/>
                <w:color w:val="auto"/>
              </w:rPr>
            </w:pPr>
            <w:r>
              <w:rPr>
                <w:rFonts w:ascii="Arial" w:cs="Arial" w:eastAsia="Arial" w:hAnsi="Arial"/>
                <w:sz w:val="12"/>
                <w:szCs w:val="12"/>
                <w:color w:val="auto"/>
              </w:rPr>
              <w:t>Robert A. Rayne</w:t>
            </w:r>
          </w:p>
        </w:tc>
      </w:tr>
    </w:tbl>
    <w:p>
      <w:pPr>
        <w:spacing w:after="0" w:line="50" w:lineRule="exact"/>
        <w:rPr>
          <w:sz w:val="20"/>
          <w:szCs w:val="20"/>
          <w:color w:val="auto"/>
        </w:rPr>
      </w:pPr>
    </w:p>
    <w:p>
      <w:pPr>
        <w:ind w:left="601" w:hanging="188"/>
        <w:spacing w:after="0"/>
        <w:tabs>
          <w:tab w:leader="none" w:pos="601" w:val="left"/>
        </w:tabs>
        <w:numPr>
          <w:ilvl w:val="1"/>
          <w:numId w:val="13"/>
        </w:numPr>
        <w:rPr>
          <w:rFonts w:ascii="Arial" w:cs="Arial" w:eastAsia="Arial" w:hAnsi="Arial"/>
          <w:sz w:val="12"/>
          <w:szCs w:val="12"/>
          <w:color w:val="BB1131"/>
        </w:rPr>
      </w:pPr>
      <w:r>
        <w:rPr>
          <w:rFonts w:ascii="Arial" w:cs="Arial" w:eastAsia="Arial" w:hAnsi="Arial"/>
          <w:sz w:val="12"/>
          <w:szCs w:val="12"/>
          <w:color w:val="auto"/>
        </w:rPr>
        <w:t>William E. Macaulay</w:t>
      </w:r>
    </w:p>
    <w:p>
      <w:pPr>
        <w:spacing w:after="0" w:line="134" w:lineRule="exact"/>
        <w:rPr>
          <w:rFonts w:ascii="Arial" w:cs="Arial" w:eastAsia="Arial" w:hAnsi="Arial"/>
          <w:sz w:val="12"/>
          <w:szCs w:val="12"/>
          <w:color w:val="BB1131"/>
        </w:rPr>
      </w:pPr>
    </w:p>
    <w:p>
      <w:pPr>
        <w:ind w:left="341" w:hanging="341"/>
        <w:spacing w:after="0" w:line="254" w:lineRule="auto"/>
        <w:tabs>
          <w:tab w:leader="none" w:pos="341" w:val="left"/>
        </w:tabs>
        <w:numPr>
          <w:ilvl w:val="0"/>
          <w:numId w:val="14"/>
        </w:numPr>
        <w:rPr>
          <w:rFonts w:ascii="Arial" w:cs="Arial" w:eastAsia="Arial" w:hAnsi="Arial"/>
          <w:sz w:val="12"/>
          <w:szCs w:val="12"/>
          <w:color w:val="BB1131"/>
        </w:rPr>
      </w:pPr>
      <w:r>
        <w:rPr>
          <w:rFonts w:ascii="Arial" w:cs="Arial" w:eastAsia="Arial" w:hAnsi="Arial"/>
          <w:sz w:val="12"/>
          <w:szCs w:val="12"/>
          <w:color w:val="auto"/>
        </w:rPr>
        <w:t>To ratify the appointment of KPMG LLP as the Company’s independent registered public accounting firm for the financial year ending December 31, 2014, to hold office until the close of the 2015 Annual General Meeting, and to authorize the board of directors of the Company, acting through the Audit Committee, to determine the auditors’ remuneration.</w:t>
      </w:r>
    </w:p>
    <w:p>
      <w:pPr>
        <w:spacing w:after="0" w:line="116" w:lineRule="exact"/>
        <w:rPr>
          <w:rFonts w:ascii="Arial" w:cs="Arial" w:eastAsia="Arial" w:hAnsi="Arial"/>
          <w:sz w:val="12"/>
          <w:szCs w:val="12"/>
          <w:color w:val="BB1131"/>
        </w:rPr>
      </w:pPr>
    </w:p>
    <w:p>
      <w:pPr>
        <w:ind w:left="341" w:hanging="341"/>
        <w:spacing w:after="0"/>
        <w:tabs>
          <w:tab w:leader="none" w:pos="341" w:val="left"/>
        </w:tabs>
        <w:numPr>
          <w:ilvl w:val="0"/>
          <w:numId w:val="14"/>
        </w:numPr>
        <w:rPr>
          <w:rFonts w:ascii="Arial" w:cs="Arial" w:eastAsia="Arial" w:hAnsi="Arial"/>
          <w:sz w:val="12"/>
          <w:szCs w:val="12"/>
          <w:color w:val="BB1131"/>
        </w:rPr>
      </w:pPr>
      <w:r>
        <w:rPr>
          <w:rFonts w:ascii="Arial" w:cs="Arial" w:eastAsia="Arial" w:hAnsi="Arial"/>
          <w:sz w:val="12"/>
          <w:szCs w:val="12"/>
          <w:color w:val="auto"/>
        </w:rPr>
        <w:t>To adopt an advisory resolution approving the compensation of the named executive officers.</w:t>
      </w:r>
    </w:p>
    <w:p>
      <w:pPr>
        <w:spacing w:after="0" w:line="134" w:lineRule="exact"/>
        <w:rPr>
          <w:rFonts w:ascii="Arial" w:cs="Arial" w:eastAsia="Arial" w:hAnsi="Arial"/>
          <w:sz w:val="12"/>
          <w:szCs w:val="12"/>
          <w:color w:val="BB1131"/>
        </w:rPr>
      </w:pPr>
    </w:p>
    <w:p>
      <w:pPr>
        <w:ind w:left="341" w:hanging="341"/>
        <w:spacing w:after="0"/>
        <w:tabs>
          <w:tab w:leader="none" w:pos="341" w:val="left"/>
        </w:tabs>
        <w:numPr>
          <w:ilvl w:val="0"/>
          <w:numId w:val="14"/>
        </w:numPr>
        <w:rPr>
          <w:rFonts w:ascii="Arial" w:cs="Arial" w:eastAsia="Arial" w:hAnsi="Arial"/>
          <w:sz w:val="12"/>
          <w:szCs w:val="12"/>
          <w:color w:val="BB1131"/>
        </w:rPr>
      </w:pPr>
      <w:r>
        <w:rPr>
          <w:rFonts w:ascii="Arial" w:cs="Arial" w:eastAsia="Arial" w:hAnsi="Arial"/>
          <w:sz w:val="12"/>
          <w:szCs w:val="12"/>
          <w:color w:val="auto"/>
        </w:rPr>
        <w:t>To authorize holding the 2015 Annual General Meeting at a location outside of Ireland as required under Irish law.</w:t>
      </w:r>
    </w:p>
    <w:p>
      <w:pPr>
        <w:spacing w:after="0" w:line="97"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The foregoing items, including the votes required in respect of each, are more fully described (and the full text of each proposal is set out) in the accompanying proxy statement, which shall be deemed to form a part of this notice.</w:t>
      </w:r>
    </w:p>
    <w:p>
      <w:pPr>
        <w:spacing w:after="0" w:line="182" w:lineRule="exact"/>
        <w:rPr>
          <w:sz w:val="20"/>
          <w:szCs w:val="20"/>
          <w:color w:val="auto"/>
        </w:rPr>
      </w:pPr>
    </w:p>
    <w:p>
      <w:pPr>
        <w:ind w:left="1"/>
        <w:spacing w:after="0"/>
        <w:rPr>
          <w:sz w:val="20"/>
          <w:szCs w:val="20"/>
          <w:color w:val="auto"/>
        </w:rPr>
      </w:pPr>
      <w:r>
        <w:rPr>
          <w:rFonts w:ascii="Arial" w:cs="Arial" w:eastAsia="Arial" w:hAnsi="Arial"/>
          <w:sz w:val="16"/>
          <w:szCs w:val="16"/>
          <w:color w:val="BB1131"/>
        </w:rPr>
        <w:t>ORGANIZATIONAL MATTERS</w:t>
      </w:r>
    </w:p>
    <w:p>
      <w:pPr>
        <w:spacing w:after="0" w:line="97"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We have established the close of business on August 1, 2014, as the record date for determining the shareholders listed in our share register (registered shareholders) entitled to attend, vote or grant proxies to vote at the meeting or any adjournments or postponements of the meeting. A copy of this notice, the accompanying proxy statement and the enclosed proxy card are first being sent on or about August , 2014, to each shareholder in our share register as of the record date, together with a copy of our 2013 Annual Report.</w:t>
      </w:r>
    </w:p>
    <w:p>
      <w:pPr>
        <w:spacing w:after="0" w:line="71" w:lineRule="exact"/>
        <w:rPr>
          <w:sz w:val="20"/>
          <w:szCs w:val="20"/>
          <w:color w:val="auto"/>
        </w:rPr>
      </w:pPr>
    </w:p>
    <w:p>
      <w:pPr>
        <w:jc w:val="both"/>
        <w:ind w:left="1"/>
        <w:spacing w:after="0" w:line="278" w:lineRule="auto"/>
        <w:rPr>
          <w:sz w:val="20"/>
          <w:szCs w:val="20"/>
          <w:color w:val="auto"/>
        </w:rPr>
      </w:pPr>
      <w:r>
        <w:rPr>
          <w:rFonts w:ascii="Arial" w:cs="Arial" w:eastAsia="Arial" w:hAnsi="Arial"/>
          <w:sz w:val="12"/>
          <w:szCs w:val="12"/>
          <w:b w:val="1"/>
          <w:bCs w:val="1"/>
          <w:color w:val="auto"/>
        </w:rPr>
        <w:t>Only shareholders who are registered in our share register as of the record date will be entitled to attend, vote or grant proxies to vote at the Annual General Meeting. Any such registered shareholder may appoint one or more proxies to attend, speak and vote in his place at the Annual General Meeting. A proxy need not be a registered shareholder.</w:t>
      </w:r>
    </w:p>
    <w:p>
      <w:pPr>
        <w:spacing w:after="0" w:line="168" w:lineRule="exact"/>
        <w:rPr>
          <w:sz w:val="20"/>
          <w:szCs w:val="20"/>
          <w:color w:val="auto"/>
        </w:rPr>
      </w:pPr>
    </w:p>
    <w:p>
      <w:pPr>
        <w:ind w:left="1"/>
        <w:spacing w:after="0"/>
        <w:rPr>
          <w:sz w:val="20"/>
          <w:szCs w:val="20"/>
          <w:color w:val="auto"/>
        </w:rPr>
      </w:pPr>
      <w:r>
        <w:rPr>
          <w:rFonts w:ascii="Arial" w:cs="Arial" w:eastAsia="Arial" w:hAnsi="Arial"/>
          <w:sz w:val="16"/>
          <w:szCs w:val="16"/>
          <w:color w:val="BB1131"/>
        </w:rPr>
        <w:t>ANNUAL REPORT, CONSOLIDATED FINANCIAL STATEMENTS</w:t>
      </w:r>
    </w:p>
    <w:p>
      <w:pPr>
        <w:spacing w:after="0" w:line="97" w:lineRule="exact"/>
        <w:rPr>
          <w:sz w:val="20"/>
          <w:szCs w:val="20"/>
          <w:color w:val="auto"/>
        </w:rPr>
      </w:pPr>
    </w:p>
    <w:p>
      <w:pPr>
        <w:jc w:val="both"/>
        <w:ind w:left="1"/>
        <w:spacing w:after="0" w:line="242" w:lineRule="auto"/>
        <w:rPr>
          <w:sz w:val="20"/>
          <w:szCs w:val="20"/>
          <w:color w:val="auto"/>
        </w:rPr>
      </w:pPr>
      <w:r>
        <w:rPr>
          <w:rFonts w:ascii="Arial" w:cs="Arial" w:eastAsia="Arial" w:hAnsi="Arial"/>
          <w:sz w:val="12"/>
          <w:szCs w:val="12"/>
          <w:color w:val="auto"/>
        </w:rPr>
        <w:t xml:space="preserve">The 2013 Annual Report on Form 10-K and the audited consolidated financial statements of Weatherford International Ltd., our predecessor company, for the year ended December 31, 2013, and accompanying auditors’ reports have been filed with the U.S. Securities and Exchange Commission (which we refer to in this proxy statement as the SEC). Complete copies of these materials are available on our website at </w:t>
      </w:r>
      <w:r>
        <w:rPr>
          <w:rFonts w:ascii="Arial" w:cs="Arial" w:eastAsia="Arial" w:hAnsi="Arial"/>
          <w:sz w:val="12"/>
          <w:szCs w:val="12"/>
          <w:i w:val="1"/>
          <w:iCs w:val="1"/>
          <w:color w:val="auto"/>
        </w:rPr>
        <w:t>www.weatherford.com.</w:t>
      </w:r>
      <w:r>
        <w:rPr>
          <w:rFonts w:ascii="Arial" w:cs="Arial" w:eastAsia="Arial" w:hAnsi="Arial"/>
          <w:sz w:val="12"/>
          <w:szCs w:val="12"/>
          <w:color w:val="auto"/>
        </w:rPr>
        <w:t xml:space="preserve"> Any record shareholder may also obtain a copy of these documents free of charge by contacting our U.S. Investor Relations Department in writing at 2000 St. James Place, Houston, Texas 77056 or by telephone at +1 (713) 836-4000.</w:t>
      </w:r>
    </w:p>
    <w:p>
      <w:pPr>
        <w:spacing w:after="0" w:line="172" w:lineRule="exact"/>
        <w:rPr>
          <w:sz w:val="20"/>
          <w:szCs w:val="20"/>
          <w:color w:val="auto"/>
        </w:rPr>
      </w:pPr>
    </w:p>
    <w:p>
      <w:pPr>
        <w:ind w:left="1"/>
        <w:spacing w:after="0"/>
        <w:tabs>
          <w:tab w:leader="none" w:pos="621" w:val="left"/>
        </w:tabs>
        <w:rPr>
          <w:sz w:val="20"/>
          <w:szCs w:val="20"/>
          <w:color w:val="auto"/>
        </w:rPr>
      </w:pPr>
      <w:r>
        <w:rPr>
          <w:rFonts w:ascii="Arial" w:cs="Arial" w:eastAsia="Arial" w:hAnsi="Arial"/>
          <w:sz w:val="12"/>
          <w:szCs w:val="12"/>
          <w:b w:val="1"/>
          <w:bCs w:val="1"/>
          <w:color w:val="auto"/>
        </w:rPr>
        <w:t>August</w:t>
      </w:r>
      <w:r>
        <w:rPr>
          <w:sz w:val="20"/>
          <w:szCs w:val="20"/>
          <w:color w:val="auto"/>
        </w:rPr>
        <w:tab/>
      </w:r>
      <w:r>
        <w:rPr>
          <w:rFonts w:ascii="Arial" w:cs="Arial" w:eastAsia="Arial" w:hAnsi="Arial"/>
          <w:sz w:val="12"/>
          <w:szCs w:val="12"/>
          <w:b w:val="1"/>
          <w:bCs w:val="1"/>
          <w:color w:val="auto"/>
        </w:rPr>
        <w:t>, 2014</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6409055</wp:posOffset>
            </wp:positionH>
            <wp:positionV relativeFrom="paragraph">
              <wp:posOffset>125095</wp:posOffset>
            </wp:positionV>
            <wp:extent cx="848995" cy="1809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48995" cy="18097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10441"/>
        <w:spacing w:after="0"/>
        <w:rPr>
          <w:sz w:val="20"/>
          <w:szCs w:val="20"/>
          <w:color w:val="auto"/>
        </w:rPr>
      </w:pPr>
      <w:r>
        <w:rPr>
          <w:rFonts w:ascii="Arial" w:cs="Arial" w:eastAsia="Arial" w:hAnsi="Arial"/>
          <w:sz w:val="12"/>
          <w:szCs w:val="12"/>
          <w:i w:val="1"/>
          <w:iCs w:val="1"/>
          <w:color w:val="auto"/>
        </w:rPr>
        <w:t>Dianne B. Ralston</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2"/>
          <w:szCs w:val="12"/>
          <w:i w:val="1"/>
          <w:iCs w:val="1"/>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201295</wp:posOffset>
            </wp:positionV>
            <wp:extent cx="7278370" cy="20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sectPr>
      </w:pPr>
    </w:p>
    <w:bookmarkStart w:id="17" w:name="page18"/>
    <w:bookmarkEnd w:id="17"/>
    <w:p>
      <w:pPr>
        <w:spacing w:after="0"/>
        <w:rPr>
          <w:sz w:val="20"/>
          <w:szCs w:val="20"/>
          <w:color w:val="auto"/>
        </w:rPr>
      </w:pPr>
      <w:r>
        <w:rPr>
          <w:rFonts w:ascii="Arial" w:cs="Arial" w:eastAsia="Arial" w:hAnsi="Arial"/>
          <w:sz w:val="39"/>
          <w:szCs w:val="39"/>
          <w:b w:val="1"/>
          <w:bCs w:val="1"/>
          <w:color w:val="auto"/>
        </w:rPr>
        <w:t>Table of Contents</w:t>
      </w:r>
    </w:p>
    <w:p>
      <w:pPr>
        <w:sectPr>
          <w:pgSz w:w="11900" w:h="16838" w:orient="portrait"/>
          <w:cols w:equalWidth="0" w:num="1">
            <w:col w:w="11120"/>
          </w:cols>
          <w:pgMar w:left="240" w:top="511" w:right="539" w:bottom="1440" w:gutter="0" w:footer="0" w:header="0"/>
        </w:sectPr>
      </w:pPr>
    </w:p>
    <w:p>
      <w:pPr>
        <w:spacing w:after="0" w:line="327" w:lineRule="exact"/>
        <w:rPr>
          <w:sz w:val="20"/>
          <w:szCs w:val="20"/>
          <w:color w:val="auto"/>
        </w:rPr>
      </w:pPr>
    </w:p>
    <w:p>
      <w:pPr>
        <w:spacing w:after="0"/>
        <w:rPr>
          <w:rFonts w:ascii="Arial" w:cs="Arial" w:eastAsia="Arial" w:hAnsi="Arial"/>
          <w:sz w:val="16"/>
          <w:szCs w:val="16"/>
          <w:b w:val="1"/>
          <w:bCs w:val="1"/>
          <w:u w:val="single" w:color="auto"/>
          <w:color w:val="0000EE"/>
        </w:rPr>
      </w:pPr>
      <w:hyperlink w:anchor="page19">
        <w:r>
          <w:rPr>
            <w:rFonts w:ascii="Arial" w:cs="Arial" w:eastAsia="Arial" w:hAnsi="Arial"/>
            <w:sz w:val="16"/>
            <w:szCs w:val="16"/>
            <w:b w:val="1"/>
            <w:bCs w:val="1"/>
            <w:u w:val="single" w:color="auto"/>
            <w:color w:val="0000EE"/>
          </w:rPr>
          <w:t>PROXY STATEMENT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-160655</wp:posOffset>
            </wp:positionV>
            <wp:extent cx="1997075" cy="1727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997075" cy="172720"/>
                    </a:xfrm>
                    <a:prstGeom prst="rect">
                      <a:avLst/>
                    </a:prstGeom>
                    <a:noFill/>
                  </pic:spPr>
                </pic:pic>
              </a:graphicData>
            </a:graphic>
          </wp:anchor>
        </w:drawing>
      </w:r>
    </w:p>
    <w:p>
      <w:pPr>
        <w:spacing w:after="0" w:line="68" w:lineRule="exact"/>
        <w:rPr>
          <w:sz w:val="20"/>
          <w:szCs w:val="20"/>
          <w:color w:val="auto"/>
        </w:rPr>
      </w:pPr>
    </w:p>
    <w:p>
      <w:pPr>
        <w:spacing w:after="0"/>
        <w:rPr>
          <w:rFonts w:ascii="Arial" w:cs="Arial" w:eastAsia="Arial" w:hAnsi="Arial"/>
          <w:sz w:val="16"/>
          <w:szCs w:val="16"/>
          <w:b w:val="1"/>
          <w:bCs w:val="1"/>
          <w:u w:val="single" w:color="auto"/>
          <w:color w:val="0000EE"/>
        </w:rPr>
      </w:pPr>
      <w:hyperlink w:anchor="page23">
        <w:r>
          <w:rPr>
            <w:rFonts w:ascii="Arial" w:cs="Arial" w:eastAsia="Arial" w:hAnsi="Arial"/>
            <w:sz w:val="16"/>
            <w:szCs w:val="16"/>
            <w:b w:val="1"/>
            <w:bCs w:val="1"/>
            <w:u w:val="single" w:color="auto"/>
            <w:color w:val="0000EE"/>
          </w:rPr>
          <w:t>AGENDA ITEM 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1997075" cy="8572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997075" cy="857250"/>
                    </a:xfrm>
                    <a:prstGeom prst="rect">
                      <a:avLst/>
                    </a:prstGeom>
                    <a:noFill/>
                  </pic:spPr>
                </pic:pic>
              </a:graphicData>
            </a:graphic>
          </wp:anchor>
        </w:drawing>
      </w:r>
    </w:p>
    <w:p>
      <w:pPr>
        <w:spacing w:after="0" w:line="2" w:lineRule="exact"/>
        <w:rPr>
          <w:sz w:val="20"/>
          <w:szCs w:val="20"/>
          <w:color w:val="auto"/>
        </w:rPr>
      </w:pPr>
    </w:p>
    <w:p>
      <w:pPr>
        <w:spacing w:after="0"/>
        <w:rPr>
          <w:rFonts w:ascii="Arial" w:cs="Arial" w:eastAsia="Arial" w:hAnsi="Arial"/>
          <w:sz w:val="16"/>
          <w:szCs w:val="16"/>
          <w:b w:val="1"/>
          <w:bCs w:val="1"/>
          <w:u w:val="single" w:color="auto"/>
          <w:color w:val="0000EE"/>
        </w:rPr>
      </w:pPr>
      <w:hyperlink w:anchor="page23">
        <w:r>
          <w:rPr>
            <w:rFonts w:ascii="Arial" w:cs="Arial" w:eastAsia="Arial" w:hAnsi="Arial"/>
            <w:sz w:val="16"/>
            <w:szCs w:val="16"/>
            <w:b w:val="1"/>
            <w:bCs w:val="1"/>
            <w:u w:val="single" w:color="auto"/>
            <w:color w:val="0000EE"/>
          </w:rPr>
          <w:t>ELECT DIRECTORS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rFonts w:ascii="Arial" w:cs="Arial" w:eastAsia="Arial" w:hAnsi="Arial"/>
          <w:sz w:val="16"/>
          <w:szCs w:val="16"/>
          <w:b w:val="1"/>
          <w:bCs w:val="1"/>
          <w:u w:val="single" w:color="auto"/>
          <w:color w:val="0000EE"/>
        </w:rPr>
      </w:pPr>
      <w:hyperlink w:anchor="page36">
        <w:r>
          <w:rPr>
            <w:rFonts w:ascii="Arial" w:cs="Arial" w:eastAsia="Arial" w:hAnsi="Arial"/>
            <w:sz w:val="16"/>
            <w:szCs w:val="16"/>
            <w:b w:val="1"/>
            <w:bCs w:val="1"/>
            <w:u w:val="single" w:color="auto"/>
            <w:color w:val="0000EE"/>
          </w:rPr>
          <w:t>AGENDA ITEM 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1997075" cy="7467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997075" cy="746760"/>
                    </a:xfrm>
                    <a:prstGeom prst="rect">
                      <a:avLst/>
                    </a:prstGeom>
                    <a:noFill/>
                  </pic:spPr>
                </pic:pic>
              </a:graphicData>
            </a:graphic>
          </wp:anchor>
        </w:drawing>
      </w:r>
    </w:p>
    <w:p>
      <w:pPr>
        <w:spacing w:after="0" w:line="2" w:lineRule="exact"/>
        <w:rPr>
          <w:sz w:val="20"/>
          <w:szCs w:val="20"/>
          <w:color w:val="auto"/>
        </w:rPr>
      </w:pPr>
    </w:p>
    <w:p>
      <w:pPr>
        <w:ind w:right="440"/>
        <w:spacing w:after="0" w:line="246" w:lineRule="auto"/>
        <w:rPr>
          <w:rFonts w:ascii="Arial" w:cs="Arial" w:eastAsia="Arial" w:hAnsi="Arial"/>
          <w:sz w:val="16"/>
          <w:szCs w:val="16"/>
          <w:b w:val="1"/>
          <w:bCs w:val="1"/>
          <w:u w:val="single" w:color="auto"/>
          <w:color w:val="0000EE"/>
        </w:rPr>
      </w:pPr>
      <w:hyperlink w:anchor="page36">
        <w:r>
          <w:rPr>
            <w:rFonts w:ascii="Arial" w:cs="Arial" w:eastAsia="Arial" w:hAnsi="Arial"/>
            <w:sz w:val="16"/>
            <w:szCs w:val="16"/>
            <w:b w:val="1"/>
            <w:bCs w:val="1"/>
            <w:u w:val="single" w:color="auto"/>
            <w:color w:val="0000EE"/>
          </w:rPr>
          <w:t>RATIFY APPOINTMENT OF</w:t>
        </w:r>
      </w:hyperlink>
      <w:r>
        <w:rPr>
          <w:rFonts w:ascii="Arial" w:cs="Arial" w:eastAsia="Arial" w:hAnsi="Arial"/>
          <w:sz w:val="16"/>
          <w:szCs w:val="16"/>
          <w:b w:val="1"/>
          <w:bCs w:val="1"/>
          <w:u w:val="single" w:color="auto"/>
          <w:color w:val="0000EE"/>
        </w:rPr>
        <w:t xml:space="preserve"> </w:t>
      </w:r>
      <w:hyperlink w:anchor="page36">
        <w:r>
          <w:rPr>
            <w:rFonts w:ascii="Arial" w:cs="Arial" w:eastAsia="Arial" w:hAnsi="Arial"/>
            <w:sz w:val="16"/>
            <w:szCs w:val="16"/>
            <w:b w:val="1"/>
            <w:bCs w:val="1"/>
            <w:u w:val="single" w:color="auto"/>
            <w:color w:val="0000EE"/>
          </w:rPr>
          <w:t>INDEPENDENT AUDITORS</w:t>
        </w:r>
      </w:hyperlink>
      <w:r>
        <w:rPr>
          <w:rFonts w:ascii="Arial" w:cs="Arial" w:eastAsia="Arial" w:hAnsi="Arial"/>
          <w:sz w:val="16"/>
          <w:szCs w:val="16"/>
          <w:b w:val="1"/>
          <w:bCs w:val="1"/>
          <w:u w:val="single" w:color="auto"/>
          <w:color w:val="0000EE"/>
        </w:rPr>
        <w:t xml:space="preserve"> </w:t>
      </w:r>
      <w:hyperlink w:anchor="page36">
        <w:r>
          <w:rPr>
            <w:rFonts w:ascii="Arial" w:cs="Arial" w:eastAsia="Arial" w:hAnsi="Arial"/>
            <w:sz w:val="16"/>
            <w:szCs w:val="16"/>
            <w:b w:val="1"/>
            <w:bCs w:val="1"/>
            <w:u w:val="single" w:color="auto"/>
            <w:color w:val="0000EE"/>
          </w:rPr>
          <w:t>AND AUTHORIZE AUDITORS’</w:t>
        </w:r>
      </w:hyperlink>
      <w:r>
        <w:rPr>
          <w:rFonts w:ascii="Arial" w:cs="Arial" w:eastAsia="Arial" w:hAnsi="Arial"/>
          <w:sz w:val="16"/>
          <w:szCs w:val="16"/>
          <w:b w:val="1"/>
          <w:bCs w:val="1"/>
          <w:u w:val="single" w:color="auto"/>
          <w:color w:val="0000EE"/>
        </w:rPr>
        <w:t xml:space="preserve"> </w:t>
      </w:r>
      <w:hyperlink w:anchor="page36">
        <w:r>
          <w:rPr>
            <w:rFonts w:ascii="Arial" w:cs="Arial" w:eastAsia="Arial" w:hAnsi="Arial"/>
            <w:sz w:val="16"/>
            <w:szCs w:val="16"/>
            <w:b w:val="1"/>
            <w:bCs w:val="1"/>
            <w:u w:val="single" w:color="auto"/>
            <w:color w:val="0000EE"/>
          </w:rPr>
          <w:t>REMUNERATION</w:t>
        </w:r>
      </w:hyperlink>
    </w:p>
    <w:p>
      <w:pPr>
        <w:spacing w:after="0" w:line="291" w:lineRule="exact"/>
        <w:rPr>
          <w:rFonts w:ascii="Arial" w:cs="Arial" w:eastAsia="Arial" w:hAnsi="Arial"/>
          <w:sz w:val="16"/>
          <w:szCs w:val="16"/>
          <w:b w:val="1"/>
          <w:bCs w:val="1"/>
          <w:u w:val="single" w:color="auto"/>
          <w:color w:val="0000EE"/>
        </w:rPr>
      </w:pPr>
    </w:p>
    <w:p>
      <w:pPr>
        <w:ind w:right="440"/>
        <w:spacing w:after="0" w:line="255" w:lineRule="auto"/>
        <w:rPr>
          <w:rFonts w:ascii="Arial" w:cs="Arial" w:eastAsia="Arial" w:hAnsi="Arial"/>
          <w:sz w:val="16"/>
          <w:szCs w:val="16"/>
          <w:b w:val="1"/>
          <w:bCs w:val="1"/>
          <w:u w:val="single" w:color="auto"/>
          <w:color w:val="0000EE"/>
        </w:rPr>
      </w:pPr>
      <w:hyperlink w:anchor="page38">
        <w:r>
          <w:rPr>
            <w:rFonts w:ascii="Arial" w:cs="Arial" w:eastAsia="Arial" w:hAnsi="Arial"/>
            <w:sz w:val="16"/>
            <w:szCs w:val="16"/>
            <w:b w:val="1"/>
            <w:bCs w:val="1"/>
            <w:u w:val="single" w:color="auto"/>
            <w:color w:val="0000EE"/>
          </w:rPr>
          <w:t>AGENDA ITEM 3</w:t>
        </w:r>
      </w:hyperlink>
      <w:r>
        <w:rPr>
          <w:rFonts w:ascii="Arial" w:cs="Arial" w:eastAsia="Arial" w:hAnsi="Arial"/>
          <w:sz w:val="16"/>
          <w:szCs w:val="16"/>
          <w:b w:val="1"/>
          <w:bCs w:val="1"/>
          <w:u w:val="single" w:color="auto"/>
          <w:color w:val="0000EE"/>
        </w:rPr>
        <w:t xml:space="preserve"> </w:t>
      </w:r>
      <w:hyperlink w:anchor="page38">
        <w:r>
          <w:rPr>
            <w:rFonts w:ascii="Arial" w:cs="Arial" w:eastAsia="Arial" w:hAnsi="Arial"/>
            <w:sz w:val="16"/>
            <w:szCs w:val="16"/>
            <w:b w:val="1"/>
            <w:bCs w:val="1"/>
            <w:u w:val="single" w:color="auto"/>
            <w:color w:val="0000EE"/>
          </w:rPr>
          <w:t>ADOPT AN ADVISORY</w:t>
        </w:r>
      </w:hyperlink>
      <w:r>
        <w:rPr>
          <w:rFonts w:ascii="Arial" w:cs="Arial" w:eastAsia="Arial" w:hAnsi="Arial"/>
          <w:sz w:val="16"/>
          <w:szCs w:val="16"/>
          <w:b w:val="1"/>
          <w:bCs w:val="1"/>
          <w:u w:val="single" w:color="auto"/>
          <w:color w:val="0000EE"/>
        </w:rPr>
        <w:t xml:space="preserve"> </w:t>
      </w:r>
      <w:hyperlink w:anchor="page38">
        <w:r>
          <w:rPr>
            <w:rFonts w:ascii="Arial" w:cs="Arial" w:eastAsia="Arial" w:hAnsi="Arial"/>
            <w:sz w:val="16"/>
            <w:szCs w:val="16"/>
            <w:b w:val="1"/>
            <w:bCs w:val="1"/>
            <w:u w:val="single" w:color="auto"/>
            <w:color w:val="0000EE"/>
          </w:rPr>
          <w:t>RESOLUTION REGARDING</w:t>
        </w:r>
      </w:hyperlink>
      <w:r>
        <w:rPr>
          <w:rFonts w:ascii="Arial" w:cs="Arial" w:eastAsia="Arial" w:hAnsi="Arial"/>
          <w:sz w:val="16"/>
          <w:szCs w:val="16"/>
          <w:b w:val="1"/>
          <w:bCs w:val="1"/>
          <w:u w:val="single" w:color="auto"/>
          <w:color w:val="0000EE"/>
        </w:rPr>
        <w:t xml:space="preserve"> </w:t>
      </w:r>
      <w:hyperlink w:anchor="page38">
        <w:r>
          <w:rPr>
            <w:rFonts w:ascii="Arial" w:cs="Arial" w:eastAsia="Arial" w:hAnsi="Arial"/>
            <w:sz w:val="16"/>
            <w:szCs w:val="16"/>
            <w:b w:val="1"/>
            <w:bCs w:val="1"/>
            <w:u w:val="single" w:color="auto"/>
            <w:color w:val="0000EE"/>
          </w:rPr>
          <w:t>EXECUTIVE COMPENSATION</w:t>
        </w:r>
      </w:hyperlink>
    </w:p>
    <w:p>
      <w:pPr>
        <w:spacing w:after="0" w:line="20" w:lineRule="exact"/>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column">
              <wp:posOffset>0</wp:posOffset>
            </wp:positionH>
            <wp:positionV relativeFrom="paragraph">
              <wp:posOffset>-485140</wp:posOffset>
            </wp:positionV>
            <wp:extent cx="1997075" cy="4718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97075" cy="471805"/>
                    </a:xfrm>
                    <a:prstGeom prst="rect">
                      <a:avLst/>
                    </a:prstGeom>
                    <a:noFill/>
                  </pic:spPr>
                </pic:pic>
              </a:graphicData>
            </a:graphic>
          </wp:anchor>
        </w:drawing>
      </w:r>
    </w:p>
    <w:p>
      <w:pPr>
        <w:spacing w:after="0" w:line="3" w:lineRule="exact"/>
        <w:rPr>
          <w:rFonts w:ascii="Arial" w:cs="Arial" w:eastAsia="Arial" w:hAnsi="Arial"/>
          <w:sz w:val="16"/>
          <w:szCs w:val="16"/>
          <w:b w:val="1"/>
          <w:bCs w:val="1"/>
          <w:u w:val="single" w:color="auto"/>
          <w:color w:val="0000EE"/>
        </w:rPr>
      </w:pPr>
    </w:p>
    <w:p>
      <w:pPr>
        <w:spacing w:after="0"/>
        <w:rPr>
          <w:rFonts w:ascii="Arial" w:cs="Arial" w:eastAsia="Arial" w:hAnsi="Arial"/>
          <w:sz w:val="16"/>
          <w:szCs w:val="16"/>
          <w:b w:val="1"/>
          <w:bCs w:val="1"/>
          <w:u w:val="single" w:color="auto"/>
          <w:color w:val="0000EE"/>
        </w:rPr>
      </w:pPr>
      <w:hyperlink w:anchor="page39">
        <w:r>
          <w:rPr>
            <w:rFonts w:ascii="Arial" w:cs="Arial" w:eastAsia="Arial" w:hAnsi="Arial"/>
            <w:sz w:val="16"/>
            <w:szCs w:val="16"/>
            <w:b w:val="1"/>
            <w:bCs w:val="1"/>
            <w:u w:val="single" w:color="auto"/>
            <w:color w:val="0000EE"/>
          </w:rPr>
          <w:t>EXECUTIVE OFFICERS</w:t>
        </w:r>
      </w:hyperlink>
    </w:p>
    <w:p>
      <w:pPr>
        <w:spacing w:after="0" w:line="20" w:lineRule="exact"/>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column">
              <wp:posOffset>0</wp:posOffset>
            </wp:positionH>
            <wp:positionV relativeFrom="paragraph">
              <wp:posOffset>-105410</wp:posOffset>
            </wp:positionV>
            <wp:extent cx="1997075" cy="290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997075" cy="290830"/>
                    </a:xfrm>
                    <a:prstGeom prst="rect">
                      <a:avLst/>
                    </a:prstGeom>
                    <a:noFill/>
                  </pic:spPr>
                </pic:pic>
              </a:graphicData>
            </a:graphic>
          </wp:anchor>
        </w:drawing>
      </w:r>
    </w:p>
    <w:p>
      <w:pPr>
        <w:spacing w:after="0" w:line="328" w:lineRule="exact"/>
        <w:rPr>
          <w:rFonts w:ascii="Arial" w:cs="Arial" w:eastAsia="Arial" w:hAnsi="Arial"/>
          <w:sz w:val="16"/>
          <w:szCs w:val="16"/>
          <w:b w:val="1"/>
          <w:bCs w:val="1"/>
          <w:u w:val="single" w:color="auto"/>
          <w:color w:val="0000EE"/>
        </w:rPr>
      </w:pPr>
    </w:p>
    <w:p>
      <w:pPr>
        <w:spacing w:after="0"/>
        <w:rPr>
          <w:rFonts w:ascii="Arial" w:cs="Arial" w:eastAsia="Arial" w:hAnsi="Arial"/>
          <w:sz w:val="16"/>
          <w:szCs w:val="16"/>
          <w:b w:val="1"/>
          <w:bCs w:val="1"/>
          <w:u w:val="single" w:color="auto"/>
          <w:color w:val="0000EE"/>
        </w:rPr>
      </w:pPr>
      <w:hyperlink w:anchor="page40">
        <w:r>
          <w:rPr>
            <w:rFonts w:ascii="Arial" w:cs="Arial" w:eastAsia="Arial" w:hAnsi="Arial"/>
            <w:sz w:val="16"/>
            <w:szCs w:val="16"/>
            <w:b w:val="1"/>
            <w:bCs w:val="1"/>
            <w:u w:val="single" w:color="auto"/>
            <w:color w:val="0000EE"/>
          </w:rPr>
          <w:t>EXECUTIVE COMPENSATION</w:t>
        </w:r>
      </w:hyperlink>
    </w:p>
    <w:p>
      <w:pPr>
        <w:spacing w:after="0" w:line="20" w:lineRule="exact"/>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column">
              <wp:posOffset>0</wp:posOffset>
            </wp:positionH>
            <wp:positionV relativeFrom="paragraph">
              <wp:posOffset>-105410</wp:posOffset>
            </wp:positionV>
            <wp:extent cx="1997075" cy="9671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997075" cy="967105"/>
                    </a:xfrm>
                    <a:prstGeom prst="rect">
                      <a:avLst/>
                    </a:prstGeom>
                    <a:noFill/>
                  </pic:spPr>
                </pic:pic>
              </a:graphicData>
            </a:graphic>
          </wp:anchor>
        </w:drawing>
      </w:r>
    </w:p>
    <w:p>
      <w:pPr>
        <w:spacing w:after="0" w:line="200" w:lineRule="exact"/>
        <w:rPr>
          <w:rFonts w:ascii="Arial" w:cs="Arial" w:eastAsia="Arial" w:hAnsi="Arial"/>
          <w:sz w:val="16"/>
          <w:szCs w:val="16"/>
          <w:b w:val="1"/>
          <w:bCs w:val="1"/>
          <w:u w:val="single" w:color="auto"/>
          <w:color w:val="0000EE"/>
        </w:rPr>
      </w:pPr>
    </w:p>
    <w:p>
      <w:pPr>
        <w:spacing w:after="0" w:line="200" w:lineRule="exact"/>
        <w:rPr>
          <w:rFonts w:ascii="Arial" w:cs="Arial" w:eastAsia="Arial" w:hAnsi="Arial"/>
          <w:sz w:val="16"/>
          <w:szCs w:val="16"/>
          <w:b w:val="1"/>
          <w:bCs w:val="1"/>
          <w:u w:val="single" w:color="auto"/>
          <w:color w:val="0000EE"/>
        </w:rPr>
      </w:pPr>
    </w:p>
    <w:p>
      <w:pPr>
        <w:spacing w:after="0" w:line="200" w:lineRule="exact"/>
        <w:rPr>
          <w:rFonts w:ascii="Arial" w:cs="Arial" w:eastAsia="Arial" w:hAnsi="Arial"/>
          <w:sz w:val="16"/>
          <w:szCs w:val="16"/>
          <w:b w:val="1"/>
          <w:bCs w:val="1"/>
          <w:u w:val="single" w:color="auto"/>
          <w:color w:val="0000EE"/>
        </w:rPr>
      </w:pPr>
    </w:p>
    <w:p>
      <w:pPr>
        <w:spacing w:after="0" w:line="200" w:lineRule="exact"/>
        <w:rPr>
          <w:rFonts w:ascii="Arial" w:cs="Arial" w:eastAsia="Arial" w:hAnsi="Arial"/>
          <w:sz w:val="16"/>
          <w:szCs w:val="16"/>
          <w:b w:val="1"/>
          <w:bCs w:val="1"/>
          <w:u w:val="single" w:color="auto"/>
          <w:color w:val="0000EE"/>
        </w:rPr>
      </w:pPr>
    </w:p>
    <w:p>
      <w:pPr>
        <w:spacing w:after="0" w:line="200" w:lineRule="exact"/>
        <w:rPr>
          <w:rFonts w:ascii="Arial" w:cs="Arial" w:eastAsia="Arial" w:hAnsi="Arial"/>
          <w:sz w:val="16"/>
          <w:szCs w:val="16"/>
          <w:b w:val="1"/>
          <w:bCs w:val="1"/>
          <w:u w:val="single" w:color="auto"/>
          <w:color w:val="0000EE"/>
        </w:rPr>
      </w:pPr>
    </w:p>
    <w:p>
      <w:pPr>
        <w:spacing w:after="0" w:line="393" w:lineRule="exact"/>
        <w:rPr>
          <w:rFonts w:ascii="Arial" w:cs="Arial" w:eastAsia="Arial" w:hAnsi="Arial"/>
          <w:sz w:val="16"/>
          <w:szCs w:val="16"/>
          <w:b w:val="1"/>
          <w:bCs w:val="1"/>
          <w:u w:val="single" w:color="auto"/>
          <w:color w:val="0000EE"/>
        </w:rPr>
      </w:pPr>
    </w:p>
    <w:p>
      <w:pPr>
        <w:spacing w:after="0"/>
        <w:rPr>
          <w:rFonts w:ascii="Arial" w:cs="Arial" w:eastAsia="Arial" w:hAnsi="Arial"/>
          <w:sz w:val="16"/>
          <w:szCs w:val="16"/>
          <w:b w:val="1"/>
          <w:bCs w:val="1"/>
          <w:u w:val="single" w:color="auto"/>
          <w:color w:val="0000EE"/>
        </w:rPr>
      </w:pPr>
      <w:hyperlink w:anchor="page63">
        <w:r>
          <w:rPr>
            <w:rFonts w:ascii="Arial" w:cs="Arial" w:eastAsia="Arial" w:hAnsi="Arial"/>
            <w:sz w:val="16"/>
            <w:szCs w:val="16"/>
            <w:b w:val="1"/>
            <w:bCs w:val="1"/>
            <w:u w:val="single" w:color="auto"/>
            <w:color w:val="0000EE"/>
          </w:rPr>
          <w:t>AGENDA ITEM 4</w:t>
        </w:r>
      </w:hyperlink>
    </w:p>
    <w:p>
      <w:pPr>
        <w:spacing w:after="0" w:line="20" w:lineRule="exact"/>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column">
              <wp:posOffset>0</wp:posOffset>
            </wp:positionH>
            <wp:positionV relativeFrom="paragraph">
              <wp:posOffset>-105410</wp:posOffset>
            </wp:positionV>
            <wp:extent cx="1997075" cy="5899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997075" cy="589915"/>
                    </a:xfrm>
                    <a:prstGeom prst="rect">
                      <a:avLst/>
                    </a:prstGeom>
                    <a:noFill/>
                  </pic:spPr>
                </pic:pic>
              </a:graphicData>
            </a:graphic>
          </wp:anchor>
        </w:drawing>
      </w:r>
    </w:p>
    <w:p>
      <w:pPr>
        <w:spacing w:after="0" w:line="2" w:lineRule="exact"/>
        <w:rPr>
          <w:rFonts w:ascii="Arial" w:cs="Arial" w:eastAsia="Arial" w:hAnsi="Arial"/>
          <w:sz w:val="16"/>
          <w:szCs w:val="16"/>
          <w:b w:val="1"/>
          <w:bCs w:val="1"/>
          <w:u w:val="single" w:color="auto"/>
          <w:color w:val="0000EE"/>
        </w:rPr>
      </w:pPr>
    </w:p>
    <w:p>
      <w:pPr>
        <w:spacing w:after="0"/>
        <w:rPr>
          <w:rFonts w:ascii="Arial" w:cs="Arial" w:eastAsia="Arial" w:hAnsi="Arial"/>
          <w:sz w:val="16"/>
          <w:szCs w:val="16"/>
          <w:b w:val="1"/>
          <w:bCs w:val="1"/>
          <w:u w:val="single" w:color="auto"/>
          <w:color w:val="0000EE"/>
        </w:rPr>
      </w:pPr>
      <w:hyperlink w:anchor="page63">
        <w:r>
          <w:rPr>
            <w:rFonts w:ascii="Arial" w:cs="Arial" w:eastAsia="Arial" w:hAnsi="Arial"/>
            <w:sz w:val="16"/>
            <w:szCs w:val="16"/>
            <w:b w:val="1"/>
            <w:bCs w:val="1"/>
            <w:u w:val="single" w:color="auto"/>
            <w:color w:val="0000EE"/>
          </w:rPr>
          <w:t>AUTHORIZATION TO HOLD THE</w:t>
        </w:r>
      </w:hyperlink>
    </w:p>
    <w:p>
      <w:pPr>
        <w:spacing w:after="0" w:line="2" w:lineRule="exact"/>
        <w:rPr>
          <w:rFonts w:ascii="Arial" w:cs="Arial" w:eastAsia="Arial" w:hAnsi="Arial"/>
          <w:sz w:val="16"/>
          <w:szCs w:val="16"/>
          <w:b w:val="1"/>
          <w:bCs w:val="1"/>
          <w:u w:val="single" w:color="auto"/>
          <w:color w:val="0000EE"/>
        </w:rPr>
      </w:pPr>
    </w:p>
    <w:p>
      <w:pPr>
        <w:spacing w:after="0"/>
        <w:rPr>
          <w:rFonts w:ascii="Arial" w:cs="Arial" w:eastAsia="Arial" w:hAnsi="Arial"/>
          <w:sz w:val="16"/>
          <w:szCs w:val="16"/>
          <w:b w:val="1"/>
          <w:bCs w:val="1"/>
          <w:u w:val="single" w:color="auto"/>
          <w:color w:val="0000EE"/>
        </w:rPr>
      </w:pPr>
      <w:hyperlink w:anchor="page63">
        <w:r>
          <w:rPr>
            <w:rFonts w:ascii="Arial" w:cs="Arial" w:eastAsia="Arial" w:hAnsi="Arial"/>
            <w:sz w:val="16"/>
            <w:szCs w:val="16"/>
            <w:b w:val="1"/>
            <w:bCs w:val="1"/>
            <w:u w:val="single" w:color="auto"/>
            <w:color w:val="0000EE"/>
          </w:rPr>
          <w:t>2015 ANNUAL GENERAL MEETING</w:t>
        </w:r>
      </w:hyperlink>
    </w:p>
    <w:p>
      <w:pPr>
        <w:spacing w:after="0" w:line="2" w:lineRule="exact"/>
        <w:rPr>
          <w:rFonts w:ascii="Arial" w:cs="Arial" w:eastAsia="Arial" w:hAnsi="Arial"/>
          <w:sz w:val="16"/>
          <w:szCs w:val="16"/>
          <w:b w:val="1"/>
          <w:bCs w:val="1"/>
          <w:u w:val="single" w:color="auto"/>
          <w:color w:val="0000EE"/>
        </w:rPr>
      </w:pPr>
    </w:p>
    <w:p>
      <w:pPr>
        <w:spacing w:after="0"/>
        <w:rPr>
          <w:rFonts w:ascii="Arial" w:cs="Arial" w:eastAsia="Arial" w:hAnsi="Arial"/>
          <w:sz w:val="16"/>
          <w:szCs w:val="16"/>
          <w:b w:val="1"/>
          <w:bCs w:val="1"/>
          <w:u w:val="single" w:color="auto"/>
          <w:color w:val="0000EE"/>
        </w:rPr>
      </w:pPr>
      <w:hyperlink w:anchor="page63">
        <w:r>
          <w:rPr>
            <w:rFonts w:ascii="Arial" w:cs="Arial" w:eastAsia="Arial" w:hAnsi="Arial"/>
            <w:sz w:val="16"/>
            <w:szCs w:val="16"/>
            <w:b w:val="1"/>
            <w:bCs w:val="1"/>
            <w:u w:val="single" w:color="auto"/>
            <w:color w:val="0000EE"/>
          </w:rPr>
          <w:t>OF SHAREHOLDERS AT A</w:t>
        </w:r>
      </w:hyperlink>
    </w:p>
    <w:p>
      <w:pPr>
        <w:spacing w:after="0" w:line="2" w:lineRule="exact"/>
        <w:rPr>
          <w:rFonts w:ascii="Arial" w:cs="Arial" w:eastAsia="Arial" w:hAnsi="Arial"/>
          <w:sz w:val="16"/>
          <w:szCs w:val="16"/>
          <w:b w:val="1"/>
          <w:bCs w:val="1"/>
          <w:u w:val="single" w:color="auto"/>
          <w:color w:val="0000EE"/>
        </w:rPr>
      </w:pPr>
    </w:p>
    <w:p>
      <w:pPr>
        <w:spacing w:after="0"/>
        <w:rPr>
          <w:rFonts w:ascii="Arial" w:cs="Arial" w:eastAsia="Arial" w:hAnsi="Arial"/>
          <w:sz w:val="16"/>
          <w:szCs w:val="16"/>
          <w:b w:val="1"/>
          <w:bCs w:val="1"/>
          <w:u w:val="single" w:color="auto"/>
          <w:color w:val="0000EE"/>
        </w:rPr>
      </w:pPr>
      <w:hyperlink w:anchor="page63">
        <w:r>
          <w:rPr>
            <w:rFonts w:ascii="Arial" w:cs="Arial" w:eastAsia="Arial" w:hAnsi="Arial"/>
            <w:sz w:val="16"/>
            <w:szCs w:val="16"/>
            <w:b w:val="1"/>
            <w:bCs w:val="1"/>
            <w:u w:val="single" w:color="auto"/>
            <w:color w:val="0000EE"/>
          </w:rPr>
          <w:t>LOCATION OUTSIDE OF IRELAND</w:t>
        </w:r>
      </w:hyperlink>
    </w:p>
    <w:p>
      <w:pPr>
        <w:spacing w:after="0" w:line="56" w:lineRule="exact"/>
        <w:rPr>
          <w:rFonts w:ascii="Arial" w:cs="Arial" w:eastAsia="Arial" w:hAnsi="Arial"/>
          <w:sz w:val="16"/>
          <w:szCs w:val="16"/>
          <w:b w:val="1"/>
          <w:bCs w:val="1"/>
          <w:u w:val="single" w:color="auto"/>
          <w:color w:val="0000EE"/>
        </w:rPr>
      </w:pPr>
    </w:p>
    <w:p>
      <w:pPr>
        <w:spacing w:after="0"/>
        <w:rPr>
          <w:rFonts w:ascii="Arial" w:cs="Arial" w:eastAsia="Arial" w:hAnsi="Arial"/>
          <w:sz w:val="16"/>
          <w:szCs w:val="16"/>
          <w:b w:val="1"/>
          <w:bCs w:val="1"/>
          <w:u w:val="single" w:color="auto"/>
          <w:color w:val="0000EE"/>
        </w:rPr>
      </w:pPr>
      <w:hyperlink w:anchor="page64">
        <w:r>
          <w:rPr>
            <w:rFonts w:ascii="Arial" w:cs="Arial" w:eastAsia="Arial" w:hAnsi="Arial"/>
            <w:sz w:val="16"/>
            <w:szCs w:val="16"/>
            <w:b w:val="1"/>
            <w:bCs w:val="1"/>
            <w:u w:val="single" w:color="auto"/>
            <w:color w:val="0000EE"/>
          </w:rPr>
          <w:t>OTHER INFORMATION</w:t>
        </w:r>
      </w:hyperlink>
    </w:p>
    <w:p>
      <w:pPr>
        <w:spacing w:after="0" w:line="20" w:lineRule="exact"/>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column">
              <wp:posOffset>0</wp:posOffset>
            </wp:positionH>
            <wp:positionV relativeFrom="paragraph">
              <wp:posOffset>-105410</wp:posOffset>
            </wp:positionV>
            <wp:extent cx="1997075" cy="10382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997075" cy="1038225"/>
                    </a:xfrm>
                    <a:prstGeom prst="rect">
                      <a:avLst/>
                    </a:prstGeom>
                    <a:noFill/>
                  </pic:spPr>
                </pic:pic>
              </a:graphicData>
            </a:graphic>
          </wp:anchor>
        </w:drawing>
      </w:r>
    </w:p>
    <w:p>
      <w:pPr>
        <w:spacing w:after="0" w:line="20" w:lineRule="exact"/>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br w:type="column"/>
      </w:r>
    </w:p>
    <w:p>
      <w:pPr>
        <w:spacing w:after="0" w:line="237" w:lineRule="exact"/>
        <w:rPr>
          <w:rFonts w:ascii="Arial" w:cs="Arial" w:eastAsia="Arial" w:hAnsi="Arial"/>
          <w:sz w:val="16"/>
          <w:szCs w:val="16"/>
          <w:b w:val="1"/>
          <w:bCs w:val="1"/>
          <w:u w:val="single" w:color="auto"/>
          <w:color w:val="0000EE"/>
        </w:rPr>
      </w:pPr>
    </w:p>
    <w:p>
      <w:pPr>
        <w:ind w:left="164" w:right="6040" w:hanging="164"/>
        <w:spacing w:after="0" w:line="254" w:lineRule="auto"/>
        <w:tabs>
          <w:tab w:leader="none" w:pos="164" w:val="left"/>
        </w:tabs>
        <w:numPr>
          <w:ilvl w:val="0"/>
          <w:numId w:val="15"/>
        </w:numPr>
        <w:rPr>
          <w:rFonts w:ascii="Arial" w:cs="Arial" w:eastAsia="Arial" w:hAnsi="Arial"/>
          <w:sz w:val="12"/>
          <w:szCs w:val="12"/>
          <w:u w:val="single" w:color="auto"/>
          <w:color w:val="0000EE"/>
        </w:rPr>
      </w:pPr>
      <w:hyperlink w:anchor="page19">
        <w:r>
          <w:rPr>
            <w:rFonts w:ascii="Arial" w:cs="Arial" w:eastAsia="Arial" w:hAnsi="Arial"/>
            <w:sz w:val="12"/>
            <w:szCs w:val="12"/>
            <w:u w:val="single" w:color="auto"/>
            <w:color w:val="0000EE"/>
          </w:rPr>
          <w:t>Information about the Meeting</w:t>
        </w:r>
      </w:hyperlink>
      <w:r>
        <w:rPr>
          <w:rFonts w:ascii="Arial" w:cs="Arial" w:eastAsia="Arial" w:hAnsi="Arial"/>
          <w:sz w:val="12"/>
          <w:szCs w:val="12"/>
          <w:u w:val="single" w:color="auto"/>
          <w:color w:val="0000EE"/>
        </w:rPr>
        <w:t xml:space="preserve"> </w:t>
      </w:r>
      <w:hyperlink w:anchor="page19">
        <w:r>
          <w:rPr>
            <w:rFonts w:ascii="Arial" w:cs="Arial" w:eastAsia="Arial" w:hAnsi="Arial"/>
            <w:sz w:val="12"/>
            <w:szCs w:val="12"/>
            <w:u w:val="single" w:color="auto"/>
            <w:color w:val="0000EE"/>
          </w:rPr>
          <w:t>and Voting</w:t>
        </w:r>
      </w:hyperlink>
    </w:p>
    <w:p>
      <w:pPr>
        <w:spacing w:after="0" w:line="20" w:lineRule="exact"/>
        <w:rPr>
          <w:rFonts w:ascii="Arial" w:cs="Arial" w:eastAsia="Arial" w:hAnsi="Arial"/>
          <w:sz w:val="12"/>
          <w:szCs w:val="12"/>
          <w:u w:val="single" w:color="auto"/>
          <w:color w:val="0000EE"/>
        </w:rPr>
      </w:pPr>
      <w:r>
        <w:rPr>
          <w:rFonts w:ascii="Arial" w:cs="Arial" w:eastAsia="Arial" w:hAnsi="Arial"/>
          <w:sz w:val="12"/>
          <w:szCs w:val="12"/>
          <w:u w:val="single" w:color="auto"/>
          <w:color w:val="0000EE"/>
        </w:rPr>
        <w:drawing>
          <wp:anchor simplePos="0" relativeHeight="251657728" behindDoc="1" locked="0" layoutInCell="0" allowOverlap="1">
            <wp:simplePos x="0" y="0"/>
            <wp:positionH relativeFrom="column">
              <wp:posOffset>0</wp:posOffset>
            </wp:positionH>
            <wp:positionV relativeFrom="paragraph">
              <wp:posOffset>-184150</wp:posOffset>
            </wp:positionV>
            <wp:extent cx="5189855" cy="10852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89855" cy="1085215"/>
                    </a:xfrm>
                    <a:prstGeom prst="rect">
                      <a:avLst/>
                    </a:prstGeom>
                    <a:noFill/>
                  </pic:spPr>
                </pic:pic>
              </a:graphicData>
            </a:graphic>
          </wp:anchor>
        </w:drawing>
      </w:r>
    </w:p>
    <w:p>
      <w:pPr>
        <w:spacing w:after="0" w:line="48" w:lineRule="exact"/>
        <w:rPr>
          <w:rFonts w:ascii="Arial" w:cs="Arial" w:eastAsia="Arial" w:hAnsi="Arial"/>
          <w:sz w:val="12"/>
          <w:szCs w:val="12"/>
          <w:u w:val="single" w:color="auto"/>
          <w:color w:val="0000EE"/>
        </w:rPr>
      </w:pPr>
    </w:p>
    <w:tbl>
      <w:tblPr>
        <w:tblLayout w:type="fixed"/>
        <w:tblInd w:w="4"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40" w:type="dxa"/>
            <w:vAlign w:val="bottom"/>
            <w:tcBorders>
              <w:bottom w:val="single" w:sz="8" w:color="auto"/>
            </w:tcBorders>
            <w:gridSpan w:val="2"/>
            <w:shd w:val="clear" w:color="auto" w:fill="F1F1F2"/>
          </w:tcPr>
          <w:p>
            <w:pPr>
              <w:jc w:val="right"/>
              <w:ind w:right="20"/>
              <w:spacing w:after="0"/>
              <w:rPr>
                <w:rFonts w:ascii="Arial" w:cs="Arial" w:eastAsia="Arial" w:hAnsi="Arial"/>
                <w:sz w:val="12"/>
                <w:szCs w:val="12"/>
                <w:color w:val="0000EE"/>
                <w:w w:val="74"/>
              </w:rPr>
            </w:pPr>
            <w:hyperlink w:anchor="page28">
              <w:r>
                <w:rPr>
                  <w:rFonts w:ascii="Arial" w:cs="Arial" w:eastAsia="Arial" w:hAnsi="Arial"/>
                  <w:sz w:val="12"/>
                  <w:szCs w:val="12"/>
                  <w:color w:val="0000EE"/>
                  <w:w w:val="74"/>
                </w:rPr>
                <w:t>10</w:t>
              </w:r>
            </w:hyperlink>
          </w:p>
        </w:tc>
        <w:tc>
          <w:tcPr>
            <w:tcW w:w="3680" w:type="dxa"/>
            <w:vAlign w:val="bottom"/>
            <w:tcBorders>
              <w:bottom w:val="single" w:sz="8" w:color="auto"/>
            </w:tcBorders>
            <w:gridSpan w:val="6"/>
            <w:shd w:val="clear" w:color="auto" w:fill="F1F1F2"/>
          </w:tcPr>
          <w:p>
            <w:pPr>
              <w:spacing w:after="0"/>
              <w:rPr>
                <w:rFonts w:ascii="Arial" w:cs="Arial" w:eastAsia="Arial" w:hAnsi="Arial"/>
                <w:sz w:val="12"/>
                <w:szCs w:val="12"/>
                <w:color w:val="0000EE"/>
              </w:rPr>
            </w:pPr>
            <w:hyperlink w:anchor="page28">
              <w:r>
                <w:rPr>
                  <w:rFonts w:ascii="Arial" w:cs="Arial" w:eastAsia="Arial" w:hAnsi="Arial"/>
                  <w:sz w:val="12"/>
                  <w:szCs w:val="12"/>
                  <w:color w:val="0000EE"/>
                </w:rPr>
                <w:t>Meetings of the Board and Committees</w:t>
              </w:r>
            </w:hyperlink>
          </w:p>
        </w:tc>
        <w:tc>
          <w:tcPr>
            <w:tcW w:w="180" w:type="dxa"/>
            <w:vAlign w:val="bottom"/>
            <w:tcBorders>
              <w:bottom w:val="single" w:sz="8" w:color="F1F1F2"/>
            </w:tcBorders>
            <w:shd w:val="clear" w:color="auto" w:fill="F1F1F2"/>
          </w:tcPr>
          <w:p>
            <w:pPr>
              <w:spacing w:after="0"/>
              <w:rPr>
                <w:sz w:val="18"/>
                <w:szCs w:val="18"/>
                <w:color w:val="auto"/>
              </w:rPr>
            </w:pPr>
          </w:p>
        </w:tc>
        <w:tc>
          <w:tcPr>
            <w:tcW w:w="20" w:type="dxa"/>
            <w:vAlign w:val="bottom"/>
            <w:tcBorders>
              <w:bottom w:val="single" w:sz="8" w:color="F1F1F2"/>
            </w:tcBorders>
            <w:shd w:val="clear" w:color="auto" w:fill="F1F1F2"/>
          </w:tcPr>
          <w:p>
            <w:pPr>
              <w:spacing w:after="0"/>
              <w:rPr>
                <w:sz w:val="18"/>
                <w:szCs w:val="18"/>
                <w:color w:val="auto"/>
              </w:rPr>
            </w:pPr>
          </w:p>
        </w:tc>
        <w:tc>
          <w:tcPr>
            <w:tcW w:w="120" w:type="dxa"/>
            <w:vAlign w:val="bottom"/>
            <w:tcBorders>
              <w:bottom w:val="single" w:sz="8" w:color="F1F1F2"/>
            </w:tcBorders>
            <w:shd w:val="clear" w:color="auto" w:fill="F1F1F2"/>
          </w:tcPr>
          <w:p>
            <w:pPr>
              <w:spacing w:after="0"/>
              <w:rPr>
                <w:sz w:val="18"/>
                <w:szCs w:val="18"/>
                <w:color w:val="auto"/>
              </w:rPr>
            </w:pPr>
          </w:p>
        </w:tc>
        <w:tc>
          <w:tcPr>
            <w:tcW w:w="40" w:type="dxa"/>
            <w:vAlign w:val="bottom"/>
            <w:tcBorders>
              <w:bottom w:val="single" w:sz="8" w:color="F1F1F2"/>
            </w:tcBorders>
            <w:shd w:val="clear" w:color="auto" w:fill="F1F1F2"/>
          </w:tcPr>
          <w:p>
            <w:pPr>
              <w:spacing w:after="0"/>
              <w:rPr>
                <w:sz w:val="18"/>
                <w:szCs w:val="18"/>
                <w:color w:val="auto"/>
              </w:rPr>
            </w:pPr>
          </w:p>
        </w:tc>
        <w:tc>
          <w:tcPr>
            <w:tcW w:w="1620" w:type="dxa"/>
            <w:vAlign w:val="bottom"/>
            <w:tcBorders>
              <w:bottom w:val="single" w:sz="8" w:color="F1F1F2"/>
            </w:tcBorders>
            <w:shd w:val="clear" w:color="auto" w:fill="F1F1F2"/>
          </w:tcPr>
          <w:p>
            <w:pPr>
              <w:spacing w:after="0"/>
              <w:rPr>
                <w:sz w:val="18"/>
                <w:szCs w:val="18"/>
                <w:color w:val="auto"/>
              </w:rPr>
            </w:pPr>
          </w:p>
        </w:tc>
        <w:tc>
          <w:tcPr>
            <w:tcW w:w="140" w:type="dxa"/>
            <w:vAlign w:val="bottom"/>
            <w:tcBorders>
              <w:bottom w:val="single" w:sz="8" w:color="F1F1F2"/>
            </w:tcBorders>
            <w:shd w:val="clear" w:color="auto" w:fill="F1F1F2"/>
          </w:tcPr>
          <w:p>
            <w:pPr>
              <w:spacing w:after="0"/>
              <w:rPr>
                <w:sz w:val="18"/>
                <w:szCs w:val="18"/>
                <w:color w:val="auto"/>
              </w:rPr>
            </w:pPr>
          </w:p>
        </w:tc>
        <w:tc>
          <w:tcPr>
            <w:tcW w:w="300" w:type="dxa"/>
            <w:vAlign w:val="bottom"/>
            <w:tcBorders>
              <w:bottom w:val="single" w:sz="8" w:color="F1F1F2"/>
            </w:tcBorders>
            <w:shd w:val="clear" w:color="auto" w:fill="F1F1F2"/>
          </w:tcPr>
          <w:p>
            <w:pPr>
              <w:spacing w:after="0"/>
              <w:rPr>
                <w:sz w:val="18"/>
                <w:szCs w:val="18"/>
                <w:color w:val="auto"/>
              </w:rPr>
            </w:pPr>
          </w:p>
        </w:tc>
        <w:tc>
          <w:tcPr>
            <w:tcW w:w="1600" w:type="dxa"/>
            <w:vAlign w:val="bottom"/>
            <w:tcBorders>
              <w:bottom w:val="single" w:sz="8" w:color="F1F1F2"/>
            </w:tcBorders>
            <w:shd w:val="clear" w:color="auto" w:fill="F1F1F2"/>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40" w:type="dxa"/>
            <w:vAlign w:val="bottom"/>
            <w:tcBorders>
              <w:bottom w:val="single" w:sz="8" w:color="auto"/>
            </w:tcBorders>
            <w:gridSpan w:val="2"/>
            <w:shd w:val="clear" w:color="auto" w:fill="F1F1F2"/>
          </w:tcPr>
          <w:p>
            <w:pPr>
              <w:jc w:val="right"/>
              <w:ind w:right="20"/>
              <w:spacing w:after="0"/>
              <w:rPr>
                <w:rFonts w:ascii="Arial" w:cs="Arial" w:eastAsia="Arial" w:hAnsi="Arial"/>
                <w:sz w:val="12"/>
                <w:szCs w:val="12"/>
                <w:color w:val="0000EE"/>
                <w:w w:val="74"/>
              </w:rPr>
            </w:pPr>
            <w:hyperlink w:anchor="page29">
              <w:r>
                <w:rPr>
                  <w:rFonts w:ascii="Arial" w:cs="Arial" w:eastAsia="Arial" w:hAnsi="Arial"/>
                  <w:sz w:val="12"/>
                  <w:szCs w:val="12"/>
                  <w:color w:val="0000EE"/>
                  <w:w w:val="74"/>
                </w:rPr>
                <w:t>11</w:t>
              </w:r>
            </w:hyperlink>
          </w:p>
        </w:tc>
        <w:tc>
          <w:tcPr>
            <w:tcW w:w="3680" w:type="dxa"/>
            <w:vAlign w:val="bottom"/>
            <w:tcBorders>
              <w:bottom w:val="single" w:sz="8" w:color="auto"/>
            </w:tcBorders>
            <w:gridSpan w:val="6"/>
            <w:shd w:val="clear" w:color="auto" w:fill="F1F1F2"/>
          </w:tcPr>
          <w:p>
            <w:pPr>
              <w:spacing w:after="0"/>
              <w:rPr>
                <w:rFonts w:ascii="Arial" w:cs="Arial" w:eastAsia="Arial" w:hAnsi="Arial"/>
                <w:sz w:val="12"/>
                <w:szCs w:val="12"/>
                <w:color w:val="0000EE"/>
              </w:rPr>
            </w:pPr>
            <w:hyperlink w:anchor="page29">
              <w:r>
                <w:rPr>
                  <w:rFonts w:ascii="Arial" w:cs="Arial" w:eastAsia="Arial" w:hAnsi="Arial"/>
                  <w:sz w:val="12"/>
                  <w:szCs w:val="12"/>
                  <w:color w:val="0000EE"/>
                </w:rPr>
                <w:t>Board Compensation</w:t>
              </w:r>
            </w:hyperlink>
          </w:p>
        </w:tc>
        <w:tc>
          <w:tcPr>
            <w:tcW w:w="180" w:type="dxa"/>
            <w:vAlign w:val="bottom"/>
            <w:tcBorders>
              <w:bottom w:val="single" w:sz="8" w:color="F1F1F2"/>
            </w:tcBorders>
            <w:shd w:val="clear" w:color="auto" w:fill="F1F1F2"/>
          </w:tcPr>
          <w:p>
            <w:pPr>
              <w:spacing w:after="0"/>
              <w:rPr>
                <w:sz w:val="18"/>
                <w:szCs w:val="18"/>
                <w:color w:val="auto"/>
              </w:rPr>
            </w:pPr>
          </w:p>
        </w:tc>
        <w:tc>
          <w:tcPr>
            <w:tcW w:w="20" w:type="dxa"/>
            <w:vAlign w:val="bottom"/>
            <w:tcBorders>
              <w:bottom w:val="single" w:sz="8" w:color="F1F1F2"/>
            </w:tcBorders>
            <w:shd w:val="clear" w:color="auto" w:fill="F1F1F2"/>
          </w:tcPr>
          <w:p>
            <w:pPr>
              <w:spacing w:after="0"/>
              <w:rPr>
                <w:sz w:val="18"/>
                <w:szCs w:val="18"/>
                <w:color w:val="auto"/>
              </w:rPr>
            </w:pPr>
          </w:p>
        </w:tc>
        <w:tc>
          <w:tcPr>
            <w:tcW w:w="120" w:type="dxa"/>
            <w:vAlign w:val="bottom"/>
            <w:tcBorders>
              <w:bottom w:val="single" w:sz="8" w:color="F1F1F2"/>
            </w:tcBorders>
            <w:shd w:val="clear" w:color="auto" w:fill="F1F1F2"/>
          </w:tcPr>
          <w:p>
            <w:pPr>
              <w:spacing w:after="0"/>
              <w:rPr>
                <w:sz w:val="18"/>
                <w:szCs w:val="18"/>
                <w:color w:val="auto"/>
              </w:rPr>
            </w:pPr>
          </w:p>
        </w:tc>
        <w:tc>
          <w:tcPr>
            <w:tcW w:w="40" w:type="dxa"/>
            <w:vAlign w:val="bottom"/>
            <w:tcBorders>
              <w:bottom w:val="single" w:sz="8" w:color="F1F1F2"/>
            </w:tcBorders>
            <w:shd w:val="clear" w:color="auto" w:fill="F1F1F2"/>
          </w:tcPr>
          <w:p>
            <w:pPr>
              <w:spacing w:after="0"/>
              <w:rPr>
                <w:sz w:val="18"/>
                <w:szCs w:val="18"/>
                <w:color w:val="auto"/>
              </w:rPr>
            </w:pPr>
          </w:p>
        </w:tc>
        <w:tc>
          <w:tcPr>
            <w:tcW w:w="1620" w:type="dxa"/>
            <w:vAlign w:val="bottom"/>
            <w:tcBorders>
              <w:bottom w:val="single" w:sz="8" w:color="F1F1F2"/>
            </w:tcBorders>
            <w:shd w:val="clear" w:color="auto" w:fill="F1F1F2"/>
          </w:tcPr>
          <w:p>
            <w:pPr>
              <w:spacing w:after="0"/>
              <w:rPr>
                <w:sz w:val="18"/>
                <w:szCs w:val="18"/>
                <w:color w:val="auto"/>
              </w:rPr>
            </w:pPr>
          </w:p>
        </w:tc>
        <w:tc>
          <w:tcPr>
            <w:tcW w:w="140" w:type="dxa"/>
            <w:vAlign w:val="bottom"/>
            <w:tcBorders>
              <w:bottom w:val="single" w:sz="8" w:color="F1F1F2"/>
            </w:tcBorders>
            <w:shd w:val="clear" w:color="auto" w:fill="F1F1F2"/>
          </w:tcPr>
          <w:p>
            <w:pPr>
              <w:spacing w:after="0"/>
              <w:rPr>
                <w:sz w:val="18"/>
                <w:szCs w:val="18"/>
                <w:color w:val="auto"/>
              </w:rPr>
            </w:pPr>
          </w:p>
        </w:tc>
        <w:tc>
          <w:tcPr>
            <w:tcW w:w="300" w:type="dxa"/>
            <w:vAlign w:val="bottom"/>
            <w:tcBorders>
              <w:bottom w:val="single" w:sz="8" w:color="F1F1F2"/>
            </w:tcBorders>
            <w:shd w:val="clear" w:color="auto" w:fill="F1F1F2"/>
          </w:tcPr>
          <w:p>
            <w:pPr>
              <w:spacing w:after="0"/>
              <w:rPr>
                <w:sz w:val="18"/>
                <w:szCs w:val="18"/>
                <w:color w:val="auto"/>
              </w:rPr>
            </w:pPr>
          </w:p>
        </w:tc>
        <w:tc>
          <w:tcPr>
            <w:tcW w:w="1600" w:type="dxa"/>
            <w:vAlign w:val="bottom"/>
            <w:tcBorders>
              <w:bottom w:val="single" w:sz="8" w:color="F1F1F2"/>
            </w:tcBorders>
            <w:shd w:val="clear" w:color="auto" w:fill="F1F1F2"/>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40" w:type="dxa"/>
            <w:vAlign w:val="bottom"/>
            <w:tcBorders>
              <w:bottom w:val="single" w:sz="8" w:color="auto"/>
            </w:tcBorders>
            <w:gridSpan w:val="2"/>
            <w:shd w:val="clear" w:color="auto" w:fill="F1F1F2"/>
          </w:tcPr>
          <w:p>
            <w:pPr>
              <w:jc w:val="right"/>
              <w:ind w:right="20"/>
              <w:spacing w:after="0"/>
              <w:rPr>
                <w:rFonts w:ascii="Arial" w:cs="Arial" w:eastAsia="Arial" w:hAnsi="Arial"/>
                <w:sz w:val="12"/>
                <w:szCs w:val="12"/>
                <w:color w:val="0000EE"/>
                <w:w w:val="74"/>
              </w:rPr>
            </w:pPr>
            <w:hyperlink w:anchor="page31">
              <w:r>
                <w:rPr>
                  <w:rFonts w:ascii="Arial" w:cs="Arial" w:eastAsia="Arial" w:hAnsi="Arial"/>
                  <w:sz w:val="12"/>
                  <w:szCs w:val="12"/>
                  <w:color w:val="0000EE"/>
                  <w:w w:val="74"/>
                </w:rPr>
                <w:t>13</w:t>
              </w:r>
            </w:hyperlink>
          </w:p>
        </w:tc>
        <w:tc>
          <w:tcPr>
            <w:tcW w:w="3680" w:type="dxa"/>
            <w:vAlign w:val="bottom"/>
            <w:tcBorders>
              <w:bottom w:val="single" w:sz="8" w:color="auto"/>
            </w:tcBorders>
            <w:gridSpan w:val="6"/>
            <w:shd w:val="clear" w:color="auto" w:fill="F1F1F2"/>
          </w:tcPr>
          <w:p>
            <w:pPr>
              <w:spacing w:after="0"/>
              <w:rPr>
                <w:rFonts w:ascii="Arial" w:cs="Arial" w:eastAsia="Arial" w:hAnsi="Arial"/>
                <w:sz w:val="12"/>
                <w:szCs w:val="12"/>
                <w:color w:val="0000EE"/>
              </w:rPr>
            </w:pPr>
            <w:hyperlink w:anchor="page31">
              <w:r>
                <w:rPr>
                  <w:rFonts w:ascii="Arial" w:cs="Arial" w:eastAsia="Arial" w:hAnsi="Arial"/>
                  <w:sz w:val="12"/>
                  <w:szCs w:val="12"/>
                  <w:color w:val="0000EE"/>
                </w:rPr>
                <w:t>Corporate Governance Matters</w:t>
              </w:r>
            </w:hyperlink>
          </w:p>
        </w:tc>
        <w:tc>
          <w:tcPr>
            <w:tcW w:w="180" w:type="dxa"/>
            <w:vAlign w:val="bottom"/>
            <w:tcBorders>
              <w:bottom w:val="single" w:sz="8" w:color="F1F1F2"/>
            </w:tcBorders>
            <w:shd w:val="clear" w:color="auto" w:fill="F1F1F2"/>
          </w:tcPr>
          <w:p>
            <w:pPr>
              <w:spacing w:after="0"/>
              <w:rPr>
                <w:sz w:val="16"/>
                <w:szCs w:val="16"/>
                <w:color w:val="auto"/>
              </w:rPr>
            </w:pPr>
          </w:p>
        </w:tc>
        <w:tc>
          <w:tcPr>
            <w:tcW w:w="20" w:type="dxa"/>
            <w:vAlign w:val="bottom"/>
            <w:tcBorders>
              <w:bottom w:val="single" w:sz="8" w:color="F1F1F2"/>
            </w:tcBorders>
            <w:shd w:val="clear" w:color="auto" w:fill="F1F1F2"/>
          </w:tcPr>
          <w:p>
            <w:pPr>
              <w:spacing w:after="0"/>
              <w:rPr>
                <w:sz w:val="16"/>
                <w:szCs w:val="16"/>
                <w:color w:val="auto"/>
              </w:rPr>
            </w:pPr>
          </w:p>
        </w:tc>
        <w:tc>
          <w:tcPr>
            <w:tcW w:w="120" w:type="dxa"/>
            <w:vAlign w:val="bottom"/>
            <w:tcBorders>
              <w:bottom w:val="single" w:sz="8" w:color="F1F1F2"/>
            </w:tcBorders>
            <w:shd w:val="clear" w:color="auto" w:fill="F1F1F2"/>
          </w:tcPr>
          <w:p>
            <w:pPr>
              <w:spacing w:after="0"/>
              <w:rPr>
                <w:sz w:val="16"/>
                <w:szCs w:val="16"/>
                <w:color w:val="auto"/>
              </w:rPr>
            </w:pPr>
          </w:p>
        </w:tc>
        <w:tc>
          <w:tcPr>
            <w:tcW w:w="40" w:type="dxa"/>
            <w:vAlign w:val="bottom"/>
            <w:tcBorders>
              <w:bottom w:val="single" w:sz="8" w:color="F1F1F2"/>
            </w:tcBorders>
            <w:shd w:val="clear" w:color="auto" w:fill="F1F1F2"/>
          </w:tcPr>
          <w:p>
            <w:pPr>
              <w:spacing w:after="0"/>
              <w:rPr>
                <w:sz w:val="16"/>
                <w:szCs w:val="16"/>
                <w:color w:val="auto"/>
              </w:rPr>
            </w:pPr>
          </w:p>
        </w:tc>
        <w:tc>
          <w:tcPr>
            <w:tcW w:w="1620" w:type="dxa"/>
            <w:vAlign w:val="bottom"/>
            <w:tcBorders>
              <w:bottom w:val="single" w:sz="8" w:color="F1F1F2"/>
            </w:tcBorders>
            <w:shd w:val="clear" w:color="auto" w:fill="F1F1F2"/>
          </w:tcPr>
          <w:p>
            <w:pPr>
              <w:spacing w:after="0"/>
              <w:rPr>
                <w:sz w:val="16"/>
                <w:szCs w:val="16"/>
                <w:color w:val="auto"/>
              </w:rPr>
            </w:pPr>
          </w:p>
        </w:tc>
        <w:tc>
          <w:tcPr>
            <w:tcW w:w="140" w:type="dxa"/>
            <w:vAlign w:val="bottom"/>
            <w:tcBorders>
              <w:bottom w:val="single" w:sz="8" w:color="F1F1F2"/>
            </w:tcBorders>
            <w:shd w:val="clear" w:color="auto" w:fill="F1F1F2"/>
          </w:tcPr>
          <w:p>
            <w:pPr>
              <w:spacing w:after="0"/>
              <w:rPr>
                <w:sz w:val="16"/>
                <w:szCs w:val="16"/>
                <w:color w:val="auto"/>
              </w:rPr>
            </w:pPr>
          </w:p>
        </w:tc>
        <w:tc>
          <w:tcPr>
            <w:tcW w:w="300" w:type="dxa"/>
            <w:vAlign w:val="bottom"/>
            <w:tcBorders>
              <w:bottom w:val="single" w:sz="8" w:color="F1F1F2"/>
            </w:tcBorders>
            <w:shd w:val="clear" w:color="auto" w:fill="F1F1F2"/>
          </w:tcPr>
          <w:p>
            <w:pPr>
              <w:spacing w:after="0"/>
              <w:rPr>
                <w:sz w:val="16"/>
                <w:szCs w:val="16"/>
                <w:color w:val="auto"/>
              </w:rPr>
            </w:pPr>
          </w:p>
        </w:tc>
        <w:tc>
          <w:tcPr>
            <w:tcW w:w="1600" w:type="dxa"/>
            <w:vAlign w:val="bottom"/>
            <w:tcBorders>
              <w:bottom w:val="single" w:sz="8" w:color="F1F1F2"/>
            </w:tcBorders>
            <w:shd w:val="clear" w:color="auto" w:fill="F1F1F2"/>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 w:type="dxa"/>
            <w:vAlign w:val="bottom"/>
            <w:tcBorders>
              <w:bottom w:val="single" w:sz="8" w:color="auto"/>
            </w:tcBorders>
            <w:gridSpan w:val="2"/>
            <w:shd w:val="clear" w:color="auto" w:fill="F1F1F2"/>
          </w:tcPr>
          <w:p>
            <w:pPr>
              <w:jc w:val="right"/>
              <w:ind w:right="20"/>
              <w:spacing w:after="0"/>
              <w:rPr>
                <w:rFonts w:ascii="Arial" w:cs="Arial" w:eastAsia="Arial" w:hAnsi="Arial"/>
                <w:sz w:val="12"/>
                <w:szCs w:val="12"/>
                <w:color w:val="0000EE"/>
                <w:w w:val="74"/>
              </w:rPr>
            </w:pPr>
            <w:hyperlink w:anchor="page33">
              <w:r>
                <w:rPr>
                  <w:rFonts w:ascii="Arial" w:cs="Arial" w:eastAsia="Arial" w:hAnsi="Arial"/>
                  <w:sz w:val="12"/>
                  <w:szCs w:val="12"/>
                  <w:color w:val="0000EE"/>
                  <w:w w:val="74"/>
                </w:rPr>
                <w:t>15</w:t>
              </w:r>
            </w:hyperlink>
          </w:p>
        </w:tc>
        <w:tc>
          <w:tcPr>
            <w:tcW w:w="3680" w:type="dxa"/>
            <w:vAlign w:val="bottom"/>
            <w:tcBorders>
              <w:bottom w:val="single" w:sz="8" w:color="auto"/>
            </w:tcBorders>
            <w:gridSpan w:val="6"/>
            <w:shd w:val="clear" w:color="auto" w:fill="F1F1F2"/>
          </w:tcPr>
          <w:p>
            <w:pPr>
              <w:spacing w:after="0"/>
              <w:rPr>
                <w:rFonts w:ascii="Arial" w:cs="Arial" w:eastAsia="Arial" w:hAnsi="Arial"/>
                <w:sz w:val="12"/>
                <w:szCs w:val="12"/>
                <w:color w:val="0000EE"/>
              </w:rPr>
            </w:pPr>
            <w:hyperlink w:anchor="page33">
              <w:r>
                <w:rPr>
                  <w:rFonts w:ascii="Arial" w:cs="Arial" w:eastAsia="Arial" w:hAnsi="Arial"/>
                  <w:sz w:val="12"/>
                  <w:szCs w:val="12"/>
                  <w:color w:val="0000EE"/>
                </w:rPr>
                <w:t>Share Ownership</w:t>
              </w:r>
            </w:hyperlink>
          </w:p>
        </w:tc>
        <w:tc>
          <w:tcPr>
            <w:tcW w:w="180" w:type="dxa"/>
            <w:vAlign w:val="bottom"/>
            <w:tcBorders>
              <w:bottom w:val="single" w:sz="8" w:color="F1F1F2"/>
            </w:tcBorders>
            <w:shd w:val="clear" w:color="auto" w:fill="F1F1F2"/>
          </w:tcPr>
          <w:p>
            <w:pPr>
              <w:spacing w:after="0"/>
              <w:rPr>
                <w:sz w:val="17"/>
                <w:szCs w:val="17"/>
                <w:color w:val="auto"/>
              </w:rPr>
            </w:pPr>
          </w:p>
        </w:tc>
        <w:tc>
          <w:tcPr>
            <w:tcW w:w="20" w:type="dxa"/>
            <w:vAlign w:val="bottom"/>
            <w:tcBorders>
              <w:bottom w:val="single" w:sz="8" w:color="F1F1F2"/>
            </w:tcBorders>
            <w:shd w:val="clear" w:color="auto" w:fill="F1F1F2"/>
          </w:tcPr>
          <w:p>
            <w:pPr>
              <w:spacing w:after="0"/>
              <w:rPr>
                <w:sz w:val="17"/>
                <w:szCs w:val="17"/>
                <w:color w:val="auto"/>
              </w:rPr>
            </w:pPr>
          </w:p>
        </w:tc>
        <w:tc>
          <w:tcPr>
            <w:tcW w:w="120" w:type="dxa"/>
            <w:vAlign w:val="bottom"/>
            <w:tcBorders>
              <w:bottom w:val="single" w:sz="8" w:color="F1F1F2"/>
            </w:tcBorders>
            <w:shd w:val="clear" w:color="auto" w:fill="F1F1F2"/>
          </w:tcPr>
          <w:p>
            <w:pPr>
              <w:spacing w:after="0"/>
              <w:rPr>
                <w:sz w:val="17"/>
                <w:szCs w:val="17"/>
                <w:color w:val="auto"/>
              </w:rPr>
            </w:pPr>
          </w:p>
        </w:tc>
        <w:tc>
          <w:tcPr>
            <w:tcW w:w="40" w:type="dxa"/>
            <w:vAlign w:val="bottom"/>
            <w:tcBorders>
              <w:bottom w:val="single" w:sz="8" w:color="F1F1F2"/>
            </w:tcBorders>
            <w:shd w:val="clear" w:color="auto" w:fill="F1F1F2"/>
          </w:tcPr>
          <w:p>
            <w:pPr>
              <w:spacing w:after="0"/>
              <w:rPr>
                <w:sz w:val="17"/>
                <w:szCs w:val="17"/>
                <w:color w:val="auto"/>
              </w:rPr>
            </w:pPr>
          </w:p>
        </w:tc>
        <w:tc>
          <w:tcPr>
            <w:tcW w:w="1620" w:type="dxa"/>
            <w:vAlign w:val="bottom"/>
            <w:tcBorders>
              <w:bottom w:val="single" w:sz="8" w:color="F1F1F2"/>
            </w:tcBorders>
            <w:shd w:val="clear" w:color="auto" w:fill="F1F1F2"/>
          </w:tcPr>
          <w:p>
            <w:pPr>
              <w:spacing w:after="0"/>
              <w:rPr>
                <w:sz w:val="17"/>
                <w:szCs w:val="17"/>
                <w:color w:val="auto"/>
              </w:rPr>
            </w:pPr>
          </w:p>
        </w:tc>
        <w:tc>
          <w:tcPr>
            <w:tcW w:w="140" w:type="dxa"/>
            <w:vAlign w:val="bottom"/>
            <w:tcBorders>
              <w:bottom w:val="single" w:sz="8" w:color="F1F1F2"/>
            </w:tcBorders>
            <w:shd w:val="clear" w:color="auto" w:fill="F1F1F2"/>
          </w:tcPr>
          <w:p>
            <w:pPr>
              <w:spacing w:after="0"/>
              <w:rPr>
                <w:sz w:val="17"/>
                <w:szCs w:val="17"/>
                <w:color w:val="auto"/>
              </w:rPr>
            </w:pPr>
          </w:p>
        </w:tc>
        <w:tc>
          <w:tcPr>
            <w:tcW w:w="300" w:type="dxa"/>
            <w:vAlign w:val="bottom"/>
            <w:tcBorders>
              <w:bottom w:val="single" w:sz="8" w:color="F1F1F2"/>
            </w:tcBorders>
            <w:shd w:val="clear" w:color="auto" w:fill="F1F1F2"/>
          </w:tcPr>
          <w:p>
            <w:pPr>
              <w:spacing w:after="0"/>
              <w:rPr>
                <w:sz w:val="17"/>
                <w:szCs w:val="17"/>
                <w:color w:val="auto"/>
              </w:rPr>
            </w:pPr>
          </w:p>
        </w:tc>
        <w:tc>
          <w:tcPr>
            <w:tcW w:w="1600" w:type="dxa"/>
            <w:vAlign w:val="bottom"/>
            <w:tcBorders>
              <w:bottom w:val="single" w:sz="8" w:color="F1F1F2"/>
            </w:tcBorders>
            <w:shd w:val="clear" w:color="auto" w:fill="F1F1F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 w:type="dxa"/>
            <w:vAlign w:val="bottom"/>
            <w:tcBorders>
              <w:bottom w:val="single" w:sz="8" w:color="auto"/>
            </w:tcBorders>
            <w:gridSpan w:val="2"/>
            <w:shd w:val="clear" w:color="auto" w:fill="F1F1F2"/>
          </w:tcPr>
          <w:p>
            <w:pPr>
              <w:jc w:val="right"/>
              <w:ind w:right="20"/>
              <w:spacing w:after="0"/>
              <w:rPr>
                <w:rFonts w:ascii="Arial" w:cs="Arial" w:eastAsia="Arial" w:hAnsi="Arial"/>
                <w:sz w:val="12"/>
                <w:szCs w:val="12"/>
                <w:color w:val="0000EE"/>
                <w:w w:val="74"/>
              </w:rPr>
            </w:pPr>
            <w:hyperlink w:anchor="page35">
              <w:r>
                <w:rPr>
                  <w:rFonts w:ascii="Arial" w:cs="Arial" w:eastAsia="Arial" w:hAnsi="Arial"/>
                  <w:sz w:val="12"/>
                  <w:szCs w:val="12"/>
                  <w:color w:val="0000EE"/>
                  <w:w w:val="74"/>
                </w:rPr>
                <w:t>17</w:t>
              </w:r>
            </w:hyperlink>
          </w:p>
        </w:tc>
        <w:tc>
          <w:tcPr>
            <w:tcW w:w="3680" w:type="dxa"/>
            <w:vAlign w:val="bottom"/>
            <w:tcBorders>
              <w:bottom w:val="single" w:sz="8" w:color="auto"/>
            </w:tcBorders>
            <w:gridSpan w:val="6"/>
            <w:shd w:val="clear" w:color="auto" w:fill="F1F1F2"/>
          </w:tcPr>
          <w:p>
            <w:pPr>
              <w:spacing w:after="0"/>
              <w:rPr>
                <w:rFonts w:ascii="Arial" w:cs="Arial" w:eastAsia="Arial" w:hAnsi="Arial"/>
                <w:sz w:val="12"/>
                <w:szCs w:val="12"/>
                <w:color w:val="0000EE"/>
              </w:rPr>
            </w:pPr>
            <w:hyperlink w:anchor="page35">
              <w:r>
                <w:rPr>
                  <w:rFonts w:ascii="Arial" w:cs="Arial" w:eastAsia="Arial" w:hAnsi="Arial"/>
                  <w:sz w:val="12"/>
                  <w:szCs w:val="12"/>
                  <w:color w:val="0000EE"/>
                </w:rPr>
                <w:t>Related Person Transaction</w:t>
              </w:r>
            </w:hyperlink>
          </w:p>
        </w:tc>
        <w:tc>
          <w:tcPr>
            <w:tcW w:w="180" w:type="dxa"/>
            <w:vAlign w:val="bottom"/>
            <w:tcBorders>
              <w:bottom w:val="single" w:sz="8" w:color="F1F1F2"/>
            </w:tcBorders>
            <w:shd w:val="clear" w:color="auto" w:fill="F1F1F2"/>
          </w:tcPr>
          <w:p>
            <w:pPr>
              <w:spacing w:after="0"/>
              <w:rPr>
                <w:sz w:val="17"/>
                <w:szCs w:val="17"/>
                <w:color w:val="auto"/>
              </w:rPr>
            </w:pPr>
          </w:p>
        </w:tc>
        <w:tc>
          <w:tcPr>
            <w:tcW w:w="20" w:type="dxa"/>
            <w:vAlign w:val="bottom"/>
            <w:tcBorders>
              <w:bottom w:val="single" w:sz="8" w:color="F1F1F2"/>
            </w:tcBorders>
            <w:shd w:val="clear" w:color="auto" w:fill="F1F1F2"/>
          </w:tcPr>
          <w:p>
            <w:pPr>
              <w:spacing w:after="0"/>
              <w:rPr>
                <w:sz w:val="17"/>
                <w:szCs w:val="17"/>
                <w:color w:val="auto"/>
              </w:rPr>
            </w:pPr>
          </w:p>
        </w:tc>
        <w:tc>
          <w:tcPr>
            <w:tcW w:w="120" w:type="dxa"/>
            <w:vAlign w:val="bottom"/>
            <w:tcBorders>
              <w:bottom w:val="single" w:sz="8" w:color="F1F1F2"/>
            </w:tcBorders>
            <w:shd w:val="clear" w:color="auto" w:fill="F1F1F2"/>
          </w:tcPr>
          <w:p>
            <w:pPr>
              <w:spacing w:after="0"/>
              <w:rPr>
                <w:sz w:val="17"/>
                <w:szCs w:val="17"/>
                <w:color w:val="auto"/>
              </w:rPr>
            </w:pPr>
          </w:p>
        </w:tc>
        <w:tc>
          <w:tcPr>
            <w:tcW w:w="40" w:type="dxa"/>
            <w:vAlign w:val="bottom"/>
            <w:tcBorders>
              <w:bottom w:val="single" w:sz="8" w:color="F1F1F2"/>
            </w:tcBorders>
            <w:shd w:val="clear" w:color="auto" w:fill="F1F1F2"/>
          </w:tcPr>
          <w:p>
            <w:pPr>
              <w:spacing w:after="0"/>
              <w:rPr>
                <w:sz w:val="17"/>
                <w:szCs w:val="17"/>
                <w:color w:val="auto"/>
              </w:rPr>
            </w:pPr>
          </w:p>
        </w:tc>
        <w:tc>
          <w:tcPr>
            <w:tcW w:w="3660" w:type="dxa"/>
            <w:vAlign w:val="bottom"/>
            <w:tcBorders>
              <w:bottom w:val="single" w:sz="8" w:color="F1F1F2"/>
            </w:tcBorders>
            <w:gridSpan w:val="4"/>
            <w:vMerge w:val="restart"/>
            <w:shd w:val="clear" w:color="auto" w:fill="F1F1F2"/>
          </w:tcPr>
          <w:p>
            <w:pPr>
              <w:jc w:val="right"/>
              <w:spacing w:after="0"/>
              <w:rPr>
                <w:sz w:val="20"/>
                <w:szCs w:val="20"/>
                <w:color w:val="auto"/>
              </w:rPr>
            </w:pPr>
            <w:r>
              <w:rPr>
                <w:rFonts w:ascii="Arial" w:cs="Arial" w:eastAsia="Arial" w:hAnsi="Arial"/>
                <w:sz w:val="20"/>
                <w:szCs w:val="20"/>
                <w:color w:val="auto"/>
              </w:rPr>
              <w:t>05-17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shd w:val="clear" w:color="auto" w:fill="F1F1F2"/>
          </w:tcPr>
          <w:p>
            <w:pPr>
              <w:spacing w:after="0"/>
              <w:rPr>
                <w:sz w:val="19"/>
                <w:szCs w:val="19"/>
                <w:color w:val="auto"/>
              </w:rPr>
            </w:pPr>
          </w:p>
        </w:tc>
        <w:tc>
          <w:tcPr>
            <w:tcW w:w="20" w:type="dxa"/>
            <w:vAlign w:val="bottom"/>
            <w:shd w:val="clear" w:color="auto" w:fill="F1F1F2"/>
          </w:tcPr>
          <w:p>
            <w:pPr>
              <w:spacing w:after="0"/>
              <w:rPr>
                <w:sz w:val="19"/>
                <w:szCs w:val="19"/>
                <w:color w:val="auto"/>
              </w:rPr>
            </w:pPr>
          </w:p>
        </w:tc>
        <w:tc>
          <w:tcPr>
            <w:tcW w:w="1180" w:type="dxa"/>
            <w:vAlign w:val="bottom"/>
            <w:shd w:val="clear" w:color="auto" w:fill="F1F1F2"/>
          </w:tcPr>
          <w:p>
            <w:pPr>
              <w:spacing w:after="0"/>
              <w:rPr>
                <w:sz w:val="19"/>
                <w:szCs w:val="19"/>
                <w:color w:val="auto"/>
              </w:rPr>
            </w:pPr>
          </w:p>
        </w:tc>
        <w:tc>
          <w:tcPr>
            <w:tcW w:w="460" w:type="dxa"/>
            <w:vAlign w:val="bottom"/>
            <w:shd w:val="clear" w:color="auto" w:fill="F1F1F2"/>
          </w:tcPr>
          <w:p>
            <w:pPr>
              <w:spacing w:after="0"/>
              <w:rPr>
                <w:sz w:val="19"/>
                <w:szCs w:val="19"/>
                <w:color w:val="auto"/>
              </w:rPr>
            </w:pPr>
          </w:p>
        </w:tc>
        <w:tc>
          <w:tcPr>
            <w:tcW w:w="60" w:type="dxa"/>
            <w:vAlign w:val="bottom"/>
            <w:shd w:val="clear" w:color="auto" w:fill="F1F1F2"/>
          </w:tcPr>
          <w:p>
            <w:pPr>
              <w:spacing w:after="0"/>
              <w:rPr>
                <w:sz w:val="19"/>
                <w:szCs w:val="19"/>
                <w:color w:val="auto"/>
              </w:rPr>
            </w:pPr>
          </w:p>
        </w:tc>
        <w:tc>
          <w:tcPr>
            <w:tcW w:w="240" w:type="dxa"/>
            <w:vAlign w:val="bottom"/>
            <w:shd w:val="clear" w:color="auto" w:fill="F1F1F2"/>
          </w:tcPr>
          <w:p>
            <w:pPr>
              <w:spacing w:after="0"/>
              <w:rPr>
                <w:sz w:val="19"/>
                <w:szCs w:val="19"/>
                <w:color w:val="auto"/>
              </w:rPr>
            </w:pPr>
          </w:p>
        </w:tc>
        <w:tc>
          <w:tcPr>
            <w:tcW w:w="60" w:type="dxa"/>
            <w:vAlign w:val="bottom"/>
            <w:shd w:val="clear" w:color="auto" w:fill="F1F1F2"/>
          </w:tcPr>
          <w:p>
            <w:pPr>
              <w:spacing w:after="0"/>
              <w:rPr>
                <w:sz w:val="19"/>
                <w:szCs w:val="19"/>
                <w:color w:val="auto"/>
              </w:rPr>
            </w:pPr>
          </w:p>
        </w:tc>
        <w:tc>
          <w:tcPr>
            <w:tcW w:w="1680" w:type="dxa"/>
            <w:vAlign w:val="bottom"/>
            <w:shd w:val="clear" w:color="auto" w:fill="F1F1F2"/>
          </w:tcPr>
          <w:p>
            <w:pPr>
              <w:spacing w:after="0"/>
              <w:rPr>
                <w:sz w:val="19"/>
                <w:szCs w:val="19"/>
                <w:color w:val="auto"/>
              </w:rPr>
            </w:pPr>
          </w:p>
        </w:tc>
        <w:tc>
          <w:tcPr>
            <w:tcW w:w="180" w:type="dxa"/>
            <w:vAlign w:val="bottom"/>
            <w:shd w:val="clear" w:color="auto" w:fill="F1F1F2"/>
          </w:tcPr>
          <w:p>
            <w:pPr>
              <w:spacing w:after="0"/>
              <w:rPr>
                <w:sz w:val="19"/>
                <w:szCs w:val="19"/>
                <w:color w:val="auto"/>
              </w:rPr>
            </w:pPr>
          </w:p>
        </w:tc>
        <w:tc>
          <w:tcPr>
            <w:tcW w:w="20" w:type="dxa"/>
            <w:vAlign w:val="bottom"/>
            <w:shd w:val="clear" w:color="auto" w:fill="F1F1F2"/>
          </w:tcPr>
          <w:p>
            <w:pPr>
              <w:spacing w:after="0"/>
              <w:rPr>
                <w:sz w:val="19"/>
                <w:szCs w:val="19"/>
                <w:color w:val="auto"/>
              </w:rPr>
            </w:pPr>
          </w:p>
        </w:tc>
        <w:tc>
          <w:tcPr>
            <w:tcW w:w="120" w:type="dxa"/>
            <w:vAlign w:val="bottom"/>
            <w:shd w:val="clear" w:color="auto" w:fill="F1F1F2"/>
          </w:tcPr>
          <w:p>
            <w:pPr>
              <w:spacing w:after="0"/>
              <w:rPr>
                <w:sz w:val="19"/>
                <w:szCs w:val="19"/>
                <w:color w:val="auto"/>
              </w:rPr>
            </w:pPr>
          </w:p>
        </w:tc>
        <w:tc>
          <w:tcPr>
            <w:tcW w:w="40" w:type="dxa"/>
            <w:vAlign w:val="bottom"/>
            <w:shd w:val="clear" w:color="auto" w:fill="F1F1F2"/>
          </w:tcPr>
          <w:p>
            <w:pPr>
              <w:spacing w:after="0"/>
              <w:rPr>
                <w:sz w:val="19"/>
                <w:szCs w:val="19"/>
                <w:color w:val="auto"/>
              </w:rPr>
            </w:pPr>
          </w:p>
        </w:tc>
        <w:tc>
          <w:tcPr>
            <w:tcW w:w="3660" w:type="dxa"/>
            <w:vAlign w:val="bottom"/>
            <w:gridSpan w:val="4"/>
            <w:vMerge w:val="continue"/>
            <w:shd w:val="clear" w:color="auto" w:fill="F1F1F2"/>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140" w:type="dxa"/>
            <w:vAlign w:val="bottom"/>
            <w:gridSpan w:val="2"/>
            <w:shd w:val="clear" w:color="auto" w:fill="F1F1F2"/>
          </w:tcPr>
          <w:p>
            <w:pPr>
              <w:jc w:val="right"/>
              <w:ind w:right="20"/>
              <w:spacing w:after="0" w:line="124" w:lineRule="exact"/>
              <w:rPr>
                <w:rFonts w:ascii="Arial" w:cs="Arial" w:eastAsia="Arial" w:hAnsi="Arial"/>
                <w:sz w:val="12"/>
                <w:szCs w:val="12"/>
                <w:color w:val="0000EE"/>
                <w:w w:val="74"/>
              </w:rPr>
            </w:pPr>
            <w:hyperlink w:anchor="page36">
              <w:r>
                <w:rPr>
                  <w:rFonts w:ascii="Arial" w:cs="Arial" w:eastAsia="Arial" w:hAnsi="Arial"/>
                  <w:sz w:val="12"/>
                  <w:szCs w:val="12"/>
                  <w:color w:val="0000EE"/>
                  <w:w w:val="74"/>
                </w:rPr>
                <w:t>18</w:t>
              </w:r>
            </w:hyperlink>
          </w:p>
        </w:tc>
        <w:tc>
          <w:tcPr>
            <w:tcW w:w="3680" w:type="dxa"/>
            <w:vAlign w:val="bottom"/>
            <w:gridSpan w:val="6"/>
            <w:shd w:val="clear" w:color="auto" w:fill="F1F1F2"/>
          </w:tcPr>
          <w:p>
            <w:pPr>
              <w:spacing w:after="0" w:line="124" w:lineRule="exact"/>
              <w:rPr>
                <w:rFonts w:ascii="Arial" w:cs="Arial" w:eastAsia="Arial" w:hAnsi="Arial"/>
                <w:sz w:val="12"/>
                <w:szCs w:val="12"/>
                <w:color w:val="0000EE"/>
              </w:rPr>
            </w:pPr>
            <w:hyperlink w:anchor="page36">
              <w:r>
                <w:rPr>
                  <w:rFonts w:ascii="Arial" w:cs="Arial" w:eastAsia="Arial" w:hAnsi="Arial"/>
                  <w:sz w:val="12"/>
                  <w:szCs w:val="12"/>
                  <w:color w:val="0000EE"/>
                </w:rPr>
                <w:t>Change in Independent Registered</w:t>
              </w:r>
            </w:hyperlink>
          </w:p>
        </w:tc>
        <w:tc>
          <w:tcPr>
            <w:tcW w:w="180" w:type="dxa"/>
            <w:vAlign w:val="bottom"/>
            <w:shd w:val="clear" w:color="auto" w:fill="F1F1F2"/>
          </w:tcPr>
          <w:p>
            <w:pPr>
              <w:spacing w:after="0"/>
              <w:rPr>
                <w:sz w:val="10"/>
                <w:szCs w:val="10"/>
                <w:color w:val="auto"/>
              </w:rPr>
            </w:pPr>
          </w:p>
        </w:tc>
        <w:tc>
          <w:tcPr>
            <w:tcW w:w="20" w:type="dxa"/>
            <w:vAlign w:val="bottom"/>
            <w:shd w:val="clear" w:color="auto" w:fill="F1F1F2"/>
          </w:tcPr>
          <w:p>
            <w:pPr>
              <w:spacing w:after="0"/>
              <w:rPr>
                <w:sz w:val="10"/>
                <w:szCs w:val="10"/>
                <w:color w:val="auto"/>
              </w:rPr>
            </w:pPr>
          </w:p>
        </w:tc>
        <w:tc>
          <w:tcPr>
            <w:tcW w:w="120" w:type="dxa"/>
            <w:vAlign w:val="bottom"/>
            <w:shd w:val="clear" w:color="auto" w:fill="F1F1F2"/>
          </w:tcPr>
          <w:p>
            <w:pPr>
              <w:spacing w:after="0"/>
              <w:rPr>
                <w:sz w:val="10"/>
                <w:szCs w:val="10"/>
                <w:color w:val="auto"/>
              </w:rPr>
            </w:pPr>
          </w:p>
        </w:tc>
        <w:tc>
          <w:tcPr>
            <w:tcW w:w="40" w:type="dxa"/>
            <w:vAlign w:val="bottom"/>
            <w:shd w:val="clear" w:color="auto" w:fill="F1F1F2"/>
          </w:tcPr>
          <w:p>
            <w:pPr>
              <w:spacing w:after="0"/>
              <w:rPr>
                <w:sz w:val="10"/>
                <w:szCs w:val="10"/>
                <w:color w:val="auto"/>
              </w:rPr>
            </w:pPr>
          </w:p>
        </w:tc>
        <w:tc>
          <w:tcPr>
            <w:tcW w:w="1620" w:type="dxa"/>
            <w:vAlign w:val="bottom"/>
            <w:shd w:val="clear" w:color="auto" w:fill="F1F1F2"/>
          </w:tcPr>
          <w:p>
            <w:pPr>
              <w:spacing w:after="0"/>
              <w:rPr>
                <w:sz w:val="10"/>
                <w:szCs w:val="10"/>
                <w:color w:val="auto"/>
              </w:rPr>
            </w:pPr>
          </w:p>
        </w:tc>
        <w:tc>
          <w:tcPr>
            <w:tcW w:w="140" w:type="dxa"/>
            <w:vAlign w:val="bottom"/>
            <w:shd w:val="clear" w:color="auto" w:fill="F1F1F2"/>
          </w:tcPr>
          <w:p>
            <w:pPr>
              <w:spacing w:after="0"/>
              <w:rPr>
                <w:sz w:val="10"/>
                <w:szCs w:val="10"/>
                <w:color w:val="auto"/>
              </w:rPr>
            </w:pPr>
          </w:p>
        </w:tc>
        <w:tc>
          <w:tcPr>
            <w:tcW w:w="300" w:type="dxa"/>
            <w:vAlign w:val="bottom"/>
            <w:shd w:val="clear" w:color="auto" w:fill="F1F1F2"/>
          </w:tcPr>
          <w:p>
            <w:pPr>
              <w:spacing w:after="0"/>
              <w:rPr>
                <w:sz w:val="10"/>
                <w:szCs w:val="10"/>
                <w:color w:val="auto"/>
              </w:rPr>
            </w:pPr>
          </w:p>
        </w:tc>
        <w:tc>
          <w:tcPr>
            <w:tcW w:w="1600" w:type="dxa"/>
            <w:vAlign w:val="bottom"/>
            <w:shd w:val="clear" w:color="auto" w:fill="F1F1F2"/>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20" w:type="dxa"/>
            <w:vAlign w:val="bottom"/>
            <w:tcBorders>
              <w:top w:val="single" w:sz="8" w:color="0000EE"/>
              <w:bottom w:val="single" w:sz="8" w:color="auto"/>
            </w:tcBorders>
            <w:shd w:val="clear" w:color="auto" w:fill="F1F1F2"/>
          </w:tcPr>
          <w:p>
            <w:pPr>
              <w:spacing w:after="0"/>
              <w:rPr>
                <w:sz w:val="10"/>
                <w:szCs w:val="10"/>
                <w:color w:val="auto"/>
              </w:rPr>
            </w:pPr>
          </w:p>
        </w:tc>
        <w:tc>
          <w:tcPr>
            <w:tcW w:w="20" w:type="dxa"/>
            <w:vAlign w:val="bottom"/>
            <w:tcBorders>
              <w:top w:val="single" w:sz="8" w:color="F1F1F2"/>
              <w:bottom w:val="single" w:sz="8" w:color="auto"/>
            </w:tcBorders>
            <w:shd w:val="clear" w:color="auto" w:fill="F1F1F2"/>
          </w:tcPr>
          <w:p>
            <w:pPr>
              <w:spacing w:after="0"/>
              <w:rPr>
                <w:sz w:val="10"/>
                <w:szCs w:val="10"/>
                <w:color w:val="auto"/>
              </w:rPr>
            </w:pPr>
          </w:p>
        </w:tc>
        <w:tc>
          <w:tcPr>
            <w:tcW w:w="1940" w:type="dxa"/>
            <w:vAlign w:val="bottom"/>
            <w:tcBorders>
              <w:top w:val="single" w:sz="8" w:color="0000EE"/>
              <w:bottom w:val="single" w:sz="8" w:color="auto"/>
            </w:tcBorders>
            <w:gridSpan w:val="4"/>
            <w:shd w:val="clear" w:color="auto" w:fill="F1F1F2"/>
          </w:tcPr>
          <w:p>
            <w:pPr>
              <w:spacing w:after="0" w:line="117" w:lineRule="exact"/>
              <w:rPr>
                <w:rFonts w:ascii="Arial" w:cs="Arial" w:eastAsia="Arial" w:hAnsi="Arial"/>
                <w:sz w:val="12"/>
                <w:szCs w:val="12"/>
                <w:color w:val="0000EE"/>
              </w:rPr>
            </w:pPr>
            <w:hyperlink w:anchor="page36">
              <w:r>
                <w:rPr>
                  <w:rFonts w:ascii="Arial" w:cs="Arial" w:eastAsia="Arial" w:hAnsi="Arial"/>
                  <w:sz w:val="12"/>
                  <w:szCs w:val="12"/>
                  <w:color w:val="0000EE"/>
                </w:rPr>
                <w:t>Public Accounting Firm</w:t>
              </w:r>
            </w:hyperlink>
          </w:p>
        </w:tc>
        <w:tc>
          <w:tcPr>
            <w:tcW w:w="60" w:type="dxa"/>
            <w:vAlign w:val="bottom"/>
            <w:tcBorders>
              <w:top w:val="single" w:sz="8" w:color="F1F1F2"/>
              <w:bottom w:val="single" w:sz="8" w:color="auto"/>
            </w:tcBorders>
            <w:shd w:val="clear" w:color="auto" w:fill="F1F1F2"/>
          </w:tcPr>
          <w:p>
            <w:pPr>
              <w:spacing w:after="0"/>
              <w:rPr>
                <w:sz w:val="10"/>
                <w:szCs w:val="10"/>
                <w:color w:val="auto"/>
              </w:rPr>
            </w:pPr>
          </w:p>
        </w:tc>
        <w:tc>
          <w:tcPr>
            <w:tcW w:w="1680" w:type="dxa"/>
            <w:vAlign w:val="bottom"/>
            <w:tcBorders>
              <w:top w:val="single" w:sz="8" w:color="F1F1F2"/>
              <w:bottom w:val="single" w:sz="8" w:color="auto"/>
            </w:tcBorders>
            <w:shd w:val="clear" w:color="auto" w:fill="F1F1F2"/>
          </w:tcPr>
          <w:p>
            <w:pPr>
              <w:spacing w:after="0"/>
              <w:rPr>
                <w:sz w:val="10"/>
                <w:szCs w:val="10"/>
                <w:color w:val="auto"/>
              </w:rPr>
            </w:pPr>
          </w:p>
        </w:tc>
        <w:tc>
          <w:tcPr>
            <w:tcW w:w="180" w:type="dxa"/>
            <w:vAlign w:val="bottom"/>
            <w:tcBorders>
              <w:top w:val="single" w:sz="8" w:color="F1F1F2"/>
              <w:bottom w:val="single" w:sz="8" w:color="F1F1F2"/>
            </w:tcBorders>
            <w:shd w:val="clear" w:color="auto" w:fill="F1F1F2"/>
          </w:tcPr>
          <w:p>
            <w:pPr>
              <w:spacing w:after="0"/>
              <w:rPr>
                <w:sz w:val="10"/>
                <w:szCs w:val="10"/>
                <w:color w:val="auto"/>
              </w:rPr>
            </w:pPr>
          </w:p>
        </w:tc>
        <w:tc>
          <w:tcPr>
            <w:tcW w:w="20" w:type="dxa"/>
            <w:vAlign w:val="bottom"/>
            <w:tcBorders>
              <w:top w:val="single" w:sz="8" w:color="F1F1F2"/>
              <w:bottom w:val="single" w:sz="8" w:color="F1F1F2"/>
            </w:tcBorders>
            <w:shd w:val="clear" w:color="auto" w:fill="F1F1F2"/>
          </w:tcPr>
          <w:p>
            <w:pPr>
              <w:spacing w:after="0"/>
              <w:rPr>
                <w:sz w:val="10"/>
                <w:szCs w:val="10"/>
                <w:color w:val="auto"/>
              </w:rPr>
            </w:pPr>
          </w:p>
        </w:tc>
        <w:tc>
          <w:tcPr>
            <w:tcW w:w="120" w:type="dxa"/>
            <w:vAlign w:val="bottom"/>
            <w:tcBorders>
              <w:top w:val="single" w:sz="8" w:color="F1F1F2"/>
              <w:bottom w:val="single" w:sz="8" w:color="F1F1F2"/>
            </w:tcBorders>
            <w:shd w:val="clear" w:color="auto" w:fill="F1F1F2"/>
          </w:tcPr>
          <w:p>
            <w:pPr>
              <w:spacing w:after="0"/>
              <w:rPr>
                <w:sz w:val="10"/>
                <w:szCs w:val="10"/>
                <w:color w:val="auto"/>
              </w:rPr>
            </w:pPr>
          </w:p>
        </w:tc>
        <w:tc>
          <w:tcPr>
            <w:tcW w:w="40" w:type="dxa"/>
            <w:vAlign w:val="bottom"/>
            <w:tcBorders>
              <w:top w:val="single" w:sz="8" w:color="F1F1F2"/>
              <w:bottom w:val="single" w:sz="8" w:color="F1F1F2"/>
            </w:tcBorders>
            <w:shd w:val="clear" w:color="auto" w:fill="F1F1F2"/>
          </w:tcPr>
          <w:p>
            <w:pPr>
              <w:spacing w:after="0"/>
              <w:rPr>
                <w:sz w:val="10"/>
                <w:szCs w:val="10"/>
                <w:color w:val="auto"/>
              </w:rPr>
            </w:pPr>
          </w:p>
        </w:tc>
        <w:tc>
          <w:tcPr>
            <w:tcW w:w="1620" w:type="dxa"/>
            <w:vAlign w:val="bottom"/>
            <w:tcBorders>
              <w:top w:val="single" w:sz="8" w:color="F1F1F2"/>
              <w:bottom w:val="single" w:sz="8" w:color="F1F1F2"/>
            </w:tcBorders>
            <w:shd w:val="clear" w:color="auto" w:fill="F1F1F2"/>
          </w:tcPr>
          <w:p>
            <w:pPr>
              <w:spacing w:after="0"/>
              <w:rPr>
                <w:sz w:val="10"/>
                <w:szCs w:val="10"/>
                <w:color w:val="auto"/>
              </w:rPr>
            </w:pPr>
          </w:p>
        </w:tc>
        <w:tc>
          <w:tcPr>
            <w:tcW w:w="140" w:type="dxa"/>
            <w:vAlign w:val="bottom"/>
            <w:tcBorders>
              <w:top w:val="single" w:sz="8" w:color="F1F1F2"/>
              <w:bottom w:val="single" w:sz="8" w:color="F1F1F2"/>
            </w:tcBorders>
            <w:shd w:val="clear" w:color="auto" w:fill="F1F1F2"/>
          </w:tcPr>
          <w:p>
            <w:pPr>
              <w:spacing w:after="0"/>
              <w:rPr>
                <w:sz w:val="10"/>
                <w:szCs w:val="10"/>
                <w:color w:val="auto"/>
              </w:rPr>
            </w:pPr>
          </w:p>
        </w:tc>
        <w:tc>
          <w:tcPr>
            <w:tcW w:w="300" w:type="dxa"/>
            <w:vAlign w:val="bottom"/>
            <w:tcBorders>
              <w:top w:val="single" w:sz="8" w:color="F1F1F2"/>
              <w:bottom w:val="single" w:sz="8" w:color="F1F1F2"/>
            </w:tcBorders>
            <w:shd w:val="clear" w:color="auto" w:fill="F1F1F2"/>
          </w:tcPr>
          <w:p>
            <w:pPr>
              <w:spacing w:after="0"/>
              <w:rPr>
                <w:sz w:val="10"/>
                <w:szCs w:val="10"/>
                <w:color w:val="auto"/>
              </w:rPr>
            </w:pPr>
          </w:p>
        </w:tc>
        <w:tc>
          <w:tcPr>
            <w:tcW w:w="1600" w:type="dxa"/>
            <w:vAlign w:val="bottom"/>
            <w:tcBorders>
              <w:top w:val="single" w:sz="8" w:color="F1F1F2"/>
              <w:bottom w:val="single" w:sz="8" w:color="F1F1F2"/>
            </w:tcBorders>
            <w:shd w:val="clear" w:color="auto" w:fill="F1F1F2"/>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 w:type="dxa"/>
            <w:vAlign w:val="bottom"/>
            <w:tcBorders>
              <w:bottom w:val="single" w:sz="8" w:color="auto"/>
            </w:tcBorders>
            <w:gridSpan w:val="2"/>
            <w:shd w:val="clear" w:color="auto" w:fill="F1F1F2"/>
          </w:tcPr>
          <w:p>
            <w:pPr>
              <w:jc w:val="right"/>
              <w:ind w:right="20"/>
              <w:spacing w:after="0"/>
              <w:rPr>
                <w:rFonts w:ascii="Arial" w:cs="Arial" w:eastAsia="Arial" w:hAnsi="Arial"/>
                <w:sz w:val="12"/>
                <w:szCs w:val="12"/>
                <w:color w:val="0000EE"/>
                <w:w w:val="74"/>
              </w:rPr>
            </w:pPr>
            <w:hyperlink w:anchor="page37">
              <w:r>
                <w:rPr>
                  <w:rFonts w:ascii="Arial" w:cs="Arial" w:eastAsia="Arial" w:hAnsi="Arial"/>
                  <w:sz w:val="12"/>
                  <w:szCs w:val="12"/>
                  <w:color w:val="0000EE"/>
                  <w:w w:val="74"/>
                </w:rPr>
                <w:t>19</w:t>
              </w:r>
            </w:hyperlink>
          </w:p>
        </w:tc>
        <w:tc>
          <w:tcPr>
            <w:tcW w:w="3680" w:type="dxa"/>
            <w:vAlign w:val="bottom"/>
            <w:tcBorders>
              <w:bottom w:val="single" w:sz="8" w:color="auto"/>
            </w:tcBorders>
            <w:gridSpan w:val="6"/>
            <w:shd w:val="clear" w:color="auto" w:fill="F1F1F2"/>
          </w:tcPr>
          <w:p>
            <w:pPr>
              <w:spacing w:after="0"/>
              <w:rPr>
                <w:rFonts w:ascii="Arial" w:cs="Arial" w:eastAsia="Arial" w:hAnsi="Arial"/>
                <w:sz w:val="12"/>
                <w:szCs w:val="12"/>
                <w:color w:val="0000EE"/>
              </w:rPr>
            </w:pPr>
            <w:hyperlink w:anchor="page37">
              <w:r>
                <w:rPr>
                  <w:rFonts w:ascii="Arial" w:cs="Arial" w:eastAsia="Arial" w:hAnsi="Arial"/>
                  <w:sz w:val="12"/>
                  <w:szCs w:val="12"/>
                  <w:color w:val="0000EE"/>
                </w:rPr>
                <w:t>Fees paid to KPMG and Ernst &amp; Young</w:t>
              </w:r>
            </w:hyperlink>
          </w:p>
        </w:tc>
        <w:tc>
          <w:tcPr>
            <w:tcW w:w="180" w:type="dxa"/>
            <w:vAlign w:val="bottom"/>
            <w:tcBorders>
              <w:bottom w:val="single" w:sz="8" w:color="F1F1F2"/>
            </w:tcBorders>
            <w:shd w:val="clear" w:color="auto" w:fill="F1F1F2"/>
          </w:tcPr>
          <w:p>
            <w:pPr>
              <w:spacing w:after="0"/>
              <w:rPr>
                <w:sz w:val="17"/>
                <w:szCs w:val="17"/>
                <w:color w:val="auto"/>
              </w:rPr>
            </w:pPr>
          </w:p>
        </w:tc>
        <w:tc>
          <w:tcPr>
            <w:tcW w:w="20" w:type="dxa"/>
            <w:vAlign w:val="bottom"/>
            <w:tcBorders>
              <w:bottom w:val="single" w:sz="8" w:color="F1F1F2"/>
            </w:tcBorders>
            <w:shd w:val="clear" w:color="auto" w:fill="F1F1F2"/>
          </w:tcPr>
          <w:p>
            <w:pPr>
              <w:spacing w:after="0"/>
              <w:rPr>
                <w:sz w:val="17"/>
                <w:szCs w:val="17"/>
                <w:color w:val="auto"/>
              </w:rPr>
            </w:pPr>
          </w:p>
        </w:tc>
        <w:tc>
          <w:tcPr>
            <w:tcW w:w="120" w:type="dxa"/>
            <w:vAlign w:val="bottom"/>
            <w:tcBorders>
              <w:bottom w:val="single" w:sz="8" w:color="F1F1F2"/>
            </w:tcBorders>
            <w:shd w:val="clear" w:color="auto" w:fill="F1F1F2"/>
          </w:tcPr>
          <w:p>
            <w:pPr>
              <w:spacing w:after="0"/>
              <w:rPr>
                <w:sz w:val="17"/>
                <w:szCs w:val="17"/>
                <w:color w:val="auto"/>
              </w:rPr>
            </w:pPr>
          </w:p>
        </w:tc>
        <w:tc>
          <w:tcPr>
            <w:tcW w:w="40" w:type="dxa"/>
            <w:vAlign w:val="bottom"/>
            <w:tcBorders>
              <w:bottom w:val="single" w:sz="8" w:color="F1F1F2"/>
            </w:tcBorders>
            <w:shd w:val="clear" w:color="auto" w:fill="F1F1F2"/>
          </w:tcPr>
          <w:p>
            <w:pPr>
              <w:spacing w:after="0"/>
              <w:rPr>
                <w:sz w:val="17"/>
                <w:szCs w:val="17"/>
                <w:color w:val="auto"/>
              </w:rPr>
            </w:pPr>
          </w:p>
        </w:tc>
        <w:tc>
          <w:tcPr>
            <w:tcW w:w="1620" w:type="dxa"/>
            <w:vAlign w:val="bottom"/>
            <w:tcBorders>
              <w:bottom w:val="single" w:sz="8" w:color="F1F1F2"/>
            </w:tcBorders>
            <w:shd w:val="clear" w:color="auto" w:fill="F1F1F2"/>
          </w:tcPr>
          <w:p>
            <w:pPr>
              <w:spacing w:after="0"/>
              <w:rPr>
                <w:sz w:val="17"/>
                <w:szCs w:val="17"/>
                <w:color w:val="auto"/>
              </w:rPr>
            </w:pPr>
          </w:p>
        </w:tc>
        <w:tc>
          <w:tcPr>
            <w:tcW w:w="140" w:type="dxa"/>
            <w:vAlign w:val="bottom"/>
            <w:tcBorders>
              <w:bottom w:val="single" w:sz="8" w:color="F1F1F2"/>
            </w:tcBorders>
            <w:shd w:val="clear" w:color="auto" w:fill="F1F1F2"/>
          </w:tcPr>
          <w:p>
            <w:pPr>
              <w:spacing w:after="0"/>
              <w:rPr>
                <w:sz w:val="17"/>
                <w:szCs w:val="17"/>
                <w:color w:val="auto"/>
              </w:rPr>
            </w:pPr>
          </w:p>
        </w:tc>
        <w:tc>
          <w:tcPr>
            <w:tcW w:w="300" w:type="dxa"/>
            <w:vAlign w:val="bottom"/>
            <w:tcBorders>
              <w:bottom w:val="single" w:sz="8" w:color="F1F1F2"/>
            </w:tcBorders>
            <w:shd w:val="clear" w:color="auto" w:fill="F1F1F2"/>
          </w:tcPr>
          <w:p>
            <w:pPr>
              <w:spacing w:after="0"/>
              <w:rPr>
                <w:sz w:val="17"/>
                <w:szCs w:val="17"/>
                <w:color w:val="auto"/>
              </w:rPr>
            </w:pPr>
          </w:p>
        </w:tc>
        <w:tc>
          <w:tcPr>
            <w:tcW w:w="1600" w:type="dxa"/>
            <w:vAlign w:val="bottom"/>
            <w:tcBorders>
              <w:bottom w:val="single" w:sz="8" w:color="F1F1F2"/>
            </w:tcBorders>
            <w:shd w:val="clear" w:color="auto" w:fill="F1F1F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 w:type="dxa"/>
            <w:vAlign w:val="bottom"/>
            <w:tcBorders>
              <w:bottom w:val="single" w:sz="8" w:color="auto"/>
            </w:tcBorders>
            <w:gridSpan w:val="2"/>
            <w:shd w:val="clear" w:color="auto" w:fill="F1F1F2"/>
          </w:tcPr>
          <w:p>
            <w:pPr>
              <w:jc w:val="right"/>
              <w:ind w:right="20"/>
              <w:spacing w:after="0"/>
              <w:rPr>
                <w:rFonts w:ascii="Arial" w:cs="Arial" w:eastAsia="Arial" w:hAnsi="Arial"/>
                <w:sz w:val="12"/>
                <w:szCs w:val="12"/>
                <w:color w:val="0000EE"/>
                <w:w w:val="74"/>
              </w:rPr>
            </w:pPr>
            <w:hyperlink w:anchor="page37">
              <w:r>
                <w:rPr>
                  <w:rFonts w:ascii="Arial" w:cs="Arial" w:eastAsia="Arial" w:hAnsi="Arial"/>
                  <w:sz w:val="12"/>
                  <w:szCs w:val="12"/>
                  <w:color w:val="0000EE"/>
                  <w:w w:val="74"/>
                </w:rPr>
                <w:t>19</w:t>
              </w:r>
            </w:hyperlink>
          </w:p>
        </w:tc>
        <w:tc>
          <w:tcPr>
            <w:tcW w:w="3680" w:type="dxa"/>
            <w:vAlign w:val="bottom"/>
            <w:tcBorders>
              <w:bottom w:val="single" w:sz="8" w:color="auto"/>
            </w:tcBorders>
            <w:gridSpan w:val="6"/>
            <w:shd w:val="clear" w:color="auto" w:fill="F1F1F2"/>
          </w:tcPr>
          <w:p>
            <w:pPr>
              <w:spacing w:after="0"/>
              <w:rPr>
                <w:rFonts w:ascii="Arial" w:cs="Arial" w:eastAsia="Arial" w:hAnsi="Arial"/>
                <w:sz w:val="12"/>
                <w:szCs w:val="12"/>
                <w:color w:val="0000EE"/>
              </w:rPr>
            </w:pPr>
            <w:hyperlink w:anchor="page37">
              <w:r>
                <w:rPr>
                  <w:rFonts w:ascii="Arial" w:cs="Arial" w:eastAsia="Arial" w:hAnsi="Arial"/>
                  <w:sz w:val="12"/>
                  <w:szCs w:val="12"/>
                  <w:color w:val="0000EE"/>
                </w:rPr>
                <w:t>Audit Committee Pre-Approval Policy</w:t>
              </w:r>
            </w:hyperlink>
          </w:p>
        </w:tc>
        <w:tc>
          <w:tcPr>
            <w:tcW w:w="180" w:type="dxa"/>
            <w:vAlign w:val="bottom"/>
            <w:tcBorders>
              <w:bottom w:val="single" w:sz="8" w:color="F1F1F2"/>
            </w:tcBorders>
            <w:shd w:val="clear" w:color="auto" w:fill="F1F1F2"/>
          </w:tcPr>
          <w:p>
            <w:pPr>
              <w:spacing w:after="0"/>
              <w:rPr>
                <w:sz w:val="17"/>
                <w:szCs w:val="17"/>
                <w:color w:val="auto"/>
              </w:rPr>
            </w:pPr>
          </w:p>
        </w:tc>
        <w:tc>
          <w:tcPr>
            <w:tcW w:w="20" w:type="dxa"/>
            <w:vAlign w:val="bottom"/>
            <w:tcBorders>
              <w:bottom w:val="single" w:sz="8" w:color="F1F1F2"/>
            </w:tcBorders>
            <w:shd w:val="clear" w:color="auto" w:fill="F1F1F2"/>
          </w:tcPr>
          <w:p>
            <w:pPr>
              <w:spacing w:after="0"/>
              <w:rPr>
                <w:sz w:val="17"/>
                <w:szCs w:val="17"/>
                <w:color w:val="auto"/>
              </w:rPr>
            </w:pPr>
          </w:p>
        </w:tc>
        <w:tc>
          <w:tcPr>
            <w:tcW w:w="120" w:type="dxa"/>
            <w:vAlign w:val="bottom"/>
            <w:tcBorders>
              <w:bottom w:val="single" w:sz="8" w:color="F1F1F2"/>
            </w:tcBorders>
            <w:shd w:val="clear" w:color="auto" w:fill="F1F1F2"/>
          </w:tcPr>
          <w:p>
            <w:pPr>
              <w:spacing w:after="0"/>
              <w:rPr>
                <w:sz w:val="17"/>
                <w:szCs w:val="17"/>
                <w:color w:val="auto"/>
              </w:rPr>
            </w:pPr>
          </w:p>
        </w:tc>
        <w:tc>
          <w:tcPr>
            <w:tcW w:w="40" w:type="dxa"/>
            <w:vAlign w:val="bottom"/>
            <w:tcBorders>
              <w:bottom w:val="single" w:sz="8" w:color="F1F1F2"/>
            </w:tcBorders>
            <w:shd w:val="clear" w:color="auto" w:fill="F1F1F2"/>
          </w:tcPr>
          <w:p>
            <w:pPr>
              <w:spacing w:after="0"/>
              <w:rPr>
                <w:sz w:val="17"/>
                <w:szCs w:val="17"/>
                <w:color w:val="auto"/>
              </w:rPr>
            </w:pPr>
          </w:p>
        </w:tc>
        <w:tc>
          <w:tcPr>
            <w:tcW w:w="1620" w:type="dxa"/>
            <w:vAlign w:val="bottom"/>
            <w:tcBorders>
              <w:bottom w:val="single" w:sz="8" w:color="F1F1F2"/>
            </w:tcBorders>
            <w:shd w:val="clear" w:color="auto" w:fill="F1F1F2"/>
          </w:tcPr>
          <w:p>
            <w:pPr>
              <w:spacing w:after="0"/>
              <w:rPr>
                <w:sz w:val="17"/>
                <w:szCs w:val="17"/>
                <w:color w:val="auto"/>
              </w:rPr>
            </w:pPr>
          </w:p>
        </w:tc>
        <w:tc>
          <w:tcPr>
            <w:tcW w:w="140" w:type="dxa"/>
            <w:vAlign w:val="bottom"/>
            <w:tcBorders>
              <w:bottom w:val="single" w:sz="8" w:color="F1F1F2"/>
            </w:tcBorders>
            <w:shd w:val="clear" w:color="auto" w:fill="F1F1F2"/>
          </w:tcPr>
          <w:p>
            <w:pPr>
              <w:spacing w:after="0"/>
              <w:rPr>
                <w:sz w:val="17"/>
                <w:szCs w:val="17"/>
                <w:color w:val="auto"/>
              </w:rPr>
            </w:pPr>
          </w:p>
        </w:tc>
        <w:tc>
          <w:tcPr>
            <w:tcW w:w="300" w:type="dxa"/>
            <w:vAlign w:val="bottom"/>
            <w:tcBorders>
              <w:bottom w:val="single" w:sz="8" w:color="F1F1F2"/>
            </w:tcBorders>
            <w:shd w:val="clear" w:color="auto" w:fill="F1F1F2"/>
          </w:tcPr>
          <w:p>
            <w:pPr>
              <w:spacing w:after="0"/>
              <w:rPr>
                <w:sz w:val="17"/>
                <w:szCs w:val="17"/>
                <w:color w:val="auto"/>
              </w:rPr>
            </w:pPr>
          </w:p>
        </w:tc>
        <w:tc>
          <w:tcPr>
            <w:tcW w:w="1600" w:type="dxa"/>
            <w:vAlign w:val="bottom"/>
            <w:tcBorders>
              <w:bottom w:val="single" w:sz="8" w:color="F1F1F2"/>
            </w:tcBorders>
            <w:shd w:val="clear" w:color="auto" w:fill="F1F1F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 w:type="dxa"/>
            <w:vAlign w:val="bottom"/>
            <w:tcBorders>
              <w:bottom w:val="single" w:sz="8" w:color="auto"/>
            </w:tcBorders>
            <w:gridSpan w:val="2"/>
            <w:shd w:val="clear" w:color="auto" w:fill="F1F1F2"/>
          </w:tcPr>
          <w:p>
            <w:pPr>
              <w:jc w:val="right"/>
              <w:ind w:right="20"/>
              <w:spacing w:after="0"/>
              <w:rPr>
                <w:rFonts w:ascii="Arial" w:cs="Arial" w:eastAsia="Arial" w:hAnsi="Arial"/>
                <w:sz w:val="12"/>
                <w:szCs w:val="12"/>
                <w:color w:val="0000EE"/>
                <w:w w:val="74"/>
              </w:rPr>
            </w:pPr>
            <w:hyperlink w:anchor="page37">
              <w:r>
                <w:rPr>
                  <w:rFonts w:ascii="Arial" w:cs="Arial" w:eastAsia="Arial" w:hAnsi="Arial"/>
                  <w:sz w:val="12"/>
                  <w:szCs w:val="12"/>
                  <w:color w:val="0000EE"/>
                  <w:w w:val="74"/>
                </w:rPr>
                <w:t>19</w:t>
              </w:r>
            </w:hyperlink>
          </w:p>
        </w:tc>
        <w:tc>
          <w:tcPr>
            <w:tcW w:w="3680" w:type="dxa"/>
            <w:vAlign w:val="bottom"/>
            <w:tcBorders>
              <w:bottom w:val="single" w:sz="8" w:color="auto"/>
            </w:tcBorders>
            <w:gridSpan w:val="6"/>
            <w:shd w:val="clear" w:color="auto" w:fill="F1F1F2"/>
          </w:tcPr>
          <w:p>
            <w:pPr>
              <w:spacing w:after="0"/>
              <w:rPr>
                <w:rFonts w:ascii="Arial" w:cs="Arial" w:eastAsia="Arial" w:hAnsi="Arial"/>
                <w:sz w:val="12"/>
                <w:szCs w:val="12"/>
                <w:color w:val="0000EE"/>
              </w:rPr>
            </w:pPr>
            <w:hyperlink w:anchor="page37">
              <w:r>
                <w:rPr>
                  <w:rFonts w:ascii="Arial" w:cs="Arial" w:eastAsia="Arial" w:hAnsi="Arial"/>
                  <w:sz w:val="12"/>
                  <w:szCs w:val="12"/>
                  <w:color w:val="0000EE"/>
                </w:rPr>
                <w:t>Audit Committee Report</w:t>
              </w:r>
            </w:hyperlink>
          </w:p>
        </w:tc>
        <w:tc>
          <w:tcPr>
            <w:tcW w:w="180" w:type="dxa"/>
            <w:vAlign w:val="bottom"/>
            <w:tcBorders>
              <w:bottom w:val="single" w:sz="8" w:color="F1F1F2"/>
            </w:tcBorders>
            <w:shd w:val="clear" w:color="auto" w:fill="F1F1F2"/>
          </w:tcPr>
          <w:p>
            <w:pPr>
              <w:spacing w:after="0"/>
              <w:rPr>
                <w:sz w:val="17"/>
                <w:szCs w:val="17"/>
                <w:color w:val="auto"/>
              </w:rPr>
            </w:pPr>
          </w:p>
        </w:tc>
        <w:tc>
          <w:tcPr>
            <w:tcW w:w="20" w:type="dxa"/>
            <w:vAlign w:val="bottom"/>
            <w:tcBorders>
              <w:bottom w:val="single" w:sz="8" w:color="F1F1F2"/>
            </w:tcBorders>
            <w:shd w:val="clear" w:color="auto" w:fill="F1F1F2"/>
          </w:tcPr>
          <w:p>
            <w:pPr>
              <w:spacing w:after="0"/>
              <w:rPr>
                <w:sz w:val="17"/>
                <w:szCs w:val="17"/>
                <w:color w:val="auto"/>
              </w:rPr>
            </w:pPr>
          </w:p>
        </w:tc>
        <w:tc>
          <w:tcPr>
            <w:tcW w:w="120" w:type="dxa"/>
            <w:vAlign w:val="bottom"/>
            <w:tcBorders>
              <w:bottom w:val="single" w:sz="8" w:color="F1F1F2"/>
            </w:tcBorders>
            <w:shd w:val="clear" w:color="auto" w:fill="F1F1F2"/>
          </w:tcPr>
          <w:p>
            <w:pPr>
              <w:spacing w:after="0"/>
              <w:rPr>
                <w:sz w:val="17"/>
                <w:szCs w:val="17"/>
                <w:color w:val="auto"/>
              </w:rPr>
            </w:pPr>
          </w:p>
        </w:tc>
        <w:tc>
          <w:tcPr>
            <w:tcW w:w="40" w:type="dxa"/>
            <w:vAlign w:val="bottom"/>
            <w:tcBorders>
              <w:bottom w:val="single" w:sz="8" w:color="F1F1F2"/>
            </w:tcBorders>
            <w:shd w:val="clear" w:color="auto" w:fill="F1F1F2"/>
          </w:tcPr>
          <w:p>
            <w:pPr>
              <w:spacing w:after="0"/>
              <w:rPr>
                <w:sz w:val="17"/>
                <w:szCs w:val="17"/>
                <w:color w:val="auto"/>
              </w:rPr>
            </w:pPr>
          </w:p>
        </w:tc>
        <w:tc>
          <w:tcPr>
            <w:tcW w:w="3660" w:type="dxa"/>
            <w:vAlign w:val="bottom"/>
            <w:tcBorders>
              <w:bottom w:val="single" w:sz="8" w:color="F1F1F2"/>
            </w:tcBorders>
            <w:gridSpan w:val="4"/>
            <w:vMerge w:val="restart"/>
            <w:shd w:val="clear" w:color="auto" w:fill="F1F1F2"/>
          </w:tcPr>
          <w:p>
            <w:pPr>
              <w:jc w:val="right"/>
              <w:spacing w:after="0"/>
              <w:rPr>
                <w:sz w:val="20"/>
                <w:szCs w:val="20"/>
                <w:color w:val="auto"/>
              </w:rPr>
            </w:pPr>
            <w:r>
              <w:rPr>
                <w:rFonts w:ascii="Arial" w:cs="Arial" w:eastAsia="Arial" w:hAnsi="Arial"/>
                <w:sz w:val="20"/>
                <w:szCs w:val="20"/>
                <w:color w:val="auto"/>
              </w:rPr>
              <w:t>18-19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shd w:val="clear" w:color="auto" w:fill="F1F1F2"/>
          </w:tcPr>
          <w:p>
            <w:pPr>
              <w:spacing w:after="0"/>
              <w:rPr>
                <w:sz w:val="19"/>
                <w:szCs w:val="19"/>
                <w:color w:val="auto"/>
              </w:rPr>
            </w:pPr>
          </w:p>
        </w:tc>
        <w:tc>
          <w:tcPr>
            <w:tcW w:w="20" w:type="dxa"/>
            <w:vAlign w:val="bottom"/>
            <w:shd w:val="clear" w:color="auto" w:fill="F1F1F2"/>
          </w:tcPr>
          <w:p>
            <w:pPr>
              <w:spacing w:after="0"/>
              <w:rPr>
                <w:sz w:val="19"/>
                <w:szCs w:val="19"/>
                <w:color w:val="auto"/>
              </w:rPr>
            </w:pPr>
          </w:p>
        </w:tc>
        <w:tc>
          <w:tcPr>
            <w:tcW w:w="1180" w:type="dxa"/>
            <w:vAlign w:val="bottom"/>
            <w:shd w:val="clear" w:color="auto" w:fill="F1F1F2"/>
          </w:tcPr>
          <w:p>
            <w:pPr>
              <w:spacing w:after="0"/>
              <w:rPr>
                <w:sz w:val="19"/>
                <w:szCs w:val="19"/>
                <w:color w:val="auto"/>
              </w:rPr>
            </w:pPr>
          </w:p>
        </w:tc>
        <w:tc>
          <w:tcPr>
            <w:tcW w:w="460" w:type="dxa"/>
            <w:vAlign w:val="bottom"/>
            <w:shd w:val="clear" w:color="auto" w:fill="F1F1F2"/>
          </w:tcPr>
          <w:p>
            <w:pPr>
              <w:spacing w:after="0"/>
              <w:rPr>
                <w:sz w:val="19"/>
                <w:szCs w:val="19"/>
                <w:color w:val="auto"/>
              </w:rPr>
            </w:pPr>
          </w:p>
        </w:tc>
        <w:tc>
          <w:tcPr>
            <w:tcW w:w="60" w:type="dxa"/>
            <w:vAlign w:val="bottom"/>
            <w:shd w:val="clear" w:color="auto" w:fill="F1F1F2"/>
          </w:tcPr>
          <w:p>
            <w:pPr>
              <w:spacing w:after="0"/>
              <w:rPr>
                <w:sz w:val="19"/>
                <w:szCs w:val="19"/>
                <w:color w:val="auto"/>
              </w:rPr>
            </w:pPr>
          </w:p>
        </w:tc>
        <w:tc>
          <w:tcPr>
            <w:tcW w:w="240" w:type="dxa"/>
            <w:vAlign w:val="bottom"/>
            <w:shd w:val="clear" w:color="auto" w:fill="F1F1F2"/>
          </w:tcPr>
          <w:p>
            <w:pPr>
              <w:spacing w:after="0"/>
              <w:rPr>
                <w:sz w:val="19"/>
                <w:szCs w:val="19"/>
                <w:color w:val="auto"/>
              </w:rPr>
            </w:pPr>
          </w:p>
        </w:tc>
        <w:tc>
          <w:tcPr>
            <w:tcW w:w="60" w:type="dxa"/>
            <w:vAlign w:val="bottom"/>
            <w:shd w:val="clear" w:color="auto" w:fill="F1F1F2"/>
          </w:tcPr>
          <w:p>
            <w:pPr>
              <w:spacing w:after="0"/>
              <w:rPr>
                <w:sz w:val="19"/>
                <w:szCs w:val="19"/>
                <w:color w:val="auto"/>
              </w:rPr>
            </w:pPr>
          </w:p>
        </w:tc>
        <w:tc>
          <w:tcPr>
            <w:tcW w:w="1680" w:type="dxa"/>
            <w:vAlign w:val="bottom"/>
            <w:shd w:val="clear" w:color="auto" w:fill="F1F1F2"/>
          </w:tcPr>
          <w:p>
            <w:pPr>
              <w:spacing w:after="0"/>
              <w:rPr>
                <w:sz w:val="19"/>
                <w:szCs w:val="19"/>
                <w:color w:val="auto"/>
              </w:rPr>
            </w:pPr>
          </w:p>
        </w:tc>
        <w:tc>
          <w:tcPr>
            <w:tcW w:w="180" w:type="dxa"/>
            <w:vAlign w:val="bottom"/>
            <w:shd w:val="clear" w:color="auto" w:fill="F1F1F2"/>
          </w:tcPr>
          <w:p>
            <w:pPr>
              <w:spacing w:after="0"/>
              <w:rPr>
                <w:sz w:val="19"/>
                <w:szCs w:val="19"/>
                <w:color w:val="auto"/>
              </w:rPr>
            </w:pPr>
          </w:p>
        </w:tc>
        <w:tc>
          <w:tcPr>
            <w:tcW w:w="20" w:type="dxa"/>
            <w:vAlign w:val="bottom"/>
            <w:shd w:val="clear" w:color="auto" w:fill="F1F1F2"/>
          </w:tcPr>
          <w:p>
            <w:pPr>
              <w:spacing w:after="0"/>
              <w:rPr>
                <w:sz w:val="19"/>
                <w:szCs w:val="19"/>
                <w:color w:val="auto"/>
              </w:rPr>
            </w:pPr>
          </w:p>
        </w:tc>
        <w:tc>
          <w:tcPr>
            <w:tcW w:w="120" w:type="dxa"/>
            <w:vAlign w:val="bottom"/>
            <w:shd w:val="clear" w:color="auto" w:fill="F1F1F2"/>
          </w:tcPr>
          <w:p>
            <w:pPr>
              <w:spacing w:after="0"/>
              <w:rPr>
                <w:sz w:val="19"/>
                <w:szCs w:val="19"/>
                <w:color w:val="auto"/>
              </w:rPr>
            </w:pPr>
          </w:p>
        </w:tc>
        <w:tc>
          <w:tcPr>
            <w:tcW w:w="40" w:type="dxa"/>
            <w:vAlign w:val="bottom"/>
            <w:shd w:val="clear" w:color="auto" w:fill="F1F1F2"/>
          </w:tcPr>
          <w:p>
            <w:pPr>
              <w:spacing w:after="0"/>
              <w:rPr>
                <w:sz w:val="19"/>
                <w:szCs w:val="19"/>
                <w:color w:val="auto"/>
              </w:rPr>
            </w:pPr>
          </w:p>
        </w:tc>
        <w:tc>
          <w:tcPr>
            <w:tcW w:w="3660" w:type="dxa"/>
            <w:vAlign w:val="bottom"/>
            <w:gridSpan w:val="4"/>
            <w:vMerge w:val="continue"/>
            <w:shd w:val="clear" w:color="auto" w:fill="F1F1F2"/>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120" w:type="dxa"/>
            <w:vAlign w:val="bottom"/>
            <w:tcBorders>
              <w:bottom w:val="single" w:sz="8" w:color="0000EE"/>
            </w:tcBorders>
            <w:shd w:val="clear" w:color="auto" w:fill="F1F1F2"/>
          </w:tcPr>
          <w:p>
            <w:pPr>
              <w:jc w:val="right"/>
              <w:spacing w:after="0" w:line="104" w:lineRule="exact"/>
              <w:rPr>
                <w:rFonts w:ascii="Arial" w:cs="Arial" w:eastAsia="Arial" w:hAnsi="Arial"/>
                <w:sz w:val="12"/>
                <w:szCs w:val="12"/>
                <w:color w:val="0000EE"/>
                <w:w w:val="74"/>
              </w:rPr>
            </w:pPr>
            <w:hyperlink w:anchor="page38">
              <w:r>
                <w:rPr>
                  <w:rFonts w:ascii="Arial" w:cs="Arial" w:eastAsia="Arial" w:hAnsi="Arial"/>
                  <w:sz w:val="12"/>
                  <w:szCs w:val="12"/>
                  <w:color w:val="0000EE"/>
                  <w:w w:val="74"/>
                </w:rPr>
                <w:t>20</w:t>
              </w:r>
            </w:hyperlink>
          </w:p>
        </w:tc>
        <w:tc>
          <w:tcPr>
            <w:tcW w:w="20" w:type="dxa"/>
            <w:vAlign w:val="bottom"/>
            <w:tcBorders>
              <w:bottom w:val="single" w:sz="8" w:color="F1F1F2"/>
            </w:tcBorders>
            <w:shd w:val="clear" w:color="auto" w:fill="F1F1F2"/>
          </w:tcPr>
          <w:p>
            <w:pPr>
              <w:spacing w:after="0"/>
              <w:rPr>
                <w:sz w:val="11"/>
                <w:szCs w:val="11"/>
                <w:color w:val="auto"/>
              </w:rPr>
            </w:pPr>
          </w:p>
        </w:tc>
        <w:tc>
          <w:tcPr>
            <w:tcW w:w="1640" w:type="dxa"/>
            <w:vAlign w:val="bottom"/>
            <w:tcBorders>
              <w:bottom w:val="single" w:sz="8" w:color="0000EE"/>
            </w:tcBorders>
            <w:gridSpan w:val="2"/>
            <w:shd w:val="clear" w:color="auto" w:fill="F1F1F2"/>
          </w:tcPr>
          <w:p>
            <w:pPr>
              <w:spacing w:after="0" w:line="104" w:lineRule="exact"/>
              <w:rPr>
                <w:rFonts w:ascii="Arial" w:cs="Arial" w:eastAsia="Arial" w:hAnsi="Arial"/>
                <w:sz w:val="12"/>
                <w:szCs w:val="12"/>
                <w:color w:val="0000EE"/>
              </w:rPr>
            </w:pPr>
            <w:hyperlink w:anchor="page38">
              <w:r>
                <w:rPr>
                  <w:rFonts w:ascii="Arial" w:cs="Arial" w:eastAsia="Arial" w:hAnsi="Arial"/>
                  <w:sz w:val="12"/>
                  <w:szCs w:val="12"/>
                  <w:color w:val="0000EE"/>
                </w:rPr>
                <w:t>Adopt an Advisory Resolution</w:t>
              </w:r>
            </w:hyperlink>
          </w:p>
        </w:tc>
        <w:tc>
          <w:tcPr>
            <w:tcW w:w="2040" w:type="dxa"/>
            <w:vAlign w:val="bottom"/>
            <w:tcBorders>
              <w:bottom w:val="single" w:sz="8" w:color="F1F1F2"/>
            </w:tcBorders>
            <w:gridSpan w:val="4"/>
            <w:shd w:val="clear" w:color="auto" w:fill="F1F1F2"/>
          </w:tcPr>
          <w:p>
            <w:pPr>
              <w:spacing w:after="0"/>
              <w:rPr>
                <w:sz w:val="11"/>
                <w:szCs w:val="11"/>
                <w:color w:val="auto"/>
              </w:rPr>
            </w:pPr>
          </w:p>
        </w:tc>
        <w:tc>
          <w:tcPr>
            <w:tcW w:w="180" w:type="dxa"/>
            <w:vAlign w:val="bottom"/>
            <w:tcBorders>
              <w:bottom w:val="single" w:sz="8" w:color="F1F1F2"/>
            </w:tcBorders>
            <w:shd w:val="clear" w:color="auto" w:fill="F1F1F2"/>
          </w:tcPr>
          <w:p>
            <w:pPr>
              <w:spacing w:after="0"/>
              <w:rPr>
                <w:sz w:val="11"/>
                <w:szCs w:val="11"/>
                <w:color w:val="auto"/>
              </w:rPr>
            </w:pPr>
          </w:p>
        </w:tc>
        <w:tc>
          <w:tcPr>
            <w:tcW w:w="20" w:type="dxa"/>
            <w:vAlign w:val="bottom"/>
            <w:tcBorders>
              <w:bottom w:val="single" w:sz="8" w:color="F1F1F2"/>
            </w:tcBorders>
            <w:shd w:val="clear" w:color="auto" w:fill="F1F1F2"/>
          </w:tcPr>
          <w:p>
            <w:pPr>
              <w:spacing w:after="0"/>
              <w:rPr>
                <w:sz w:val="11"/>
                <w:szCs w:val="11"/>
                <w:color w:val="auto"/>
              </w:rPr>
            </w:pPr>
          </w:p>
        </w:tc>
        <w:tc>
          <w:tcPr>
            <w:tcW w:w="120" w:type="dxa"/>
            <w:vAlign w:val="bottom"/>
            <w:tcBorders>
              <w:bottom w:val="single" w:sz="8" w:color="F1F1F2"/>
            </w:tcBorders>
            <w:shd w:val="clear" w:color="auto" w:fill="F1F1F2"/>
          </w:tcPr>
          <w:p>
            <w:pPr>
              <w:spacing w:after="0"/>
              <w:rPr>
                <w:sz w:val="11"/>
                <w:szCs w:val="11"/>
                <w:color w:val="auto"/>
              </w:rPr>
            </w:pPr>
          </w:p>
        </w:tc>
        <w:tc>
          <w:tcPr>
            <w:tcW w:w="40" w:type="dxa"/>
            <w:vAlign w:val="bottom"/>
            <w:tcBorders>
              <w:bottom w:val="single" w:sz="8" w:color="F1F1F2"/>
            </w:tcBorders>
            <w:shd w:val="clear" w:color="auto" w:fill="F1F1F2"/>
          </w:tcPr>
          <w:p>
            <w:pPr>
              <w:spacing w:after="0"/>
              <w:rPr>
                <w:sz w:val="11"/>
                <w:szCs w:val="11"/>
                <w:color w:val="auto"/>
              </w:rPr>
            </w:pPr>
          </w:p>
        </w:tc>
        <w:tc>
          <w:tcPr>
            <w:tcW w:w="1620" w:type="dxa"/>
            <w:vAlign w:val="bottom"/>
            <w:tcBorders>
              <w:bottom w:val="single" w:sz="8" w:color="F1F1F2"/>
            </w:tcBorders>
            <w:shd w:val="clear" w:color="auto" w:fill="F1F1F2"/>
          </w:tcPr>
          <w:p>
            <w:pPr>
              <w:spacing w:after="0"/>
              <w:rPr>
                <w:sz w:val="11"/>
                <w:szCs w:val="11"/>
                <w:color w:val="auto"/>
              </w:rPr>
            </w:pPr>
          </w:p>
        </w:tc>
        <w:tc>
          <w:tcPr>
            <w:tcW w:w="140" w:type="dxa"/>
            <w:vAlign w:val="bottom"/>
            <w:tcBorders>
              <w:bottom w:val="single" w:sz="8" w:color="F1F1F2"/>
            </w:tcBorders>
            <w:shd w:val="clear" w:color="auto" w:fill="F1F1F2"/>
          </w:tcPr>
          <w:p>
            <w:pPr>
              <w:spacing w:after="0"/>
              <w:rPr>
                <w:sz w:val="11"/>
                <w:szCs w:val="11"/>
                <w:color w:val="auto"/>
              </w:rPr>
            </w:pPr>
          </w:p>
        </w:tc>
        <w:tc>
          <w:tcPr>
            <w:tcW w:w="300" w:type="dxa"/>
            <w:vAlign w:val="bottom"/>
            <w:tcBorders>
              <w:bottom w:val="single" w:sz="8" w:color="F1F1F2"/>
            </w:tcBorders>
            <w:shd w:val="clear" w:color="auto" w:fill="F1F1F2"/>
          </w:tcPr>
          <w:p>
            <w:pPr>
              <w:spacing w:after="0"/>
              <w:rPr>
                <w:sz w:val="11"/>
                <w:szCs w:val="11"/>
                <w:color w:val="auto"/>
              </w:rPr>
            </w:pPr>
          </w:p>
        </w:tc>
        <w:tc>
          <w:tcPr>
            <w:tcW w:w="1600" w:type="dxa"/>
            <w:vAlign w:val="bottom"/>
            <w:tcBorders>
              <w:bottom w:val="single" w:sz="8" w:color="F1F1F2"/>
            </w:tcBorders>
            <w:shd w:val="clear" w:color="auto" w:fill="F1F1F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0" w:type="dxa"/>
            <w:vAlign w:val="bottom"/>
            <w:tcBorders>
              <w:bottom w:val="single" w:sz="8" w:color="auto"/>
            </w:tcBorders>
            <w:shd w:val="clear" w:color="auto" w:fill="F1F1F2"/>
          </w:tcPr>
          <w:p>
            <w:pPr>
              <w:spacing w:after="0"/>
              <w:rPr>
                <w:sz w:val="11"/>
                <w:szCs w:val="11"/>
                <w:color w:val="auto"/>
              </w:rPr>
            </w:pPr>
          </w:p>
        </w:tc>
        <w:tc>
          <w:tcPr>
            <w:tcW w:w="20" w:type="dxa"/>
            <w:vAlign w:val="bottom"/>
            <w:tcBorders>
              <w:bottom w:val="single" w:sz="8" w:color="auto"/>
            </w:tcBorders>
            <w:shd w:val="clear" w:color="auto" w:fill="F1F1F2"/>
          </w:tcPr>
          <w:p>
            <w:pPr>
              <w:spacing w:after="0"/>
              <w:rPr>
                <w:sz w:val="11"/>
                <w:szCs w:val="11"/>
                <w:color w:val="auto"/>
              </w:rPr>
            </w:pPr>
          </w:p>
        </w:tc>
        <w:tc>
          <w:tcPr>
            <w:tcW w:w="3680" w:type="dxa"/>
            <w:vAlign w:val="bottom"/>
            <w:tcBorders>
              <w:bottom w:val="single" w:sz="8" w:color="auto"/>
            </w:tcBorders>
            <w:gridSpan w:val="6"/>
            <w:shd w:val="clear" w:color="auto" w:fill="F1F1F2"/>
          </w:tcPr>
          <w:p>
            <w:pPr>
              <w:spacing w:after="0" w:line="124" w:lineRule="exact"/>
              <w:rPr>
                <w:rFonts w:ascii="Arial" w:cs="Arial" w:eastAsia="Arial" w:hAnsi="Arial"/>
                <w:sz w:val="12"/>
                <w:szCs w:val="12"/>
                <w:color w:val="0000EE"/>
              </w:rPr>
            </w:pPr>
            <w:hyperlink w:anchor="page38">
              <w:r>
                <w:rPr>
                  <w:rFonts w:ascii="Arial" w:cs="Arial" w:eastAsia="Arial" w:hAnsi="Arial"/>
                  <w:sz w:val="12"/>
                  <w:szCs w:val="12"/>
                  <w:color w:val="0000EE"/>
                </w:rPr>
                <w:t>Regarding Executive Compensation</w:t>
              </w:r>
            </w:hyperlink>
          </w:p>
        </w:tc>
        <w:tc>
          <w:tcPr>
            <w:tcW w:w="180" w:type="dxa"/>
            <w:vAlign w:val="bottom"/>
            <w:tcBorders>
              <w:bottom w:val="single" w:sz="8" w:color="F1F1F2"/>
            </w:tcBorders>
            <w:shd w:val="clear" w:color="auto" w:fill="F1F1F2"/>
          </w:tcPr>
          <w:p>
            <w:pPr>
              <w:spacing w:after="0"/>
              <w:rPr>
                <w:sz w:val="11"/>
                <w:szCs w:val="11"/>
                <w:color w:val="auto"/>
              </w:rPr>
            </w:pPr>
          </w:p>
        </w:tc>
        <w:tc>
          <w:tcPr>
            <w:tcW w:w="20" w:type="dxa"/>
            <w:vAlign w:val="bottom"/>
            <w:tcBorders>
              <w:bottom w:val="single" w:sz="8" w:color="F1F1F2"/>
            </w:tcBorders>
            <w:shd w:val="clear" w:color="auto" w:fill="F1F1F2"/>
          </w:tcPr>
          <w:p>
            <w:pPr>
              <w:spacing w:after="0"/>
              <w:rPr>
                <w:sz w:val="11"/>
                <w:szCs w:val="11"/>
                <w:color w:val="auto"/>
              </w:rPr>
            </w:pPr>
          </w:p>
        </w:tc>
        <w:tc>
          <w:tcPr>
            <w:tcW w:w="120" w:type="dxa"/>
            <w:vAlign w:val="bottom"/>
            <w:tcBorders>
              <w:bottom w:val="single" w:sz="8" w:color="F1F1F2"/>
            </w:tcBorders>
            <w:shd w:val="clear" w:color="auto" w:fill="F1F1F2"/>
          </w:tcPr>
          <w:p>
            <w:pPr>
              <w:spacing w:after="0"/>
              <w:rPr>
                <w:sz w:val="11"/>
                <w:szCs w:val="11"/>
                <w:color w:val="auto"/>
              </w:rPr>
            </w:pPr>
          </w:p>
        </w:tc>
        <w:tc>
          <w:tcPr>
            <w:tcW w:w="40" w:type="dxa"/>
            <w:vAlign w:val="bottom"/>
            <w:tcBorders>
              <w:bottom w:val="single" w:sz="8" w:color="F1F1F2"/>
            </w:tcBorders>
            <w:shd w:val="clear" w:color="auto" w:fill="F1F1F2"/>
          </w:tcPr>
          <w:p>
            <w:pPr>
              <w:spacing w:after="0"/>
              <w:rPr>
                <w:sz w:val="11"/>
                <w:szCs w:val="11"/>
                <w:color w:val="auto"/>
              </w:rPr>
            </w:pPr>
          </w:p>
        </w:tc>
        <w:tc>
          <w:tcPr>
            <w:tcW w:w="1620" w:type="dxa"/>
            <w:vAlign w:val="bottom"/>
            <w:tcBorders>
              <w:bottom w:val="single" w:sz="8" w:color="F1F1F2"/>
            </w:tcBorders>
            <w:shd w:val="clear" w:color="auto" w:fill="F1F1F2"/>
          </w:tcPr>
          <w:p>
            <w:pPr>
              <w:spacing w:after="0"/>
              <w:rPr>
                <w:sz w:val="11"/>
                <w:szCs w:val="11"/>
                <w:color w:val="auto"/>
              </w:rPr>
            </w:pPr>
          </w:p>
        </w:tc>
        <w:tc>
          <w:tcPr>
            <w:tcW w:w="140" w:type="dxa"/>
            <w:vAlign w:val="bottom"/>
            <w:tcBorders>
              <w:bottom w:val="single" w:sz="8" w:color="F1F1F2"/>
            </w:tcBorders>
            <w:shd w:val="clear" w:color="auto" w:fill="F1F1F2"/>
          </w:tcPr>
          <w:p>
            <w:pPr>
              <w:spacing w:after="0"/>
              <w:rPr>
                <w:sz w:val="11"/>
                <w:szCs w:val="11"/>
                <w:color w:val="auto"/>
              </w:rPr>
            </w:pPr>
          </w:p>
        </w:tc>
        <w:tc>
          <w:tcPr>
            <w:tcW w:w="300" w:type="dxa"/>
            <w:vAlign w:val="bottom"/>
            <w:tcBorders>
              <w:bottom w:val="single" w:sz="8" w:color="F1F1F2"/>
            </w:tcBorders>
            <w:shd w:val="clear" w:color="auto" w:fill="F1F1F2"/>
          </w:tcPr>
          <w:p>
            <w:pPr>
              <w:spacing w:after="0"/>
              <w:rPr>
                <w:sz w:val="11"/>
                <w:szCs w:val="11"/>
                <w:color w:val="auto"/>
              </w:rPr>
            </w:pPr>
          </w:p>
        </w:tc>
        <w:tc>
          <w:tcPr>
            <w:tcW w:w="1600" w:type="dxa"/>
            <w:vAlign w:val="bottom"/>
            <w:tcBorders>
              <w:bottom w:val="single" w:sz="8" w:color="F1F1F2"/>
            </w:tcBorders>
            <w:shd w:val="clear" w:color="auto" w:fill="F1F1F2"/>
          </w:tcPr>
          <w:p>
            <w:pPr>
              <w:spacing w:after="0"/>
              <w:rPr>
                <w:sz w:val="11"/>
                <w:szCs w:val="11"/>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20" w:type="dxa"/>
            <w:vAlign w:val="bottom"/>
            <w:shd w:val="clear" w:color="auto" w:fill="F1F1F2"/>
          </w:tcPr>
          <w:p>
            <w:pPr>
              <w:spacing w:after="0"/>
              <w:rPr>
                <w:sz w:val="24"/>
                <w:szCs w:val="24"/>
                <w:color w:val="auto"/>
              </w:rPr>
            </w:pPr>
          </w:p>
        </w:tc>
        <w:tc>
          <w:tcPr>
            <w:tcW w:w="20" w:type="dxa"/>
            <w:vAlign w:val="bottom"/>
            <w:shd w:val="clear" w:color="auto" w:fill="F1F1F2"/>
          </w:tcPr>
          <w:p>
            <w:pPr>
              <w:spacing w:after="0"/>
              <w:rPr>
                <w:sz w:val="24"/>
                <w:szCs w:val="24"/>
                <w:color w:val="auto"/>
              </w:rPr>
            </w:pPr>
          </w:p>
        </w:tc>
        <w:tc>
          <w:tcPr>
            <w:tcW w:w="1180" w:type="dxa"/>
            <w:vAlign w:val="bottom"/>
            <w:shd w:val="clear" w:color="auto" w:fill="F1F1F2"/>
          </w:tcPr>
          <w:p>
            <w:pPr>
              <w:spacing w:after="0"/>
              <w:rPr>
                <w:sz w:val="24"/>
                <w:szCs w:val="24"/>
                <w:color w:val="auto"/>
              </w:rPr>
            </w:pPr>
          </w:p>
        </w:tc>
        <w:tc>
          <w:tcPr>
            <w:tcW w:w="460" w:type="dxa"/>
            <w:vAlign w:val="bottom"/>
            <w:shd w:val="clear" w:color="auto" w:fill="F1F1F2"/>
          </w:tcPr>
          <w:p>
            <w:pPr>
              <w:spacing w:after="0"/>
              <w:rPr>
                <w:sz w:val="24"/>
                <w:szCs w:val="24"/>
                <w:color w:val="auto"/>
              </w:rPr>
            </w:pPr>
          </w:p>
        </w:tc>
        <w:tc>
          <w:tcPr>
            <w:tcW w:w="60" w:type="dxa"/>
            <w:vAlign w:val="bottom"/>
            <w:shd w:val="clear" w:color="auto" w:fill="F1F1F2"/>
          </w:tcPr>
          <w:p>
            <w:pPr>
              <w:spacing w:after="0"/>
              <w:rPr>
                <w:sz w:val="24"/>
                <w:szCs w:val="24"/>
                <w:color w:val="auto"/>
              </w:rPr>
            </w:pPr>
          </w:p>
        </w:tc>
        <w:tc>
          <w:tcPr>
            <w:tcW w:w="240" w:type="dxa"/>
            <w:vAlign w:val="bottom"/>
            <w:shd w:val="clear" w:color="auto" w:fill="F1F1F2"/>
          </w:tcPr>
          <w:p>
            <w:pPr>
              <w:spacing w:after="0"/>
              <w:rPr>
                <w:sz w:val="24"/>
                <w:szCs w:val="24"/>
                <w:color w:val="auto"/>
              </w:rPr>
            </w:pPr>
          </w:p>
        </w:tc>
        <w:tc>
          <w:tcPr>
            <w:tcW w:w="60" w:type="dxa"/>
            <w:vAlign w:val="bottom"/>
            <w:shd w:val="clear" w:color="auto" w:fill="F1F1F2"/>
          </w:tcPr>
          <w:p>
            <w:pPr>
              <w:spacing w:after="0"/>
              <w:rPr>
                <w:sz w:val="24"/>
                <w:szCs w:val="24"/>
                <w:color w:val="auto"/>
              </w:rPr>
            </w:pPr>
          </w:p>
        </w:tc>
        <w:tc>
          <w:tcPr>
            <w:tcW w:w="1680" w:type="dxa"/>
            <w:vAlign w:val="bottom"/>
            <w:shd w:val="clear" w:color="auto" w:fill="F1F1F2"/>
          </w:tcPr>
          <w:p>
            <w:pPr>
              <w:spacing w:after="0"/>
              <w:rPr>
                <w:sz w:val="24"/>
                <w:szCs w:val="24"/>
                <w:color w:val="auto"/>
              </w:rPr>
            </w:pPr>
          </w:p>
        </w:tc>
        <w:tc>
          <w:tcPr>
            <w:tcW w:w="4020" w:type="dxa"/>
            <w:vAlign w:val="bottom"/>
            <w:gridSpan w:val="8"/>
            <w:shd w:val="clear" w:color="auto" w:fill="F1F1F2"/>
          </w:tcPr>
          <w:p>
            <w:pPr>
              <w:jc w:val="right"/>
              <w:spacing w:after="0"/>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62"/>
        </w:trPr>
        <w:tc>
          <w:tcPr>
            <w:tcW w:w="14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40" w:type="dxa"/>
            <w:vAlign w:val="bottom"/>
            <w:tcBorders>
              <w:bottom w:val="single" w:sz="8" w:color="auto"/>
            </w:tcBorders>
            <w:gridSpan w:val="2"/>
            <w:shd w:val="clear" w:color="auto" w:fill="F1F1F2"/>
          </w:tcPr>
          <w:p>
            <w:pPr>
              <w:jc w:val="right"/>
              <w:ind w:right="20"/>
              <w:spacing w:after="0"/>
              <w:rPr>
                <w:rFonts w:ascii="Arial" w:cs="Arial" w:eastAsia="Arial" w:hAnsi="Arial"/>
                <w:sz w:val="12"/>
                <w:szCs w:val="12"/>
                <w:color w:val="0000EE"/>
                <w:w w:val="74"/>
              </w:rPr>
            </w:pPr>
            <w:hyperlink w:anchor="page39">
              <w:r>
                <w:rPr>
                  <w:rFonts w:ascii="Arial" w:cs="Arial" w:eastAsia="Arial" w:hAnsi="Arial"/>
                  <w:sz w:val="12"/>
                  <w:szCs w:val="12"/>
                  <w:color w:val="0000EE"/>
                  <w:w w:val="74"/>
                </w:rPr>
                <w:t>21</w:t>
              </w:r>
            </w:hyperlink>
          </w:p>
        </w:tc>
        <w:tc>
          <w:tcPr>
            <w:tcW w:w="3680" w:type="dxa"/>
            <w:vAlign w:val="bottom"/>
            <w:tcBorders>
              <w:bottom w:val="single" w:sz="8" w:color="auto"/>
            </w:tcBorders>
            <w:gridSpan w:val="6"/>
            <w:shd w:val="clear" w:color="auto" w:fill="F1F1F2"/>
          </w:tcPr>
          <w:p>
            <w:pPr>
              <w:spacing w:after="0"/>
              <w:rPr>
                <w:rFonts w:ascii="Arial" w:cs="Arial" w:eastAsia="Arial" w:hAnsi="Arial"/>
                <w:sz w:val="12"/>
                <w:szCs w:val="12"/>
                <w:color w:val="0000EE"/>
              </w:rPr>
            </w:pPr>
            <w:hyperlink w:anchor="page39">
              <w:r>
                <w:rPr>
                  <w:rFonts w:ascii="Arial" w:cs="Arial" w:eastAsia="Arial" w:hAnsi="Arial"/>
                  <w:sz w:val="12"/>
                  <w:szCs w:val="12"/>
                  <w:color w:val="0000EE"/>
                </w:rPr>
                <w:t>Executive Officers</w:t>
              </w:r>
            </w:hyperlink>
          </w:p>
        </w:tc>
        <w:tc>
          <w:tcPr>
            <w:tcW w:w="4020" w:type="dxa"/>
            <w:vAlign w:val="bottom"/>
            <w:tcBorders>
              <w:bottom w:val="single" w:sz="8" w:color="F1F1F2"/>
            </w:tcBorders>
            <w:gridSpan w:val="8"/>
            <w:vMerge w:val="restart"/>
            <w:shd w:val="clear" w:color="auto" w:fill="F1F1F2"/>
          </w:tcPr>
          <w:p>
            <w:pPr>
              <w:jc w:val="right"/>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shd w:val="clear" w:color="auto" w:fill="F1F1F2"/>
          </w:tcPr>
          <w:p>
            <w:pPr>
              <w:spacing w:after="0"/>
              <w:rPr>
                <w:sz w:val="19"/>
                <w:szCs w:val="19"/>
                <w:color w:val="auto"/>
              </w:rPr>
            </w:pPr>
          </w:p>
        </w:tc>
        <w:tc>
          <w:tcPr>
            <w:tcW w:w="20" w:type="dxa"/>
            <w:vAlign w:val="bottom"/>
            <w:shd w:val="clear" w:color="auto" w:fill="F1F1F2"/>
          </w:tcPr>
          <w:p>
            <w:pPr>
              <w:spacing w:after="0"/>
              <w:rPr>
                <w:sz w:val="19"/>
                <w:szCs w:val="19"/>
                <w:color w:val="auto"/>
              </w:rPr>
            </w:pPr>
          </w:p>
        </w:tc>
        <w:tc>
          <w:tcPr>
            <w:tcW w:w="1180" w:type="dxa"/>
            <w:vAlign w:val="bottom"/>
            <w:shd w:val="clear" w:color="auto" w:fill="F1F1F2"/>
          </w:tcPr>
          <w:p>
            <w:pPr>
              <w:spacing w:after="0"/>
              <w:rPr>
                <w:sz w:val="19"/>
                <w:szCs w:val="19"/>
                <w:color w:val="auto"/>
              </w:rPr>
            </w:pPr>
          </w:p>
        </w:tc>
        <w:tc>
          <w:tcPr>
            <w:tcW w:w="460" w:type="dxa"/>
            <w:vAlign w:val="bottom"/>
            <w:shd w:val="clear" w:color="auto" w:fill="F1F1F2"/>
          </w:tcPr>
          <w:p>
            <w:pPr>
              <w:spacing w:after="0"/>
              <w:rPr>
                <w:sz w:val="19"/>
                <w:szCs w:val="19"/>
                <w:color w:val="auto"/>
              </w:rPr>
            </w:pPr>
          </w:p>
        </w:tc>
        <w:tc>
          <w:tcPr>
            <w:tcW w:w="60" w:type="dxa"/>
            <w:vAlign w:val="bottom"/>
            <w:shd w:val="clear" w:color="auto" w:fill="F1F1F2"/>
          </w:tcPr>
          <w:p>
            <w:pPr>
              <w:spacing w:after="0"/>
              <w:rPr>
                <w:sz w:val="19"/>
                <w:szCs w:val="19"/>
                <w:color w:val="auto"/>
              </w:rPr>
            </w:pPr>
          </w:p>
        </w:tc>
        <w:tc>
          <w:tcPr>
            <w:tcW w:w="240" w:type="dxa"/>
            <w:vAlign w:val="bottom"/>
            <w:shd w:val="clear" w:color="auto" w:fill="F1F1F2"/>
          </w:tcPr>
          <w:p>
            <w:pPr>
              <w:spacing w:after="0"/>
              <w:rPr>
                <w:sz w:val="19"/>
                <w:szCs w:val="19"/>
                <w:color w:val="auto"/>
              </w:rPr>
            </w:pPr>
          </w:p>
        </w:tc>
        <w:tc>
          <w:tcPr>
            <w:tcW w:w="60" w:type="dxa"/>
            <w:vAlign w:val="bottom"/>
            <w:shd w:val="clear" w:color="auto" w:fill="F1F1F2"/>
          </w:tcPr>
          <w:p>
            <w:pPr>
              <w:spacing w:after="0"/>
              <w:rPr>
                <w:sz w:val="19"/>
                <w:szCs w:val="19"/>
                <w:color w:val="auto"/>
              </w:rPr>
            </w:pPr>
          </w:p>
        </w:tc>
        <w:tc>
          <w:tcPr>
            <w:tcW w:w="1680" w:type="dxa"/>
            <w:vAlign w:val="bottom"/>
            <w:shd w:val="clear" w:color="auto" w:fill="F1F1F2"/>
          </w:tcPr>
          <w:p>
            <w:pPr>
              <w:spacing w:after="0"/>
              <w:rPr>
                <w:sz w:val="19"/>
                <w:szCs w:val="19"/>
                <w:color w:val="auto"/>
              </w:rPr>
            </w:pPr>
          </w:p>
        </w:tc>
        <w:tc>
          <w:tcPr>
            <w:tcW w:w="4020" w:type="dxa"/>
            <w:vAlign w:val="bottom"/>
            <w:gridSpan w:val="8"/>
            <w:vMerge w:val="continue"/>
            <w:shd w:val="clear" w:color="auto" w:fill="F1F1F2"/>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140" w:type="dxa"/>
            <w:vAlign w:val="bottom"/>
            <w:gridSpan w:val="2"/>
            <w:shd w:val="clear" w:color="auto" w:fill="F1F1F2"/>
          </w:tcPr>
          <w:p>
            <w:pPr>
              <w:jc w:val="right"/>
              <w:ind w:right="20"/>
              <w:spacing w:after="0" w:line="124" w:lineRule="exact"/>
              <w:rPr>
                <w:rFonts w:ascii="Arial" w:cs="Arial" w:eastAsia="Arial" w:hAnsi="Arial"/>
                <w:sz w:val="12"/>
                <w:szCs w:val="12"/>
                <w:color w:val="0000EE"/>
                <w:w w:val="74"/>
              </w:rPr>
            </w:pPr>
            <w:hyperlink w:anchor="page40">
              <w:r>
                <w:rPr>
                  <w:rFonts w:ascii="Arial" w:cs="Arial" w:eastAsia="Arial" w:hAnsi="Arial"/>
                  <w:sz w:val="12"/>
                  <w:szCs w:val="12"/>
                  <w:color w:val="0000EE"/>
                  <w:w w:val="74"/>
                </w:rPr>
                <w:t>22</w:t>
              </w:r>
            </w:hyperlink>
          </w:p>
        </w:tc>
        <w:tc>
          <w:tcPr>
            <w:tcW w:w="3680" w:type="dxa"/>
            <w:vAlign w:val="bottom"/>
            <w:gridSpan w:val="6"/>
            <w:shd w:val="clear" w:color="auto" w:fill="F1F1F2"/>
          </w:tcPr>
          <w:p>
            <w:pPr>
              <w:spacing w:after="0" w:line="124" w:lineRule="exact"/>
              <w:rPr>
                <w:rFonts w:ascii="Arial" w:cs="Arial" w:eastAsia="Arial" w:hAnsi="Arial"/>
                <w:sz w:val="12"/>
                <w:szCs w:val="12"/>
                <w:color w:val="0000EE"/>
              </w:rPr>
            </w:pPr>
            <w:hyperlink w:anchor="page40">
              <w:r>
                <w:rPr>
                  <w:rFonts w:ascii="Arial" w:cs="Arial" w:eastAsia="Arial" w:hAnsi="Arial"/>
                  <w:sz w:val="12"/>
                  <w:szCs w:val="12"/>
                  <w:color w:val="0000EE"/>
                </w:rPr>
                <w:t>Compensation Discussion And</w:t>
              </w:r>
            </w:hyperlink>
          </w:p>
        </w:tc>
        <w:tc>
          <w:tcPr>
            <w:tcW w:w="180" w:type="dxa"/>
            <w:vAlign w:val="bottom"/>
            <w:shd w:val="clear" w:color="auto" w:fill="F1F1F2"/>
          </w:tcPr>
          <w:p>
            <w:pPr>
              <w:spacing w:after="0"/>
              <w:rPr>
                <w:sz w:val="10"/>
                <w:szCs w:val="10"/>
                <w:color w:val="auto"/>
              </w:rPr>
            </w:pPr>
          </w:p>
        </w:tc>
        <w:tc>
          <w:tcPr>
            <w:tcW w:w="3840" w:type="dxa"/>
            <w:vAlign w:val="bottom"/>
            <w:gridSpan w:val="7"/>
            <w:shd w:val="clear" w:color="auto" w:fill="F1F1F2"/>
          </w:tcPr>
          <w:p>
            <w:pPr>
              <w:spacing w:after="0" w:line="124" w:lineRule="exact"/>
              <w:rPr>
                <w:rFonts w:ascii="Arial" w:cs="Arial" w:eastAsia="Arial" w:hAnsi="Arial"/>
                <w:sz w:val="12"/>
                <w:szCs w:val="12"/>
                <w:color w:val="0000EE"/>
              </w:rPr>
            </w:pPr>
            <w:hyperlink w:anchor="page56">
              <w:r>
                <w:rPr>
                  <w:rFonts w:ascii="Arial" w:cs="Arial" w:eastAsia="Arial" w:hAnsi="Arial"/>
                  <w:sz w:val="12"/>
                  <w:szCs w:val="12"/>
                  <w:color w:val="0000EE"/>
                </w:rPr>
                <w:t>38 Potential Payments Upon Termination</w:t>
              </w:r>
            </w:hyperlink>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20" w:type="dxa"/>
            <w:vAlign w:val="bottom"/>
            <w:tcBorders>
              <w:top w:val="single" w:sz="8" w:color="0000EE"/>
              <w:bottom w:val="single" w:sz="8" w:color="auto"/>
            </w:tcBorders>
            <w:shd w:val="clear" w:color="auto" w:fill="F1F1F2"/>
          </w:tcPr>
          <w:p>
            <w:pPr>
              <w:spacing w:after="0"/>
              <w:rPr>
                <w:sz w:val="10"/>
                <w:szCs w:val="10"/>
                <w:color w:val="auto"/>
              </w:rPr>
            </w:pPr>
          </w:p>
        </w:tc>
        <w:tc>
          <w:tcPr>
            <w:tcW w:w="20" w:type="dxa"/>
            <w:vAlign w:val="bottom"/>
            <w:tcBorders>
              <w:top w:val="single" w:sz="8" w:color="F1F1F2"/>
              <w:bottom w:val="single" w:sz="8" w:color="auto"/>
            </w:tcBorders>
            <w:shd w:val="clear" w:color="auto" w:fill="F1F1F2"/>
          </w:tcPr>
          <w:p>
            <w:pPr>
              <w:spacing w:after="0"/>
              <w:rPr>
                <w:sz w:val="10"/>
                <w:szCs w:val="10"/>
                <w:color w:val="auto"/>
              </w:rPr>
            </w:pPr>
          </w:p>
        </w:tc>
        <w:tc>
          <w:tcPr>
            <w:tcW w:w="1700" w:type="dxa"/>
            <w:vAlign w:val="bottom"/>
            <w:tcBorders>
              <w:top w:val="single" w:sz="8" w:color="0000EE"/>
              <w:bottom w:val="single" w:sz="8" w:color="auto"/>
            </w:tcBorders>
            <w:gridSpan w:val="3"/>
            <w:shd w:val="clear" w:color="auto" w:fill="F1F1F2"/>
          </w:tcPr>
          <w:p>
            <w:pPr>
              <w:spacing w:after="0" w:line="117" w:lineRule="exact"/>
              <w:rPr>
                <w:rFonts w:ascii="Arial" w:cs="Arial" w:eastAsia="Arial" w:hAnsi="Arial"/>
                <w:sz w:val="12"/>
                <w:szCs w:val="12"/>
                <w:color w:val="0000EE"/>
              </w:rPr>
            </w:pPr>
            <w:hyperlink w:anchor="page40">
              <w:r>
                <w:rPr>
                  <w:rFonts w:ascii="Arial" w:cs="Arial" w:eastAsia="Arial" w:hAnsi="Arial"/>
                  <w:sz w:val="12"/>
                  <w:szCs w:val="12"/>
                  <w:color w:val="0000EE"/>
                </w:rPr>
                <w:t>Analysis</w:t>
              </w:r>
            </w:hyperlink>
          </w:p>
        </w:tc>
        <w:tc>
          <w:tcPr>
            <w:tcW w:w="300" w:type="dxa"/>
            <w:vAlign w:val="bottom"/>
            <w:tcBorders>
              <w:top w:val="single" w:sz="8" w:color="F1F1F2"/>
              <w:bottom w:val="single" w:sz="8" w:color="auto"/>
            </w:tcBorders>
            <w:gridSpan w:val="2"/>
            <w:shd w:val="clear" w:color="auto" w:fill="F1F1F2"/>
          </w:tcPr>
          <w:p>
            <w:pPr>
              <w:spacing w:after="0"/>
              <w:rPr>
                <w:sz w:val="10"/>
                <w:szCs w:val="10"/>
                <w:color w:val="auto"/>
              </w:rPr>
            </w:pPr>
          </w:p>
        </w:tc>
        <w:tc>
          <w:tcPr>
            <w:tcW w:w="1680" w:type="dxa"/>
            <w:vAlign w:val="bottom"/>
            <w:tcBorders>
              <w:top w:val="single" w:sz="8" w:color="F1F1F2"/>
              <w:bottom w:val="single" w:sz="8" w:color="auto"/>
            </w:tcBorders>
            <w:shd w:val="clear" w:color="auto" w:fill="F1F1F2"/>
          </w:tcPr>
          <w:p>
            <w:pPr>
              <w:spacing w:after="0"/>
              <w:rPr>
                <w:sz w:val="10"/>
                <w:szCs w:val="10"/>
                <w:color w:val="auto"/>
              </w:rPr>
            </w:pPr>
          </w:p>
        </w:tc>
        <w:tc>
          <w:tcPr>
            <w:tcW w:w="180" w:type="dxa"/>
            <w:vAlign w:val="bottom"/>
            <w:tcBorders>
              <w:top w:val="single" w:sz="8" w:color="F1F1F2"/>
              <w:bottom w:val="single" w:sz="8" w:color="F1F1F2"/>
            </w:tcBorders>
            <w:shd w:val="clear" w:color="auto" w:fill="F1F1F2"/>
          </w:tcPr>
          <w:p>
            <w:pPr>
              <w:spacing w:after="0"/>
              <w:rPr>
                <w:sz w:val="10"/>
                <w:szCs w:val="10"/>
                <w:color w:val="auto"/>
              </w:rPr>
            </w:pPr>
          </w:p>
        </w:tc>
        <w:tc>
          <w:tcPr>
            <w:tcW w:w="20" w:type="dxa"/>
            <w:vAlign w:val="bottom"/>
            <w:tcBorders>
              <w:top w:val="single" w:sz="8" w:color="F1F1F2"/>
              <w:bottom w:val="single" w:sz="8" w:color="auto"/>
            </w:tcBorders>
            <w:shd w:val="clear" w:color="auto" w:fill="F1F1F2"/>
          </w:tcPr>
          <w:p>
            <w:pPr>
              <w:spacing w:after="0"/>
              <w:rPr>
                <w:sz w:val="10"/>
                <w:szCs w:val="10"/>
                <w:color w:val="auto"/>
              </w:rPr>
            </w:pPr>
          </w:p>
        </w:tc>
        <w:tc>
          <w:tcPr>
            <w:tcW w:w="120" w:type="dxa"/>
            <w:vAlign w:val="bottom"/>
            <w:tcBorders>
              <w:top w:val="single" w:sz="8" w:color="0000EE"/>
              <w:bottom w:val="single" w:sz="8" w:color="auto"/>
            </w:tcBorders>
            <w:shd w:val="clear" w:color="auto" w:fill="F1F1F2"/>
          </w:tcPr>
          <w:p>
            <w:pPr>
              <w:spacing w:after="0"/>
              <w:rPr>
                <w:sz w:val="10"/>
                <w:szCs w:val="10"/>
                <w:color w:val="auto"/>
              </w:rPr>
            </w:pPr>
          </w:p>
        </w:tc>
        <w:tc>
          <w:tcPr>
            <w:tcW w:w="40" w:type="dxa"/>
            <w:vAlign w:val="bottom"/>
            <w:tcBorders>
              <w:top w:val="single" w:sz="8" w:color="F1F1F2"/>
              <w:bottom w:val="single" w:sz="8" w:color="auto"/>
            </w:tcBorders>
            <w:shd w:val="clear" w:color="auto" w:fill="F1F1F2"/>
          </w:tcPr>
          <w:p>
            <w:pPr>
              <w:spacing w:after="0"/>
              <w:rPr>
                <w:sz w:val="10"/>
                <w:szCs w:val="10"/>
                <w:color w:val="auto"/>
              </w:rPr>
            </w:pPr>
          </w:p>
        </w:tc>
        <w:tc>
          <w:tcPr>
            <w:tcW w:w="2060" w:type="dxa"/>
            <w:vAlign w:val="bottom"/>
            <w:tcBorders>
              <w:top w:val="single" w:sz="8" w:color="0000EE"/>
              <w:bottom w:val="single" w:sz="8" w:color="auto"/>
            </w:tcBorders>
            <w:gridSpan w:val="3"/>
            <w:shd w:val="clear" w:color="auto" w:fill="F1F1F2"/>
          </w:tcPr>
          <w:p>
            <w:pPr>
              <w:spacing w:after="0" w:line="117" w:lineRule="exact"/>
              <w:rPr>
                <w:rFonts w:ascii="Arial" w:cs="Arial" w:eastAsia="Arial" w:hAnsi="Arial"/>
                <w:sz w:val="12"/>
                <w:szCs w:val="12"/>
                <w:color w:val="0000EE"/>
              </w:rPr>
            </w:pPr>
            <w:hyperlink w:anchor="page56">
              <w:r>
                <w:rPr>
                  <w:rFonts w:ascii="Arial" w:cs="Arial" w:eastAsia="Arial" w:hAnsi="Arial"/>
                  <w:sz w:val="12"/>
                  <w:szCs w:val="12"/>
                  <w:color w:val="0000EE"/>
                </w:rPr>
                <w:t>or Change in Control</w:t>
              </w:r>
            </w:hyperlink>
          </w:p>
        </w:tc>
        <w:tc>
          <w:tcPr>
            <w:tcW w:w="1600" w:type="dxa"/>
            <w:vAlign w:val="bottom"/>
            <w:tcBorders>
              <w:top w:val="single" w:sz="8" w:color="F1F1F2"/>
              <w:bottom w:val="single" w:sz="8" w:color="auto"/>
            </w:tcBorders>
            <w:shd w:val="clear" w:color="auto" w:fill="F1F1F2"/>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0" w:type="dxa"/>
            <w:vAlign w:val="bottom"/>
            <w:gridSpan w:val="2"/>
            <w:vMerge w:val="restart"/>
            <w:shd w:val="clear" w:color="auto" w:fill="F1F1F2"/>
          </w:tcPr>
          <w:p>
            <w:pPr>
              <w:jc w:val="right"/>
              <w:ind w:right="20"/>
              <w:spacing w:after="0"/>
              <w:rPr>
                <w:rFonts w:ascii="Arial" w:cs="Arial" w:eastAsia="Arial" w:hAnsi="Arial"/>
                <w:sz w:val="12"/>
                <w:szCs w:val="12"/>
                <w:color w:val="0000EE"/>
                <w:w w:val="74"/>
              </w:rPr>
            </w:pPr>
            <w:hyperlink w:anchor="page52">
              <w:r>
                <w:rPr>
                  <w:rFonts w:ascii="Arial" w:cs="Arial" w:eastAsia="Arial" w:hAnsi="Arial"/>
                  <w:sz w:val="12"/>
                  <w:szCs w:val="12"/>
                  <w:color w:val="0000EE"/>
                  <w:w w:val="74"/>
                </w:rPr>
                <w:t>34</w:t>
              </w:r>
            </w:hyperlink>
          </w:p>
        </w:tc>
        <w:tc>
          <w:tcPr>
            <w:tcW w:w="3680" w:type="dxa"/>
            <w:vAlign w:val="bottom"/>
            <w:gridSpan w:val="6"/>
            <w:vMerge w:val="restart"/>
            <w:shd w:val="clear" w:color="auto" w:fill="F1F1F2"/>
          </w:tcPr>
          <w:p>
            <w:pPr>
              <w:spacing w:after="0"/>
              <w:rPr>
                <w:rFonts w:ascii="Arial" w:cs="Arial" w:eastAsia="Arial" w:hAnsi="Arial"/>
                <w:sz w:val="12"/>
                <w:szCs w:val="12"/>
                <w:color w:val="0000EE"/>
              </w:rPr>
            </w:pPr>
            <w:hyperlink w:anchor="page52">
              <w:r>
                <w:rPr>
                  <w:rFonts w:ascii="Arial" w:cs="Arial" w:eastAsia="Arial" w:hAnsi="Arial"/>
                  <w:sz w:val="12"/>
                  <w:szCs w:val="12"/>
                  <w:color w:val="0000EE"/>
                </w:rPr>
                <w:t>Compensation Committee Report</w:t>
              </w:r>
            </w:hyperlink>
          </w:p>
        </w:tc>
        <w:tc>
          <w:tcPr>
            <w:tcW w:w="180" w:type="dxa"/>
            <w:vAlign w:val="bottom"/>
            <w:shd w:val="clear" w:color="auto" w:fill="F1F1F2"/>
          </w:tcPr>
          <w:p>
            <w:pPr>
              <w:spacing w:after="0"/>
              <w:rPr>
                <w:sz w:val="10"/>
                <w:szCs w:val="10"/>
                <w:color w:val="auto"/>
              </w:rPr>
            </w:pPr>
          </w:p>
        </w:tc>
        <w:tc>
          <w:tcPr>
            <w:tcW w:w="3840" w:type="dxa"/>
            <w:vAlign w:val="bottom"/>
            <w:gridSpan w:val="7"/>
            <w:shd w:val="clear" w:color="auto" w:fill="F1F1F2"/>
          </w:tcPr>
          <w:p>
            <w:pPr>
              <w:spacing w:after="0" w:line="124" w:lineRule="exact"/>
              <w:rPr>
                <w:rFonts w:ascii="Arial" w:cs="Arial" w:eastAsia="Arial" w:hAnsi="Arial"/>
                <w:sz w:val="12"/>
                <w:szCs w:val="12"/>
                <w:color w:val="0000EE"/>
              </w:rPr>
            </w:pPr>
            <w:hyperlink w:anchor="page60">
              <w:r>
                <w:rPr>
                  <w:rFonts w:ascii="Arial" w:cs="Arial" w:eastAsia="Arial" w:hAnsi="Arial"/>
                  <w:sz w:val="12"/>
                  <w:szCs w:val="12"/>
                  <w:color w:val="0000EE"/>
                </w:rPr>
                <w:t>42 Outstanding Equity Awards at</w:t>
              </w:r>
            </w:hyperlink>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40" w:type="dxa"/>
            <w:vAlign w:val="bottom"/>
            <w:tcBorders>
              <w:top w:val="single" w:sz="8" w:color="F1F1F2"/>
              <w:bottom w:val="single" w:sz="8" w:color="auto"/>
            </w:tcBorders>
            <w:gridSpan w:val="2"/>
            <w:vMerge w:val="continue"/>
            <w:shd w:val="clear" w:color="auto" w:fill="F1F1F2"/>
          </w:tcPr>
          <w:p>
            <w:pPr>
              <w:spacing w:after="0"/>
              <w:rPr>
                <w:sz w:val="10"/>
                <w:szCs w:val="10"/>
                <w:color w:val="auto"/>
              </w:rPr>
            </w:pPr>
          </w:p>
        </w:tc>
        <w:tc>
          <w:tcPr>
            <w:tcW w:w="3680" w:type="dxa"/>
            <w:vAlign w:val="bottom"/>
            <w:tcBorders>
              <w:top w:val="single" w:sz="8" w:color="F1F1F2"/>
              <w:bottom w:val="single" w:sz="8" w:color="auto"/>
            </w:tcBorders>
            <w:gridSpan w:val="6"/>
            <w:vMerge w:val="continue"/>
            <w:shd w:val="clear" w:color="auto" w:fill="F1F1F2"/>
          </w:tcPr>
          <w:p>
            <w:pPr>
              <w:spacing w:after="0"/>
              <w:rPr>
                <w:sz w:val="10"/>
                <w:szCs w:val="10"/>
                <w:color w:val="auto"/>
              </w:rPr>
            </w:pPr>
          </w:p>
        </w:tc>
        <w:tc>
          <w:tcPr>
            <w:tcW w:w="180" w:type="dxa"/>
            <w:vAlign w:val="bottom"/>
            <w:tcBorders>
              <w:top w:val="single" w:sz="8" w:color="F1F1F2"/>
              <w:bottom w:val="single" w:sz="8" w:color="F1F1F2"/>
            </w:tcBorders>
            <w:shd w:val="clear" w:color="auto" w:fill="F1F1F2"/>
          </w:tcPr>
          <w:p>
            <w:pPr>
              <w:spacing w:after="0"/>
              <w:rPr>
                <w:sz w:val="10"/>
                <w:szCs w:val="10"/>
                <w:color w:val="auto"/>
              </w:rPr>
            </w:pPr>
          </w:p>
        </w:tc>
        <w:tc>
          <w:tcPr>
            <w:tcW w:w="20" w:type="dxa"/>
            <w:vAlign w:val="bottom"/>
            <w:tcBorders>
              <w:top w:val="single" w:sz="8" w:color="0000EE"/>
              <w:bottom w:val="single" w:sz="8" w:color="auto"/>
            </w:tcBorders>
            <w:shd w:val="clear" w:color="auto" w:fill="F1F1F2"/>
          </w:tcPr>
          <w:p>
            <w:pPr>
              <w:spacing w:after="0"/>
              <w:rPr>
                <w:sz w:val="10"/>
                <w:szCs w:val="10"/>
                <w:color w:val="auto"/>
              </w:rPr>
            </w:pPr>
          </w:p>
        </w:tc>
        <w:tc>
          <w:tcPr>
            <w:tcW w:w="120" w:type="dxa"/>
            <w:vAlign w:val="bottom"/>
            <w:tcBorders>
              <w:top w:val="single" w:sz="8" w:color="0000EE"/>
              <w:bottom w:val="single" w:sz="8" w:color="auto"/>
            </w:tcBorders>
            <w:shd w:val="clear" w:color="auto" w:fill="F1F1F2"/>
          </w:tcPr>
          <w:p>
            <w:pPr>
              <w:spacing w:after="0"/>
              <w:rPr>
                <w:sz w:val="10"/>
                <w:szCs w:val="10"/>
                <w:color w:val="auto"/>
              </w:rPr>
            </w:pPr>
          </w:p>
        </w:tc>
        <w:tc>
          <w:tcPr>
            <w:tcW w:w="40" w:type="dxa"/>
            <w:vAlign w:val="bottom"/>
            <w:tcBorders>
              <w:top w:val="single" w:sz="8" w:color="F1F1F2"/>
              <w:bottom w:val="single" w:sz="8" w:color="auto"/>
            </w:tcBorders>
            <w:shd w:val="clear" w:color="auto" w:fill="F1F1F2"/>
          </w:tcPr>
          <w:p>
            <w:pPr>
              <w:spacing w:after="0"/>
              <w:rPr>
                <w:sz w:val="10"/>
                <w:szCs w:val="10"/>
                <w:color w:val="auto"/>
              </w:rPr>
            </w:pPr>
          </w:p>
        </w:tc>
        <w:tc>
          <w:tcPr>
            <w:tcW w:w="1620" w:type="dxa"/>
            <w:vAlign w:val="bottom"/>
            <w:tcBorders>
              <w:top w:val="single" w:sz="8" w:color="0000EE"/>
              <w:bottom w:val="single" w:sz="8" w:color="auto"/>
            </w:tcBorders>
            <w:shd w:val="clear" w:color="auto" w:fill="F1F1F2"/>
          </w:tcPr>
          <w:p>
            <w:pPr>
              <w:spacing w:after="0" w:line="117" w:lineRule="exact"/>
              <w:rPr>
                <w:rFonts w:ascii="Arial" w:cs="Arial" w:eastAsia="Arial" w:hAnsi="Arial"/>
                <w:sz w:val="12"/>
                <w:szCs w:val="12"/>
                <w:color w:val="0000EE"/>
              </w:rPr>
            </w:pPr>
            <w:hyperlink w:anchor="page60">
              <w:r>
                <w:rPr>
                  <w:rFonts w:ascii="Arial" w:cs="Arial" w:eastAsia="Arial" w:hAnsi="Arial"/>
                  <w:sz w:val="12"/>
                  <w:szCs w:val="12"/>
                  <w:color w:val="0000EE"/>
                </w:rPr>
                <w:t>December 31, 2013</w:t>
              </w:r>
            </w:hyperlink>
          </w:p>
        </w:tc>
        <w:tc>
          <w:tcPr>
            <w:tcW w:w="140" w:type="dxa"/>
            <w:vAlign w:val="bottom"/>
            <w:tcBorders>
              <w:top w:val="single" w:sz="8" w:color="F1F1F2"/>
              <w:bottom w:val="single" w:sz="8" w:color="auto"/>
            </w:tcBorders>
            <w:shd w:val="clear" w:color="auto" w:fill="F1F1F2"/>
          </w:tcPr>
          <w:p>
            <w:pPr>
              <w:spacing w:after="0"/>
              <w:rPr>
                <w:sz w:val="10"/>
                <w:szCs w:val="10"/>
                <w:color w:val="auto"/>
              </w:rPr>
            </w:pPr>
          </w:p>
        </w:tc>
        <w:tc>
          <w:tcPr>
            <w:tcW w:w="1900" w:type="dxa"/>
            <w:vAlign w:val="bottom"/>
            <w:tcBorders>
              <w:top w:val="single" w:sz="8" w:color="F1F1F2"/>
              <w:bottom w:val="single" w:sz="8" w:color="auto"/>
            </w:tcBorders>
            <w:gridSpan w:val="2"/>
            <w:shd w:val="clear" w:color="auto" w:fill="F1F1F2"/>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0" w:type="dxa"/>
            <w:vAlign w:val="bottom"/>
            <w:gridSpan w:val="2"/>
            <w:shd w:val="clear" w:color="auto" w:fill="F1F1F2"/>
          </w:tcPr>
          <w:p>
            <w:pPr>
              <w:jc w:val="right"/>
              <w:ind w:right="20"/>
              <w:spacing w:after="0" w:line="124" w:lineRule="exact"/>
              <w:rPr>
                <w:rFonts w:ascii="Arial" w:cs="Arial" w:eastAsia="Arial" w:hAnsi="Arial"/>
                <w:sz w:val="12"/>
                <w:szCs w:val="12"/>
                <w:color w:val="0000EE"/>
                <w:w w:val="74"/>
              </w:rPr>
            </w:pPr>
            <w:hyperlink w:anchor="page52">
              <w:r>
                <w:rPr>
                  <w:rFonts w:ascii="Arial" w:cs="Arial" w:eastAsia="Arial" w:hAnsi="Arial"/>
                  <w:sz w:val="12"/>
                  <w:szCs w:val="12"/>
                  <w:color w:val="0000EE"/>
                  <w:w w:val="74"/>
                </w:rPr>
                <w:t>34</w:t>
              </w:r>
            </w:hyperlink>
          </w:p>
        </w:tc>
        <w:tc>
          <w:tcPr>
            <w:tcW w:w="3680" w:type="dxa"/>
            <w:vAlign w:val="bottom"/>
            <w:gridSpan w:val="6"/>
            <w:shd w:val="clear" w:color="auto" w:fill="F1F1F2"/>
          </w:tcPr>
          <w:p>
            <w:pPr>
              <w:spacing w:after="0" w:line="124" w:lineRule="exact"/>
              <w:rPr>
                <w:rFonts w:ascii="Arial" w:cs="Arial" w:eastAsia="Arial" w:hAnsi="Arial"/>
                <w:sz w:val="12"/>
                <w:szCs w:val="12"/>
                <w:color w:val="0000EE"/>
              </w:rPr>
            </w:pPr>
            <w:hyperlink w:anchor="page52">
              <w:r>
                <w:rPr>
                  <w:rFonts w:ascii="Arial" w:cs="Arial" w:eastAsia="Arial" w:hAnsi="Arial"/>
                  <w:sz w:val="12"/>
                  <w:szCs w:val="12"/>
                  <w:color w:val="0000EE"/>
                </w:rPr>
                <w:t>Compensation Committee Interlocks</w:t>
              </w:r>
            </w:hyperlink>
          </w:p>
        </w:tc>
        <w:tc>
          <w:tcPr>
            <w:tcW w:w="180" w:type="dxa"/>
            <w:vAlign w:val="bottom"/>
            <w:shd w:val="clear" w:color="auto" w:fill="F1F1F2"/>
          </w:tcPr>
          <w:p>
            <w:pPr>
              <w:spacing w:after="0"/>
              <w:rPr>
                <w:sz w:val="10"/>
                <w:szCs w:val="10"/>
                <w:color w:val="auto"/>
              </w:rPr>
            </w:pPr>
          </w:p>
        </w:tc>
        <w:tc>
          <w:tcPr>
            <w:tcW w:w="3840" w:type="dxa"/>
            <w:vAlign w:val="bottom"/>
            <w:gridSpan w:val="7"/>
            <w:shd w:val="clear" w:color="auto" w:fill="F1F1F2"/>
          </w:tcPr>
          <w:p>
            <w:pPr>
              <w:spacing w:after="0" w:line="124" w:lineRule="exact"/>
              <w:rPr>
                <w:rFonts w:ascii="Arial" w:cs="Arial" w:eastAsia="Arial" w:hAnsi="Arial"/>
                <w:sz w:val="12"/>
                <w:szCs w:val="12"/>
                <w:color w:val="0000EE"/>
              </w:rPr>
            </w:pPr>
            <w:hyperlink w:anchor="page61">
              <w:r>
                <w:rPr>
                  <w:rFonts w:ascii="Arial" w:cs="Arial" w:eastAsia="Arial" w:hAnsi="Arial"/>
                  <w:sz w:val="12"/>
                  <w:szCs w:val="12"/>
                  <w:color w:val="0000EE"/>
                </w:rPr>
                <w:t>43 Option Exercises and Restricted</w:t>
              </w:r>
            </w:hyperlink>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20" w:type="dxa"/>
            <w:vAlign w:val="bottom"/>
            <w:tcBorders>
              <w:top w:val="single" w:sz="8" w:color="0000EE"/>
              <w:bottom w:val="single" w:sz="8" w:color="auto"/>
            </w:tcBorders>
            <w:shd w:val="clear" w:color="auto" w:fill="F1F1F2"/>
          </w:tcPr>
          <w:p>
            <w:pPr>
              <w:spacing w:after="0"/>
              <w:rPr>
                <w:sz w:val="10"/>
                <w:szCs w:val="10"/>
                <w:color w:val="auto"/>
              </w:rPr>
            </w:pPr>
          </w:p>
        </w:tc>
        <w:tc>
          <w:tcPr>
            <w:tcW w:w="20" w:type="dxa"/>
            <w:vAlign w:val="bottom"/>
            <w:tcBorders>
              <w:top w:val="single" w:sz="8" w:color="F1F1F2"/>
              <w:bottom w:val="single" w:sz="8" w:color="auto"/>
            </w:tcBorders>
            <w:shd w:val="clear" w:color="auto" w:fill="F1F1F2"/>
          </w:tcPr>
          <w:p>
            <w:pPr>
              <w:spacing w:after="0"/>
              <w:rPr>
                <w:sz w:val="10"/>
                <w:szCs w:val="10"/>
                <w:color w:val="auto"/>
              </w:rPr>
            </w:pPr>
          </w:p>
        </w:tc>
        <w:tc>
          <w:tcPr>
            <w:tcW w:w="2000" w:type="dxa"/>
            <w:vAlign w:val="bottom"/>
            <w:tcBorders>
              <w:top w:val="single" w:sz="8" w:color="0000EE"/>
              <w:bottom w:val="single" w:sz="8" w:color="auto"/>
            </w:tcBorders>
            <w:gridSpan w:val="5"/>
            <w:shd w:val="clear" w:color="auto" w:fill="F1F1F2"/>
          </w:tcPr>
          <w:p>
            <w:pPr>
              <w:spacing w:after="0" w:line="117" w:lineRule="exact"/>
              <w:rPr>
                <w:rFonts w:ascii="Arial" w:cs="Arial" w:eastAsia="Arial" w:hAnsi="Arial"/>
                <w:sz w:val="12"/>
                <w:szCs w:val="12"/>
                <w:color w:val="0000EE"/>
              </w:rPr>
            </w:pPr>
            <w:hyperlink w:anchor="page52">
              <w:r>
                <w:rPr>
                  <w:rFonts w:ascii="Arial" w:cs="Arial" w:eastAsia="Arial" w:hAnsi="Arial"/>
                  <w:sz w:val="12"/>
                  <w:szCs w:val="12"/>
                  <w:color w:val="0000EE"/>
                </w:rPr>
                <w:t>and Insider Participation</w:t>
              </w:r>
            </w:hyperlink>
          </w:p>
        </w:tc>
        <w:tc>
          <w:tcPr>
            <w:tcW w:w="1680" w:type="dxa"/>
            <w:vAlign w:val="bottom"/>
            <w:tcBorders>
              <w:top w:val="single" w:sz="8" w:color="F1F1F2"/>
              <w:bottom w:val="single" w:sz="8" w:color="auto"/>
            </w:tcBorders>
            <w:shd w:val="clear" w:color="auto" w:fill="F1F1F2"/>
          </w:tcPr>
          <w:p>
            <w:pPr>
              <w:spacing w:after="0"/>
              <w:rPr>
                <w:sz w:val="10"/>
                <w:szCs w:val="10"/>
                <w:color w:val="auto"/>
              </w:rPr>
            </w:pPr>
          </w:p>
        </w:tc>
        <w:tc>
          <w:tcPr>
            <w:tcW w:w="180" w:type="dxa"/>
            <w:vAlign w:val="bottom"/>
            <w:tcBorders>
              <w:top w:val="single" w:sz="8" w:color="F1F1F2"/>
              <w:bottom w:val="single" w:sz="8" w:color="F1F1F2"/>
            </w:tcBorders>
            <w:shd w:val="clear" w:color="auto" w:fill="F1F1F2"/>
          </w:tcPr>
          <w:p>
            <w:pPr>
              <w:spacing w:after="0"/>
              <w:rPr>
                <w:sz w:val="10"/>
                <w:szCs w:val="10"/>
                <w:color w:val="auto"/>
              </w:rPr>
            </w:pPr>
          </w:p>
        </w:tc>
        <w:tc>
          <w:tcPr>
            <w:tcW w:w="20" w:type="dxa"/>
            <w:vAlign w:val="bottom"/>
            <w:tcBorders>
              <w:top w:val="single" w:sz="8" w:color="0000EE"/>
              <w:bottom w:val="single" w:sz="8" w:color="auto"/>
            </w:tcBorders>
            <w:shd w:val="clear" w:color="auto" w:fill="F1F1F2"/>
          </w:tcPr>
          <w:p>
            <w:pPr>
              <w:spacing w:after="0"/>
              <w:rPr>
                <w:sz w:val="10"/>
                <w:szCs w:val="10"/>
                <w:color w:val="auto"/>
              </w:rPr>
            </w:pPr>
          </w:p>
        </w:tc>
        <w:tc>
          <w:tcPr>
            <w:tcW w:w="120" w:type="dxa"/>
            <w:vAlign w:val="bottom"/>
            <w:tcBorders>
              <w:top w:val="single" w:sz="8" w:color="0000EE"/>
              <w:bottom w:val="single" w:sz="8" w:color="auto"/>
            </w:tcBorders>
            <w:shd w:val="clear" w:color="auto" w:fill="F1F1F2"/>
          </w:tcPr>
          <w:p>
            <w:pPr>
              <w:spacing w:after="0"/>
              <w:rPr>
                <w:sz w:val="10"/>
                <w:szCs w:val="10"/>
                <w:color w:val="auto"/>
              </w:rPr>
            </w:pPr>
          </w:p>
        </w:tc>
        <w:tc>
          <w:tcPr>
            <w:tcW w:w="40" w:type="dxa"/>
            <w:vAlign w:val="bottom"/>
            <w:tcBorders>
              <w:top w:val="single" w:sz="8" w:color="F1F1F2"/>
              <w:bottom w:val="single" w:sz="8" w:color="auto"/>
            </w:tcBorders>
            <w:shd w:val="clear" w:color="auto" w:fill="F1F1F2"/>
          </w:tcPr>
          <w:p>
            <w:pPr>
              <w:spacing w:after="0"/>
              <w:rPr>
                <w:sz w:val="10"/>
                <w:szCs w:val="10"/>
                <w:color w:val="auto"/>
              </w:rPr>
            </w:pPr>
          </w:p>
        </w:tc>
        <w:tc>
          <w:tcPr>
            <w:tcW w:w="1760" w:type="dxa"/>
            <w:vAlign w:val="bottom"/>
            <w:tcBorders>
              <w:top w:val="single" w:sz="8" w:color="0000EE"/>
              <w:bottom w:val="single" w:sz="8" w:color="auto"/>
            </w:tcBorders>
            <w:gridSpan w:val="2"/>
            <w:shd w:val="clear" w:color="auto" w:fill="F1F1F2"/>
          </w:tcPr>
          <w:p>
            <w:pPr>
              <w:spacing w:after="0" w:line="117" w:lineRule="exact"/>
              <w:rPr>
                <w:rFonts w:ascii="Arial" w:cs="Arial" w:eastAsia="Arial" w:hAnsi="Arial"/>
                <w:sz w:val="12"/>
                <w:szCs w:val="12"/>
                <w:color w:val="0000EE"/>
              </w:rPr>
            </w:pPr>
            <w:hyperlink w:anchor="page61">
              <w:r>
                <w:rPr>
                  <w:rFonts w:ascii="Arial" w:cs="Arial" w:eastAsia="Arial" w:hAnsi="Arial"/>
                  <w:sz w:val="12"/>
                  <w:szCs w:val="12"/>
                  <w:color w:val="0000EE"/>
                </w:rPr>
                <w:t>Shares/Units Vested in 2013</w:t>
              </w:r>
            </w:hyperlink>
          </w:p>
        </w:tc>
        <w:tc>
          <w:tcPr>
            <w:tcW w:w="1900" w:type="dxa"/>
            <w:vAlign w:val="bottom"/>
            <w:tcBorders>
              <w:top w:val="single" w:sz="8" w:color="F1F1F2"/>
              <w:bottom w:val="single" w:sz="8" w:color="auto"/>
            </w:tcBorders>
            <w:gridSpan w:val="2"/>
            <w:shd w:val="clear" w:color="auto" w:fill="F1F1F2"/>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 w:type="dxa"/>
            <w:vAlign w:val="bottom"/>
            <w:tcBorders>
              <w:bottom w:val="single" w:sz="8" w:color="auto"/>
            </w:tcBorders>
            <w:gridSpan w:val="2"/>
            <w:shd w:val="clear" w:color="auto" w:fill="F1F1F2"/>
          </w:tcPr>
          <w:p>
            <w:pPr>
              <w:jc w:val="right"/>
              <w:ind w:right="20"/>
              <w:spacing w:after="0"/>
              <w:rPr>
                <w:rFonts w:ascii="Arial" w:cs="Arial" w:eastAsia="Arial" w:hAnsi="Arial"/>
                <w:sz w:val="12"/>
                <w:szCs w:val="12"/>
                <w:color w:val="0000EE"/>
                <w:w w:val="74"/>
              </w:rPr>
            </w:pPr>
            <w:hyperlink w:anchor="page53">
              <w:r>
                <w:rPr>
                  <w:rFonts w:ascii="Arial" w:cs="Arial" w:eastAsia="Arial" w:hAnsi="Arial"/>
                  <w:sz w:val="12"/>
                  <w:szCs w:val="12"/>
                  <w:color w:val="0000EE"/>
                  <w:w w:val="74"/>
                </w:rPr>
                <w:t>35</w:t>
              </w:r>
            </w:hyperlink>
          </w:p>
        </w:tc>
        <w:tc>
          <w:tcPr>
            <w:tcW w:w="3680" w:type="dxa"/>
            <w:vAlign w:val="bottom"/>
            <w:tcBorders>
              <w:bottom w:val="single" w:sz="8" w:color="auto"/>
            </w:tcBorders>
            <w:gridSpan w:val="6"/>
            <w:shd w:val="clear" w:color="auto" w:fill="F1F1F2"/>
          </w:tcPr>
          <w:p>
            <w:pPr>
              <w:spacing w:after="0"/>
              <w:rPr>
                <w:rFonts w:ascii="Arial" w:cs="Arial" w:eastAsia="Arial" w:hAnsi="Arial"/>
                <w:sz w:val="12"/>
                <w:szCs w:val="12"/>
                <w:color w:val="0000EE"/>
              </w:rPr>
            </w:pPr>
            <w:hyperlink w:anchor="page53">
              <w:r>
                <w:rPr>
                  <w:rFonts w:ascii="Arial" w:cs="Arial" w:eastAsia="Arial" w:hAnsi="Arial"/>
                  <w:sz w:val="12"/>
                  <w:szCs w:val="12"/>
                  <w:color w:val="0000EE"/>
                </w:rPr>
                <w:t>Summary Compensation Table</w:t>
              </w:r>
            </w:hyperlink>
          </w:p>
        </w:tc>
        <w:tc>
          <w:tcPr>
            <w:tcW w:w="180" w:type="dxa"/>
            <w:vAlign w:val="bottom"/>
            <w:tcBorders>
              <w:bottom w:val="single" w:sz="8" w:color="F1F1F2"/>
            </w:tcBorders>
            <w:shd w:val="clear" w:color="auto" w:fill="F1F1F2"/>
          </w:tcPr>
          <w:p>
            <w:pPr>
              <w:spacing w:after="0"/>
              <w:rPr>
                <w:sz w:val="17"/>
                <w:szCs w:val="17"/>
                <w:color w:val="auto"/>
              </w:rPr>
            </w:pPr>
          </w:p>
        </w:tc>
        <w:tc>
          <w:tcPr>
            <w:tcW w:w="140" w:type="dxa"/>
            <w:vAlign w:val="bottom"/>
            <w:tcBorders>
              <w:bottom w:val="single" w:sz="8" w:color="auto"/>
            </w:tcBorders>
            <w:gridSpan w:val="2"/>
            <w:shd w:val="clear" w:color="auto" w:fill="F1F1F2"/>
          </w:tcPr>
          <w:p>
            <w:pPr>
              <w:spacing w:after="0"/>
              <w:rPr>
                <w:rFonts w:ascii="Arial" w:cs="Arial" w:eastAsia="Arial" w:hAnsi="Arial"/>
                <w:sz w:val="12"/>
                <w:szCs w:val="12"/>
                <w:color w:val="0000EE"/>
                <w:w w:val="89"/>
              </w:rPr>
            </w:pPr>
            <w:hyperlink w:anchor="page62">
              <w:r>
                <w:rPr>
                  <w:rFonts w:ascii="Arial" w:cs="Arial" w:eastAsia="Arial" w:hAnsi="Arial"/>
                  <w:sz w:val="12"/>
                  <w:szCs w:val="12"/>
                  <w:color w:val="0000EE"/>
                  <w:w w:val="89"/>
                </w:rPr>
                <w:t>44</w:t>
              </w:r>
            </w:hyperlink>
          </w:p>
        </w:tc>
        <w:tc>
          <w:tcPr>
            <w:tcW w:w="40" w:type="dxa"/>
            <w:vAlign w:val="bottom"/>
            <w:tcBorders>
              <w:bottom w:val="single" w:sz="8" w:color="auto"/>
            </w:tcBorders>
            <w:shd w:val="clear" w:color="auto" w:fill="F1F1F2"/>
          </w:tcPr>
          <w:p>
            <w:pPr>
              <w:spacing w:after="0"/>
              <w:rPr>
                <w:sz w:val="17"/>
                <w:szCs w:val="17"/>
                <w:color w:val="auto"/>
              </w:rPr>
            </w:pPr>
          </w:p>
        </w:tc>
        <w:tc>
          <w:tcPr>
            <w:tcW w:w="3660" w:type="dxa"/>
            <w:vAlign w:val="bottom"/>
            <w:tcBorders>
              <w:bottom w:val="single" w:sz="8" w:color="auto"/>
            </w:tcBorders>
            <w:gridSpan w:val="4"/>
            <w:shd w:val="clear" w:color="auto" w:fill="F1F1F2"/>
          </w:tcPr>
          <w:p>
            <w:pPr>
              <w:spacing w:after="0"/>
              <w:rPr>
                <w:rFonts w:ascii="Arial" w:cs="Arial" w:eastAsia="Arial" w:hAnsi="Arial"/>
                <w:sz w:val="12"/>
                <w:szCs w:val="12"/>
                <w:color w:val="0000EE"/>
              </w:rPr>
            </w:pPr>
            <w:hyperlink w:anchor="page62">
              <w:r>
                <w:rPr>
                  <w:rFonts w:ascii="Arial" w:cs="Arial" w:eastAsia="Arial" w:hAnsi="Arial"/>
                  <w:sz w:val="12"/>
                  <w:szCs w:val="12"/>
                  <w:color w:val="0000EE"/>
                </w:rPr>
                <w:t>Pension Benefits</w:t>
              </w:r>
            </w:hyperlink>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 w:type="dxa"/>
            <w:vAlign w:val="bottom"/>
            <w:tcBorders>
              <w:bottom w:val="single" w:sz="8" w:color="auto"/>
            </w:tcBorders>
            <w:gridSpan w:val="2"/>
            <w:shd w:val="clear" w:color="auto" w:fill="F1F1F2"/>
          </w:tcPr>
          <w:p>
            <w:pPr>
              <w:jc w:val="right"/>
              <w:ind w:right="20"/>
              <w:spacing w:after="0"/>
              <w:rPr>
                <w:rFonts w:ascii="Arial" w:cs="Arial" w:eastAsia="Arial" w:hAnsi="Arial"/>
                <w:sz w:val="12"/>
                <w:szCs w:val="12"/>
                <w:color w:val="0000EE"/>
                <w:w w:val="74"/>
              </w:rPr>
            </w:pPr>
            <w:hyperlink w:anchor="page55">
              <w:r>
                <w:rPr>
                  <w:rFonts w:ascii="Arial" w:cs="Arial" w:eastAsia="Arial" w:hAnsi="Arial"/>
                  <w:sz w:val="12"/>
                  <w:szCs w:val="12"/>
                  <w:color w:val="0000EE"/>
                  <w:w w:val="74"/>
                </w:rPr>
                <w:t>37</w:t>
              </w:r>
            </w:hyperlink>
          </w:p>
        </w:tc>
        <w:tc>
          <w:tcPr>
            <w:tcW w:w="3680" w:type="dxa"/>
            <w:vAlign w:val="bottom"/>
            <w:tcBorders>
              <w:bottom w:val="single" w:sz="8" w:color="auto"/>
            </w:tcBorders>
            <w:gridSpan w:val="6"/>
            <w:shd w:val="clear" w:color="auto" w:fill="F1F1F2"/>
          </w:tcPr>
          <w:p>
            <w:pPr>
              <w:spacing w:after="0"/>
              <w:rPr>
                <w:rFonts w:ascii="Arial" w:cs="Arial" w:eastAsia="Arial" w:hAnsi="Arial"/>
                <w:sz w:val="12"/>
                <w:szCs w:val="12"/>
                <w:color w:val="0000EE"/>
              </w:rPr>
            </w:pPr>
            <w:hyperlink w:anchor="page55">
              <w:r>
                <w:rPr>
                  <w:rFonts w:ascii="Arial" w:cs="Arial" w:eastAsia="Arial" w:hAnsi="Arial"/>
                  <w:sz w:val="12"/>
                  <w:szCs w:val="12"/>
                  <w:color w:val="0000EE"/>
                </w:rPr>
                <w:t>Grants of Plan-Based Awards in 2013</w:t>
              </w:r>
            </w:hyperlink>
          </w:p>
        </w:tc>
        <w:tc>
          <w:tcPr>
            <w:tcW w:w="180" w:type="dxa"/>
            <w:vAlign w:val="bottom"/>
            <w:tcBorders>
              <w:bottom w:val="single" w:sz="8" w:color="F1F1F2"/>
            </w:tcBorders>
            <w:shd w:val="clear" w:color="auto" w:fill="F1F1F2"/>
          </w:tcPr>
          <w:p>
            <w:pPr>
              <w:spacing w:after="0"/>
              <w:rPr>
                <w:sz w:val="17"/>
                <w:szCs w:val="17"/>
                <w:color w:val="auto"/>
              </w:rPr>
            </w:pPr>
          </w:p>
        </w:tc>
        <w:tc>
          <w:tcPr>
            <w:tcW w:w="140" w:type="dxa"/>
            <w:vAlign w:val="bottom"/>
            <w:tcBorders>
              <w:bottom w:val="single" w:sz="8" w:color="auto"/>
            </w:tcBorders>
            <w:gridSpan w:val="2"/>
            <w:shd w:val="clear" w:color="auto" w:fill="F1F1F2"/>
          </w:tcPr>
          <w:p>
            <w:pPr>
              <w:spacing w:after="0"/>
              <w:rPr>
                <w:rFonts w:ascii="Arial" w:cs="Arial" w:eastAsia="Arial" w:hAnsi="Arial"/>
                <w:sz w:val="12"/>
                <w:szCs w:val="12"/>
                <w:color w:val="0000EE"/>
                <w:w w:val="89"/>
              </w:rPr>
            </w:pPr>
            <w:hyperlink w:anchor="page62">
              <w:r>
                <w:rPr>
                  <w:rFonts w:ascii="Arial" w:cs="Arial" w:eastAsia="Arial" w:hAnsi="Arial"/>
                  <w:sz w:val="12"/>
                  <w:szCs w:val="12"/>
                  <w:color w:val="0000EE"/>
                  <w:w w:val="89"/>
                </w:rPr>
                <w:t>44</w:t>
              </w:r>
            </w:hyperlink>
          </w:p>
        </w:tc>
        <w:tc>
          <w:tcPr>
            <w:tcW w:w="40" w:type="dxa"/>
            <w:vAlign w:val="bottom"/>
            <w:tcBorders>
              <w:bottom w:val="single" w:sz="8" w:color="auto"/>
            </w:tcBorders>
            <w:shd w:val="clear" w:color="auto" w:fill="F1F1F2"/>
          </w:tcPr>
          <w:p>
            <w:pPr>
              <w:spacing w:after="0"/>
              <w:rPr>
                <w:sz w:val="17"/>
                <w:szCs w:val="17"/>
                <w:color w:val="auto"/>
              </w:rPr>
            </w:pPr>
          </w:p>
        </w:tc>
        <w:tc>
          <w:tcPr>
            <w:tcW w:w="3660" w:type="dxa"/>
            <w:vAlign w:val="bottom"/>
            <w:tcBorders>
              <w:bottom w:val="single" w:sz="8" w:color="auto"/>
            </w:tcBorders>
            <w:gridSpan w:val="4"/>
            <w:shd w:val="clear" w:color="auto" w:fill="F1F1F2"/>
          </w:tcPr>
          <w:p>
            <w:pPr>
              <w:spacing w:after="0"/>
              <w:rPr>
                <w:rFonts w:ascii="Arial" w:cs="Arial" w:eastAsia="Arial" w:hAnsi="Arial"/>
                <w:sz w:val="12"/>
                <w:szCs w:val="12"/>
                <w:color w:val="0000EE"/>
              </w:rPr>
            </w:pPr>
            <w:hyperlink w:anchor="page62">
              <w:r>
                <w:rPr>
                  <w:rFonts w:ascii="Arial" w:cs="Arial" w:eastAsia="Arial" w:hAnsi="Arial"/>
                  <w:sz w:val="12"/>
                  <w:szCs w:val="12"/>
                  <w:color w:val="0000EE"/>
                </w:rPr>
                <w:t>Nonqualified Deferred Compensation</w:t>
              </w:r>
            </w:hyperlink>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shd w:val="clear" w:color="auto" w:fill="F1F1F2"/>
          </w:tcPr>
          <w:p>
            <w:pPr>
              <w:spacing w:after="0"/>
              <w:rPr>
                <w:sz w:val="19"/>
                <w:szCs w:val="19"/>
                <w:color w:val="auto"/>
              </w:rPr>
            </w:pPr>
          </w:p>
        </w:tc>
        <w:tc>
          <w:tcPr>
            <w:tcW w:w="20" w:type="dxa"/>
            <w:vAlign w:val="bottom"/>
            <w:shd w:val="clear" w:color="auto" w:fill="F1F1F2"/>
          </w:tcPr>
          <w:p>
            <w:pPr>
              <w:spacing w:after="0"/>
              <w:rPr>
                <w:sz w:val="19"/>
                <w:szCs w:val="19"/>
                <w:color w:val="auto"/>
              </w:rPr>
            </w:pPr>
          </w:p>
        </w:tc>
        <w:tc>
          <w:tcPr>
            <w:tcW w:w="1180" w:type="dxa"/>
            <w:vAlign w:val="bottom"/>
            <w:shd w:val="clear" w:color="auto" w:fill="F1F1F2"/>
          </w:tcPr>
          <w:p>
            <w:pPr>
              <w:spacing w:after="0"/>
              <w:rPr>
                <w:sz w:val="19"/>
                <w:szCs w:val="19"/>
                <w:color w:val="auto"/>
              </w:rPr>
            </w:pPr>
          </w:p>
        </w:tc>
        <w:tc>
          <w:tcPr>
            <w:tcW w:w="460" w:type="dxa"/>
            <w:vAlign w:val="bottom"/>
            <w:shd w:val="clear" w:color="auto" w:fill="F1F1F2"/>
          </w:tcPr>
          <w:p>
            <w:pPr>
              <w:spacing w:after="0"/>
              <w:rPr>
                <w:sz w:val="19"/>
                <w:szCs w:val="19"/>
                <w:color w:val="auto"/>
              </w:rPr>
            </w:pPr>
          </w:p>
        </w:tc>
        <w:tc>
          <w:tcPr>
            <w:tcW w:w="60" w:type="dxa"/>
            <w:vAlign w:val="bottom"/>
            <w:shd w:val="clear" w:color="auto" w:fill="F1F1F2"/>
          </w:tcPr>
          <w:p>
            <w:pPr>
              <w:spacing w:after="0"/>
              <w:rPr>
                <w:sz w:val="19"/>
                <w:szCs w:val="19"/>
                <w:color w:val="auto"/>
              </w:rPr>
            </w:pPr>
          </w:p>
        </w:tc>
        <w:tc>
          <w:tcPr>
            <w:tcW w:w="240" w:type="dxa"/>
            <w:vAlign w:val="bottom"/>
            <w:shd w:val="clear" w:color="auto" w:fill="F1F1F2"/>
          </w:tcPr>
          <w:p>
            <w:pPr>
              <w:spacing w:after="0"/>
              <w:rPr>
                <w:sz w:val="19"/>
                <w:szCs w:val="19"/>
                <w:color w:val="auto"/>
              </w:rPr>
            </w:pPr>
          </w:p>
        </w:tc>
        <w:tc>
          <w:tcPr>
            <w:tcW w:w="60" w:type="dxa"/>
            <w:vAlign w:val="bottom"/>
            <w:shd w:val="clear" w:color="auto" w:fill="F1F1F2"/>
          </w:tcPr>
          <w:p>
            <w:pPr>
              <w:spacing w:after="0"/>
              <w:rPr>
                <w:sz w:val="19"/>
                <w:szCs w:val="19"/>
                <w:color w:val="auto"/>
              </w:rPr>
            </w:pPr>
          </w:p>
        </w:tc>
        <w:tc>
          <w:tcPr>
            <w:tcW w:w="1680" w:type="dxa"/>
            <w:vAlign w:val="bottom"/>
            <w:shd w:val="clear" w:color="auto" w:fill="F1F1F2"/>
          </w:tcPr>
          <w:p>
            <w:pPr>
              <w:spacing w:after="0"/>
              <w:rPr>
                <w:sz w:val="19"/>
                <w:szCs w:val="19"/>
                <w:color w:val="auto"/>
              </w:rPr>
            </w:pPr>
          </w:p>
        </w:tc>
        <w:tc>
          <w:tcPr>
            <w:tcW w:w="180" w:type="dxa"/>
            <w:vAlign w:val="bottom"/>
            <w:shd w:val="clear" w:color="auto" w:fill="F1F1F2"/>
          </w:tcPr>
          <w:p>
            <w:pPr>
              <w:spacing w:after="0"/>
              <w:rPr>
                <w:sz w:val="19"/>
                <w:szCs w:val="19"/>
                <w:color w:val="auto"/>
              </w:rPr>
            </w:pPr>
          </w:p>
        </w:tc>
        <w:tc>
          <w:tcPr>
            <w:tcW w:w="20" w:type="dxa"/>
            <w:vAlign w:val="bottom"/>
            <w:shd w:val="clear" w:color="auto" w:fill="F1F1F2"/>
          </w:tcPr>
          <w:p>
            <w:pPr>
              <w:spacing w:after="0"/>
              <w:rPr>
                <w:sz w:val="19"/>
                <w:szCs w:val="19"/>
                <w:color w:val="auto"/>
              </w:rPr>
            </w:pPr>
          </w:p>
        </w:tc>
        <w:tc>
          <w:tcPr>
            <w:tcW w:w="120" w:type="dxa"/>
            <w:vAlign w:val="bottom"/>
            <w:shd w:val="clear" w:color="auto" w:fill="F1F1F2"/>
          </w:tcPr>
          <w:p>
            <w:pPr>
              <w:spacing w:after="0"/>
              <w:rPr>
                <w:sz w:val="19"/>
                <w:szCs w:val="19"/>
                <w:color w:val="auto"/>
              </w:rPr>
            </w:pPr>
          </w:p>
        </w:tc>
        <w:tc>
          <w:tcPr>
            <w:tcW w:w="40" w:type="dxa"/>
            <w:vAlign w:val="bottom"/>
            <w:shd w:val="clear" w:color="auto" w:fill="F1F1F2"/>
          </w:tcPr>
          <w:p>
            <w:pPr>
              <w:spacing w:after="0"/>
              <w:rPr>
                <w:sz w:val="19"/>
                <w:szCs w:val="19"/>
                <w:color w:val="auto"/>
              </w:rPr>
            </w:pPr>
          </w:p>
        </w:tc>
        <w:tc>
          <w:tcPr>
            <w:tcW w:w="3660" w:type="dxa"/>
            <w:vAlign w:val="bottom"/>
            <w:gridSpan w:val="4"/>
            <w:shd w:val="clear" w:color="auto" w:fill="F1F1F2"/>
          </w:tcPr>
          <w:p>
            <w:pPr>
              <w:jc w:val="right"/>
              <w:spacing w:after="0" w:line="223" w:lineRule="exact"/>
              <w:rPr>
                <w:sz w:val="20"/>
                <w:szCs w:val="20"/>
                <w:color w:val="auto"/>
              </w:rPr>
            </w:pPr>
            <w:r>
              <w:rPr>
                <w:rFonts w:ascii="Arial" w:cs="Arial" w:eastAsia="Arial" w:hAnsi="Arial"/>
                <w:sz w:val="20"/>
                <w:szCs w:val="20"/>
                <w:color w:val="auto"/>
              </w:rPr>
              <w:t>22-44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5064125</wp:posOffset>
            </wp:positionH>
            <wp:positionV relativeFrom="paragraph">
              <wp:posOffset>-2609850</wp:posOffset>
            </wp:positionV>
            <wp:extent cx="125730" cy="26104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5730" cy="2610485"/>
                    </a:xfrm>
                    <a:prstGeom prst="rect">
                      <a:avLst/>
                    </a:prstGeom>
                    <a:noFill/>
                  </pic:spPr>
                </pic:pic>
              </a:graphicData>
            </a:graphic>
          </wp:anchor>
        </w:drawing>
      </w:r>
    </w:p>
    <w:p>
      <w:pPr>
        <w:spacing w:after="0" w:line="91" w:lineRule="exact"/>
        <w:rPr>
          <w:sz w:val="20"/>
          <w:szCs w:val="20"/>
          <w:color w:val="auto"/>
        </w:rPr>
      </w:pPr>
    </w:p>
    <w:p>
      <w:pPr>
        <w:jc w:val="both"/>
        <w:ind w:left="164" w:right="5620" w:hanging="164"/>
        <w:spacing w:after="0" w:line="199" w:lineRule="auto"/>
        <w:tabs>
          <w:tab w:leader="none" w:pos="164" w:val="left"/>
        </w:tabs>
        <w:numPr>
          <w:ilvl w:val="0"/>
          <w:numId w:val="16"/>
        </w:numPr>
        <w:rPr>
          <w:rFonts w:ascii="Arial" w:cs="Arial" w:eastAsia="Arial" w:hAnsi="Arial"/>
          <w:sz w:val="11"/>
          <w:szCs w:val="11"/>
          <w:u w:val="single" w:color="auto"/>
          <w:color w:val="0000EE"/>
        </w:rPr>
      </w:pPr>
      <w:hyperlink w:anchor="page63">
        <w:r>
          <w:rPr>
            <w:rFonts w:ascii="Arial" w:cs="Arial" w:eastAsia="Arial" w:hAnsi="Arial"/>
            <w:sz w:val="11"/>
            <w:szCs w:val="11"/>
            <w:u w:val="single" w:color="auto"/>
            <w:color w:val="0000EE"/>
          </w:rPr>
          <w:t>Authorization to hold the 2015 Annual</w:t>
        </w:r>
      </w:hyperlink>
      <w:r>
        <w:rPr>
          <w:rFonts w:ascii="Arial" w:cs="Arial" w:eastAsia="Arial" w:hAnsi="Arial"/>
          <w:sz w:val="11"/>
          <w:szCs w:val="11"/>
          <w:u w:val="single" w:color="auto"/>
          <w:color w:val="0000EE"/>
        </w:rPr>
        <w:t xml:space="preserve"> </w:t>
      </w:r>
      <w:hyperlink w:anchor="page63">
        <w:r>
          <w:rPr>
            <w:rFonts w:ascii="Arial" w:cs="Arial" w:eastAsia="Arial" w:hAnsi="Arial"/>
            <w:sz w:val="11"/>
            <w:szCs w:val="11"/>
            <w:u w:val="single" w:color="auto"/>
            <w:color w:val="0000EE"/>
          </w:rPr>
          <w:t>General Meeting of Shareholders at a</w:t>
        </w:r>
      </w:hyperlink>
      <w:r>
        <w:rPr>
          <w:rFonts w:ascii="Arial" w:cs="Arial" w:eastAsia="Arial" w:hAnsi="Arial"/>
          <w:sz w:val="11"/>
          <w:szCs w:val="11"/>
          <w:u w:val="single" w:color="auto"/>
          <w:color w:val="0000EE"/>
        </w:rPr>
        <w:t xml:space="preserve"> </w:t>
      </w:r>
      <w:hyperlink w:anchor="page63">
        <w:r>
          <w:rPr>
            <w:rFonts w:ascii="Arial" w:cs="Arial" w:eastAsia="Arial" w:hAnsi="Arial"/>
            <w:sz w:val="11"/>
            <w:szCs w:val="11"/>
            <w:u w:val="single" w:color="auto"/>
            <w:color w:val="0000EE"/>
          </w:rPr>
          <w:t>location outside of Ireland</w:t>
        </w:r>
      </w:hyperlink>
    </w:p>
    <w:p>
      <w:pPr>
        <w:spacing w:after="0" w:line="20" w:lineRule="exact"/>
        <w:rPr>
          <w:rFonts w:ascii="Arial" w:cs="Arial" w:eastAsia="Arial" w:hAnsi="Arial"/>
          <w:sz w:val="11"/>
          <w:szCs w:val="11"/>
          <w:u w:val="single" w:color="auto"/>
          <w:color w:val="0000EE"/>
        </w:rPr>
      </w:pPr>
      <w:r>
        <w:rPr>
          <w:rFonts w:ascii="Arial" w:cs="Arial" w:eastAsia="Arial" w:hAnsi="Arial"/>
          <w:sz w:val="11"/>
          <w:szCs w:val="11"/>
          <w:u w:val="single" w:color="auto"/>
          <w:color w:val="0000EE"/>
        </w:rPr>
        <w:drawing>
          <wp:anchor simplePos="0" relativeHeight="251657728" behindDoc="1" locked="0" layoutInCell="0" allowOverlap="1">
            <wp:simplePos x="0" y="0"/>
            <wp:positionH relativeFrom="column">
              <wp:posOffset>0</wp:posOffset>
            </wp:positionH>
            <wp:positionV relativeFrom="paragraph">
              <wp:posOffset>-288925</wp:posOffset>
            </wp:positionV>
            <wp:extent cx="5189855" cy="5899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89855" cy="589915"/>
                    </a:xfrm>
                    <a:prstGeom prst="rect">
                      <a:avLst/>
                    </a:prstGeom>
                    <a:noFill/>
                  </pic:spPr>
                </pic:pic>
              </a:graphicData>
            </a:graphic>
          </wp:anchor>
        </w:drawing>
      </w:r>
    </w:p>
    <w:p>
      <w:pPr>
        <w:spacing w:after="0" w:line="224" w:lineRule="exact"/>
        <w:rPr>
          <w:rFonts w:ascii="Arial" w:cs="Arial" w:eastAsia="Arial" w:hAnsi="Arial"/>
          <w:sz w:val="11"/>
          <w:szCs w:val="11"/>
          <w:u w:val="single" w:color="auto"/>
          <w:color w:val="0000EE"/>
        </w:rPr>
      </w:pPr>
    </w:p>
    <w:p>
      <w:pPr>
        <w:ind w:left="7644"/>
        <w:spacing w:after="0"/>
        <w:rPr>
          <w:sz w:val="20"/>
          <w:szCs w:val="20"/>
          <w:color w:val="auto"/>
        </w:rPr>
      </w:pPr>
      <w:r>
        <w:rPr>
          <w:rFonts w:ascii="Arial" w:cs="Arial" w:eastAsia="Arial" w:hAnsi="Arial"/>
          <w:sz w:val="19"/>
          <w:szCs w:val="19"/>
          <w:color w:val="auto"/>
        </w:rPr>
        <w:t>45</w:t>
      </w:r>
    </w:p>
    <w:p>
      <w:pPr>
        <w:spacing w:after="0" w:line="20" w:lineRule="exact"/>
        <w:rPr>
          <w:rFonts w:ascii="Arial" w:cs="Arial" w:eastAsia="Arial" w:hAnsi="Arial"/>
          <w:sz w:val="11"/>
          <w:szCs w:val="11"/>
          <w:u w:val="single" w:color="auto"/>
          <w:color w:val="0000EE"/>
        </w:rPr>
      </w:pPr>
      <w:r>
        <w:rPr>
          <w:rFonts w:ascii="Arial" w:cs="Arial" w:eastAsia="Arial" w:hAnsi="Arial"/>
          <w:sz w:val="11"/>
          <w:szCs w:val="11"/>
          <w:u w:val="single" w:color="auto"/>
          <w:color w:val="0000EE"/>
        </w:rPr>
        <w:drawing>
          <wp:anchor simplePos="0" relativeHeight="251657728" behindDoc="1" locked="0" layoutInCell="0" allowOverlap="1">
            <wp:simplePos x="0" y="0"/>
            <wp:positionH relativeFrom="column">
              <wp:posOffset>0</wp:posOffset>
            </wp:positionH>
            <wp:positionV relativeFrom="paragraph">
              <wp:posOffset>53975</wp:posOffset>
            </wp:positionV>
            <wp:extent cx="5189855" cy="10382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89855" cy="1038225"/>
                    </a:xfrm>
                    <a:prstGeom prst="rect">
                      <a:avLst/>
                    </a:prstGeom>
                    <a:noFill/>
                  </pic:spPr>
                </pic:pic>
              </a:graphicData>
            </a:graphic>
          </wp:anchor>
        </w:drawing>
      </w:r>
    </w:p>
    <w:p>
      <w:pPr>
        <w:spacing w:after="0" w:line="151" w:lineRule="exact"/>
        <w:rPr>
          <w:rFonts w:ascii="Arial" w:cs="Arial" w:eastAsia="Arial" w:hAnsi="Arial"/>
          <w:sz w:val="11"/>
          <w:szCs w:val="11"/>
          <w:u w:val="single" w:color="auto"/>
          <w:color w:val="0000EE"/>
        </w:rPr>
      </w:pPr>
    </w:p>
    <w:p>
      <w:pPr>
        <w:ind w:left="4"/>
        <w:spacing w:after="0"/>
        <w:rPr>
          <w:rFonts w:ascii="Arial" w:cs="Arial" w:eastAsia="Arial" w:hAnsi="Arial"/>
          <w:sz w:val="12"/>
          <w:szCs w:val="12"/>
          <w:u w:val="single" w:color="auto"/>
          <w:color w:val="0000EE"/>
        </w:rPr>
      </w:pPr>
      <w:hyperlink w:anchor="page64">
        <w:r>
          <w:rPr>
            <w:rFonts w:ascii="Arial" w:cs="Arial" w:eastAsia="Arial" w:hAnsi="Arial"/>
            <w:sz w:val="12"/>
            <w:szCs w:val="12"/>
            <w:u w:val="single" w:color="auto"/>
            <w:color w:val="0000EE"/>
          </w:rPr>
          <w:t>46 Incorporation by Reference</w:t>
        </w:r>
      </w:hyperlink>
    </w:p>
    <w:p>
      <w:pPr>
        <w:spacing w:after="0" w:line="9" w:lineRule="exact"/>
        <w:rPr>
          <w:rFonts w:ascii="Arial" w:cs="Arial" w:eastAsia="Arial" w:hAnsi="Arial"/>
          <w:sz w:val="11"/>
          <w:szCs w:val="11"/>
          <w:u w:val="single" w:color="auto"/>
          <w:color w:val="0000EE"/>
        </w:rPr>
      </w:pPr>
    </w:p>
    <w:p>
      <w:pPr>
        <w:ind w:left="4"/>
        <w:spacing w:after="0"/>
        <w:rPr>
          <w:rFonts w:ascii="Arial" w:cs="Arial" w:eastAsia="Arial" w:hAnsi="Arial"/>
          <w:sz w:val="12"/>
          <w:szCs w:val="12"/>
          <w:u w:val="single" w:color="auto"/>
          <w:color w:val="0000EE"/>
        </w:rPr>
      </w:pPr>
      <w:hyperlink w:anchor="page64">
        <w:r>
          <w:rPr>
            <w:rFonts w:ascii="Arial" w:cs="Arial" w:eastAsia="Arial" w:hAnsi="Arial"/>
            <w:sz w:val="12"/>
            <w:szCs w:val="12"/>
            <w:u w:val="single" w:color="auto"/>
            <w:color w:val="0000EE"/>
          </w:rPr>
          <w:t>46 Section 16(a) Beneficial Ownership</w:t>
        </w:r>
      </w:hyperlink>
    </w:p>
    <w:p>
      <w:pPr>
        <w:ind w:left="164"/>
        <w:spacing w:after="0"/>
        <w:rPr>
          <w:rFonts w:ascii="Arial" w:cs="Arial" w:eastAsia="Arial" w:hAnsi="Arial"/>
          <w:sz w:val="12"/>
          <w:szCs w:val="12"/>
          <w:u w:val="single" w:color="auto"/>
          <w:color w:val="0000EE"/>
        </w:rPr>
      </w:pPr>
      <w:hyperlink w:anchor="page64">
        <w:r>
          <w:rPr>
            <w:rFonts w:ascii="Arial" w:cs="Arial" w:eastAsia="Arial" w:hAnsi="Arial"/>
            <w:sz w:val="12"/>
            <w:szCs w:val="12"/>
            <w:u w:val="single" w:color="auto"/>
            <w:color w:val="0000EE"/>
          </w:rPr>
          <w:t>Reporting Compliance</w:t>
        </w:r>
      </w:hyperlink>
    </w:p>
    <w:p>
      <w:pPr>
        <w:spacing w:after="0" w:line="85" w:lineRule="exact"/>
        <w:rPr>
          <w:rFonts w:ascii="Arial" w:cs="Arial" w:eastAsia="Arial" w:hAnsi="Arial"/>
          <w:sz w:val="11"/>
          <w:szCs w:val="11"/>
          <w:u w:val="single" w:color="auto"/>
          <w:color w:val="0000EE"/>
        </w:rPr>
      </w:pPr>
    </w:p>
    <w:p>
      <w:pPr>
        <w:ind w:left="4"/>
        <w:spacing w:after="0"/>
        <w:rPr>
          <w:rFonts w:ascii="Arial" w:cs="Arial" w:eastAsia="Arial" w:hAnsi="Arial"/>
          <w:sz w:val="12"/>
          <w:szCs w:val="12"/>
          <w:u w:val="single" w:color="auto"/>
          <w:color w:val="0000EE"/>
        </w:rPr>
      </w:pPr>
      <w:hyperlink w:anchor="page64">
        <w:r>
          <w:rPr>
            <w:rFonts w:ascii="Arial" w:cs="Arial" w:eastAsia="Arial" w:hAnsi="Arial"/>
            <w:sz w:val="12"/>
            <w:szCs w:val="12"/>
            <w:u w:val="single" w:color="auto"/>
            <w:color w:val="0000EE"/>
          </w:rPr>
          <w:t>46 Proposals by Shareholders</w:t>
        </w:r>
      </w:hyperlink>
    </w:p>
    <w:p>
      <w:pPr>
        <w:spacing w:after="0" w:line="85" w:lineRule="exact"/>
        <w:rPr>
          <w:rFonts w:ascii="Arial" w:cs="Arial" w:eastAsia="Arial" w:hAnsi="Arial"/>
          <w:sz w:val="11"/>
          <w:szCs w:val="11"/>
          <w:u w:val="single" w:color="auto"/>
          <w:color w:val="0000EE"/>
        </w:rPr>
      </w:pPr>
    </w:p>
    <w:p>
      <w:pPr>
        <w:ind w:left="4"/>
        <w:spacing w:after="0"/>
        <w:rPr>
          <w:rFonts w:ascii="Arial" w:cs="Arial" w:eastAsia="Arial" w:hAnsi="Arial"/>
          <w:sz w:val="12"/>
          <w:szCs w:val="12"/>
          <w:u w:val="single" w:color="auto"/>
          <w:color w:val="0000EE"/>
        </w:rPr>
      </w:pPr>
      <w:hyperlink w:anchor="page65">
        <w:r>
          <w:rPr>
            <w:rFonts w:ascii="Arial" w:cs="Arial" w:eastAsia="Arial" w:hAnsi="Arial"/>
            <w:sz w:val="12"/>
            <w:szCs w:val="12"/>
            <w:u w:val="single" w:color="auto"/>
            <w:color w:val="0000EE"/>
          </w:rPr>
          <w:t>47 Other Business</w:t>
        </w:r>
      </w:hyperlink>
    </w:p>
    <w:p>
      <w:pPr>
        <w:spacing w:after="0" w:line="85" w:lineRule="exact"/>
        <w:rPr>
          <w:rFonts w:ascii="Arial" w:cs="Arial" w:eastAsia="Arial" w:hAnsi="Arial"/>
          <w:sz w:val="11"/>
          <w:szCs w:val="11"/>
          <w:u w:val="single" w:color="auto"/>
          <w:color w:val="0000EE"/>
        </w:rPr>
      </w:pPr>
    </w:p>
    <w:p>
      <w:pPr>
        <w:ind w:left="4"/>
        <w:spacing w:after="0"/>
        <w:rPr>
          <w:rFonts w:ascii="Arial" w:cs="Arial" w:eastAsia="Arial" w:hAnsi="Arial"/>
          <w:sz w:val="12"/>
          <w:szCs w:val="12"/>
          <w:u w:val="single" w:color="auto"/>
          <w:color w:val="0000EE"/>
        </w:rPr>
      </w:pPr>
      <w:hyperlink w:anchor="page65">
        <w:r>
          <w:rPr>
            <w:rFonts w:ascii="Arial" w:cs="Arial" w:eastAsia="Arial" w:hAnsi="Arial"/>
            <w:sz w:val="12"/>
            <w:szCs w:val="12"/>
            <w:u w:val="single" w:color="auto"/>
            <w:color w:val="0000EE"/>
          </w:rPr>
          <w:t>47 Householding</w:t>
        </w:r>
      </w:hyperlink>
    </w:p>
    <w:p>
      <w:pPr>
        <w:spacing w:after="0" w:line="78" w:lineRule="exact"/>
        <w:rPr>
          <w:rFonts w:ascii="Arial" w:cs="Arial" w:eastAsia="Arial" w:hAnsi="Arial"/>
          <w:sz w:val="11"/>
          <w:szCs w:val="11"/>
          <w:u w:val="single" w:color="auto"/>
          <w:color w:val="0000EE"/>
        </w:rPr>
      </w:pPr>
    </w:p>
    <w:p>
      <w:pPr>
        <w:ind w:left="4"/>
        <w:spacing w:after="0"/>
        <w:rPr>
          <w:rFonts w:ascii="Arial" w:cs="Arial" w:eastAsia="Arial" w:hAnsi="Arial"/>
          <w:sz w:val="12"/>
          <w:szCs w:val="12"/>
          <w:u w:val="single" w:color="auto"/>
          <w:color w:val="0000EE"/>
        </w:rPr>
      </w:pPr>
      <w:hyperlink w:anchor="page65">
        <w:r>
          <w:rPr>
            <w:rFonts w:ascii="Arial" w:cs="Arial" w:eastAsia="Arial" w:hAnsi="Arial"/>
            <w:sz w:val="12"/>
            <w:szCs w:val="12"/>
            <w:u w:val="single" w:color="auto"/>
            <w:color w:val="0000EE"/>
          </w:rPr>
          <w:t>47 Additional Information Available</w:t>
        </w:r>
      </w:hyperlink>
    </w:p>
    <w:p>
      <w:pPr>
        <w:ind w:left="7364"/>
        <w:spacing w:after="0"/>
        <w:rPr>
          <w:sz w:val="20"/>
          <w:szCs w:val="20"/>
          <w:color w:val="auto"/>
        </w:rPr>
      </w:pPr>
      <w:r>
        <w:rPr>
          <w:rFonts w:ascii="Arial" w:cs="Arial" w:eastAsia="Arial" w:hAnsi="Arial"/>
          <w:sz w:val="19"/>
          <w:szCs w:val="19"/>
          <w:color w:val="auto"/>
        </w:rPr>
        <w:t>46-47</w:t>
      </w:r>
    </w:p>
    <w:p>
      <w:pPr>
        <w:spacing w:after="0" w:line="20" w:lineRule="exact"/>
        <w:rPr>
          <w:rFonts w:ascii="Arial" w:cs="Arial" w:eastAsia="Arial" w:hAnsi="Arial"/>
          <w:sz w:val="11"/>
          <w:szCs w:val="11"/>
          <w:u w:val="single" w:color="auto"/>
          <w:color w:val="0000EE"/>
        </w:rPr>
      </w:pPr>
      <w:r>
        <w:rPr>
          <w:rFonts w:ascii="Arial" w:cs="Arial" w:eastAsia="Arial" w:hAnsi="Arial"/>
          <w:sz w:val="11"/>
          <w:szCs w:val="11"/>
          <w:u w:val="single" w:color="auto"/>
          <w:color w:val="0000EE"/>
        </w:rPr>
        <w:drawing>
          <wp:anchor simplePos="0" relativeHeight="251657728" behindDoc="1" locked="0" layoutInCell="0" allowOverlap="1">
            <wp:simplePos x="0" y="0"/>
            <wp:positionH relativeFrom="column">
              <wp:posOffset>-2070100</wp:posOffset>
            </wp:positionH>
            <wp:positionV relativeFrom="paragraph">
              <wp:posOffset>216535</wp:posOffset>
            </wp:positionV>
            <wp:extent cx="7278370" cy="20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2">
            <w:col w:w="2700" w:space="556"/>
            <w:col w:w="7864"/>
          </w:cols>
          <w:pgMar w:left="240" w:top="511" w:right="539" w:bottom="1440" w:gutter="0" w:footer="0" w:header="0"/>
          <w:type w:val="continuous"/>
        </w:sectPr>
      </w:pPr>
    </w:p>
    <w:bookmarkStart w:id="18" w:name="page19"/>
    <w:bookmarkEnd w:id="18"/>
    <w:p>
      <w:pPr>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47" w:lineRule="exact"/>
        <w:rPr>
          <w:sz w:val="20"/>
          <w:szCs w:val="20"/>
          <w:color w:val="auto"/>
        </w:rPr>
      </w:pPr>
    </w:p>
    <w:p>
      <w:pPr>
        <w:ind w:left="100"/>
        <w:spacing w:after="0"/>
        <w:rPr>
          <w:sz w:val="20"/>
          <w:szCs w:val="20"/>
          <w:color w:val="auto"/>
        </w:rPr>
      </w:pPr>
      <w:r>
        <w:rPr>
          <w:rFonts w:ascii="Arial" w:cs="Arial" w:eastAsia="Arial" w:hAnsi="Arial"/>
          <w:sz w:val="40"/>
          <w:szCs w:val="40"/>
          <w:b w:val="1"/>
          <w:bCs w:val="1"/>
          <w:color w:val="BB1131"/>
          <w:shd w:val="clear" w:color="auto" w:fill="F1F1F2"/>
        </w:rPr>
        <w:t>PROXY STATEMENT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30"/>
          <w:szCs w:val="30"/>
          <w:color w:val="BB1131"/>
        </w:rPr>
        <w:t>Information about the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7258050" cy="2044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8050" cy="20447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Important Notice Regarding the Availability of Proxy Materials for the Annual General Meeting to be Held on September 24, 2014: This proxy statement of Weatherford International plc and our</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2013 Annual Report are available at: www.WeatherfordAnnualMeeting.com.</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Date and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September 24, 2014, at 10:00 a.m. (Central European Time)</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The Mandarin Oriental Hotel, Quai Turrettini 1, 1201 Geneva, Switzerland</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14" w:lineRule="exact"/>
        <w:rPr>
          <w:sz w:val="20"/>
          <w:szCs w:val="20"/>
          <w:color w:val="auto"/>
        </w:rPr>
      </w:pPr>
    </w:p>
    <w:p>
      <w:pPr>
        <w:jc w:val="both"/>
        <w:ind w:right="40"/>
        <w:spacing w:after="0" w:line="241" w:lineRule="auto"/>
        <w:rPr>
          <w:sz w:val="20"/>
          <w:szCs w:val="20"/>
          <w:color w:val="auto"/>
        </w:rPr>
      </w:pPr>
      <w:r>
        <w:rPr>
          <w:rFonts w:ascii="Arial" w:cs="Arial" w:eastAsia="Arial" w:hAnsi="Arial"/>
          <w:sz w:val="12"/>
          <w:szCs w:val="12"/>
          <w:color w:val="auto"/>
        </w:rPr>
        <w:t>On June 17, 2014, we completed the change in the place of incorporation of our predecessor company Weatherford International Ltd., a Swiss joint-stock corporation (“Weatherford Switzerland”), from Switzerland to Ireland through a merger of Weatherford Switzerland into Weatherford International plc. As a result, Weatherford International plc became the new public holding company and parent of the Weatherford group of companies. We refer to this transaction in this proxy statement as the “Redomestication.” In connection with the Redomestication, each registered share of Weatherford Switzerland was cancelled as consideration for the allotment of one ordinary share, par value $0.001 per share, of Weatherford International plc (excluding treasury shares). The ordinary shares trade on the New York Stock Exchange (“NYSE”) under the symbol “WFT.”</w:t>
      </w:r>
    </w:p>
    <w:p>
      <w:pPr>
        <w:spacing w:after="0" w:line="87" w:lineRule="exact"/>
        <w:rPr>
          <w:sz w:val="20"/>
          <w:szCs w:val="20"/>
          <w:color w:val="auto"/>
        </w:rPr>
      </w:pPr>
    </w:p>
    <w:p>
      <w:pPr>
        <w:jc w:val="both"/>
        <w:ind w:right="40"/>
        <w:spacing w:after="0" w:line="245" w:lineRule="auto"/>
        <w:rPr>
          <w:sz w:val="20"/>
          <w:szCs w:val="20"/>
          <w:color w:val="auto"/>
        </w:rPr>
      </w:pPr>
      <w:r>
        <w:rPr>
          <w:rFonts w:ascii="Arial" w:cs="Arial" w:eastAsia="Arial" w:hAnsi="Arial"/>
          <w:sz w:val="12"/>
          <w:szCs w:val="12"/>
          <w:color w:val="auto"/>
        </w:rPr>
        <w:t>As a result of the Redomestication, unless the context indicates otherwise, in this proxy statement all references to “shares” relating to a date prior to June 17, 2014, refer to registered shares of Weatherford Switzerland, while all references to “shares” relating to a date on or after June 17, 2014, refer to ordinary shares of Weatherford International plc. Similarly, in this proxy statement, we refer to Weatherford International plc as the “Company,” “we,” “us” or “our.” However, similar references for any date or period prior to June 17, 2014, refer to Weatherford Switzerland, as the context may require.</w:t>
      </w:r>
    </w:p>
    <w:p>
      <w:pPr>
        <w:spacing w:after="0" w:line="85" w:lineRule="exact"/>
        <w:rPr>
          <w:sz w:val="20"/>
          <w:szCs w:val="20"/>
          <w:color w:val="auto"/>
        </w:rPr>
      </w:pPr>
    </w:p>
    <w:p>
      <w:pPr>
        <w:spacing w:after="0"/>
        <w:tabs>
          <w:tab w:leader="none" w:pos="9000" w:val="left"/>
        </w:tabs>
        <w:rPr>
          <w:sz w:val="20"/>
          <w:szCs w:val="20"/>
          <w:color w:val="auto"/>
        </w:rPr>
      </w:pPr>
      <w:r>
        <w:rPr>
          <w:rFonts w:ascii="Arial" w:cs="Arial" w:eastAsia="Arial" w:hAnsi="Arial"/>
          <w:sz w:val="12"/>
          <w:szCs w:val="12"/>
          <w:color w:val="auto"/>
        </w:rPr>
        <w:t>This proxy statement and the accompanying proxy card are first being mailed on behalf of our Board of Directors to all shareholders beginning on or about August</w:t>
        <w:tab/>
        <w:t>, 2014.</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color w:val="auto"/>
        </w:rPr>
        <w:t>Our principal executive offices in Switzerland are located at Bahnhofstrasse 1, 6340 Baar, Switzerland, and our telephone number there is +41.22.816.1500.</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color w:val="auto"/>
        </w:rPr>
        <w:t>References to “$” in this proxy statement are references to United States dollars, references to “CHF” are references to Swiss francs, and references to “£” are to U.K. pounds sterling.</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At the Annual General Meeting, shareholders will be asked to vote on the following agenda items:</w:t>
      </w:r>
    </w:p>
    <w:p>
      <w:pPr>
        <w:spacing w:after="0" w:line="60" w:lineRule="exact"/>
        <w:rPr>
          <w:sz w:val="20"/>
          <w:szCs w:val="20"/>
          <w:color w:val="auto"/>
        </w:rPr>
      </w:pPr>
    </w:p>
    <w:p>
      <w:pPr>
        <w:ind w:left="700"/>
        <w:spacing w:after="0"/>
        <w:rPr>
          <w:sz w:val="20"/>
          <w:szCs w:val="20"/>
          <w:color w:val="auto"/>
        </w:rPr>
      </w:pPr>
      <w:r>
        <w:rPr>
          <w:rFonts w:ascii="Arial" w:cs="Arial" w:eastAsia="Arial" w:hAnsi="Arial"/>
          <w:sz w:val="12"/>
          <w:szCs w:val="12"/>
          <w:color w:val="auto"/>
        </w:rPr>
        <w:t>Item 1: By separate resolutions, to elect the following nine individuals as directors of the Company to hold office until the 2015 annual general meeting of shareholders of the Company (the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-83820</wp:posOffset>
            </wp:positionV>
            <wp:extent cx="64770" cy="647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4770" cy="64770"/>
                    </a:xfrm>
                    <a:prstGeom prst="rect">
                      <a:avLst/>
                    </a:prstGeom>
                    <a:noFill/>
                  </pic:spPr>
                </pic:pic>
              </a:graphicData>
            </a:graphic>
          </wp:anchor>
        </w:drawing>
      </w:r>
    </w:p>
    <w:p>
      <w:pPr>
        <w:spacing w:after="0" w:line="65" w:lineRule="exact"/>
        <w:rPr>
          <w:sz w:val="20"/>
          <w:szCs w:val="20"/>
          <w:color w:val="auto"/>
        </w:rPr>
      </w:pPr>
    </w:p>
    <w:p>
      <w:pPr>
        <w:ind w:left="700"/>
        <w:spacing w:after="0"/>
        <w:rPr>
          <w:sz w:val="20"/>
          <w:szCs w:val="20"/>
          <w:color w:val="auto"/>
        </w:rPr>
      </w:pPr>
      <w:r>
        <w:rPr>
          <w:rFonts w:ascii="Arial" w:cs="Arial" w:eastAsia="Arial" w:hAnsi="Arial"/>
          <w:sz w:val="12"/>
          <w:szCs w:val="12"/>
          <w:color w:val="auto"/>
        </w:rPr>
        <w:t>Annual General Meeting”) or, in each case, until his earlier death, retirement, resignation or removal from the position of director:</w:t>
      </w:r>
    </w:p>
    <w:p>
      <w:pPr>
        <w:spacing w:after="0" w:line="159" w:lineRule="exact"/>
        <w:rPr>
          <w:sz w:val="20"/>
          <w:szCs w:val="20"/>
          <w:color w:val="auto"/>
        </w:rPr>
      </w:pPr>
    </w:p>
    <w:tbl>
      <w:tblPr>
        <w:tblLayout w:type="fixed"/>
        <w:tblInd w:w="200" w:type="dxa"/>
        <w:tblCellMar>
          <w:top w:w="0" w:type="dxa"/>
          <w:left w:w="0" w:type="dxa"/>
          <w:bottom w:w="0" w:type="dxa"/>
          <w:right w:w="0" w:type="dxa"/>
        </w:tblCellMar>
      </w:tblPr>
      <w:tr>
        <w:trPr>
          <w:trHeight w:val="148"/>
        </w:trPr>
        <w:tc>
          <w:tcPr>
            <w:tcW w:w="180" w:type="dxa"/>
            <w:vAlign w:val="bottom"/>
          </w:tcPr>
          <w:p>
            <w:pPr>
              <w:jc w:val="right"/>
              <w:spacing w:after="0"/>
              <w:rPr>
                <w:sz w:val="20"/>
                <w:szCs w:val="20"/>
                <w:color w:val="auto"/>
              </w:rPr>
            </w:pPr>
            <w:r>
              <w:rPr>
                <w:rFonts w:ascii="Arial" w:cs="Arial" w:eastAsia="Arial" w:hAnsi="Arial"/>
                <w:sz w:val="12"/>
                <w:szCs w:val="12"/>
                <w:color w:val="auto"/>
                <w:w w:val="95"/>
              </w:rPr>
              <w:t>(1)</w:t>
            </w:r>
          </w:p>
        </w:tc>
        <w:tc>
          <w:tcPr>
            <w:tcW w:w="1840" w:type="dxa"/>
            <w:vAlign w:val="bottom"/>
          </w:tcPr>
          <w:p>
            <w:pPr>
              <w:ind w:left="20"/>
              <w:spacing w:after="0"/>
              <w:rPr>
                <w:sz w:val="20"/>
                <w:szCs w:val="20"/>
                <w:color w:val="auto"/>
              </w:rPr>
            </w:pPr>
            <w:r>
              <w:rPr>
                <w:rFonts w:ascii="Arial" w:cs="Arial" w:eastAsia="Arial" w:hAnsi="Arial"/>
                <w:sz w:val="12"/>
                <w:szCs w:val="12"/>
                <w:color w:val="auto"/>
              </w:rPr>
              <w:t>David J. Butters</w:t>
            </w:r>
          </w:p>
        </w:tc>
        <w:tc>
          <w:tcPr>
            <w:tcW w:w="420" w:type="dxa"/>
            <w:vAlign w:val="bottom"/>
          </w:tcPr>
          <w:p>
            <w:pPr>
              <w:jc w:val="right"/>
              <w:spacing w:after="0"/>
              <w:rPr>
                <w:sz w:val="20"/>
                <w:szCs w:val="20"/>
                <w:color w:val="auto"/>
              </w:rPr>
            </w:pPr>
            <w:r>
              <w:rPr>
                <w:rFonts w:ascii="Arial" w:cs="Arial" w:eastAsia="Arial" w:hAnsi="Arial"/>
                <w:sz w:val="12"/>
                <w:szCs w:val="12"/>
                <w:color w:val="auto"/>
              </w:rPr>
              <w:t>(6)</w:t>
            </w:r>
          </w:p>
        </w:tc>
        <w:tc>
          <w:tcPr>
            <w:tcW w:w="1180" w:type="dxa"/>
            <w:vAlign w:val="bottom"/>
          </w:tcPr>
          <w:p>
            <w:pPr>
              <w:spacing w:after="0"/>
              <w:rPr>
                <w:sz w:val="20"/>
                <w:szCs w:val="20"/>
                <w:color w:val="auto"/>
              </w:rPr>
            </w:pPr>
            <w:r>
              <w:rPr>
                <w:rFonts w:ascii="Arial" w:cs="Arial" w:eastAsia="Arial" w:hAnsi="Arial"/>
                <w:sz w:val="12"/>
                <w:szCs w:val="12"/>
                <w:color w:val="auto"/>
              </w:rPr>
              <w:t>Robert K. Moses, Jr.</w:t>
            </w:r>
          </w:p>
        </w:tc>
      </w:tr>
      <w:tr>
        <w:trPr>
          <w:trHeight w:val="223"/>
        </w:trPr>
        <w:tc>
          <w:tcPr>
            <w:tcW w:w="180" w:type="dxa"/>
            <w:vAlign w:val="bottom"/>
          </w:tcPr>
          <w:p>
            <w:pPr>
              <w:jc w:val="right"/>
              <w:spacing w:after="0"/>
              <w:rPr>
                <w:sz w:val="20"/>
                <w:szCs w:val="20"/>
                <w:color w:val="auto"/>
              </w:rPr>
            </w:pPr>
            <w:r>
              <w:rPr>
                <w:rFonts w:ascii="Arial" w:cs="Arial" w:eastAsia="Arial" w:hAnsi="Arial"/>
                <w:sz w:val="12"/>
                <w:szCs w:val="12"/>
                <w:color w:val="auto"/>
                <w:w w:val="95"/>
              </w:rPr>
              <w:t>(2)</w:t>
            </w:r>
          </w:p>
        </w:tc>
        <w:tc>
          <w:tcPr>
            <w:tcW w:w="1840" w:type="dxa"/>
            <w:vAlign w:val="bottom"/>
          </w:tcPr>
          <w:p>
            <w:pPr>
              <w:ind w:left="20"/>
              <w:spacing w:after="0"/>
              <w:rPr>
                <w:sz w:val="20"/>
                <w:szCs w:val="20"/>
                <w:color w:val="auto"/>
              </w:rPr>
            </w:pPr>
            <w:r>
              <w:rPr>
                <w:rFonts w:ascii="Arial" w:cs="Arial" w:eastAsia="Arial" w:hAnsi="Arial"/>
                <w:sz w:val="12"/>
                <w:szCs w:val="12"/>
                <w:color w:val="auto"/>
              </w:rPr>
              <w:t>Dr. Bernard J. Duroc-Danner</w:t>
            </w:r>
          </w:p>
        </w:tc>
        <w:tc>
          <w:tcPr>
            <w:tcW w:w="420" w:type="dxa"/>
            <w:vAlign w:val="bottom"/>
          </w:tcPr>
          <w:p>
            <w:pPr>
              <w:jc w:val="right"/>
              <w:spacing w:after="0"/>
              <w:rPr>
                <w:sz w:val="20"/>
                <w:szCs w:val="20"/>
                <w:color w:val="auto"/>
              </w:rPr>
            </w:pPr>
            <w:r>
              <w:rPr>
                <w:rFonts w:ascii="Arial" w:cs="Arial" w:eastAsia="Arial" w:hAnsi="Arial"/>
                <w:sz w:val="12"/>
                <w:szCs w:val="12"/>
                <w:color w:val="auto"/>
              </w:rPr>
              <w:t>(7)</w:t>
            </w:r>
          </w:p>
        </w:tc>
        <w:tc>
          <w:tcPr>
            <w:tcW w:w="1180" w:type="dxa"/>
            <w:vAlign w:val="bottom"/>
          </w:tcPr>
          <w:p>
            <w:pPr>
              <w:spacing w:after="0"/>
              <w:rPr>
                <w:sz w:val="20"/>
                <w:szCs w:val="20"/>
                <w:color w:val="auto"/>
              </w:rPr>
            </w:pPr>
            <w:r>
              <w:rPr>
                <w:rFonts w:ascii="Arial" w:cs="Arial" w:eastAsia="Arial" w:hAnsi="Arial"/>
                <w:sz w:val="12"/>
                <w:szCs w:val="12"/>
                <w:color w:val="auto"/>
              </w:rPr>
              <w:t>Dr. Guillermo Ortiz</w:t>
            </w:r>
          </w:p>
        </w:tc>
      </w:tr>
      <w:tr>
        <w:trPr>
          <w:trHeight w:val="223"/>
        </w:trPr>
        <w:tc>
          <w:tcPr>
            <w:tcW w:w="180" w:type="dxa"/>
            <w:vAlign w:val="bottom"/>
          </w:tcPr>
          <w:p>
            <w:pPr>
              <w:jc w:val="right"/>
              <w:spacing w:after="0"/>
              <w:rPr>
                <w:sz w:val="20"/>
                <w:szCs w:val="20"/>
                <w:color w:val="auto"/>
              </w:rPr>
            </w:pPr>
            <w:r>
              <w:rPr>
                <w:rFonts w:ascii="Arial" w:cs="Arial" w:eastAsia="Arial" w:hAnsi="Arial"/>
                <w:sz w:val="12"/>
                <w:szCs w:val="12"/>
                <w:color w:val="auto"/>
                <w:w w:val="95"/>
              </w:rPr>
              <w:t>(3)</w:t>
            </w:r>
          </w:p>
        </w:tc>
        <w:tc>
          <w:tcPr>
            <w:tcW w:w="1840" w:type="dxa"/>
            <w:vAlign w:val="bottom"/>
          </w:tcPr>
          <w:p>
            <w:pPr>
              <w:ind w:left="20"/>
              <w:spacing w:after="0"/>
              <w:rPr>
                <w:sz w:val="20"/>
                <w:szCs w:val="20"/>
                <w:color w:val="auto"/>
              </w:rPr>
            </w:pPr>
            <w:r>
              <w:rPr>
                <w:rFonts w:ascii="Arial" w:cs="Arial" w:eastAsia="Arial" w:hAnsi="Arial"/>
                <w:sz w:val="12"/>
                <w:szCs w:val="12"/>
                <w:color w:val="auto"/>
              </w:rPr>
              <w:t>John D. Gass</w:t>
            </w:r>
          </w:p>
        </w:tc>
        <w:tc>
          <w:tcPr>
            <w:tcW w:w="420" w:type="dxa"/>
            <w:vAlign w:val="bottom"/>
          </w:tcPr>
          <w:p>
            <w:pPr>
              <w:jc w:val="right"/>
              <w:spacing w:after="0"/>
              <w:rPr>
                <w:sz w:val="20"/>
                <w:szCs w:val="20"/>
                <w:color w:val="auto"/>
              </w:rPr>
            </w:pPr>
            <w:r>
              <w:rPr>
                <w:rFonts w:ascii="Arial" w:cs="Arial" w:eastAsia="Arial" w:hAnsi="Arial"/>
                <w:sz w:val="12"/>
                <w:szCs w:val="12"/>
                <w:color w:val="auto"/>
              </w:rPr>
              <w:t>(8)</w:t>
            </w:r>
          </w:p>
        </w:tc>
        <w:tc>
          <w:tcPr>
            <w:tcW w:w="1180" w:type="dxa"/>
            <w:vAlign w:val="bottom"/>
          </w:tcPr>
          <w:p>
            <w:pPr>
              <w:spacing w:after="0"/>
              <w:rPr>
                <w:sz w:val="20"/>
                <w:szCs w:val="20"/>
                <w:color w:val="auto"/>
              </w:rPr>
            </w:pPr>
            <w:r>
              <w:rPr>
                <w:rFonts w:ascii="Arial" w:cs="Arial" w:eastAsia="Arial" w:hAnsi="Arial"/>
                <w:sz w:val="12"/>
                <w:szCs w:val="12"/>
                <w:color w:val="auto"/>
              </w:rPr>
              <w:t>Sir Emyr Jones Parry</w:t>
            </w:r>
          </w:p>
        </w:tc>
      </w:tr>
      <w:tr>
        <w:trPr>
          <w:trHeight w:val="223"/>
        </w:trPr>
        <w:tc>
          <w:tcPr>
            <w:tcW w:w="180" w:type="dxa"/>
            <w:vAlign w:val="bottom"/>
          </w:tcPr>
          <w:p>
            <w:pPr>
              <w:jc w:val="right"/>
              <w:spacing w:after="0"/>
              <w:rPr>
                <w:sz w:val="20"/>
                <w:szCs w:val="20"/>
                <w:color w:val="auto"/>
              </w:rPr>
            </w:pPr>
            <w:r>
              <w:rPr>
                <w:rFonts w:ascii="Arial" w:cs="Arial" w:eastAsia="Arial" w:hAnsi="Arial"/>
                <w:sz w:val="12"/>
                <w:szCs w:val="12"/>
                <w:color w:val="auto"/>
                <w:w w:val="95"/>
              </w:rPr>
              <w:t>(4)</w:t>
            </w:r>
          </w:p>
        </w:tc>
        <w:tc>
          <w:tcPr>
            <w:tcW w:w="1840" w:type="dxa"/>
            <w:vAlign w:val="bottom"/>
          </w:tcPr>
          <w:p>
            <w:pPr>
              <w:ind w:left="20"/>
              <w:spacing w:after="0"/>
              <w:rPr>
                <w:sz w:val="20"/>
                <w:szCs w:val="20"/>
                <w:color w:val="auto"/>
              </w:rPr>
            </w:pPr>
            <w:r>
              <w:rPr>
                <w:rFonts w:ascii="Arial" w:cs="Arial" w:eastAsia="Arial" w:hAnsi="Arial"/>
                <w:sz w:val="12"/>
                <w:szCs w:val="12"/>
                <w:color w:val="auto"/>
              </w:rPr>
              <w:t>Francis S. Kalman</w:t>
            </w:r>
          </w:p>
        </w:tc>
        <w:tc>
          <w:tcPr>
            <w:tcW w:w="420" w:type="dxa"/>
            <w:vAlign w:val="bottom"/>
          </w:tcPr>
          <w:p>
            <w:pPr>
              <w:jc w:val="right"/>
              <w:spacing w:after="0"/>
              <w:rPr>
                <w:sz w:val="20"/>
                <w:szCs w:val="20"/>
                <w:color w:val="auto"/>
              </w:rPr>
            </w:pPr>
            <w:r>
              <w:rPr>
                <w:rFonts w:ascii="Arial" w:cs="Arial" w:eastAsia="Arial" w:hAnsi="Arial"/>
                <w:sz w:val="12"/>
                <w:szCs w:val="12"/>
                <w:color w:val="auto"/>
              </w:rPr>
              <w:t>(9)</w:t>
            </w:r>
          </w:p>
        </w:tc>
        <w:tc>
          <w:tcPr>
            <w:tcW w:w="1180" w:type="dxa"/>
            <w:vAlign w:val="bottom"/>
          </w:tcPr>
          <w:p>
            <w:pPr>
              <w:spacing w:after="0"/>
              <w:rPr>
                <w:sz w:val="20"/>
                <w:szCs w:val="20"/>
                <w:color w:val="auto"/>
              </w:rPr>
            </w:pPr>
            <w:r>
              <w:rPr>
                <w:rFonts w:ascii="Arial" w:cs="Arial" w:eastAsia="Arial" w:hAnsi="Arial"/>
                <w:sz w:val="12"/>
                <w:szCs w:val="12"/>
                <w:color w:val="auto"/>
              </w:rPr>
              <w:t>Robert A. Rayne</w:t>
            </w:r>
          </w:p>
        </w:tc>
      </w:tr>
    </w:tbl>
    <w:p>
      <w:pPr>
        <w:spacing w:after="0" w:line="7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(5) William E. Macaulay</w:t>
      </w:r>
    </w:p>
    <w:p>
      <w:pPr>
        <w:spacing w:after="0" w:line="48" w:lineRule="exact"/>
        <w:rPr>
          <w:sz w:val="20"/>
          <w:szCs w:val="20"/>
          <w:color w:val="auto"/>
        </w:rPr>
      </w:pPr>
    </w:p>
    <w:p>
      <w:pPr>
        <w:ind w:left="700" w:right="40"/>
        <w:spacing w:after="0" w:line="254" w:lineRule="auto"/>
        <w:rPr>
          <w:sz w:val="20"/>
          <w:szCs w:val="20"/>
          <w:color w:val="auto"/>
        </w:rPr>
      </w:pPr>
      <w:r>
        <w:rPr>
          <w:rFonts w:ascii="Arial" w:cs="Arial" w:eastAsia="Arial" w:hAnsi="Arial"/>
          <w:sz w:val="12"/>
          <w:szCs w:val="12"/>
          <w:color w:val="auto"/>
        </w:rPr>
        <w:t>Item 2: To ratify the appointment of KPMG LLP as our independent registered public accounting firm for the fiscal year ending December 31, 2014, to hold office until the close of the 2015 Annual General meeting, and to authorize the board of directors, acting through the Audit Committee, to determine the auditors' remuneration.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-165735</wp:posOffset>
            </wp:positionV>
            <wp:extent cx="48895" cy="488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ind w:left="700"/>
        <w:spacing w:after="0"/>
        <w:rPr>
          <w:sz w:val="20"/>
          <w:szCs w:val="20"/>
          <w:color w:val="auto"/>
        </w:rPr>
      </w:pPr>
      <w:r>
        <w:rPr>
          <w:rFonts w:ascii="Arial" w:cs="Arial" w:eastAsia="Arial" w:hAnsi="Arial"/>
          <w:sz w:val="12"/>
          <w:szCs w:val="12"/>
          <w:color w:val="auto"/>
        </w:rPr>
        <w:t>Item 3: To adopt an advisory resolution approving the compensation of the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-67945</wp:posOffset>
            </wp:positionV>
            <wp:extent cx="48895" cy="488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spacing w:after="0" w:line="3" w:lineRule="exact"/>
        <w:rPr>
          <w:sz w:val="20"/>
          <w:szCs w:val="20"/>
          <w:color w:val="auto"/>
        </w:rPr>
      </w:pPr>
    </w:p>
    <w:p>
      <w:pPr>
        <w:ind w:left="700"/>
        <w:spacing w:after="0"/>
        <w:rPr>
          <w:sz w:val="20"/>
          <w:szCs w:val="20"/>
          <w:color w:val="auto"/>
        </w:rPr>
      </w:pPr>
      <w:r>
        <w:rPr>
          <w:rFonts w:ascii="Arial" w:cs="Arial" w:eastAsia="Arial" w:hAnsi="Arial"/>
          <w:sz w:val="12"/>
          <w:szCs w:val="12"/>
          <w:color w:val="auto"/>
        </w:rPr>
        <w:t>Item 4: To authorize holding the 2015 Annual General Meeting at a location outside of Ireland as required under Irish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-67945</wp:posOffset>
            </wp:positionV>
            <wp:extent cx="48895" cy="488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40" w:type="dxa"/>
            <w:vAlign w:val="bottom"/>
          </w:tcPr>
          <w:p>
            <w:pPr>
              <w:ind w:left="7360"/>
              <w:spacing w:after="0"/>
              <w:rPr>
                <w:sz w:val="20"/>
                <w:szCs w:val="20"/>
                <w:color w:val="auto"/>
              </w:rPr>
            </w:pPr>
            <w:r>
              <w:rPr>
                <w:rFonts w:ascii="Arial" w:cs="Arial" w:eastAsia="Arial" w:hAnsi="Arial"/>
                <w:sz w:val="12"/>
                <w:szCs w:val="12"/>
                <w:color w:val="auto"/>
              </w:rPr>
              <w:t>Weatherford International plc - www.WeatherfordAnnualMeeting.com</w:t>
            </w:r>
          </w:p>
        </w:tc>
        <w:tc>
          <w:tcPr>
            <w:tcW w:w="220" w:type="dxa"/>
            <w:vAlign w:val="bottom"/>
          </w:tcPr>
          <w:p>
            <w:pPr>
              <w:jc w:val="right"/>
              <w:spacing w:after="0"/>
              <w:rPr>
                <w:sz w:val="20"/>
                <w:szCs w:val="20"/>
                <w:color w:val="auto"/>
              </w:rPr>
            </w:pPr>
            <w:r>
              <w:rPr>
                <w:rFonts w:ascii="Arial" w:cs="Arial" w:eastAsia="Arial" w:hAnsi="Arial"/>
                <w:sz w:val="12"/>
                <w:szCs w:val="12"/>
                <w:b w:val="1"/>
                <w:bCs w:val="1"/>
                <w:color w:val="auto"/>
              </w:rPr>
              <w:t>1</w:t>
            </w:r>
          </w:p>
        </w:tc>
      </w:tr>
      <w:tr>
        <w:trPr>
          <w:trHeight w:val="195"/>
        </w:trPr>
        <w:tc>
          <w:tcPr>
            <w:tcW w:w="1124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-13335</wp:posOffset>
            </wp:positionV>
            <wp:extent cx="1270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60"/>
          </w:cols>
          <w:pgMar w:left="240" w:top="563" w:right="199" w:bottom="1440" w:gutter="0" w:footer="0" w:header="0"/>
        </w:sectPr>
      </w:pPr>
    </w:p>
    <w:bookmarkStart w:id="19" w:name="page20"/>
    <w:bookmarkEnd w:id="19"/>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41"/>
        <w:spacing w:after="0"/>
        <w:rPr>
          <w:sz w:val="20"/>
          <w:szCs w:val="20"/>
          <w:color w:val="auto"/>
        </w:rPr>
      </w:pPr>
      <w:r>
        <w:rPr>
          <w:rFonts w:ascii="Arial" w:cs="Arial" w:eastAsia="Arial" w:hAnsi="Arial"/>
          <w:sz w:val="12"/>
          <w:szCs w:val="12"/>
          <w:b w:val="1"/>
          <w:bCs w:val="1"/>
          <w:color w:val="FFFFFF"/>
          <w:shd w:val="clear" w:color="auto" w:fill="BB1131"/>
        </w:rPr>
        <w:t>PROXY STATEMENT</w:t>
      </w:r>
    </w:p>
    <w:p>
      <w:pPr>
        <w:spacing w:after="0" w:line="181"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Who Can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14"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All shareholders registered in our share register (registered shareholders) at the close of business on the record date of August 1, 2014, have the right to notice of, and to vote, in person or by proxy, at the Annual General Meeting. Registered shareholders are entitled, on a poll, to one vote per ordinary share on all matters submitted to a vote of shareholders at the Annual General Meeting, so long as those shares are represented at the Annual General Meeting in person or by proxy.</w:t>
      </w:r>
    </w:p>
    <w:p>
      <w:pPr>
        <w:spacing w:after="0" w:line="85" w:lineRule="exact"/>
        <w:rPr>
          <w:sz w:val="20"/>
          <w:szCs w:val="20"/>
          <w:color w:val="auto"/>
        </w:rPr>
      </w:pPr>
    </w:p>
    <w:p>
      <w:pPr>
        <w:ind w:left="1"/>
        <w:spacing w:after="0"/>
        <w:rPr>
          <w:sz w:val="20"/>
          <w:szCs w:val="20"/>
          <w:color w:val="auto"/>
        </w:rPr>
      </w:pPr>
      <w:r>
        <w:rPr>
          <w:rFonts w:ascii="Arial" w:cs="Arial" w:eastAsia="Arial" w:hAnsi="Arial"/>
          <w:sz w:val="12"/>
          <w:szCs w:val="12"/>
          <w:color w:val="auto"/>
        </w:rPr>
        <w:t>A registered shareholder may appoint one or more proxies to attend, speak and vote in her place at the Annual General Meeting. A proxy need not be a registered shareholder.</w:t>
      </w:r>
    </w:p>
    <w:p>
      <w:pPr>
        <w:spacing w:after="0" w:line="167"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Meeting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14"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If you wish to attend the Annual General Meeting in person, you will need to bring proof of identification along with proof of your share ownership. If your shares are held beneficially in the name of a bank, broker or other nominee, you may bring a bank or brokerage account statement as your proof of ownership of shares as of the record date.</w:t>
      </w:r>
    </w:p>
    <w:p>
      <w:pPr>
        <w:spacing w:after="0" w:line="149"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Proxies Solicited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14" w:lineRule="exact"/>
        <w:rPr>
          <w:sz w:val="20"/>
          <w:szCs w:val="20"/>
          <w:color w:val="auto"/>
        </w:rPr>
      </w:pPr>
    </w:p>
    <w:p>
      <w:pPr>
        <w:ind w:left="1"/>
        <w:spacing w:after="0"/>
        <w:rPr>
          <w:sz w:val="20"/>
          <w:szCs w:val="20"/>
          <w:color w:val="auto"/>
        </w:rPr>
      </w:pPr>
      <w:r>
        <w:rPr>
          <w:rFonts w:ascii="Arial" w:cs="Arial" w:eastAsia="Arial" w:hAnsi="Arial"/>
          <w:sz w:val="12"/>
          <w:szCs w:val="12"/>
          <w:color w:val="auto"/>
        </w:rPr>
        <w:t>Your vote and proxy are being solicited by our Board of Directors in favor of Ms. Dianne B. Ralston or, failing her, Dr. Bernard J. Duroc-Danner, for use at the Annual General Meeting.</w:t>
      </w:r>
    </w:p>
    <w:p>
      <w:pPr>
        <w:spacing w:after="0" w:line="167"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14"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To ensure your representation at the Annual General Meeting, we request that you grant your proxy to vote on each of the proposals in this notice and any other matters that may properly come before the meeting to the persons named in the enclosed proxy card, by completing, signing, dating and returning the enclosed proxy card for receipt by us no later than 5:59 a.m. Central European Time on September 23, 2014 (11:59 p.m. New York Time on September 22, 2014), whether or not you plan to attend.</w:t>
      </w:r>
    </w:p>
    <w:p>
      <w:pPr>
        <w:spacing w:after="0" w:line="85" w:lineRule="exact"/>
        <w:rPr>
          <w:sz w:val="20"/>
          <w:szCs w:val="20"/>
          <w:color w:val="auto"/>
        </w:rPr>
      </w:pPr>
    </w:p>
    <w:p>
      <w:pPr>
        <w:ind w:left="1"/>
        <w:spacing w:after="0"/>
        <w:rPr>
          <w:sz w:val="20"/>
          <w:szCs w:val="20"/>
          <w:color w:val="auto"/>
        </w:rPr>
      </w:pPr>
      <w:r>
        <w:rPr>
          <w:rFonts w:ascii="Arial" w:cs="Arial" w:eastAsia="Arial" w:hAnsi="Arial"/>
          <w:sz w:val="12"/>
          <w:szCs w:val="12"/>
          <w:color w:val="auto"/>
        </w:rPr>
        <w:t>Most of our individual beneficial owners hold their shares through a brokerage account and therefore are not listed in our share registry.</w:t>
      </w:r>
    </w:p>
    <w:p>
      <w:pPr>
        <w:spacing w:after="0" w:line="83" w:lineRule="exact"/>
        <w:rPr>
          <w:sz w:val="20"/>
          <w:szCs w:val="20"/>
          <w:color w:val="auto"/>
        </w:rPr>
      </w:pPr>
    </w:p>
    <w:p>
      <w:pPr>
        <w:jc w:val="both"/>
        <w:ind w:left="1"/>
        <w:spacing w:after="0" w:line="250" w:lineRule="auto"/>
        <w:rPr>
          <w:sz w:val="20"/>
          <w:szCs w:val="20"/>
          <w:color w:val="auto"/>
        </w:rPr>
      </w:pPr>
      <w:r>
        <w:rPr>
          <w:rFonts w:ascii="Arial" w:cs="Arial" w:eastAsia="Arial" w:hAnsi="Arial"/>
          <w:sz w:val="12"/>
          <w:szCs w:val="12"/>
          <w:b w:val="1"/>
          <w:bCs w:val="1"/>
          <w:color w:val="auto"/>
        </w:rPr>
        <w:t xml:space="preserve">Shareholders who hold their shares through a broker or other nominee (in “street name”) must vote their shares in the manner prescribed by their broker or other nominee. </w:t>
      </w:r>
      <w:r>
        <w:rPr>
          <w:rFonts w:ascii="Arial" w:cs="Arial" w:eastAsia="Arial" w:hAnsi="Arial"/>
          <w:sz w:val="12"/>
          <w:szCs w:val="12"/>
          <w:color w:val="auto"/>
        </w:rPr>
        <w:t>Shareholders who hold</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their shares in this manner and wish to vote in person at the meeting must obtain a valid proxy from the organization that holds their shares. </w:t>
      </w:r>
      <w:r>
        <w:rPr>
          <w:rFonts w:ascii="Arial" w:cs="Arial" w:eastAsia="Arial" w:hAnsi="Arial"/>
          <w:sz w:val="12"/>
          <w:szCs w:val="12"/>
          <w:b w:val="1"/>
          <w:bCs w:val="1"/>
          <w:color w:val="auto"/>
        </w:rPr>
        <w:t>This may be very difficult for an individual shareholder to do,</w:t>
      </w:r>
      <w:r>
        <w:rPr>
          <w:rFonts w:ascii="Arial" w:cs="Arial" w:eastAsia="Arial" w:hAnsi="Arial"/>
          <w:sz w:val="12"/>
          <w:szCs w:val="12"/>
          <w:color w:val="auto"/>
        </w:rPr>
        <w:t xml:space="preserve"> </w:t>
      </w:r>
      <w:r>
        <w:rPr>
          <w:rFonts w:ascii="Arial" w:cs="Arial" w:eastAsia="Arial" w:hAnsi="Arial"/>
          <w:sz w:val="12"/>
          <w:szCs w:val="12"/>
          <w:b w:val="1"/>
          <w:bCs w:val="1"/>
          <w:color w:val="auto"/>
        </w:rPr>
        <w:t xml:space="preserve">so individual shareholders holding in street name are strongly encouraged to submit their proxy to their broker, who in turn will vote in accordance with their directions. </w:t>
      </w:r>
      <w:r>
        <w:rPr>
          <w:rFonts w:ascii="Arial" w:cs="Arial" w:eastAsia="Arial" w:hAnsi="Arial"/>
          <w:sz w:val="12"/>
          <w:szCs w:val="12"/>
          <w:color w:val="auto"/>
        </w:rPr>
        <w:t>See “Quorum/Voting” as to</w:t>
      </w:r>
      <w:r>
        <w:rPr>
          <w:rFonts w:ascii="Arial" w:cs="Arial" w:eastAsia="Arial" w:hAnsi="Arial"/>
          <w:sz w:val="12"/>
          <w:szCs w:val="12"/>
          <w:b w:val="1"/>
          <w:bCs w:val="1"/>
          <w:color w:val="auto"/>
        </w:rPr>
        <w:t xml:space="preserve"> </w:t>
      </w:r>
      <w:r>
        <w:rPr>
          <w:rFonts w:ascii="Arial" w:cs="Arial" w:eastAsia="Arial" w:hAnsi="Arial"/>
          <w:sz w:val="12"/>
          <w:szCs w:val="12"/>
          <w:color w:val="auto"/>
        </w:rPr>
        <w:t>the effect of broker non-votes.</w:t>
      </w:r>
    </w:p>
    <w:p>
      <w:pPr>
        <w:spacing w:after="0" w:line="153"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14"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A copy of this proxy statement and enclosed proxy card are being sent to each shareholder registered in our share register as of August 1, 2014. Shareholders not registered in our share register as of August 1, 2014, will not be entitled to attend, vote or grant proxies to vote at the Annual General Meeting.</w:t>
      </w:r>
    </w:p>
    <w:p>
      <w:pPr>
        <w:spacing w:after="0" w:line="78" w:lineRule="exact"/>
        <w:rPr>
          <w:sz w:val="20"/>
          <w:szCs w:val="20"/>
          <w:color w:val="auto"/>
        </w:rPr>
      </w:pPr>
    </w:p>
    <w:p>
      <w:pPr>
        <w:ind w:left="1"/>
        <w:spacing w:after="0"/>
        <w:rPr>
          <w:sz w:val="20"/>
          <w:szCs w:val="20"/>
          <w:color w:val="auto"/>
        </w:rPr>
      </w:pPr>
      <w:r>
        <w:rPr>
          <w:rFonts w:ascii="Arial" w:cs="Arial" w:eastAsia="Arial" w:hAnsi="Arial"/>
          <w:sz w:val="12"/>
          <w:szCs w:val="12"/>
          <w:color w:val="auto"/>
        </w:rPr>
        <w:t>We request that you grant your proxy to vote on each of the proposals in this notice and any other matters that may properly come before the meeting to Ms. Dianne B. Ralston or, failing her, Dr. Bernard J.</w:t>
      </w:r>
    </w:p>
    <w:p>
      <w:pPr>
        <w:ind w:left="1"/>
        <w:spacing w:after="0" w:line="236" w:lineRule="auto"/>
        <w:rPr>
          <w:sz w:val="20"/>
          <w:szCs w:val="20"/>
          <w:color w:val="auto"/>
        </w:rPr>
      </w:pPr>
      <w:r>
        <w:rPr>
          <w:rFonts w:ascii="Arial" w:cs="Arial" w:eastAsia="Arial" w:hAnsi="Arial"/>
          <w:sz w:val="12"/>
          <w:szCs w:val="12"/>
          <w:color w:val="auto"/>
        </w:rPr>
        <w:t>Duroc-Danner (the “Proxy Holders”), by completing, signing, dating and returning the enclosed proxy card for receipt by us no later than 5:59 a.m. Central European Time on September 23, 2014 (11:59 p.m.</w:t>
      </w:r>
    </w:p>
    <w:p>
      <w:pPr>
        <w:spacing w:after="0" w:line="1" w:lineRule="exact"/>
        <w:rPr>
          <w:sz w:val="20"/>
          <w:szCs w:val="20"/>
          <w:color w:val="auto"/>
        </w:rPr>
      </w:pPr>
    </w:p>
    <w:p>
      <w:pPr>
        <w:ind w:left="1"/>
        <w:spacing w:after="0"/>
        <w:rPr>
          <w:sz w:val="20"/>
          <w:szCs w:val="20"/>
          <w:color w:val="auto"/>
        </w:rPr>
      </w:pPr>
      <w:r>
        <w:rPr>
          <w:rFonts w:ascii="Arial" w:cs="Arial" w:eastAsia="Arial" w:hAnsi="Arial"/>
          <w:sz w:val="12"/>
          <w:szCs w:val="12"/>
          <w:color w:val="auto"/>
        </w:rPr>
        <w:t>New York Time on September 22, 2014), whether or not you plan to attend.</w:t>
      </w:r>
    </w:p>
    <w:p>
      <w:pPr>
        <w:spacing w:after="0" w:line="97" w:lineRule="exact"/>
        <w:rPr>
          <w:sz w:val="20"/>
          <w:szCs w:val="20"/>
          <w:color w:val="auto"/>
        </w:rPr>
      </w:pPr>
    </w:p>
    <w:p>
      <w:pPr>
        <w:jc w:val="both"/>
        <w:ind w:left="1"/>
        <w:spacing w:after="0" w:line="242" w:lineRule="auto"/>
        <w:rPr>
          <w:sz w:val="20"/>
          <w:szCs w:val="20"/>
          <w:color w:val="auto"/>
        </w:rPr>
      </w:pPr>
      <w:r>
        <w:rPr>
          <w:rFonts w:ascii="Arial" w:cs="Arial" w:eastAsia="Arial" w:hAnsi="Arial"/>
          <w:sz w:val="12"/>
          <w:szCs w:val="12"/>
          <w:color w:val="auto"/>
        </w:rPr>
        <w:t>If you are a registered holder and you properly complete and submit your proxy card in a timely manner, you will be legally designating the individual or individuals named by you in the proxy card or, if you do not name your proxy or proxies, the Proxy Holders, to vote your shares in accordance with your instructions indicated on the card. If you are a registered shareholder and properly complete and submit your proxy card in a timely manner without naming your proxy or proxies and you do not indicate how your shares are to be voted, then the Proxy Holders will vote as the Board of Directors recommends on each proposal, and, if other matters properly come before the Annual General Meeting, the Proxy Holders will have your authority to vote your shares in their discretion on such matters.</w:t>
      </w:r>
    </w:p>
    <w:p>
      <w:pPr>
        <w:spacing w:after="0" w:line="87" w:lineRule="exact"/>
        <w:rPr>
          <w:sz w:val="20"/>
          <w:szCs w:val="20"/>
          <w:color w:val="auto"/>
        </w:rPr>
      </w:pPr>
    </w:p>
    <w:p>
      <w:pPr>
        <w:ind w:left="1"/>
        <w:spacing w:after="0"/>
        <w:rPr>
          <w:sz w:val="20"/>
          <w:szCs w:val="20"/>
          <w:color w:val="auto"/>
        </w:rPr>
      </w:pPr>
      <w:r>
        <w:rPr>
          <w:rFonts w:ascii="Arial" w:cs="Arial" w:eastAsia="Arial" w:hAnsi="Arial"/>
          <w:sz w:val="12"/>
          <w:szCs w:val="12"/>
          <w:color w:val="auto"/>
        </w:rPr>
        <w:t>We may accept a proxy by any form of communication permitted by Irish law and as the Board of Directors may approve in accordance with our Articles of Association (“Articles”).</w:t>
      </w:r>
    </w:p>
    <w:p>
      <w:pPr>
        <w:spacing w:after="0" w:line="196" w:lineRule="exact"/>
        <w:rPr>
          <w:sz w:val="20"/>
          <w:szCs w:val="20"/>
          <w:color w:val="auto"/>
        </w:rPr>
      </w:pPr>
    </w:p>
    <w:p>
      <w:pPr>
        <w:ind w:left="241" w:hanging="241"/>
        <w:spacing w:after="0"/>
        <w:tabs>
          <w:tab w:leader="none" w:pos="241" w:val="left"/>
        </w:tabs>
        <w:numPr>
          <w:ilvl w:val="0"/>
          <w:numId w:val="17"/>
        </w:numPr>
        <w:rPr>
          <w:rFonts w:ascii="Arial" w:cs="Arial" w:eastAsia="Arial" w:hAnsi="Arial"/>
          <w:sz w:val="12"/>
          <w:szCs w:val="12"/>
          <w:b w:val="1"/>
          <w:bCs w:val="1"/>
          <w:color w:val="auto"/>
        </w:rPr>
      </w:pPr>
      <w:r>
        <w:rPr>
          <w:rFonts w:ascii="Arial" w:cs="Arial" w:eastAsia="Arial" w:hAnsi="Arial"/>
          <w:sz w:val="12"/>
          <w:szCs w:val="12"/>
          <w:color w:val="auto"/>
        </w:rPr>
        <w:t>Weatherford International plc - 2014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8370" cy="20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10180"/>
        <w:spacing w:after="0"/>
        <w:rPr>
          <w:sz w:val="20"/>
          <w:szCs w:val="20"/>
          <w:color w:val="auto"/>
        </w:rPr>
      </w:pPr>
      <w:r>
        <w:rPr>
          <w:rFonts w:ascii="Arial" w:cs="Arial" w:eastAsia="Arial" w:hAnsi="Arial"/>
          <w:sz w:val="12"/>
          <w:szCs w:val="12"/>
          <w:b w:val="1"/>
          <w:bCs w:val="1"/>
          <w:color w:val="FFFFFF"/>
          <w:shd w:val="clear" w:color="auto" w:fill="BB1131"/>
        </w:rPr>
        <w:t>PROXY STATEMENT</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Revoking Your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If you are a registered shareholder, you may revoke your proxy by:</w:t>
      </w:r>
    </w:p>
    <w:p>
      <w:pPr>
        <w:spacing w:after="0" w:line="60" w:lineRule="exact"/>
        <w:rPr>
          <w:sz w:val="20"/>
          <w:szCs w:val="20"/>
          <w:color w:val="auto"/>
        </w:rPr>
      </w:pPr>
    </w:p>
    <w:p>
      <w:pPr>
        <w:ind w:left="700" w:right="40"/>
        <w:spacing w:after="0" w:line="254" w:lineRule="auto"/>
        <w:rPr>
          <w:sz w:val="20"/>
          <w:szCs w:val="20"/>
          <w:color w:val="auto"/>
        </w:rPr>
      </w:pPr>
      <w:r>
        <w:rPr>
          <w:rFonts w:ascii="Arial" w:cs="Arial" w:eastAsia="Arial" w:hAnsi="Arial"/>
          <w:sz w:val="12"/>
          <w:szCs w:val="12"/>
          <w:color w:val="auto"/>
        </w:rPr>
        <w:t>writing to the Secretary, such that the revocation is received at Bahnhofstrasse 1, 6340 Baar, Switzerland, or at the Company’s registered office, 70 Sir John Rogerson’s Quay, Dublin 2, Ireland, at least one hour prior to the commencement of the Annual General Meeting;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-165735</wp:posOffset>
            </wp:positionV>
            <wp:extent cx="48895" cy="488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ind w:left="700" w:right="40"/>
        <w:spacing w:after="0" w:line="254" w:lineRule="auto"/>
        <w:rPr>
          <w:sz w:val="20"/>
          <w:szCs w:val="20"/>
          <w:color w:val="auto"/>
        </w:rPr>
      </w:pPr>
      <w:r>
        <w:rPr>
          <w:rFonts w:ascii="Arial" w:cs="Arial" w:eastAsia="Arial" w:hAnsi="Arial"/>
          <w:sz w:val="12"/>
          <w:szCs w:val="12"/>
          <w:color w:val="auto"/>
        </w:rPr>
        <w:t>submitting a later-dated proxy via mail, to the address specified in the proxy materials, for receipt by us no later than 5:59 a.m. Central European Time on September 23, 2014 (11:59 p.m. New York Time on September 22,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-165735</wp:posOffset>
            </wp:positionV>
            <wp:extent cx="48895" cy="488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color w:val="auto"/>
        </w:rPr>
        <w:t>If you have revoked your proxy as described above, you may attend and vote in person at the Annual General Meeting.</w:t>
      </w:r>
    </w:p>
    <w:p>
      <w:pPr>
        <w:spacing w:after="0" w:line="97" w:lineRule="exact"/>
        <w:rPr>
          <w:sz w:val="20"/>
          <w:szCs w:val="20"/>
          <w:color w:val="auto"/>
        </w:rPr>
      </w:pPr>
    </w:p>
    <w:p>
      <w:pPr>
        <w:jc w:val="both"/>
        <w:ind w:right="40"/>
        <w:spacing w:after="0" w:line="254" w:lineRule="auto"/>
        <w:rPr>
          <w:sz w:val="20"/>
          <w:szCs w:val="20"/>
          <w:color w:val="auto"/>
        </w:rPr>
      </w:pPr>
      <w:r>
        <w:rPr>
          <w:rFonts w:ascii="Arial" w:cs="Arial" w:eastAsia="Arial" w:hAnsi="Arial"/>
          <w:sz w:val="12"/>
          <w:szCs w:val="12"/>
          <w:color w:val="auto"/>
        </w:rPr>
        <w:t>If you are not a registered holder but you hold your shares through a broker or other nominee, you must follow the instructions provided by your broker or other nominee if you wish to revoke a previously granted proxy, since attending the Annual General Meeting alone will not revoke any proxy.</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Outstanding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As of August 1, 2014, there were approximately [•] ordinary shares issued and entitled to vote.</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Quorum/Voting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14" w:lineRule="exact"/>
        <w:rPr>
          <w:sz w:val="20"/>
          <w:szCs w:val="20"/>
          <w:color w:val="auto"/>
        </w:rPr>
      </w:pPr>
    </w:p>
    <w:p>
      <w:pPr>
        <w:jc w:val="both"/>
        <w:ind w:right="40"/>
        <w:spacing w:after="0" w:line="245" w:lineRule="auto"/>
        <w:rPr>
          <w:sz w:val="20"/>
          <w:szCs w:val="20"/>
          <w:color w:val="auto"/>
        </w:rPr>
      </w:pPr>
      <w:r>
        <w:rPr>
          <w:rFonts w:ascii="Arial" w:cs="Arial" w:eastAsia="Arial" w:hAnsi="Arial"/>
          <w:sz w:val="12"/>
          <w:szCs w:val="12"/>
          <w:color w:val="auto"/>
        </w:rPr>
        <w:t>A quorum at our Annual General Meeting will be two or more persons holding or representing by proxy more than 50% of the total issued voting rights of our ordinary shares. For purposes of determining a quorum, abstentions and broker “non-votes” present in person or by proxy are counted as represented. A “non-vote” occurs when a nominee (such as a broker) holding shares for a beneficial owner abstains from voting on a particular proposal because the nominee does not have discretionary voting power for that proposal and has not received instructions from the beneficial owner on how to vote those shares.</w:t>
      </w:r>
    </w:p>
    <w:p>
      <w:pPr>
        <w:spacing w:after="0" w:line="85" w:lineRule="exact"/>
        <w:rPr>
          <w:sz w:val="20"/>
          <w:szCs w:val="20"/>
          <w:color w:val="auto"/>
        </w:rPr>
      </w:pPr>
    </w:p>
    <w:p>
      <w:pPr>
        <w:jc w:val="both"/>
        <w:ind w:right="40"/>
        <w:spacing w:after="0" w:line="241" w:lineRule="auto"/>
        <w:rPr>
          <w:sz w:val="20"/>
          <w:szCs w:val="20"/>
          <w:color w:val="auto"/>
        </w:rPr>
      </w:pPr>
      <w:r>
        <w:rPr>
          <w:rFonts w:ascii="Arial" w:cs="Arial" w:eastAsia="Arial" w:hAnsi="Arial"/>
          <w:sz w:val="12"/>
          <w:szCs w:val="12"/>
          <w:color w:val="auto"/>
        </w:rPr>
        <w:t>If you are a beneficial shareholder and your broker holds your shares in its name (in “street name”), the broker generally has discretion to vote your shares with respect to “routine” proposals, even if the broker does not receive voting instructions from you. However, your broker may not vote your shares with respect to “non-routine” proposals. Proxies submitted by brokers without instructions from customers for non-routine matters are referred to as “broker non-votes.” Under the rules of the NYSE, Proposal 1 (election of directors), Proposal 2 (approval of executive compensation advisory resolution) and Proposal 4 (authorization to hold our 2015 at a location outside of Ireland) are non-routine proposals. Accordingly, if you hold your shares in “street name,” your broker will not be able to vote your shares in these matters unless your broker receives voting instructions from you.</w:t>
      </w:r>
    </w:p>
    <w:p>
      <w:pPr>
        <w:spacing w:after="0" w:line="75" w:lineRule="exact"/>
        <w:rPr>
          <w:sz w:val="20"/>
          <w:szCs w:val="20"/>
          <w:color w:val="auto"/>
        </w:rPr>
      </w:pPr>
    </w:p>
    <w:p>
      <w:pPr>
        <w:jc w:val="both"/>
        <w:ind w:right="40"/>
        <w:spacing w:after="0" w:line="256" w:lineRule="auto"/>
        <w:rPr>
          <w:sz w:val="20"/>
          <w:szCs w:val="20"/>
          <w:color w:val="auto"/>
        </w:rPr>
      </w:pPr>
      <w:r>
        <w:rPr>
          <w:rFonts w:ascii="Arial" w:cs="Arial" w:eastAsia="Arial" w:hAnsi="Arial"/>
          <w:sz w:val="12"/>
          <w:szCs w:val="12"/>
          <w:color w:val="auto"/>
        </w:rPr>
        <w:t>Approval of each of the proposals to be presented at the Annual General Meeting will be decided by an “ordinary resolution” (</w:t>
      </w:r>
      <w:r>
        <w:rPr>
          <w:rFonts w:ascii="Arial" w:cs="Arial" w:eastAsia="Arial" w:hAnsi="Arial"/>
          <w:sz w:val="12"/>
          <w:szCs w:val="12"/>
          <w:i w:val="1"/>
          <w:iCs w:val="1"/>
          <w:color w:val="auto"/>
        </w:rPr>
        <w:t>i.e.</w:t>
      </w:r>
      <w:r>
        <w:rPr>
          <w:rFonts w:ascii="Arial" w:cs="Arial" w:eastAsia="Arial" w:hAnsi="Arial"/>
          <w:sz w:val="12"/>
          <w:szCs w:val="12"/>
          <w:color w:val="auto"/>
        </w:rPr>
        <w:t>, by a simple majority of the votes cast “For” or “Against,” in person or by proxy, provided a quorum is present). The election of each director nominee will be considered and voted upon as a separate proposal. There is no cumulative voting in the election of directors. Abstentions and broker “non-votes” will not affect the voting results.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Multiple Proxy Cards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14" w:lineRule="exact"/>
        <w:rPr>
          <w:sz w:val="20"/>
          <w:szCs w:val="20"/>
          <w:color w:val="auto"/>
        </w:rPr>
      </w:pPr>
    </w:p>
    <w:p>
      <w:pPr>
        <w:jc w:val="both"/>
        <w:ind w:right="40"/>
        <w:spacing w:after="0" w:line="254" w:lineRule="auto"/>
        <w:rPr>
          <w:sz w:val="20"/>
          <w:szCs w:val="20"/>
          <w:color w:val="auto"/>
        </w:rPr>
      </w:pPr>
      <w:r>
        <w:rPr>
          <w:rFonts w:ascii="Arial" w:cs="Arial" w:eastAsia="Arial" w:hAnsi="Arial"/>
          <w:sz w:val="12"/>
          <w:szCs w:val="12"/>
          <w:color w:val="auto"/>
        </w:rPr>
        <w:t>If you receive multiple proxy cards, this indicates that your shares are held in more than one account, such as two brokerage accounts, and are registered in different names. You should complete and return each of the proxy cards to ensure that all of your shares are voted.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40" w:type="dxa"/>
            <w:vAlign w:val="bottom"/>
          </w:tcPr>
          <w:p>
            <w:pPr>
              <w:ind w:left="7360"/>
              <w:spacing w:after="0"/>
              <w:rPr>
                <w:sz w:val="20"/>
                <w:szCs w:val="20"/>
                <w:color w:val="auto"/>
              </w:rPr>
            </w:pPr>
            <w:r>
              <w:rPr>
                <w:rFonts w:ascii="Arial" w:cs="Arial" w:eastAsia="Arial" w:hAnsi="Arial"/>
                <w:sz w:val="12"/>
                <w:szCs w:val="12"/>
                <w:color w:val="auto"/>
              </w:rPr>
              <w:t>Weatherford International plc - www.WeatherfordAnnualMeeting.com</w:t>
            </w:r>
          </w:p>
        </w:tc>
        <w:tc>
          <w:tcPr>
            <w:tcW w:w="220" w:type="dxa"/>
            <w:vAlign w:val="bottom"/>
          </w:tcPr>
          <w:p>
            <w:pPr>
              <w:jc w:val="right"/>
              <w:spacing w:after="0"/>
              <w:rPr>
                <w:sz w:val="20"/>
                <w:szCs w:val="20"/>
                <w:color w:val="auto"/>
              </w:rPr>
            </w:pPr>
            <w:r>
              <w:rPr>
                <w:rFonts w:ascii="Arial" w:cs="Arial" w:eastAsia="Arial" w:hAnsi="Arial"/>
                <w:sz w:val="12"/>
                <w:szCs w:val="12"/>
                <w:b w:val="1"/>
                <w:bCs w:val="1"/>
                <w:color w:val="auto"/>
              </w:rPr>
              <w:t>3</w:t>
            </w:r>
          </w:p>
        </w:tc>
      </w:tr>
      <w:tr>
        <w:trPr>
          <w:trHeight w:val="195"/>
        </w:trPr>
        <w:tc>
          <w:tcPr>
            <w:tcW w:w="1124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-13335</wp:posOffset>
            </wp:positionV>
            <wp:extent cx="1270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60"/>
          </w:cols>
          <w:pgMar w:left="240" w:top="563" w:right="199" w:bottom="1440" w:gutter="0" w:footer="0" w:header="0"/>
        </w:sectPr>
      </w:pPr>
    </w:p>
    <w:bookmarkStart w:id="21" w:name="page22"/>
    <w:bookmarkEnd w:id="21"/>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41"/>
        <w:spacing w:after="0"/>
        <w:rPr>
          <w:sz w:val="20"/>
          <w:szCs w:val="20"/>
          <w:color w:val="auto"/>
        </w:rPr>
      </w:pPr>
      <w:r>
        <w:rPr>
          <w:rFonts w:ascii="Arial" w:cs="Arial" w:eastAsia="Arial" w:hAnsi="Arial"/>
          <w:sz w:val="12"/>
          <w:szCs w:val="12"/>
          <w:b w:val="1"/>
          <w:bCs w:val="1"/>
          <w:color w:val="FFFFFF"/>
          <w:shd w:val="clear" w:color="auto" w:fill="BB1131"/>
        </w:rPr>
        <w:t>PROXY STATEMENT</w:t>
      </w:r>
    </w:p>
    <w:p>
      <w:pPr>
        <w:spacing w:after="0" w:line="181"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Cost of Proxy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14"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We have retained AST Phoenix Advisors to solicit proxies from our shareholders at an estimated fee of $20,000, plus expenses. Some of our directors, officers and employees may solicit proxies personally, without any additional compensation, by telephone or mail. Proxy materials also will be furnished without cost to brokers and other nominees to forward to the beneficial owners of shares held in their names. All costs of proxy solicitation will be borne by the Company.</w:t>
      </w:r>
    </w:p>
    <w:p>
      <w:pPr>
        <w:spacing w:after="0" w:line="155"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14"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 xml:space="preserve">You may call our proxy solicitor, AST Phoenix Advisors, toll-free at +1 800 252 7164 (U.S. callers) or +1 201 806 7301 (international callers), or our U.S. Investor Relations Department at +1 (713) 836-4000, or email us at </w:t>
      </w:r>
      <w:r>
        <w:rPr>
          <w:rFonts w:ascii="Arial" w:cs="Arial" w:eastAsia="Arial" w:hAnsi="Arial"/>
          <w:sz w:val="12"/>
          <w:szCs w:val="12"/>
          <w:i w:val="1"/>
          <w:iCs w:val="1"/>
          <w:color w:val="auto"/>
        </w:rPr>
        <w:t>investor.relations@weatherford.com</w:t>
      </w:r>
      <w:r>
        <w:rPr>
          <w:rFonts w:ascii="Arial" w:cs="Arial" w:eastAsia="Arial" w:hAnsi="Arial"/>
          <w:sz w:val="12"/>
          <w:szCs w:val="12"/>
          <w:color w:val="auto"/>
        </w:rPr>
        <w:t xml:space="preserve"> if you have any questions or need directions to be able to attend the meeting and vote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7258050" cy="1022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8050" cy="102235"/>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PLEASE VOTE – YOUR VOTE IS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5805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241" w:hanging="241"/>
        <w:spacing w:after="0"/>
        <w:tabs>
          <w:tab w:leader="none" w:pos="241" w:val="left"/>
        </w:tabs>
        <w:numPr>
          <w:ilvl w:val="0"/>
          <w:numId w:val="18"/>
        </w:numPr>
        <w:rPr>
          <w:rFonts w:ascii="Arial" w:cs="Arial" w:eastAsia="Arial" w:hAnsi="Arial"/>
          <w:sz w:val="12"/>
          <w:szCs w:val="12"/>
          <w:b w:val="1"/>
          <w:bCs w:val="1"/>
          <w:color w:val="auto"/>
        </w:rPr>
      </w:pPr>
      <w:r>
        <w:rPr>
          <w:rFonts w:ascii="Arial" w:cs="Arial" w:eastAsia="Arial" w:hAnsi="Arial"/>
          <w:sz w:val="12"/>
          <w:szCs w:val="12"/>
          <w:color w:val="auto"/>
        </w:rPr>
        <w:t>Weatherford International plc - 2014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8370" cy="203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47" w:lineRule="exact"/>
        <w:rPr>
          <w:sz w:val="20"/>
          <w:szCs w:val="20"/>
          <w:color w:val="auto"/>
        </w:rPr>
      </w:pPr>
    </w:p>
    <w:p>
      <w:pPr>
        <w:ind w:left="100"/>
        <w:spacing w:after="0"/>
        <w:tabs>
          <w:tab w:leader="none" w:pos="3720" w:val="left"/>
        </w:tabs>
        <w:rPr>
          <w:sz w:val="20"/>
          <w:szCs w:val="20"/>
          <w:color w:val="auto"/>
        </w:rPr>
      </w:pPr>
      <w:r>
        <w:rPr>
          <w:rFonts w:ascii="Arial" w:cs="Arial" w:eastAsia="Arial" w:hAnsi="Arial"/>
          <w:sz w:val="40"/>
          <w:szCs w:val="40"/>
          <w:b w:val="1"/>
          <w:bCs w:val="1"/>
          <w:color w:val="BB1131"/>
          <w:shd w:val="clear" w:color="auto" w:fill="E6E7E8"/>
        </w:rPr>
        <w:t>AGENDA ITEM 1</w:t>
      </w:r>
      <w:r>
        <w:rPr>
          <w:sz w:val="20"/>
          <w:szCs w:val="20"/>
          <w:color w:val="auto"/>
        </w:rPr>
        <w:tab/>
      </w:r>
      <w:r>
        <w:rPr>
          <w:rFonts w:ascii="Arial" w:cs="Arial" w:eastAsia="Arial" w:hAnsi="Arial"/>
          <w:sz w:val="39"/>
          <w:szCs w:val="39"/>
          <w:b w:val="1"/>
          <w:bCs w:val="1"/>
          <w:color w:val="BB1131"/>
          <w:shd w:val="clear" w:color="auto" w:fill="E6E7E8"/>
        </w:rPr>
        <w:t>ELECT DIRECTORS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060"/>
        <w:spacing w:after="0" w:line="249" w:lineRule="auto"/>
        <w:rPr>
          <w:sz w:val="20"/>
          <w:szCs w:val="20"/>
          <w:color w:val="auto"/>
        </w:rPr>
      </w:pPr>
      <w:r>
        <w:rPr>
          <w:rFonts w:ascii="Arial" w:cs="Arial" w:eastAsia="Arial" w:hAnsi="Arial"/>
          <w:sz w:val="30"/>
          <w:szCs w:val="30"/>
          <w:color w:val="BB1131"/>
        </w:rPr>
        <w:t>The board of directors recommends that you vote “FOR” each of these nominees for director.</w:t>
      </w:r>
    </w:p>
    <w:p>
      <w:pPr>
        <w:spacing w:after="0" w:line="172" w:lineRule="exact"/>
        <w:rPr>
          <w:sz w:val="20"/>
          <w:szCs w:val="20"/>
          <w:color w:val="auto"/>
        </w:rPr>
      </w:pPr>
    </w:p>
    <w:p>
      <w:pPr>
        <w:jc w:val="both"/>
        <w:ind w:right="40"/>
        <w:spacing w:after="0" w:line="245" w:lineRule="auto"/>
        <w:rPr>
          <w:sz w:val="20"/>
          <w:szCs w:val="20"/>
          <w:color w:val="auto"/>
        </w:rPr>
      </w:pPr>
      <w:r>
        <w:rPr>
          <w:rFonts w:ascii="Arial" w:cs="Arial" w:eastAsia="Arial" w:hAnsi="Arial"/>
          <w:sz w:val="12"/>
          <w:szCs w:val="12"/>
          <w:color w:val="auto"/>
        </w:rPr>
        <w:t>Upon the recommendation of the Corporate Governance and Nominating Committee, the Company’s Board of Directors has nominated the following nine nominees to be elected at the Annual General Meeting: David J. Butters, Bernard J. Duroc-Danner, John D. Gass, Francis S. Kalman, William E. Macaulay, Robert K. Moses, Jr., Guillermo Ortiz, Emyr Jones Parry, and Robert A. Rayne. All of the nominees for director are independent under the rules of the New York Stock Exchange, other than Bernard J. Duroc-Danner, who is an employee.</w:t>
      </w:r>
    </w:p>
    <w:p>
      <w:pPr>
        <w:spacing w:after="0" w:line="85" w:lineRule="exact"/>
        <w:rPr>
          <w:sz w:val="20"/>
          <w:szCs w:val="20"/>
          <w:color w:val="auto"/>
        </w:rPr>
      </w:pPr>
    </w:p>
    <w:p>
      <w:pPr>
        <w:jc w:val="both"/>
        <w:ind w:right="40"/>
        <w:spacing w:after="0" w:line="254" w:lineRule="auto"/>
        <w:rPr>
          <w:sz w:val="20"/>
          <w:szCs w:val="20"/>
          <w:color w:val="auto"/>
        </w:rPr>
      </w:pPr>
      <w:r>
        <w:rPr>
          <w:rFonts w:ascii="Arial" w:cs="Arial" w:eastAsia="Arial" w:hAnsi="Arial"/>
          <w:sz w:val="12"/>
          <w:szCs w:val="12"/>
          <w:color w:val="auto"/>
        </w:rPr>
        <w:t>Each of David J. Butters, Bernard J. Duroc-Danner, John D. Gass, Francis S. Kalman, William E. Macaulay, Robert K. Moses, Jr., Guillermo Ortiz, Emyr Jones Parry and Robert A. Rayne are existing directors who, in accordance with the Articles, shall retire at the Annual General Meeting and are eligible for re-election.</w:t>
      </w:r>
    </w:p>
    <w:p>
      <w:pPr>
        <w:spacing w:after="0" w:line="79" w:lineRule="exact"/>
        <w:rPr>
          <w:sz w:val="20"/>
          <w:szCs w:val="20"/>
          <w:color w:val="auto"/>
        </w:rPr>
      </w:pPr>
    </w:p>
    <w:p>
      <w:pPr>
        <w:jc w:val="both"/>
        <w:ind w:right="40"/>
        <w:spacing w:after="0" w:line="254" w:lineRule="auto"/>
        <w:rPr>
          <w:sz w:val="20"/>
          <w:szCs w:val="20"/>
          <w:color w:val="auto"/>
        </w:rPr>
      </w:pPr>
      <w:r>
        <w:rPr>
          <w:rFonts w:ascii="Arial" w:cs="Arial" w:eastAsia="Arial" w:hAnsi="Arial"/>
          <w:sz w:val="12"/>
          <w:szCs w:val="12"/>
          <w:color w:val="auto"/>
        </w:rPr>
        <w:t>Each director elected will hold office until the 2015 Annual General Meeting or, in each case, until his earlier death, retirement, resignation or removal from the position of director. All of our nominees have consented to serve as directors. Our Board of Directors has no reason to believe that any of the nominees will be unable to act as a director.</w:t>
      </w:r>
    </w:p>
    <w:p>
      <w:pPr>
        <w:spacing w:after="0" w:line="79" w:lineRule="exact"/>
        <w:rPr>
          <w:sz w:val="20"/>
          <w:szCs w:val="20"/>
          <w:color w:val="auto"/>
        </w:rPr>
      </w:pPr>
    </w:p>
    <w:p>
      <w:pPr>
        <w:jc w:val="both"/>
        <w:ind w:right="40"/>
        <w:spacing w:after="0" w:line="245" w:lineRule="auto"/>
        <w:rPr>
          <w:sz w:val="20"/>
          <w:szCs w:val="20"/>
          <w:color w:val="auto"/>
        </w:rPr>
      </w:pPr>
      <w:r>
        <w:rPr>
          <w:rFonts w:ascii="Arial" w:cs="Arial" w:eastAsia="Arial" w:hAnsi="Arial"/>
          <w:sz w:val="12"/>
          <w:szCs w:val="12"/>
          <w:color w:val="auto"/>
        </w:rPr>
        <w:t>If you properly submit a proxy card but do not indicate how you wish to vote, the Proxy Holders will vote for all of the listed nominees for director. The vote will be held by a separate resolution for each director nominee. A director nominee will be re-elected if approved by an ordinary resolution (</w:t>
      </w:r>
      <w:r>
        <w:rPr>
          <w:rFonts w:ascii="Arial" w:cs="Arial" w:eastAsia="Arial" w:hAnsi="Arial"/>
          <w:sz w:val="12"/>
          <w:szCs w:val="12"/>
          <w:i w:val="1"/>
          <w:iCs w:val="1"/>
          <w:color w:val="auto"/>
        </w:rPr>
        <w:t>i.e.</w:t>
      </w:r>
      <w:r>
        <w:rPr>
          <w:rFonts w:ascii="Arial" w:cs="Arial" w:eastAsia="Arial" w:hAnsi="Arial"/>
          <w:sz w:val="12"/>
          <w:szCs w:val="12"/>
          <w:color w:val="auto"/>
        </w:rPr>
        <w:t>, a simple majority of the votes cast “For” or “Against,” in person or by proxy, provided a quorum is present). Abstentions and “broker non-votes” will not affect the voting results.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Biographies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ectPr>
          <w:pgSz w:w="11900" w:h="16838" w:orient="portrait"/>
          <w:cols w:equalWidth="0" w:num="1">
            <w:col w:w="11460"/>
          </w:cols>
          <w:pgMar w:left="240" w:top="563" w:right="199" w:bottom="1440" w:gutter="0" w:footer="0" w:header="0"/>
        </w:sectPr>
      </w:pPr>
    </w:p>
    <w:p>
      <w:pPr>
        <w:spacing w:after="0" w:line="241"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FFFFFF"/>
        </w:rPr>
        <w:t>David J. Butters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1336675" cy="2429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36675" cy="2429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00"/>
        <w:spacing w:after="0"/>
        <w:rPr>
          <w:sz w:val="20"/>
          <w:szCs w:val="20"/>
          <w:color w:val="auto"/>
        </w:rPr>
      </w:pPr>
      <w:r>
        <w:rPr>
          <w:rFonts w:ascii="Arial" w:cs="Arial" w:eastAsia="Arial" w:hAnsi="Arial"/>
          <w:sz w:val="12"/>
          <w:szCs w:val="12"/>
          <w:b w:val="1"/>
          <w:bCs w:val="1"/>
          <w:color w:val="auto"/>
        </w:rPr>
        <w:t xml:space="preserve">Age: </w:t>
      </w:r>
      <w:r>
        <w:rPr>
          <w:rFonts w:ascii="Arial" w:cs="Arial" w:eastAsia="Arial" w:hAnsi="Arial"/>
          <w:sz w:val="12"/>
          <w:szCs w:val="12"/>
          <w:color w:val="auto"/>
        </w:rPr>
        <w:t>73</w:t>
      </w:r>
    </w:p>
    <w:p>
      <w:pPr>
        <w:spacing w:after="0" w:line="12" w:lineRule="exact"/>
        <w:rPr>
          <w:sz w:val="20"/>
          <w:szCs w:val="20"/>
          <w:color w:val="auto"/>
        </w:rPr>
      </w:pPr>
    </w:p>
    <w:p>
      <w:pPr>
        <w:ind w:left="100"/>
        <w:spacing w:after="0"/>
        <w:rPr>
          <w:sz w:val="20"/>
          <w:szCs w:val="20"/>
          <w:color w:val="auto"/>
        </w:rPr>
      </w:pPr>
      <w:r>
        <w:rPr>
          <w:rFonts w:ascii="Arial" w:cs="Arial" w:eastAsia="Arial" w:hAnsi="Arial"/>
          <w:sz w:val="12"/>
          <w:szCs w:val="12"/>
          <w:b w:val="1"/>
          <w:bCs w:val="1"/>
          <w:color w:val="auto"/>
        </w:rPr>
        <w:t xml:space="preserve">Director since: </w:t>
      </w:r>
      <w:r>
        <w:rPr>
          <w:rFonts w:ascii="Arial" w:cs="Arial" w:eastAsia="Arial" w:hAnsi="Arial"/>
          <w:sz w:val="12"/>
          <w:szCs w:val="12"/>
          <w:color w:val="auto"/>
        </w:rPr>
        <w:t>1984</w:t>
      </w:r>
    </w:p>
    <w:p>
      <w:pPr>
        <w:spacing w:after="0" w:line="59" w:lineRule="exact"/>
        <w:rPr>
          <w:sz w:val="20"/>
          <w:szCs w:val="20"/>
          <w:color w:val="auto"/>
        </w:rPr>
      </w:pPr>
    </w:p>
    <w:p>
      <w:pPr>
        <w:ind w:left="100"/>
        <w:spacing w:after="0" w:line="257" w:lineRule="auto"/>
        <w:rPr>
          <w:sz w:val="20"/>
          <w:szCs w:val="20"/>
          <w:color w:val="auto"/>
        </w:rPr>
      </w:pPr>
      <w:r>
        <w:rPr>
          <w:rFonts w:ascii="Arial" w:cs="Arial" w:eastAsia="Arial" w:hAnsi="Arial"/>
          <w:sz w:val="12"/>
          <w:szCs w:val="12"/>
          <w:b w:val="1"/>
          <w:bCs w:val="1"/>
          <w:color w:val="auto"/>
        </w:rPr>
        <w:t xml:space="preserve">Committees: </w:t>
      </w:r>
      <w:r>
        <w:rPr>
          <w:rFonts w:ascii="Arial" w:cs="Arial" w:eastAsia="Arial" w:hAnsi="Arial"/>
          <w:sz w:val="12"/>
          <w:szCs w:val="12"/>
          <w:color w:val="auto"/>
        </w:rPr>
        <w:t>Audit; Corporate</w:t>
      </w:r>
      <w:r>
        <w:rPr>
          <w:rFonts w:ascii="Arial" w:cs="Arial" w:eastAsia="Arial" w:hAnsi="Arial"/>
          <w:sz w:val="12"/>
          <w:szCs w:val="12"/>
          <w:b w:val="1"/>
          <w:bCs w:val="1"/>
          <w:color w:val="auto"/>
        </w:rPr>
        <w:t xml:space="preserve"> </w:t>
      </w:r>
      <w:r>
        <w:rPr>
          <w:rFonts w:ascii="Arial" w:cs="Arial" w:eastAsia="Arial" w:hAnsi="Arial"/>
          <w:sz w:val="12"/>
          <w:szCs w:val="12"/>
          <w:color w:val="auto"/>
        </w:rPr>
        <w:t>Governance &amp; Nominating (Chairman)</w:t>
      </w:r>
    </w:p>
    <w:p>
      <w:pPr>
        <w:spacing w:after="0" w:line="40" w:lineRule="exact"/>
        <w:rPr>
          <w:sz w:val="20"/>
          <w:szCs w:val="20"/>
          <w:color w:val="auto"/>
        </w:rPr>
      </w:pPr>
    </w:p>
    <w:p>
      <w:pPr>
        <w:ind w:left="100" w:right="280"/>
        <w:spacing w:after="0" w:line="257" w:lineRule="auto"/>
        <w:rPr>
          <w:sz w:val="20"/>
          <w:szCs w:val="20"/>
          <w:color w:val="auto"/>
        </w:rPr>
      </w:pPr>
      <w:r>
        <w:rPr>
          <w:rFonts w:ascii="Arial" w:cs="Arial" w:eastAsia="Arial" w:hAnsi="Arial"/>
          <w:sz w:val="12"/>
          <w:szCs w:val="12"/>
          <w:b w:val="1"/>
          <w:bCs w:val="1"/>
          <w:color w:val="auto"/>
        </w:rPr>
        <w:t xml:space="preserve">Other Public Company Boards: </w:t>
      </w:r>
      <w:r>
        <w:rPr>
          <w:rFonts w:ascii="Arial" w:cs="Arial" w:eastAsia="Arial" w:hAnsi="Arial"/>
          <w:sz w:val="12"/>
          <w:szCs w:val="12"/>
          <w:color w:val="auto"/>
        </w:rPr>
        <w:t>GulfMark</w:t>
      </w:r>
      <w:r>
        <w:rPr>
          <w:rFonts w:ascii="Arial" w:cs="Arial" w:eastAsia="Arial" w:hAnsi="Arial"/>
          <w:sz w:val="12"/>
          <w:szCs w:val="12"/>
          <w:b w:val="1"/>
          <w:bCs w:val="1"/>
          <w:color w:val="auto"/>
        </w:rPr>
        <w:t xml:space="preserve"> </w:t>
      </w:r>
      <w:r>
        <w:rPr>
          <w:rFonts w:ascii="Arial" w:cs="Arial" w:eastAsia="Arial" w:hAnsi="Arial"/>
          <w:sz w:val="12"/>
          <w:szCs w:val="12"/>
          <w:color w:val="auto"/>
        </w:rPr>
        <w:t>Offshore, Inc. (Chairman)</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jc w:val="both"/>
        <w:ind w:right="40"/>
        <w:spacing w:after="0" w:line="241" w:lineRule="auto"/>
        <w:rPr>
          <w:sz w:val="20"/>
          <w:szCs w:val="20"/>
          <w:color w:val="auto"/>
        </w:rPr>
      </w:pPr>
      <w:r>
        <w:rPr>
          <w:rFonts w:ascii="Arial" w:cs="Arial" w:eastAsia="Arial" w:hAnsi="Arial"/>
          <w:sz w:val="12"/>
          <w:szCs w:val="12"/>
          <w:color w:val="auto"/>
        </w:rPr>
        <w:t>Mr. Butters has been Chairman, President and Chief Executive Officer of Navigator Holdings, Ltd., an international shipping company the principal business of which is the transport of liquefied petroleum gas, since September 2008 and has been Chairman and President of Navigator Holdings since August 2006. From 1969 to September 2008, Mr. Butters was a Managing Director of Lehman Brothers Inc., an investment banking company. In addition to serving as Chairman of the Board of GulfMark Offshore, Inc., Mr. Butters is also Chairman of the Board of Directors of ACOL Tankers Ltd., a privately held oil tanker company. Mr. Butters holds a B.S. from Boston College and an M.B.A. from Columbia University Business School.</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Specific qualifications and experience of particular relevance to our Company</w:t>
      </w:r>
    </w:p>
    <w:p>
      <w:pPr>
        <w:spacing w:after="0" w:line="111" w:lineRule="exact"/>
        <w:rPr>
          <w:sz w:val="20"/>
          <w:szCs w:val="20"/>
          <w:color w:val="auto"/>
        </w:rPr>
      </w:pPr>
    </w:p>
    <w:p>
      <w:pPr>
        <w:jc w:val="both"/>
        <w:ind w:right="40"/>
        <w:spacing w:after="0" w:line="245" w:lineRule="auto"/>
        <w:rPr>
          <w:sz w:val="20"/>
          <w:szCs w:val="20"/>
          <w:color w:val="auto"/>
        </w:rPr>
      </w:pPr>
      <w:r>
        <w:rPr>
          <w:rFonts w:ascii="Arial" w:cs="Arial" w:eastAsia="Arial" w:hAnsi="Arial"/>
          <w:sz w:val="12"/>
          <w:szCs w:val="12"/>
          <w:color w:val="auto"/>
        </w:rPr>
        <w:t>Mr. Butters’ extensive career experience in investment banking is an asset to the Audit Committee in carrying out its duties. In addition, his chief executive officer experience and his depth of knowledge of the Company’s business as a result of his 29-year directorship on our Board provide us with a valuable perspective in making strategic decisions and planning for our future.</w:t>
      </w:r>
    </w:p>
    <w:p>
      <w:pPr>
        <w:spacing w:after="0" w:line="2609" w:lineRule="exact"/>
        <w:rPr>
          <w:sz w:val="20"/>
          <w:szCs w:val="20"/>
          <w:color w:val="auto"/>
        </w:rPr>
      </w:pPr>
    </w:p>
    <w:p>
      <w:pPr>
        <w:sectPr>
          <w:pgSz w:w="11900" w:h="16838" w:orient="portrait"/>
          <w:cols w:equalWidth="0" w:num="2">
            <w:col w:w="1780" w:space="520"/>
            <w:col w:w="9160"/>
          </w:cols>
          <w:pgMar w:left="240" w:top="563" w:right="199" w:bottom="1440" w:gutter="0" w:footer="0" w:header="0"/>
          <w:type w:val="continuous"/>
        </w:sectPr>
      </w:pP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40" w:type="dxa"/>
            <w:vAlign w:val="bottom"/>
          </w:tcPr>
          <w:p>
            <w:pPr>
              <w:ind w:left="7360"/>
              <w:spacing w:after="0"/>
              <w:rPr>
                <w:sz w:val="20"/>
                <w:szCs w:val="20"/>
                <w:color w:val="auto"/>
              </w:rPr>
            </w:pPr>
            <w:r>
              <w:rPr>
                <w:rFonts w:ascii="Arial" w:cs="Arial" w:eastAsia="Arial" w:hAnsi="Arial"/>
                <w:sz w:val="12"/>
                <w:szCs w:val="12"/>
                <w:color w:val="auto"/>
              </w:rPr>
              <w:t>Weatherford International plc - www.WeatherfordAnnualMeeting.com</w:t>
            </w:r>
          </w:p>
        </w:tc>
        <w:tc>
          <w:tcPr>
            <w:tcW w:w="220" w:type="dxa"/>
            <w:vAlign w:val="bottom"/>
          </w:tcPr>
          <w:p>
            <w:pPr>
              <w:jc w:val="right"/>
              <w:spacing w:after="0"/>
              <w:rPr>
                <w:sz w:val="20"/>
                <w:szCs w:val="20"/>
                <w:color w:val="auto"/>
              </w:rPr>
            </w:pPr>
            <w:r>
              <w:rPr>
                <w:rFonts w:ascii="Arial" w:cs="Arial" w:eastAsia="Arial" w:hAnsi="Arial"/>
                <w:sz w:val="12"/>
                <w:szCs w:val="12"/>
                <w:b w:val="1"/>
                <w:bCs w:val="1"/>
                <w:color w:val="auto"/>
              </w:rPr>
              <w:t>5</w:t>
            </w:r>
          </w:p>
        </w:tc>
      </w:tr>
      <w:tr>
        <w:trPr>
          <w:trHeight w:val="195"/>
        </w:trPr>
        <w:tc>
          <w:tcPr>
            <w:tcW w:w="1124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-13335</wp:posOffset>
            </wp:positionV>
            <wp:extent cx="1270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60"/>
          </w:cols>
          <w:pgMar w:left="240" w:top="563" w:right="199" w:bottom="1440" w:gutter="0" w:footer="0" w:header="0"/>
          <w:type w:val="continuous"/>
        </w:sectPr>
      </w:pPr>
    </w:p>
    <w:bookmarkStart w:id="23" w:name="page24"/>
    <w:bookmarkEnd w:id="23"/>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47" w:lineRule="exact"/>
        <w:rPr>
          <w:sz w:val="20"/>
          <w:szCs w:val="20"/>
          <w:color w:val="auto"/>
        </w:rPr>
      </w:pPr>
    </w:p>
    <w:tbl>
      <w:tblPr>
        <w:tblLayout w:type="fixed"/>
        <w:tblInd w:w="1" w:type="dxa"/>
        <w:tblCellMar>
          <w:top w:w="0" w:type="dxa"/>
          <w:left w:w="0" w:type="dxa"/>
          <w:bottom w:w="0" w:type="dxa"/>
          <w:right w:w="0" w:type="dxa"/>
        </w:tblCellMar>
      </w:tblPr>
      <w:tr>
        <w:trPr>
          <w:trHeight w:val="215"/>
        </w:trPr>
        <w:tc>
          <w:tcPr>
            <w:tcW w:w="1060" w:type="dxa"/>
            <w:vAlign w:val="bottom"/>
            <w:tcBorders>
              <w:bottom w:val="single" w:sz="8" w:color="BB1131"/>
            </w:tcBorders>
            <w:shd w:val="clear" w:color="auto" w:fill="BB1131"/>
          </w:tcPr>
          <w:p>
            <w:pPr>
              <w:ind w:left="40"/>
              <w:spacing w:after="0"/>
              <w:rPr>
                <w:sz w:val="20"/>
                <w:szCs w:val="20"/>
                <w:color w:val="auto"/>
              </w:rPr>
            </w:pPr>
            <w:r>
              <w:rPr>
                <w:rFonts w:ascii="Arial" w:cs="Arial" w:eastAsia="Arial" w:hAnsi="Arial"/>
                <w:sz w:val="12"/>
                <w:szCs w:val="12"/>
                <w:b w:val="1"/>
                <w:bCs w:val="1"/>
                <w:color w:val="FFFFFF"/>
                <w:shd w:val="clear" w:color="auto" w:fill="BB1131"/>
              </w:rPr>
              <w:t>AGENDA ITEM 1</w:t>
            </w:r>
          </w:p>
        </w:tc>
        <w:tc>
          <w:tcPr>
            <w:tcW w:w="108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80" w:type="dxa"/>
            <w:vAlign w:val="bottom"/>
            <w:vMerge w:val="restart"/>
          </w:tcPr>
          <w:p>
            <w:pPr>
              <w:ind w:left="200"/>
              <w:spacing w:after="0"/>
              <w:rPr>
                <w:sz w:val="20"/>
                <w:szCs w:val="20"/>
                <w:color w:val="auto"/>
              </w:rPr>
            </w:pPr>
            <w:r>
              <w:rPr>
                <w:rFonts w:ascii="Arial" w:cs="Arial" w:eastAsia="Arial" w:hAnsi="Arial"/>
                <w:sz w:val="12"/>
                <w:szCs w:val="12"/>
                <w:color w:val="auto"/>
              </w:rPr>
              <w:t>Dr. Duroc-Danner joined EVI, Inc., Weatherford’s predecessor company, at its inception in May 1987 and was directly responsible for the growth of EVI, Inc.’s oilfield</w:t>
            </w:r>
          </w:p>
        </w:tc>
        <w:tc>
          <w:tcPr>
            <w:tcW w:w="0" w:type="dxa"/>
            <w:vAlign w:val="bottom"/>
          </w:tcPr>
          <w:p>
            <w:pPr>
              <w:spacing w:after="0"/>
              <w:rPr>
                <w:sz w:val="1"/>
                <w:szCs w:val="1"/>
                <w:color w:val="auto"/>
              </w:rPr>
            </w:pPr>
          </w:p>
        </w:tc>
      </w:tr>
      <w:tr>
        <w:trPr>
          <w:trHeight w:val="178"/>
        </w:trPr>
        <w:tc>
          <w:tcPr>
            <w:tcW w:w="2140" w:type="dxa"/>
            <w:vAlign w:val="bottom"/>
            <w:tcBorders>
              <w:bottom w:val="single" w:sz="8" w:color="BB1131"/>
            </w:tcBorders>
            <w:gridSpan w:val="2"/>
            <w:shd w:val="clear" w:color="auto" w:fill="BB1131"/>
          </w:tcPr>
          <w:p>
            <w:pPr>
              <w:ind w:left="100"/>
              <w:spacing w:after="0" w:line="148" w:lineRule="exact"/>
              <w:rPr>
                <w:sz w:val="20"/>
                <w:szCs w:val="20"/>
                <w:color w:val="auto"/>
              </w:rPr>
            </w:pPr>
            <w:r>
              <w:rPr>
                <w:rFonts w:ascii="Arial" w:cs="Arial" w:eastAsia="Arial" w:hAnsi="Arial"/>
                <w:sz w:val="16"/>
                <w:szCs w:val="16"/>
                <w:b w:val="1"/>
                <w:bCs w:val="1"/>
                <w:color w:val="FFFFFF"/>
              </w:rPr>
              <w:t>Bernard J. Duroc-Danner</w:t>
            </w:r>
          </w:p>
        </w:tc>
        <w:tc>
          <w:tcPr>
            <w:tcW w:w="9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1060" w:type="dxa"/>
            <w:vAlign w:val="bottom"/>
            <w:shd w:val="clear" w:color="auto" w:fill="E6E7E8"/>
          </w:tcPr>
          <w:p>
            <w:pPr>
              <w:spacing w:after="0"/>
              <w:rPr>
                <w:sz w:val="6"/>
                <w:szCs w:val="6"/>
                <w:color w:val="auto"/>
              </w:rPr>
            </w:pPr>
          </w:p>
        </w:tc>
        <w:tc>
          <w:tcPr>
            <w:tcW w:w="1080" w:type="dxa"/>
            <w:vAlign w:val="bottom"/>
            <w:shd w:val="clear" w:color="auto" w:fill="E6E7E8"/>
          </w:tcPr>
          <w:p>
            <w:pPr>
              <w:spacing w:after="0"/>
              <w:rPr>
                <w:sz w:val="6"/>
                <w:szCs w:val="6"/>
                <w:color w:val="auto"/>
              </w:rPr>
            </w:pPr>
          </w:p>
        </w:tc>
        <w:tc>
          <w:tcPr>
            <w:tcW w:w="9280" w:type="dxa"/>
            <w:vAlign w:val="bottom"/>
          </w:tcPr>
          <w:p>
            <w:pPr>
              <w:ind w:left="200"/>
              <w:spacing w:after="0" w:line="74" w:lineRule="exact"/>
              <w:rPr>
                <w:sz w:val="20"/>
                <w:szCs w:val="20"/>
                <w:color w:val="auto"/>
              </w:rPr>
            </w:pPr>
            <w:r>
              <w:rPr>
                <w:rFonts w:ascii="Arial" w:cs="Arial" w:eastAsia="Arial" w:hAnsi="Arial"/>
                <w:sz w:val="8"/>
                <w:szCs w:val="8"/>
                <w:color w:val="auto"/>
              </w:rPr>
              <w:t>service and equipment business. He has directed the growth of the Company since that time. He was elected EVI’s President and Chief Executive Officer in 1990.</w:t>
            </w:r>
          </w:p>
        </w:tc>
        <w:tc>
          <w:tcPr>
            <w:tcW w:w="0" w:type="dxa"/>
            <w:vAlign w:val="bottom"/>
          </w:tcPr>
          <w:p>
            <w:pPr>
              <w:spacing w:after="0"/>
              <w:rPr>
                <w:sz w:val="1"/>
                <w:szCs w:val="1"/>
                <w:color w:val="auto"/>
              </w:rPr>
            </w:pPr>
          </w:p>
        </w:tc>
      </w:tr>
      <w:tr>
        <w:trPr>
          <w:trHeight w:val="136"/>
        </w:trPr>
        <w:tc>
          <w:tcPr>
            <w:tcW w:w="1060" w:type="dxa"/>
            <w:vAlign w:val="bottom"/>
            <w:shd w:val="clear" w:color="auto" w:fill="E6E7E8"/>
          </w:tcPr>
          <w:p>
            <w:pPr>
              <w:spacing w:after="0"/>
              <w:rPr>
                <w:sz w:val="11"/>
                <w:szCs w:val="11"/>
                <w:color w:val="auto"/>
              </w:rPr>
            </w:pPr>
          </w:p>
        </w:tc>
        <w:tc>
          <w:tcPr>
            <w:tcW w:w="1080" w:type="dxa"/>
            <w:vAlign w:val="bottom"/>
            <w:shd w:val="clear" w:color="auto" w:fill="E6E7E8"/>
          </w:tcPr>
          <w:p>
            <w:pPr>
              <w:spacing w:after="0"/>
              <w:rPr>
                <w:sz w:val="11"/>
                <w:szCs w:val="11"/>
                <w:color w:val="auto"/>
              </w:rPr>
            </w:pPr>
          </w:p>
        </w:tc>
        <w:tc>
          <w:tcPr>
            <w:tcW w:w="9280" w:type="dxa"/>
            <w:vAlign w:val="bottom"/>
          </w:tcPr>
          <w:p>
            <w:pPr>
              <w:ind w:left="200"/>
              <w:spacing w:after="0" w:line="136" w:lineRule="exact"/>
              <w:rPr>
                <w:sz w:val="20"/>
                <w:szCs w:val="20"/>
                <w:color w:val="auto"/>
              </w:rPr>
            </w:pPr>
            <w:r>
              <w:rPr>
                <w:rFonts w:ascii="Arial" w:cs="Arial" w:eastAsia="Arial" w:hAnsi="Arial"/>
                <w:sz w:val="12"/>
                <w:szCs w:val="12"/>
                <w:color w:val="auto"/>
              </w:rPr>
              <w:t>Subsequent to the merger of EVI, Inc. with Weatherford Enterra, Inc. on May 27, 1998, Dr. Duroc-Danner was elected as our Chairman of the Board. Dr. Duroc-</w:t>
            </w:r>
          </w:p>
        </w:tc>
        <w:tc>
          <w:tcPr>
            <w:tcW w:w="0" w:type="dxa"/>
            <w:vAlign w:val="bottom"/>
          </w:tcPr>
          <w:p>
            <w:pPr>
              <w:spacing w:after="0"/>
              <w:rPr>
                <w:sz w:val="1"/>
                <w:szCs w:val="1"/>
                <w:color w:val="auto"/>
              </w:rPr>
            </w:pPr>
          </w:p>
        </w:tc>
      </w:tr>
      <w:tr>
        <w:trPr>
          <w:trHeight w:val="136"/>
        </w:trPr>
        <w:tc>
          <w:tcPr>
            <w:tcW w:w="1060" w:type="dxa"/>
            <w:vAlign w:val="bottom"/>
            <w:shd w:val="clear" w:color="auto" w:fill="E6E7E8"/>
          </w:tcPr>
          <w:p>
            <w:pPr>
              <w:spacing w:after="0"/>
              <w:rPr>
                <w:sz w:val="11"/>
                <w:szCs w:val="11"/>
                <w:color w:val="auto"/>
              </w:rPr>
            </w:pPr>
          </w:p>
        </w:tc>
        <w:tc>
          <w:tcPr>
            <w:tcW w:w="1080" w:type="dxa"/>
            <w:vAlign w:val="bottom"/>
            <w:shd w:val="clear" w:color="auto" w:fill="E6E7E8"/>
          </w:tcPr>
          <w:p>
            <w:pPr>
              <w:spacing w:after="0"/>
              <w:rPr>
                <w:sz w:val="11"/>
                <w:szCs w:val="11"/>
                <w:color w:val="auto"/>
              </w:rPr>
            </w:pPr>
          </w:p>
        </w:tc>
        <w:tc>
          <w:tcPr>
            <w:tcW w:w="9280" w:type="dxa"/>
            <w:vAlign w:val="bottom"/>
          </w:tcPr>
          <w:p>
            <w:pPr>
              <w:ind w:left="200"/>
              <w:spacing w:after="0" w:line="136" w:lineRule="exact"/>
              <w:rPr>
                <w:sz w:val="20"/>
                <w:szCs w:val="20"/>
                <w:color w:val="auto"/>
              </w:rPr>
            </w:pPr>
            <w:r>
              <w:rPr>
                <w:rFonts w:ascii="Arial" w:cs="Arial" w:eastAsia="Arial" w:hAnsi="Arial"/>
                <w:sz w:val="12"/>
                <w:szCs w:val="12"/>
                <w:color w:val="auto"/>
              </w:rPr>
              <w:t>Danner’s family has been in the oil business for two generations. He holds an M.B.A. and a Ph.D. in Economics from Wharton (University of Pennsylvania). Prior to</w:t>
            </w:r>
          </w:p>
        </w:tc>
        <w:tc>
          <w:tcPr>
            <w:tcW w:w="0" w:type="dxa"/>
            <w:vAlign w:val="bottom"/>
          </w:tcPr>
          <w:p>
            <w:pPr>
              <w:spacing w:after="0"/>
              <w:rPr>
                <w:sz w:val="1"/>
                <w:szCs w:val="1"/>
                <w:color w:val="auto"/>
              </w:rPr>
            </w:pPr>
          </w:p>
        </w:tc>
      </w:tr>
      <w:tr>
        <w:trPr>
          <w:trHeight w:val="136"/>
        </w:trPr>
        <w:tc>
          <w:tcPr>
            <w:tcW w:w="1060" w:type="dxa"/>
            <w:vAlign w:val="bottom"/>
            <w:shd w:val="clear" w:color="auto" w:fill="E6E7E8"/>
          </w:tcPr>
          <w:p>
            <w:pPr>
              <w:spacing w:after="0"/>
              <w:rPr>
                <w:sz w:val="11"/>
                <w:szCs w:val="11"/>
                <w:color w:val="auto"/>
              </w:rPr>
            </w:pPr>
          </w:p>
        </w:tc>
        <w:tc>
          <w:tcPr>
            <w:tcW w:w="1080" w:type="dxa"/>
            <w:vAlign w:val="bottom"/>
            <w:shd w:val="clear" w:color="auto" w:fill="E6E7E8"/>
          </w:tcPr>
          <w:p>
            <w:pPr>
              <w:spacing w:after="0"/>
              <w:rPr>
                <w:sz w:val="11"/>
                <w:szCs w:val="11"/>
                <w:color w:val="auto"/>
              </w:rPr>
            </w:pPr>
          </w:p>
        </w:tc>
        <w:tc>
          <w:tcPr>
            <w:tcW w:w="9280" w:type="dxa"/>
            <w:vAlign w:val="bottom"/>
          </w:tcPr>
          <w:p>
            <w:pPr>
              <w:ind w:left="200"/>
              <w:spacing w:after="0" w:line="136" w:lineRule="exact"/>
              <w:rPr>
                <w:sz w:val="20"/>
                <w:szCs w:val="20"/>
                <w:color w:val="auto"/>
              </w:rPr>
            </w:pPr>
            <w:r>
              <w:rPr>
                <w:rFonts w:ascii="Arial" w:cs="Arial" w:eastAsia="Arial" w:hAnsi="Arial"/>
                <w:sz w:val="12"/>
                <w:szCs w:val="12"/>
                <w:color w:val="auto"/>
              </w:rPr>
              <w:t>the start-up of EVI, Dr. Duroc-Danner held positions at Arthur D. Little Inc. and Mobil Oil Inc. Dr. Duroc-Danner has been a director of LMS Capital plc, an investment</w:t>
            </w:r>
          </w:p>
        </w:tc>
        <w:tc>
          <w:tcPr>
            <w:tcW w:w="0" w:type="dxa"/>
            <w:vAlign w:val="bottom"/>
          </w:tcPr>
          <w:p>
            <w:pPr>
              <w:spacing w:after="0"/>
              <w:rPr>
                <w:sz w:val="1"/>
                <w:szCs w:val="1"/>
                <w:color w:val="auto"/>
              </w:rPr>
            </w:pPr>
          </w:p>
        </w:tc>
      </w:tr>
      <w:tr>
        <w:trPr>
          <w:trHeight w:val="136"/>
        </w:trPr>
        <w:tc>
          <w:tcPr>
            <w:tcW w:w="1060" w:type="dxa"/>
            <w:vAlign w:val="bottom"/>
            <w:shd w:val="clear" w:color="auto" w:fill="E6E7E8"/>
          </w:tcPr>
          <w:p>
            <w:pPr>
              <w:spacing w:after="0"/>
              <w:rPr>
                <w:sz w:val="11"/>
                <w:szCs w:val="11"/>
                <w:color w:val="auto"/>
              </w:rPr>
            </w:pPr>
          </w:p>
        </w:tc>
        <w:tc>
          <w:tcPr>
            <w:tcW w:w="1080" w:type="dxa"/>
            <w:vAlign w:val="bottom"/>
            <w:shd w:val="clear" w:color="auto" w:fill="E6E7E8"/>
          </w:tcPr>
          <w:p>
            <w:pPr>
              <w:spacing w:after="0"/>
              <w:rPr>
                <w:sz w:val="11"/>
                <w:szCs w:val="11"/>
                <w:color w:val="auto"/>
              </w:rPr>
            </w:pPr>
          </w:p>
        </w:tc>
        <w:tc>
          <w:tcPr>
            <w:tcW w:w="9280" w:type="dxa"/>
            <w:vAlign w:val="bottom"/>
          </w:tcPr>
          <w:p>
            <w:pPr>
              <w:ind w:left="200"/>
              <w:spacing w:after="0" w:line="136" w:lineRule="exact"/>
              <w:rPr>
                <w:sz w:val="20"/>
                <w:szCs w:val="20"/>
                <w:color w:val="auto"/>
              </w:rPr>
            </w:pPr>
            <w:r>
              <w:rPr>
                <w:rFonts w:ascii="Arial" w:cs="Arial" w:eastAsia="Arial" w:hAnsi="Arial"/>
                <w:sz w:val="12"/>
                <w:szCs w:val="12"/>
                <w:color w:val="auto"/>
              </w:rPr>
              <w:t>company listed on the London Stock Exchange, since 2006. Dr. Duroc-Danner also serves on the National Petroleum Council and is a member of the Society of</w:t>
            </w:r>
          </w:p>
        </w:tc>
        <w:tc>
          <w:tcPr>
            <w:tcW w:w="0" w:type="dxa"/>
            <w:vAlign w:val="bottom"/>
          </w:tcPr>
          <w:p>
            <w:pPr>
              <w:spacing w:after="0"/>
              <w:rPr>
                <w:sz w:val="1"/>
                <w:szCs w:val="1"/>
                <w:color w:val="auto"/>
              </w:rPr>
            </w:pPr>
          </w:p>
        </w:tc>
      </w:tr>
      <w:tr>
        <w:trPr>
          <w:trHeight w:val="148"/>
        </w:trPr>
        <w:tc>
          <w:tcPr>
            <w:tcW w:w="1060" w:type="dxa"/>
            <w:vAlign w:val="bottom"/>
            <w:shd w:val="clear" w:color="auto" w:fill="E6E7E8"/>
          </w:tcPr>
          <w:p>
            <w:pPr>
              <w:spacing w:after="0"/>
              <w:rPr>
                <w:sz w:val="12"/>
                <w:szCs w:val="12"/>
                <w:color w:val="auto"/>
              </w:rPr>
            </w:pPr>
          </w:p>
        </w:tc>
        <w:tc>
          <w:tcPr>
            <w:tcW w:w="1080" w:type="dxa"/>
            <w:vAlign w:val="bottom"/>
            <w:shd w:val="clear" w:color="auto" w:fill="E6E7E8"/>
          </w:tcPr>
          <w:p>
            <w:pPr>
              <w:spacing w:after="0"/>
              <w:rPr>
                <w:sz w:val="12"/>
                <w:szCs w:val="12"/>
                <w:color w:val="auto"/>
              </w:rPr>
            </w:pPr>
          </w:p>
        </w:tc>
        <w:tc>
          <w:tcPr>
            <w:tcW w:w="9280" w:type="dxa"/>
            <w:vAlign w:val="bottom"/>
          </w:tcPr>
          <w:p>
            <w:pPr>
              <w:ind w:left="200"/>
              <w:spacing w:after="0"/>
              <w:rPr>
                <w:sz w:val="20"/>
                <w:szCs w:val="20"/>
                <w:color w:val="auto"/>
              </w:rPr>
            </w:pPr>
            <w:r>
              <w:rPr>
                <w:rFonts w:ascii="Arial" w:cs="Arial" w:eastAsia="Arial" w:hAnsi="Arial"/>
                <w:sz w:val="12"/>
                <w:szCs w:val="12"/>
                <w:color w:val="auto"/>
              </w:rPr>
              <w:t>Petroleum Engineers. Dr. Duroc-Danner was the recipient of Ernst &amp; Young’s 2008 Entrepreneur of the Year in Energy, Chemicals and Mining category.</w:t>
            </w:r>
          </w:p>
        </w:tc>
        <w:tc>
          <w:tcPr>
            <w:tcW w:w="0" w:type="dxa"/>
            <w:vAlign w:val="bottom"/>
          </w:tcPr>
          <w:p>
            <w:pPr>
              <w:spacing w:after="0"/>
              <w:rPr>
                <w:sz w:val="1"/>
                <w:szCs w:val="1"/>
                <w:color w:val="auto"/>
              </w:rPr>
            </w:pPr>
          </w:p>
        </w:tc>
      </w:tr>
      <w:tr>
        <w:trPr>
          <w:trHeight w:val="235"/>
        </w:trPr>
        <w:tc>
          <w:tcPr>
            <w:tcW w:w="1060" w:type="dxa"/>
            <w:vAlign w:val="bottom"/>
            <w:shd w:val="clear" w:color="auto" w:fill="E6E7E8"/>
          </w:tcPr>
          <w:p>
            <w:pPr>
              <w:spacing w:after="0"/>
              <w:rPr>
                <w:sz w:val="20"/>
                <w:szCs w:val="20"/>
                <w:color w:val="auto"/>
              </w:rPr>
            </w:pPr>
          </w:p>
        </w:tc>
        <w:tc>
          <w:tcPr>
            <w:tcW w:w="1080" w:type="dxa"/>
            <w:vAlign w:val="bottom"/>
            <w:shd w:val="clear" w:color="auto" w:fill="E6E7E8"/>
          </w:tcPr>
          <w:p>
            <w:pPr>
              <w:spacing w:after="0"/>
              <w:rPr>
                <w:sz w:val="20"/>
                <w:szCs w:val="20"/>
                <w:color w:val="auto"/>
              </w:rPr>
            </w:pPr>
          </w:p>
        </w:tc>
        <w:tc>
          <w:tcPr>
            <w:tcW w:w="9280" w:type="dxa"/>
            <w:vAlign w:val="bottom"/>
          </w:tcPr>
          <w:p>
            <w:pPr>
              <w:ind w:left="200"/>
              <w:spacing w:after="0"/>
              <w:rPr>
                <w:sz w:val="20"/>
                <w:szCs w:val="20"/>
                <w:color w:val="auto"/>
              </w:rPr>
            </w:pPr>
            <w:r>
              <w:rPr>
                <w:rFonts w:ascii="Arial" w:cs="Arial" w:eastAsia="Arial" w:hAnsi="Arial"/>
                <w:sz w:val="12"/>
                <w:szCs w:val="12"/>
                <w:color w:val="auto"/>
              </w:rPr>
              <w:t>During the past five years, Dr. Duroc-Danner also was a director of Helix Energy Solutions Group, Inc.</w:t>
            </w:r>
          </w:p>
        </w:tc>
        <w:tc>
          <w:tcPr>
            <w:tcW w:w="0" w:type="dxa"/>
            <w:vAlign w:val="bottom"/>
          </w:tcPr>
          <w:p>
            <w:pPr>
              <w:spacing w:after="0"/>
              <w:rPr>
                <w:sz w:val="1"/>
                <w:szCs w:val="1"/>
                <w:color w:val="auto"/>
              </w:rPr>
            </w:pPr>
          </w:p>
        </w:tc>
      </w:tr>
      <w:tr>
        <w:trPr>
          <w:trHeight w:val="235"/>
        </w:trPr>
        <w:tc>
          <w:tcPr>
            <w:tcW w:w="1060" w:type="dxa"/>
            <w:vAlign w:val="bottom"/>
            <w:shd w:val="clear" w:color="auto" w:fill="E6E7E8"/>
          </w:tcPr>
          <w:p>
            <w:pPr>
              <w:spacing w:after="0"/>
              <w:rPr>
                <w:sz w:val="20"/>
                <w:szCs w:val="20"/>
                <w:color w:val="auto"/>
              </w:rPr>
            </w:pPr>
          </w:p>
        </w:tc>
        <w:tc>
          <w:tcPr>
            <w:tcW w:w="1080" w:type="dxa"/>
            <w:vAlign w:val="bottom"/>
            <w:shd w:val="clear" w:color="auto" w:fill="E6E7E8"/>
          </w:tcPr>
          <w:p>
            <w:pPr>
              <w:spacing w:after="0"/>
              <w:rPr>
                <w:sz w:val="20"/>
                <w:szCs w:val="20"/>
                <w:color w:val="auto"/>
              </w:rPr>
            </w:pPr>
          </w:p>
        </w:tc>
        <w:tc>
          <w:tcPr>
            <w:tcW w:w="9280" w:type="dxa"/>
            <w:vAlign w:val="bottom"/>
          </w:tcPr>
          <w:p>
            <w:pPr>
              <w:ind w:left="200"/>
              <w:spacing w:after="0"/>
              <w:rPr>
                <w:sz w:val="20"/>
                <w:szCs w:val="20"/>
                <w:color w:val="auto"/>
              </w:rPr>
            </w:pPr>
            <w:r>
              <w:rPr>
                <w:rFonts w:ascii="Arial" w:cs="Arial" w:eastAsia="Arial" w:hAnsi="Arial"/>
                <w:sz w:val="12"/>
                <w:szCs w:val="12"/>
                <w:b w:val="1"/>
                <w:bCs w:val="1"/>
                <w:color w:val="auto"/>
              </w:rPr>
              <w:t>Specific qualifications and experience of particular relevance to our Company</w:t>
            </w:r>
          </w:p>
        </w:tc>
        <w:tc>
          <w:tcPr>
            <w:tcW w:w="0" w:type="dxa"/>
            <w:vAlign w:val="bottom"/>
          </w:tcPr>
          <w:p>
            <w:pPr>
              <w:spacing w:after="0"/>
              <w:rPr>
                <w:sz w:val="1"/>
                <w:szCs w:val="1"/>
                <w:color w:val="auto"/>
              </w:rPr>
            </w:pPr>
          </w:p>
        </w:tc>
      </w:tr>
      <w:tr>
        <w:trPr>
          <w:trHeight w:val="223"/>
        </w:trPr>
        <w:tc>
          <w:tcPr>
            <w:tcW w:w="1060" w:type="dxa"/>
            <w:vAlign w:val="bottom"/>
            <w:shd w:val="clear" w:color="auto" w:fill="E6E7E8"/>
          </w:tcPr>
          <w:p>
            <w:pPr>
              <w:spacing w:after="0"/>
              <w:rPr>
                <w:sz w:val="19"/>
                <w:szCs w:val="19"/>
                <w:color w:val="auto"/>
              </w:rPr>
            </w:pPr>
          </w:p>
        </w:tc>
        <w:tc>
          <w:tcPr>
            <w:tcW w:w="1080" w:type="dxa"/>
            <w:vAlign w:val="bottom"/>
            <w:shd w:val="clear" w:color="auto" w:fill="E6E7E8"/>
          </w:tcPr>
          <w:p>
            <w:pPr>
              <w:spacing w:after="0"/>
              <w:rPr>
                <w:sz w:val="19"/>
                <w:szCs w:val="19"/>
                <w:color w:val="auto"/>
              </w:rPr>
            </w:pPr>
          </w:p>
        </w:tc>
        <w:tc>
          <w:tcPr>
            <w:tcW w:w="9280" w:type="dxa"/>
            <w:vAlign w:val="bottom"/>
          </w:tcPr>
          <w:p>
            <w:pPr>
              <w:ind w:left="200"/>
              <w:spacing w:after="0"/>
              <w:rPr>
                <w:sz w:val="20"/>
                <w:szCs w:val="20"/>
                <w:color w:val="auto"/>
              </w:rPr>
            </w:pPr>
            <w:r>
              <w:rPr>
                <w:rFonts w:ascii="Arial" w:cs="Arial" w:eastAsia="Arial" w:hAnsi="Arial"/>
                <w:sz w:val="12"/>
                <w:szCs w:val="12"/>
                <w:color w:val="auto"/>
              </w:rPr>
              <w:t>Dr. Duroc-Danner is a valued member of the Board because of his educational background, depth of knowledge of the oilfield service industry, domestically and</w:t>
            </w:r>
          </w:p>
        </w:tc>
        <w:tc>
          <w:tcPr>
            <w:tcW w:w="0" w:type="dxa"/>
            <w:vAlign w:val="bottom"/>
          </w:tcPr>
          <w:p>
            <w:pPr>
              <w:spacing w:after="0"/>
              <w:rPr>
                <w:sz w:val="1"/>
                <w:szCs w:val="1"/>
                <w:color w:val="auto"/>
              </w:rPr>
            </w:pPr>
          </w:p>
        </w:tc>
      </w:tr>
      <w:tr>
        <w:trPr>
          <w:trHeight w:val="136"/>
        </w:trPr>
        <w:tc>
          <w:tcPr>
            <w:tcW w:w="1060" w:type="dxa"/>
            <w:vAlign w:val="bottom"/>
            <w:shd w:val="clear" w:color="auto" w:fill="E6E7E8"/>
          </w:tcPr>
          <w:p>
            <w:pPr>
              <w:spacing w:after="0"/>
              <w:rPr>
                <w:sz w:val="11"/>
                <w:szCs w:val="11"/>
                <w:color w:val="auto"/>
              </w:rPr>
            </w:pPr>
          </w:p>
        </w:tc>
        <w:tc>
          <w:tcPr>
            <w:tcW w:w="1080" w:type="dxa"/>
            <w:vAlign w:val="bottom"/>
            <w:shd w:val="clear" w:color="auto" w:fill="E6E7E8"/>
          </w:tcPr>
          <w:p>
            <w:pPr>
              <w:spacing w:after="0"/>
              <w:rPr>
                <w:sz w:val="11"/>
                <w:szCs w:val="11"/>
                <w:color w:val="auto"/>
              </w:rPr>
            </w:pPr>
          </w:p>
        </w:tc>
        <w:tc>
          <w:tcPr>
            <w:tcW w:w="9280" w:type="dxa"/>
            <w:vAlign w:val="bottom"/>
          </w:tcPr>
          <w:p>
            <w:pPr>
              <w:ind w:left="200"/>
              <w:spacing w:after="0" w:line="136" w:lineRule="exact"/>
              <w:rPr>
                <w:sz w:val="20"/>
                <w:szCs w:val="20"/>
                <w:color w:val="auto"/>
              </w:rPr>
            </w:pPr>
            <w:r>
              <w:rPr>
                <w:rFonts w:ascii="Arial" w:cs="Arial" w:eastAsia="Arial" w:hAnsi="Arial"/>
                <w:sz w:val="12"/>
                <w:szCs w:val="12"/>
                <w:color w:val="auto"/>
              </w:rPr>
              <w:t>internationally, and his 27 years of experience in successfully leading and expanding the Company’s business. As President and Chief Executive Officer, Dr. Duroc-</w:t>
            </w:r>
          </w:p>
        </w:tc>
        <w:tc>
          <w:tcPr>
            <w:tcW w:w="0" w:type="dxa"/>
            <w:vAlign w:val="bottom"/>
          </w:tcPr>
          <w:p>
            <w:pPr>
              <w:spacing w:after="0"/>
              <w:rPr>
                <w:sz w:val="1"/>
                <w:szCs w:val="1"/>
                <w:color w:val="auto"/>
              </w:rPr>
            </w:pPr>
          </w:p>
        </w:tc>
      </w:tr>
      <w:tr>
        <w:trPr>
          <w:trHeight w:val="136"/>
        </w:trPr>
        <w:tc>
          <w:tcPr>
            <w:tcW w:w="1060" w:type="dxa"/>
            <w:vAlign w:val="bottom"/>
            <w:shd w:val="clear" w:color="auto" w:fill="E6E7E8"/>
          </w:tcPr>
          <w:p>
            <w:pPr>
              <w:spacing w:after="0"/>
              <w:rPr>
                <w:sz w:val="11"/>
                <w:szCs w:val="11"/>
                <w:color w:val="auto"/>
              </w:rPr>
            </w:pPr>
          </w:p>
        </w:tc>
        <w:tc>
          <w:tcPr>
            <w:tcW w:w="1080" w:type="dxa"/>
            <w:vAlign w:val="bottom"/>
            <w:shd w:val="clear" w:color="auto" w:fill="E6E7E8"/>
          </w:tcPr>
          <w:p>
            <w:pPr>
              <w:spacing w:after="0"/>
              <w:rPr>
                <w:sz w:val="11"/>
                <w:szCs w:val="11"/>
                <w:color w:val="auto"/>
              </w:rPr>
            </w:pPr>
          </w:p>
        </w:tc>
        <w:tc>
          <w:tcPr>
            <w:tcW w:w="9280" w:type="dxa"/>
            <w:vAlign w:val="bottom"/>
          </w:tcPr>
          <w:p>
            <w:pPr>
              <w:ind w:left="200"/>
              <w:spacing w:after="0" w:line="136" w:lineRule="exact"/>
              <w:rPr>
                <w:sz w:val="20"/>
                <w:szCs w:val="20"/>
                <w:color w:val="auto"/>
              </w:rPr>
            </w:pPr>
            <w:r>
              <w:rPr>
                <w:rFonts w:ascii="Arial" w:cs="Arial" w:eastAsia="Arial" w:hAnsi="Arial"/>
                <w:sz w:val="12"/>
                <w:szCs w:val="12"/>
                <w:color w:val="auto"/>
              </w:rPr>
              <w:t>Danner serves as an important link between senior management and the Board, and he brings to the Board an invaluable perspective in strategic planning for the</w:t>
            </w:r>
          </w:p>
        </w:tc>
        <w:tc>
          <w:tcPr>
            <w:tcW w:w="0" w:type="dxa"/>
            <w:vAlign w:val="bottom"/>
          </w:tcPr>
          <w:p>
            <w:pPr>
              <w:spacing w:after="0"/>
              <w:rPr>
                <w:sz w:val="1"/>
                <w:szCs w:val="1"/>
                <w:color w:val="auto"/>
              </w:rPr>
            </w:pPr>
          </w:p>
        </w:tc>
      </w:tr>
      <w:tr>
        <w:trPr>
          <w:trHeight w:val="148"/>
        </w:trPr>
        <w:tc>
          <w:tcPr>
            <w:tcW w:w="1060" w:type="dxa"/>
            <w:vAlign w:val="bottom"/>
            <w:shd w:val="clear" w:color="auto" w:fill="E6E7E8"/>
          </w:tcPr>
          <w:p>
            <w:pPr>
              <w:spacing w:after="0"/>
              <w:rPr>
                <w:sz w:val="12"/>
                <w:szCs w:val="12"/>
                <w:color w:val="auto"/>
              </w:rPr>
            </w:pPr>
          </w:p>
        </w:tc>
        <w:tc>
          <w:tcPr>
            <w:tcW w:w="1080" w:type="dxa"/>
            <w:vAlign w:val="bottom"/>
            <w:shd w:val="clear" w:color="auto" w:fill="E6E7E8"/>
          </w:tcPr>
          <w:p>
            <w:pPr>
              <w:spacing w:after="0"/>
              <w:rPr>
                <w:sz w:val="12"/>
                <w:szCs w:val="12"/>
                <w:color w:val="auto"/>
              </w:rPr>
            </w:pPr>
          </w:p>
        </w:tc>
        <w:tc>
          <w:tcPr>
            <w:tcW w:w="9280" w:type="dxa"/>
            <w:vAlign w:val="bottom"/>
          </w:tcPr>
          <w:p>
            <w:pPr>
              <w:ind w:left="200"/>
              <w:spacing w:after="0"/>
              <w:rPr>
                <w:sz w:val="20"/>
                <w:szCs w:val="20"/>
                <w:color w:val="auto"/>
              </w:rPr>
            </w:pPr>
            <w:r>
              <w:rPr>
                <w:rFonts w:ascii="Arial" w:cs="Arial" w:eastAsia="Arial" w:hAnsi="Arial"/>
                <w:sz w:val="12"/>
                <w:szCs w:val="12"/>
                <w:color w:val="auto"/>
              </w:rPr>
              <w:t>future growth of the Company.</w:t>
            </w:r>
          </w:p>
        </w:tc>
        <w:tc>
          <w:tcPr>
            <w:tcW w:w="0" w:type="dxa"/>
            <w:vAlign w:val="bottom"/>
          </w:tcPr>
          <w:p>
            <w:pPr>
              <w:spacing w:after="0"/>
              <w:rPr>
                <w:sz w:val="1"/>
                <w:szCs w:val="1"/>
                <w:color w:val="auto"/>
              </w:rPr>
            </w:pPr>
          </w:p>
        </w:tc>
      </w:tr>
      <w:tr>
        <w:trPr>
          <w:trHeight w:val="224"/>
        </w:trPr>
        <w:tc>
          <w:tcPr>
            <w:tcW w:w="1060" w:type="dxa"/>
            <w:vAlign w:val="bottom"/>
            <w:shd w:val="clear" w:color="auto" w:fill="E6E7E8"/>
          </w:tcPr>
          <w:p>
            <w:pPr>
              <w:spacing w:after="0"/>
              <w:rPr>
                <w:sz w:val="19"/>
                <w:szCs w:val="19"/>
                <w:color w:val="auto"/>
              </w:rPr>
            </w:pPr>
          </w:p>
        </w:tc>
        <w:tc>
          <w:tcPr>
            <w:tcW w:w="1080" w:type="dxa"/>
            <w:vAlign w:val="bottom"/>
            <w:shd w:val="clear" w:color="auto" w:fill="E6E7E8"/>
          </w:tcPr>
          <w:p>
            <w:pPr>
              <w:spacing w:after="0"/>
              <w:rPr>
                <w:sz w:val="19"/>
                <w:szCs w:val="19"/>
                <w:color w:val="auto"/>
              </w:rPr>
            </w:pPr>
          </w:p>
        </w:tc>
        <w:tc>
          <w:tcPr>
            <w:tcW w:w="9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-1344295</wp:posOffset>
            </wp:positionV>
            <wp:extent cx="1360170" cy="1926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60170" cy="192659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sectPr>
      </w:pPr>
    </w:p>
    <w:p>
      <w:pPr>
        <w:spacing w:after="0" w:line="60" w:lineRule="exact"/>
        <w:rPr>
          <w:sz w:val="20"/>
          <w:szCs w:val="20"/>
          <w:color w:val="auto"/>
        </w:rPr>
      </w:pPr>
    </w:p>
    <w:p>
      <w:pPr>
        <w:ind w:left="101"/>
        <w:spacing w:after="0"/>
        <w:rPr>
          <w:sz w:val="20"/>
          <w:szCs w:val="20"/>
          <w:color w:val="auto"/>
        </w:rPr>
      </w:pPr>
      <w:r>
        <w:rPr>
          <w:rFonts w:ascii="Arial" w:cs="Arial" w:eastAsia="Arial" w:hAnsi="Arial"/>
          <w:sz w:val="12"/>
          <w:szCs w:val="12"/>
          <w:b w:val="1"/>
          <w:bCs w:val="1"/>
          <w:color w:val="auto"/>
        </w:rPr>
        <w:t xml:space="preserve">Age: </w:t>
      </w:r>
      <w:r>
        <w:rPr>
          <w:rFonts w:ascii="Arial" w:cs="Arial" w:eastAsia="Arial" w:hAnsi="Arial"/>
          <w:sz w:val="12"/>
          <w:szCs w:val="12"/>
          <w:color w:val="auto"/>
        </w:rPr>
        <w:t>60</w:t>
      </w:r>
    </w:p>
    <w:p>
      <w:pPr>
        <w:spacing w:after="0" w:line="12" w:lineRule="exact"/>
        <w:rPr>
          <w:sz w:val="20"/>
          <w:szCs w:val="20"/>
          <w:color w:val="auto"/>
        </w:rPr>
      </w:pPr>
    </w:p>
    <w:p>
      <w:pPr>
        <w:ind w:left="101"/>
        <w:spacing w:after="0"/>
        <w:rPr>
          <w:sz w:val="20"/>
          <w:szCs w:val="20"/>
          <w:color w:val="auto"/>
        </w:rPr>
      </w:pPr>
      <w:r>
        <w:rPr>
          <w:rFonts w:ascii="Arial" w:cs="Arial" w:eastAsia="Arial" w:hAnsi="Arial"/>
          <w:sz w:val="12"/>
          <w:szCs w:val="12"/>
          <w:b w:val="1"/>
          <w:bCs w:val="1"/>
          <w:color w:val="auto"/>
        </w:rPr>
        <w:t xml:space="preserve">Director since: </w:t>
      </w:r>
      <w:r>
        <w:rPr>
          <w:rFonts w:ascii="Arial" w:cs="Arial" w:eastAsia="Arial" w:hAnsi="Arial"/>
          <w:sz w:val="12"/>
          <w:szCs w:val="12"/>
          <w:color w:val="auto"/>
        </w:rPr>
        <w:t>1988</w:t>
      </w:r>
    </w:p>
    <w:p>
      <w:pPr>
        <w:spacing w:after="0" w:line="71" w:lineRule="exact"/>
        <w:rPr>
          <w:sz w:val="20"/>
          <w:szCs w:val="20"/>
          <w:color w:val="auto"/>
        </w:rPr>
      </w:pPr>
    </w:p>
    <w:p>
      <w:pPr>
        <w:ind w:left="101"/>
        <w:spacing w:after="0"/>
        <w:rPr>
          <w:sz w:val="20"/>
          <w:szCs w:val="20"/>
          <w:color w:val="auto"/>
        </w:rPr>
      </w:pPr>
      <w:r>
        <w:rPr>
          <w:rFonts w:ascii="Arial" w:cs="Arial" w:eastAsia="Arial" w:hAnsi="Arial"/>
          <w:sz w:val="12"/>
          <w:szCs w:val="12"/>
          <w:b w:val="1"/>
          <w:bCs w:val="1"/>
          <w:color w:val="auto"/>
        </w:rPr>
        <w:t xml:space="preserve">Committees: </w:t>
      </w:r>
      <w:r>
        <w:rPr>
          <w:rFonts w:ascii="Arial" w:cs="Arial" w:eastAsia="Arial" w:hAnsi="Arial"/>
          <w:sz w:val="12"/>
          <w:szCs w:val="12"/>
          <w:color w:val="auto"/>
        </w:rPr>
        <w:t>None</w:t>
      </w:r>
    </w:p>
    <w:p>
      <w:pPr>
        <w:spacing w:after="0" w:line="73" w:lineRule="exact"/>
        <w:rPr>
          <w:sz w:val="20"/>
          <w:szCs w:val="20"/>
          <w:color w:val="auto"/>
        </w:rPr>
      </w:pPr>
    </w:p>
    <w:p>
      <w:pPr>
        <w:ind w:left="101" w:right="380"/>
        <w:spacing w:after="0" w:line="278" w:lineRule="auto"/>
        <w:rPr>
          <w:sz w:val="20"/>
          <w:szCs w:val="20"/>
          <w:color w:val="auto"/>
        </w:rPr>
      </w:pPr>
      <w:r>
        <w:rPr>
          <w:rFonts w:ascii="Arial" w:cs="Arial" w:eastAsia="Arial" w:hAnsi="Arial"/>
          <w:sz w:val="12"/>
          <w:szCs w:val="12"/>
          <w:b w:val="1"/>
          <w:bCs w:val="1"/>
          <w:color w:val="auto"/>
        </w:rPr>
        <w:t xml:space="preserve">Other Public Company Boards: </w:t>
      </w:r>
      <w:r>
        <w:rPr>
          <w:rFonts w:ascii="Arial" w:cs="Arial" w:eastAsia="Arial" w:hAnsi="Arial"/>
          <w:sz w:val="12"/>
          <w:szCs w:val="12"/>
          <w:color w:val="auto"/>
        </w:rPr>
        <w:t>LMS Capital plc</w:t>
      </w:r>
    </w:p>
    <w:p>
      <w:pPr>
        <w:spacing w:after="0" w:line="173" w:lineRule="exact"/>
        <w:rPr>
          <w:sz w:val="20"/>
          <w:szCs w:val="20"/>
          <w:color w:val="auto"/>
        </w:rPr>
      </w:pPr>
    </w:p>
    <w:p>
      <w:pPr>
        <w:ind w:left="541"/>
        <w:spacing w:after="0"/>
        <w:rPr>
          <w:sz w:val="20"/>
          <w:szCs w:val="20"/>
          <w:color w:val="auto"/>
        </w:rPr>
      </w:pPr>
      <w:r>
        <w:rPr>
          <w:rFonts w:ascii="Arial" w:cs="Arial" w:eastAsia="Arial" w:hAnsi="Arial"/>
          <w:sz w:val="16"/>
          <w:szCs w:val="16"/>
          <w:b w:val="1"/>
          <w:bCs w:val="1"/>
          <w:color w:val="FFFFFF"/>
        </w:rPr>
        <w:t>John D. Gass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1336675" cy="23272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36675" cy="2327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01"/>
        <w:spacing w:after="0"/>
        <w:rPr>
          <w:sz w:val="20"/>
          <w:szCs w:val="20"/>
          <w:color w:val="auto"/>
        </w:rPr>
      </w:pPr>
      <w:r>
        <w:rPr>
          <w:rFonts w:ascii="Arial" w:cs="Arial" w:eastAsia="Arial" w:hAnsi="Arial"/>
          <w:sz w:val="12"/>
          <w:szCs w:val="12"/>
          <w:b w:val="1"/>
          <w:bCs w:val="1"/>
          <w:color w:val="auto"/>
        </w:rPr>
        <w:t xml:space="preserve">Age: </w:t>
      </w:r>
      <w:r>
        <w:rPr>
          <w:rFonts w:ascii="Arial" w:cs="Arial" w:eastAsia="Arial" w:hAnsi="Arial"/>
          <w:sz w:val="12"/>
          <w:szCs w:val="12"/>
          <w:color w:val="auto"/>
        </w:rPr>
        <w:t>62</w:t>
      </w:r>
    </w:p>
    <w:p>
      <w:pPr>
        <w:spacing w:after="0" w:line="12" w:lineRule="exact"/>
        <w:rPr>
          <w:sz w:val="20"/>
          <w:szCs w:val="20"/>
          <w:color w:val="auto"/>
        </w:rPr>
      </w:pPr>
    </w:p>
    <w:p>
      <w:pPr>
        <w:ind w:left="101"/>
        <w:spacing w:after="0"/>
        <w:rPr>
          <w:sz w:val="20"/>
          <w:szCs w:val="20"/>
          <w:color w:val="auto"/>
        </w:rPr>
      </w:pPr>
      <w:r>
        <w:rPr>
          <w:rFonts w:ascii="Arial" w:cs="Arial" w:eastAsia="Arial" w:hAnsi="Arial"/>
          <w:sz w:val="12"/>
          <w:szCs w:val="12"/>
          <w:b w:val="1"/>
          <w:bCs w:val="1"/>
          <w:color w:val="auto"/>
        </w:rPr>
        <w:t xml:space="preserve">Director since: </w:t>
      </w:r>
      <w:r>
        <w:rPr>
          <w:rFonts w:ascii="Arial" w:cs="Arial" w:eastAsia="Arial" w:hAnsi="Arial"/>
          <w:sz w:val="12"/>
          <w:szCs w:val="12"/>
          <w:color w:val="auto"/>
        </w:rPr>
        <w:t>2013</w:t>
      </w:r>
    </w:p>
    <w:p>
      <w:pPr>
        <w:spacing w:after="0" w:line="59" w:lineRule="exact"/>
        <w:rPr>
          <w:sz w:val="20"/>
          <w:szCs w:val="20"/>
          <w:color w:val="auto"/>
        </w:rPr>
      </w:pPr>
    </w:p>
    <w:p>
      <w:pPr>
        <w:ind w:left="101"/>
        <w:spacing w:after="0" w:line="278" w:lineRule="auto"/>
        <w:rPr>
          <w:sz w:val="20"/>
          <w:szCs w:val="20"/>
          <w:color w:val="auto"/>
        </w:rPr>
      </w:pPr>
      <w:r>
        <w:rPr>
          <w:rFonts w:ascii="Arial" w:cs="Arial" w:eastAsia="Arial" w:hAnsi="Arial"/>
          <w:sz w:val="12"/>
          <w:szCs w:val="12"/>
          <w:b w:val="1"/>
          <w:bCs w:val="1"/>
          <w:color w:val="auto"/>
        </w:rPr>
        <w:t xml:space="preserve">Committees: </w:t>
      </w:r>
      <w:r>
        <w:rPr>
          <w:rFonts w:ascii="Arial" w:cs="Arial" w:eastAsia="Arial" w:hAnsi="Arial"/>
          <w:sz w:val="12"/>
          <w:szCs w:val="12"/>
          <w:color w:val="auto"/>
        </w:rPr>
        <w:t>Compensation;</w:t>
      </w:r>
      <w:r>
        <w:rPr>
          <w:rFonts w:ascii="Arial" w:cs="Arial" w:eastAsia="Arial" w:hAnsi="Arial"/>
          <w:sz w:val="12"/>
          <w:szCs w:val="12"/>
          <w:b w:val="1"/>
          <w:bCs w:val="1"/>
          <w:color w:val="auto"/>
        </w:rPr>
        <w:t xml:space="preserve"> </w:t>
      </w:r>
      <w:r>
        <w:rPr>
          <w:rFonts w:ascii="Arial" w:cs="Arial" w:eastAsia="Arial" w:hAnsi="Arial"/>
          <w:sz w:val="12"/>
          <w:szCs w:val="12"/>
          <w:color w:val="auto"/>
        </w:rPr>
        <w:t>Health, Safety and Environment</w:t>
      </w:r>
    </w:p>
    <w:p>
      <w:pPr>
        <w:spacing w:after="0" w:line="27" w:lineRule="exact"/>
        <w:rPr>
          <w:sz w:val="20"/>
          <w:szCs w:val="20"/>
          <w:color w:val="auto"/>
        </w:rPr>
      </w:pPr>
    </w:p>
    <w:p>
      <w:pPr>
        <w:ind w:left="101" w:right="60"/>
        <w:spacing w:after="0" w:line="257" w:lineRule="auto"/>
        <w:rPr>
          <w:sz w:val="20"/>
          <w:szCs w:val="20"/>
          <w:color w:val="auto"/>
        </w:rPr>
      </w:pPr>
      <w:r>
        <w:rPr>
          <w:rFonts w:ascii="Arial" w:cs="Arial" w:eastAsia="Arial" w:hAnsi="Arial"/>
          <w:sz w:val="12"/>
          <w:szCs w:val="12"/>
          <w:b w:val="1"/>
          <w:bCs w:val="1"/>
          <w:color w:val="auto"/>
        </w:rPr>
        <w:t xml:space="preserve">Other Public Company Boards: </w:t>
      </w:r>
      <w:r>
        <w:rPr>
          <w:rFonts w:ascii="Arial" w:cs="Arial" w:eastAsia="Arial" w:hAnsi="Arial"/>
          <w:sz w:val="12"/>
          <w:szCs w:val="12"/>
          <w:color w:val="auto"/>
        </w:rPr>
        <w:t>Southwestern Energy</w:t>
      </w:r>
      <w:r>
        <w:rPr>
          <w:rFonts w:ascii="Arial" w:cs="Arial" w:eastAsia="Arial" w:hAnsi="Arial"/>
          <w:sz w:val="12"/>
          <w:szCs w:val="12"/>
          <w:b w:val="1"/>
          <w:bCs w:val="1"/>
          <w:color w:val="auto"/>
        </w:rPr>
        <w:t xml:space="preserve"> </w:t>
      </w:r>
      <w:r>
        <w:rPr>
          <w:rFonts w:ascii="Arial" w:cs="Arial" w:eastAsia="Arial" w:hAnsi="Arial"/>
          <w:sz w:val="12"/>
          <w:szCs w:val="12"/>
          <w:color w:val="auto"/>
        </w:rPr>
        <w:t>Company, Suncor Energy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Mr. Gass is a retired executive who held positions of Vice President of Chevron Corporation and President of Chevron Gas and Midstream, a role held from 2003 until 2012. Mr. Gass joined Chevron in 1974 and over the next 38 years held positions of increasing responsibility both domestically and abroad, in engineering, operations and executive management.</w:t>
      </w:r>
    </w:p>
    <w:p>
      <w:pPr>
        <w:spacing w:after="0" w:line="85" w:lineRule="exact"/>
        <w:rPr>
          <w:sz w:val="20"/>
          <w:szCs w:val="20"/>
          <w:color w:val="auto"/>
        </w:rPr>
      </w:pPr>
    </w:p>
    <w:p>
      <w:pPr>
        <w:jc w:val="both"/>
        <w:spacing w:after="0" w:line="242" w:lineRule="auto"/>
        <w:rPr>
          <w:sz w:val="20"/>
          <w:szCs w:val="20"/>
          <w:color w:val="auto"/>
        </w:rPr>
      </w:pPr>
      <w:r>
        <w:rPr>
          <w:rFonts w:ascii="Arial" w:cs="Arial" w:eastAsia="Arial" w:hAnsi="Arial"/>
          <w:sz w:val="12"/>
          <w:szCs w:val="12"/>
          <w:color w:val="auto"/>
        </w:rPr>
        <w:t>Mr. Gass has been a director of Southwestern Energy Company since November 2012. He became a director of Suncor Energy Inc. in February 2014. Mr. Gass received a bachelor’s degree in civil engineering from Vanderbilt University and a master’s degree in civil engineering from Tulane University. He serves on the Board of Visitors for the Vanderbilt School of Engineering and is on the advisory board for the Vanderbilt Eye Institute. He is a member of the American Society of Civil Engineers and the Society of Petroleum Engineers.</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Specific qualifications and experience of particular relevance to our Company</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Mr. Gass has 38 years of experience in the international exploration and production industry, including executive leadership experience, which is a valuable asset to our Board in its strategic planning and decision-making processes.</w:t>
      </w:r>
    </w:p>
    <w:p>
      <w:pPr>
        <w:spacing w:after="0" w:line="2207" w:lineRule="exact"/>
        <w:rPr>
          <w:sz w:val="20"/>
          <w:szCs w:val="20"/>
          <w:color w:val="auto"/>
        </w:rPr>
      </w:pPr>
    </w:p>
    <w:p>
      <w:pPr>
        <w:sectPr>
          <w:pgSz w:w="11900" w:h="16838" w:orient="portrait"/>
          <w:cols w:equalWidth="0" w:num="2">
            <w:col w:w="1841" w:space="460"/>
            <w:col w:w="9120"/>
          </w:cols>
          <w:pgMar w:left="239" w:top="563" w:right="239" w:bottom="1440" w:gutter="0" w:footer="0" w:header="0"/>
          <w:type w:val="continuous"/>
        </w:sectPr>
      </w:pPr>
    </w:p>
    <w:p>
      <w:pPr>
        <w:spacing w:after="0" w:line="200" w:lineRule="exact"/>
        <w:rPr>
          <w:sz w:val="20"/>
          <w:szCs w:val="20"/>
          <w:color w:val="auto"/>
        </w:rPr>
      </w:pPr>
    </w:p>
    <w:p>
      <w:pPr>
        <w:ind w:left="241" w:hanging="241"/>
        <w:spacing w:after="0"/>
        <w:tabs>
          <w:tab w:leader="none" w:pos="241" w:val="left"/>
        </w:tabs>
        <w:numPr>
          <w:ilvl w:val="0"/>
          <w:numId w:val="19"/>
        </w:numPr>
        <w:rPr>
          <w:rFonts w:ascii="Arial" w:cs="Arial" w:eastAsia="Arial" w:hAnsi="Arial"/>
          <w:sz w:val="12"/>
          <w:szCs w:val="12"/>
          <w:b w:val="1"/>
          <w:bCs w:val="1"/>
          <w:color w:val="auto"/>
        </w:rPr>
      </w:pPr>
      <w:r>
        <w:rPr>
          <w:rFonts w:ascii="Arial" w:cs="Arial" w:eastAsia="Arial" w:hAnsi="Arial"/>
          <w:sz w:val="12"/>
          <w:szCs w:val="12"/>
          <w:color w:val="auto"/>
        </w:rPr>
        <w:t>Weatherford International plc - 2014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8370" cy="203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type w:val="continuous"/>
        </w:sectPr>
      </w:pPr>
    </w:p>
    <w:bookmarkStart w:id="24" w:name="page25"/>
    <w:bookmarkEnd w:id="24"/>
    <w:p>
      <w:pPr>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FFFFFF"/>
        </w:rPr>
        <w:t>Francis S. Kalman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1360170" cy="24453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60170" cy="2445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00"/>
        <w:spacing w:after="0"/>
        <w:rPr>
          <w:sz w:val="20"/>
          <w:szCs w:val="20"/>
          <w:color w:val="auto"/>
        </w:rPr>
      </w:pPr>
      <w:r>
        <w:rPr>
          <w:rFonts w:ascii="Arial" w:cs="Arial" w:eastAsia="Arial" w:hAnsi="Arial"/>
          <w:sz w:val="12"/>
          <w:szCs w:val="12"/>
          <w:b w:val="1"/>
          <w:bCs w:val="1"/>
          <w:color w:val="auto"/>
        </w:rPr>
        <w:t xml:space="preserve">Age: </w:t>
      </w:r>
      <w:r>
        <w:rPr>
          <w:rFonts w:ascii="Arial" w:cs="Arial" w:eastAsia="Arial" w:hAnsi="Arial"/>
          <w:sz w:val="12"/>
          <w:szCs w:val="12"/>
          <w:color w:val="auto"/>
        </w:rPr>
        <w:t>67</w:t>
      </w:r>
    </w:p>
    <w:p>
      <w:pPr>
        <w:spacing w:after="0" w:line="12" w:lineRule="exact"/>
        <w:rPr>
          <w:sz w:val="20"/>
          <w:szCs w:val="20"/>
          <w:color w:val="auto"/>
        </w:rPr>
      </w:pPr>
    </w:p>
    <w:p>
      <w:pPr>
        <w:ind w:left="100"/>
        <w:spacing w:after="0"/>
        <w:rPr>
          <w:sz w:val="20"/>
          <w:szCs w:val="20"/>
          <w:color w:val="auto"/>
        </w:rPr>
      </w:pPr>
      <w:r>
        <w:rPr>
          <w:rFonts w:ascii="Arial" w:cs="Arial" w:eastAsia="Arial" w:hAnsi="Arial"/>
          <w:sz w:val="12"/>
          <w:szCs w:val="12"/>
          <w:b w:val="1"/>
          <w:bCs w:val="1"/>
          <w:color w:val="auto"/>
        </w:rPr>
        <w:t xml:space="preserve">Director since: </w:t>
      </w:r>
      <w:r>
        <w:rPr>
          <w:rFonts w:ascii="Arial" w:cs="Arial" w:eastAsia="Arial" w:hAnsi="Arial"/>
          <w:sz w:val="12"/>
          <w:szCs w:val="12"/>
          <w:color w:val="auto"/>
        </w:rPr>
        <w:t>2013</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2"/>
          <w:szCs w:val="12"/>
          <w:b w:val="1"/>
          <w:bCs w:val="1"/>
          <w:color w:val="auto"/>
        </w:rPr>
        <w:t xml:space="preserve">Committees: </w:t>
      </w:r>
      <w:r>
        <w:rPr>
          <w:rFonts w:ascii="Arial" w:cs="Arial" w:eastAsia="Arial" w:hAnsi="Arial"/>
          <w:sz w:val="12"/>
          <w:szCs w:val="12"/>
          <w:color w:val="auto"/>
        </w:rPr>
        <w:t>Audit</w:t>
      </w:r>
    </w:p>
    <w:p>
      <w:pPr>
        <w:spacing w:after="0" w:line="12" w:lineRule="exact"/>
        <w:rPr>
          <w:sz w:val="20"/>
          <w:szCs w:val="20"/>
          <w:color w:val="auto"/>
        </w:rPr>
      </w:pPr>
    </w:p>
    <w:p>
      <w:pPr>
        <w:ind w:left="100"/>
        <w:spacing w:after="0"/>
        <w:rPr>
          <w:sz w:val="20"/>
          <w:szCs w:val="20"/>
          <w:color w:val="auto"/>
        </w:rPr>
      </w:pPr>
      <w:r>
        <w:rPr>
          <w:rFonts w:ascii="Arial" w:cs="Arial" w:eastAsia="Arial" w:hAnsi="Arial"/>
          <w:sz w:val="12"/>
          <w:szCs w:val="12"/>
          <w:color w:val="auto"/>
        </w:rPr>
        <w:t>(Vice Chairman)</w:t>
      </w:r>
    </w:p>
    <w:p>
      <w:pPr>
        <w:spacing w:after="0" w:line="59" w:lineRule="exact"/>
        <w:rPr>
          <w:sz w:val="20"/>
          <w:szCs w:val="20"/>
          <w:color w:val="auto"/>
        </w:rPr>
      </w:pPr>
    </w:p>
    <w:p>
      <w:pPr>
        <w:ind w:left="100" w:right="160"/>
        <w:spacing w:after="0" w:line="250" w:lineRule="auto"/>
        <w:rPr>
          <w:sz w:val="20"/>
          <w:szCs w:val="20"/>
          <w:color w:val="auto"/>
        </w:rPr>
      </w:pPr>
      <w:r>
        <w:rPr>
          <w:rFonts w:ascii="Arial" w:cs="Arial" w:eastAsia="Arial" w:hAnsi="Arial"/>
          <w:sz w:val="12"/>
          <w:szCs w:val="12"/>
          <w:b w:val="1"/>
          <w:bCs w:val="1"/>
          <w:color w:val="auto"/>
        </w:rPr>
        <w:t xml:space="preserve">Other Public Company Boards: </w:t>
      </w:r>
      <w:r>
        <w:rPr>
          <w:rFonts w:ascii="Arial" w:cs="Arial" w:eastAsia="Arial" w:hAnsi="Arial"/>
          <w:sz w:val="12"/>
          <w:szCs w:val="12"/>
          <w:color w:val="auto"/>
        </w:rPr>
        <w:t>Ensco plc, Kraton</w:t>
      </w:r>
      <w:r>
        <w:rPr>
          <w:rFonts w:ascii="Arial" w:cs="Arial" w:eastAsia="Arial" w:hAnsi="Arial"/>
          <w:sz w:val="12"/>
          <w:szCs w:val="12"/>
          <w:b w:val="1"/>
          <w:bCs w:val="1"/>
          <w:color w:val="auto"/>
        </w:rPr>
        <w:t xml:space="preserve"> </w:t>
      </w:r>
      <w:r>
        <w:rPr>
          <w:rFonts w:ascii="Arial" w:cs="Arial" w:eastAsia="Arial" w:hAnsi="Arial"/>
          <w:sz w:val="12"/>
          <w:szCs w:val="12"/>
          <w:color w:val="auto"/>
        </w:rPr>
        <w:t>Performance Polymers, Inc., CHC Group Ltd.</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FFFFFF"/>
        </w:rPr>
        <w:t>William E. Macaulay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1352550" cy="254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52550" cy="254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00"/>
        <w:spacing w:after="0"/>
        <w:rPr>
          <w:sz w:val="20"/>
          <w:szCs w:val="20"/>
          <w:color w:val="auto"/>
        </w:rPr>
      </w:pPr>
      <w:r>
        <w:rPr>
          <w:rFonts w:ascii="Arial" w:cs="Arial" w:eastAsia="Arial" w:hAnsi="Arial"/>
          <w:sz w:val="12"/>
          <w:szCs w:val="12"/>
          <w:b w:val="1"/>
          <w:bCs w:val="1"/>
          <w:color w:val="auto"/>
        </w:rPr>
        <w:t xml:space="preserve">Age: </w:t>
      </w:r>
      <w:r>
        <w:rPr>
          <w:rFonts w:ascii="Arial" w:cs="Arial" w:eastAsia="Arial" w:hAnsi="Arial"/>
          <w:sz w:val="12"/>
          <w:szCs w:val="12"/>
          <w:color w:val="auto"/>
        </w:rPr>
        <w:t>68</w:t>
      </w:r>
    </w:p>
    <w:p>
      <w:pPr>
        <w:spacing w:after="0" w:line="12" w:lineRule="exact"/>
        <w:rPr>
          <w:sz w:val="20"/>
          <w:szCs w:val="20"/>
          <w:color w:val="auto"/>
        </w:rPr>
      </w:pPr>
    </w:p>
    <w:p>
      <w:pPr>
        <w:ind w:left="100"/>
        <w:spacing w:after="0"/>
        <w:rPr>
          <w:sz w:val="20"/>
          <w:szCs w:val="20"/>
          <w:color w:val="auto"/>
        </w:rPr>
      </w:pPr>
      <w:r>
        <w:rPr>
          <w:rFonts w:ascii="Arial" w:cs="Arial" w:eastAsia="Arial" w:hAnsi="Arial"/>
          <w:sz w:val="12"/>
          <w:szCs w:val="12"/>
          <w:b w:val="1"/>
          <w:bCs w:val="1"/>
          <w:color w:val="auto"/>
        </w:rPr>
        <w:t xml:space="preserve">Director since: </w:t>
      </w:r>
      <w:r>
        <w:rPr>
          <w:rFonts w:ascii="Arial" w:cs="Arial" w:eastAsia="Arial" w:hAnsi="Arial"/>
          <w:sz w:val="12"/>
          <w:szCs w:val="12"/>
          <w:color w:val="auto"/>
        </w:rPr>
        <w:t>1998</w:t>
      </w:r>
    </w:p>
    <w:p>
      <w:pPr>
        <w:spacing w:after="0" w:line="59" w:lineRule="exact"/>
        <w:rPr>
          <w:sz w:val="20"/>
          <w:szCs w:val="20"/>
          <w:color w:val="auto"/>
        </w:rPr>
      </w:pPr>
    </w:p>
    <w:p>
      <w:pPr>
        <w:ind w:left="100" w:right="140"/>
        <w:spacing w:after="0" w:line="278" w:lineRule="auto"/>
        <w:rPr>
          <w:sz w:val="20"/>
          <w:szCs w:val="20"/>
          <w:color w:val="auto"/>
        </w:rPr>
      </w:pPr>
      <w:r>
        <w:rPr>
          <w:rFonts w:ascii="Arial" w:cs="Arial" w:eastAsia="Arial" w:hAnsi="Arial"/>
          <w:sz w:val="12"/>
          <w:szCs w:val="12"/>
          <w:b w:val="1"/>
          <w:bCs w:val="1"/>
          <w:color w:val="auto"/>
        </w:rPr>
        <w:t xml:space="preserve">Committees: </w:t>
      </w:r>
      <w:r>
        <w:rPr>
          <w:rFonts w:ascii="Arial" w:cs="Arial" w:eastAsia="Arial" w:hAnsi="Arial"/>
          <w:sz w:val="12"/>
          <w:szCs w:val="12"/>
          <w:color w:val="auto"/>
        </w:rPr>
        <w:t>Compensation</w:t>
      </w:r>
      <w:r>
        <w:rPr>
          <w:rFonts w:ascii="Arial" w:cs="Arial" w:eastAsia="Arial" w:hAnsi="Arial"/>
          <w:sz w:val="12"/>
          <w:szCs w:val="12"/>
          <w:b w:val="1"/>
          <w:bCs w:val="1"/>
          <w:color w:val="auto"/>
        </w:rPr>
        <w:t xml:space="preserve"> </w:t>
      </w:r>
      <w:r>
        <w:rPr>
          <w:rFonts w:ascii="Arial" w:cs="Arial" w:eastAsia="Arial" w:hAnsi="Arial"/>
          <w:sz w:val="12"/>
          <w:szCs w:val="12"/>
          <w:color w:val="auto"/>
        </w:rPr>
        <w:t>(Chairman)</w:t>
      </w:r>
    </w:p>
    <w:p>
      <w:pPr>
        <w:spacing w:after="0" w:line="27" w:lineRule="exact"/>
        <w:rPr>
          <w:sz w:val="20"/>
          <w:szCs w:val="20"/>
          <w:color w:val="auto"/>
        </w:rPr>
      </w:pPr>
    </w:p>
    <w:p>
      <w:pPr>
        <w:ind w:left="100" w:right="140"/>
        <w:spacing w:after="0" w:line="247" w:lineRule="auto"/>
        <w:rPr>
          <w:sz w:val="20"/>
          <w:szCs w:val="20"/>
          <w:color w:val="auto"/>
        </w:rPr>
      </w:pPr>
      <w:r>
        <w:rPr>
          <w:rFonts w:ascii="Arial" w:cs="Arial" w:eastAsia="Arial" w:hAnsi="Arial"/>
          <w:sz w:val="12"/>
          <w:szCs w:val="12"/>
          <w:b w:val="1"/>
          <w:bCs w:val="1"/>
          <w:color w:val="auto"/>
        </w:rPr>
        <w:t xml:space="preserve">Other Public Company Boards: </w:t>
      </w:r>
      <w:r>
        <w:rPr>
          <w:rFonts w:ascii="Arial" w:cs="Arial" w:eastAsia="Arial" w:hAnsi="Arial"/>
          <w:sz w:val="12"/>
          <w:szCs w:val="12"/>
          <w:color w:val="auto"/>
        </w:rPr>
        <w:t>Dresser-Rand</w:t>
      </w:r>
      <w:r>
        <w:rPr>
          <w:rFonts w:ascii="Arial" w:cs="Arial" w:eastAsia="Arial" w:hAnsi="Arial"/>
          <w:sz w:val="12"/>
          <w:szCs w:val="12"/>
          <w:b w:val="1"/>
          <w:bCs w:val="1"/>
          <w:color w:val="auto"/>
        </w:rPr>
        <w:t xml:space="preserve"> </w:t>
      </w:r>
      <w:r>
        <w:rPr>
          <w:rFonts w:ascii="Arial" w:cs="Arial" w:eastAsia="Arial" w:hAnsi="Arial"/>
          <w:sz w:val="12"/>
          <w:szCs w:val="12"/>
          <w:color w:val="auto"/>
        </w:rPr>
        <w:t>Group, Inc. (Chairman), CHC Group Ltd. (Chairman), Glencore Xstrata plc</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ind w:left="8080"/>
        <w:spacing w:after="0"/>
        <w:rPr>
          <w:sz w:val="20"/>
          <w:szCs w:val="20"/>
          <w:color w:val="auto"/>
        </w:rPr>
      </w:pPr>
      <w:r>
        <w:rPr>
          <w:rFonts w:ascii="Arial" w:cs="Arial" w:eastAsia="Arial" w:hAnsi="Arial"/>
          <w:sz w:val="12"/>
          <w:szCs w:val="12"/>
          <w:b w:val="1"/>
          <w:bCs w:val="1"/>
          <w:color w:val="FFFFFF"/>
          <w:shd w:val="clear" w:color="auto" w:fill="BB1131"/>
        </w:rPr>
        <w:t>AGENDA ITEM 1</w:t>
      </w:r>
    </w:p>
    <w:p>
      <w:pPr>
        <w:spacing w:after="0" w:line="210" w:lineRule="exact"/>
        <w:rPr>
          <w:sz w:val="20"/>
          <w:szCs w:val="20"/>
          <w:color w:val="auto"/>
        </w:rPr>
      </w:pPr>
    </w:p>
    <w:p>
      <w:pPr>
        <w:jc w:val="both"/>
        <w:ind w:left="20"/>
        <w:spacing w:after="0" w:line="239" w:lineRule="auto"/>
        <w:rPr>
          <w:sz w:val="20"/>
          <w:szCs w:val="20"/>
          <w:color w:val="auto"/>
        </w:rPr>
      </w:pPr>
      <w:r>
        <w:rPr>
          <w:rFonts w:ascii="Arial" w:cs="Arial" w:eastAsia="Arial" w:hAnsi="Arial"/>
          <w:sz w:val="12"/>
          <w:szCs w:val="12"/>
          <w:color w:val="auto"/>
        </w:rPr>
        <w:t>Mr. Kalman serves as a senior advisor to a private investment subsidiary of Tudor, Pickering, Holt &amp; Co., LLC that specializes in direct investments in upstream, midstream and oilfield service companies. Mr. Kalman served as Executive Vice President of McDermott International, Inc. from 2002 until his retirement in 2008 and as Chief Financial Officer from 2002 until 2007. From 2000 to 2002, he was Senior Vice President and Chief Financial Officer of Chemical Logistics Corporation, from 1999 to 2000, he was a principal of Pinnacle Equity Partners, LLC, from 1998 to 1999, he was Executive Vice President and Chief Financial Officer of Chemical Logistics Corporation and from 1996 to 1997, he was Senior Vice President and Chief Financial Officer of Keystone International, Inc. Mr. Kalman started his career as a Certified Public Accountant with PriceWaterhouse &amp; Co. In addition to the above, he has served in various financial capacities with Atlantic Richfield Company (1975 to 1982), United Gas Pipeline (1982 to 1991) and American Ref-Fuel (1991 to 1996). Mr. Kalman has a B.S. in Accounting from Long Island University.</w:t>
      </w:r>
    </w:p>
    <w:p>
      <w:pPr>
        <w:spacing w:after="0" w:line="91" w:lineRule="exact"/>
        <w:rPr>
          <w:sz w:val="20"/>
          <w:szCs w:val="20"/>
          <w:color w:val="auto"/>
        </w:rPr>
      </w:pPr>
    </w:p>
    <w:p>
      <w:pPr>
        <w:jc w:val="both"/>
        <w:ind w:left="20"/>
        <w:spacing w:after="0" w:line="254" w:lineRule="auto"/>
        <w:rPr>
          <w:sz w:val="20"/>
          <w:szCs w:val="20"/>
          <w:color w:val="auto"/>
        </w:rPr>
      </w:pPr>
      <w:r>
        <w:rPr>
          <w:rFonts w:ascii="Arial" w:cs="Arial" w:eastAsia="Arial" w:hAnsi="Arial"/>
          <w:sz w:val="12"/>
          <w:szCs w:val="12"/>
          <w:color w:val="auto"/>
        </w:rPr>
        <w:t>In addition to his directorships on the boards of Ensco plc, Kraton Performance Polymers, Inc. and CHC Group Ltd., during the past five years, Mr. Kalman also served on the board of Pride International, Inc., which merged into Ensco plc.</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Specific qualifications and experience of particular relevance to our Company</w:t>
      </w:r>
    </w:p>
    <w:p>
      <w:pPr>
        <w:spacing w:after="0" w:line="111" w:lineRule="exact"/>
        <w:rPr>
          <w:sz w:val="20"/>
          <w:szCs w:val="20"/>
          <w:color w:val="auto"/>
        </w:rPr>
      </w:pPr>
    </w:p>
    <w:p>
      <w:pPr>
        <w:jc w:val="both"/>
        <w:ind w:left="20"/>
        <w:spacing w:after="0" w:line="245" w:lineRule="auto"/>
        <w:rPr>
          <w:sz w:val="20"/>
          <w:szCs w:val="20"/>
          <w:color w:val="auto"/>
        </w:rPr>
      </w:pPr>
      <w:r>
        <w:rPr>
          <w:rFonts w:ascii="Arial" w:cs="Arial" w:eastAsia="Arial" w:hAnsi="Arial"/>
          <w:sz w:val="12"/>
          <w:szCs w:val="12"/>
          <w:color w:val="auto"/>
        </w:rPr>
        <w:t>Mr. Kalman has extensive experience in accounting and financial reporting, including chief financial officer experience and serving as chairman of the audit committee of a public company. In addition to financial expertise, he also has executive leadership and strategic planning experience in the international energy service industry that complements the mix of skills of our other members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41" w:lineRule="auto"/>
        <w:rPr>
          <w:sz w:val="20"/>
          <w:szCs w:val="20"/>
          <w:color w:val="auto"/>
        </w:rPr>
      </w:pPr>
      <w:r>
        <w:rPr>
          <w:rFonts w:ascii="Arial" w:cs="Arial" w:eastAsia="Arial" w:hAnsi="Arial"/>
          <w:sz w:val="12"/>
          <w:szCs w:val="12"/>
          <w:color w:val="auto"/>
        </w:rPr>
        <w:t>Mr. Macaulay is the Chairman and Chief Executive Officer of First Reserve Corporation. He has been with First Reserve, a private equity investment firm focused on the energy industry, since 1983. Mr. Macaulay is responsible for supervision of all aspects of the firm’s investment program and strategy, as well as overall management of the firm. Mr. Macaulay served as a director of Weatherford Enterra from October 1995 to May 1998. Mr. Macaulay also served as Director of Corporate Finance for Oppenheimer &amp; Co., Inc., where he worked from 1972 to 1982. Mr. Macaulay holds a B.B.A. from City College of New York and an M.B.A. from the Wharton School of the University of Pennsylvania.</w:t>
      </w:r>
    </w:p>
    <w:p>
      <w:pPr>
        <w:spacing w:after="0" w:line="87"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Currently, Mr. Macaulay serves as Chairman of Dresser-Rand Group Inc., and is a director of Glencore Xstrata plc. Mr. Macaulay also serves as Chairman of CHC Group Ltd. Previously, Mr. Macaulay served as Chairman of the Board of Foundation Coal Holdings, Inc., and as a director of Dresser, Inc., National Oilwell Varco, Inc., and Pride International, Inc., which merged into Ensco plc.</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Specific qualifications and experience of particular relevance to our Company</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Mr. Macaulay’s investment and financial expertise, chief executive officer experience and extensive knowledge of the oilfield service industry are important assets to the Board in its decision-making process and in strategic planning.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2"/>
          <w:szCs w:val="12"/>
          <w:color w:val="auto"/>
        </w:rPr>
        <w:t>Weatherford International plc - www.WeatherfordAnnualMeeting.com</w:t>
      </w:r>
      <w:r>
        <w:rPr>
          <w:sz w:val="20"/>
          <w:szCs w:val="20"/>
          <w:color w:val="auto"/>
        </w:rPr>
        <w:tab/>
      </w:r>
      <w:r>
        <w:rPr>
          <w:rFonts w:ascii="Arial" w:cs="Arial" w:eastAsia="Arial" w:hAnsi="Arial"/>
          <w:sz w:val="10"/>
          <w:szCs w:val="10"/>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-1475740</wp:posOffset>
            </wp:positionH>
            <wp:positionV relativeFrom="paragraph">
              <wp:posOffset>131445</wp:posOffset>
            </wp:positionV>
            <wp:extent cx="7278370" cy="203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2">
            <w:col w:w="1820" w:space="500"/>
            <w:col w:w="9100"/>
          </w:cols>
          <w:pgMar w:left="240" w:top="563" w:right="239" w:bottom="1440" w:gutter="0" w:footer="0" w:header="0"/>
        </w:sectPr>
      </w:pPr>
    </w:p>
    <w:bookmarkStart w:id="25" w:name="page26"/>
    <w:bookmarkEnd w:id="25"/>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41"/>
        <w:spacing w:after="0"/>
        <w:rPr>
          <w:sz w:val="20"/>
          <w:szCs w:val="20"/>
          <w:color w:val="auto"/>
        </w:rPr>
      </w:pPr>
      <w:r>
        <w:rPr>
          <w:rFonts w:ascii="Arial" w:cs="Arial" w:eastAsia="Arial" w:hAnsi="Arial"/>
          <w:sz w:val="12"/>
          <w:szCs w:val="12"/>
          <w:b w:val="1"/>
          <w:bCs w:val="1"/>
          <w:color w:val="FFFFFF"/>
          <w:shd w:val="clear" w:color="auto" w:fill="BB1131"/>
        </w:rPr>
        <w:t>AGENDA ITEM 1</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FFFFFF"/>
        </w:rPr>
        <w:t>Robert K. Moses,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1352550" cy="22250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52550" cy="2225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01"/>
        <w:spacing w:after="0"/>
        <w:rPr>
          <w:sz w:val="20"/>
          <w:szCs w:val="20"/>
          <w:color w:val="auto"/>
        </w:rPr>
      </w:pPr>
      <w:r>
        <w:rPr>
          <w:rFonts w:ascii="Arial" w:cs="Arial" w:eastAsia="Arial" w:hAnsi="Arial"/>
          <w:sz w:val="12"/>
          <w:szCs w:val="12"/>
          <w:b w:val="1"/>
          <w:bCs w:val="1"/>
          <w:color w:val="auto"/>
        </w:rPr>
        <w:t xml:space="preserve">Age: </w:t>
      </w:r>
      <w:r>
        <w:rPr>
          <w:rFonts w:ascii="Arial" w:cs="Arial" w:eastAsia="Arial" w:hAnsi="Arial"/>
          <w:sz w:val="12"/>
          <w:szCs w:val="12"/>
          <w:color w:val="auto"/>
        </w:rPr>
        <w:t>74</w:t>
      </w:r>
    </w:p>
    <w:p>
      <w:pPr>
        <w:spacing w:after="0" w:line="24" w:lineRule="exact"/>
        <w:rPr>
          <w:sz w:val="20"/>
          <w:szCs w:val="20"/>
          <w:color w:val="auto"/>
        </w:rPr>
      </w:pPr>
    </w:p>
    <w:p>
      <w:pPr>
        <w:ind w:left="101"/>
        <w:spacing w:after="0"/>
        <w:rPr>
          <w:sz w:val="20"/>
          <w:szCs w:val="20"/>
          <w:color w:val="auto"/>
        </w:rPr>
      </w:pPr>
      <w:r>
        <w:rPr>
          <w:rFonts w:ascii="Arial" w:cs="Arial" w:eastAsia="Arial" w:hAnsi="Arial"/>
          <w:sz w:val="12"/>
          <w:szCs w:val="12"/>
          <w:b w:val="1"/>
          <w:bCs w:val="1"/>
          <w:color w:val="auto"/>
        </w:rPr>
        <w:t xml:space="preserve">Director since: </w:t>
      </w:r>
      <w:r>
        <w:rPr>
          <w:rFonts w:ascii="Arial" w:cs="Arial" w:eastAsia="Arial" w:hAnsi="Arial"/>
          <w:sz w:val="12"/>
          <w:szCs w:val="12"/>
          <w:color w:val="auto"/>
        </w:rPr>
        <w:t>1998</w:t>
      </w:r>
    </w:p>
    <w:p>
      <w:pPr>
        <w:spacing w:after="0" w:line="23" w:lineRule="exact"/>
        <w:rPr>
          <w:sz w:val="20"/>
          <w:szCs w:val="20"/>
          <w:color w:val="auto"/>
        </w:rPr>
      </w:pPr>
    </w:p>
    <w:p>
      <w:pPr>
        <w:ind w:left="101" w:right="100"/>
        <w:spacing w:after="0" w:line="244" w:lineRule="auto"/>
        <w:rPr>
          <w:sz w:val="20"/>
          <w:szCs w:val="20"/>
          <w:color w:val="auto"/>
        </w:rPr>
      </w:pPr>
      <w:r>
        <w:rPr>
          <w:rFonts w:ascii="Arial" w:cs="Arial" w:eastAsia="Arial" w:hAnsi="Arial"/>
          <w:sz w:val="12"/>
          <w:szCs w:val="12"/>
          <w:b w:val="1"/>
          <w:bCs w:val="1"/>
          <w:color w:val="auto"/>
        </w:rPr>
        <w:t xml:space="preserve">Committees: </w:t>
      </w:r>
      <w:r>
        <w:rPr>
          <w:rFonts w:ascii="Arial" w:cs="Arial" w:eastAsia="Arial" w:hAnsi="Arial"/>
          <w:sz w:val="12"/>
          <w:szCs w:val="12"/>
          <w:color w:val="auto"/>
        </w:rPr>
        <w:t>Audit;</w:t>
      </w:r>
      <w:r>
        <w:rPr>
          <w:rFonts w:ascii="Arial" w:cs="Arial" w:eastAsia="Arial" w:hAnsi="Arial"/>
          <w:sz w:val="12"/>
          <w:szCs w:val="12"/>
          <w:b w:val="1"/>
          <w:bCs w:val="1"/>
          <w:color w:val="auto"/>
        </w:rPr>
        <w:t xml:space="preserve"> </w:t>
      </w:r>
      <w:r>
        <w:rPr>
          <w:rFonts w:ascii="Arial" w:cs="Arial" w:eastAsia="Arial" w:hAnsi="Arial"/>
          <w:sz w:val="12"/>
          <w:szCs w:val="12"/>
          <w:color w:val="auto"/>
        </w:rPr>
        <w:t>Compensation; Health, Safety and Environment</w:t>
      </w:r>
    </w:p>
    <w:p>
      <w:pPr>
        <w:ind w:left="101" w:right="400"/>
        <w:spacing w:after="0" w:line="255" w:lineRule="auto"/>
        <w:rPr>
          <w:sz w:val="20"/>
          <w:szCs w:val="20"/>
          <w:color w:val="auto"/>
        </w:rPr>
      </w:pPr>
      <w:r>
        <w:rPr>
          <w:rFonts w:ascii="Arial" w:cs="Arial" w:eastAsia="Arial" w:hAnsi="Arial"/>
          <w:sz w:val="12"/>
          <w:szCs w:val="12"/>
          <w:b w:val="1"/>
          <w:bCs w:val="1"/>
          <w:color w:val="auto"/>
        </w:rPr>
        <w:t xml:space="preserve">Other Public Company Boards: </w:t>
      </w:r>
      <w:r>
        <w:rPr>
          <w:rFonts w:ascii="Arial" w:cs="Arial" w:eastAsia="Arial" w:hAnsi="Arial"/>
          <w:sz w:val="12"/>
          <w:szCs w:val="12"/>
          <w:color w:val="auto"/>
        </w:rPr>
        <w:t>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Mr. Moses has been a private investor, principally in the oil and gas exploration and oilfield services business in Houston, Texas, for more than 20 years. He served as Chairman of the Board of Directors of Weatherford Enterra from May 1989 to December 1992 and as a director of Weatherford Enterra from December 1992 to May 1998. Mr. Moses holds a B.A. in Economics from the University of Texas at Austin.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Specific qualifications and experience of particular relevance to our Company</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Mr. Moses’ investment experience, extensive knowledge of and experience in the oilfield service industry and institutional knowledge of one of Weatherford’s most significant legacy companies provide a unique perspective that is an asset to the Board in its decision-making process.</w:t>
      </w:r>
    </w:p>
    <w:p>
      <w:pPr>
        <w:spacing w:after="0" w:line="2675" w:lineRule="exact"/>
        <w:rPr>
          <w:sz w:val="20"/>
          <w:szCs w:val="20"/>
          <w:color w:val="auto"/>
        </w:rPr>
      </w:pPr>
    </w:p>
    <w:p>
      <w:pPr>
        <w:sectPr>
          <w:pgSz w:w="11900" w:h="16838" w:orient="portrait"/>
          <w:cols w:equalWidth="0" w:num="2">
            <w:col w:w="1841" w:space="480"/>
            <w:col w:w="9100"/>
          </w:cols>
          <w:pgMar w:left="239" w:top="563" w:right="239" w:bottom="1440" w:gutter="0" w:footer="0" w:header="0"/>
        </w:sectPr>
      </w:pPr>
    </w:p>
    <w:p>
      <w:pPr>
        <w:ind w:left="461"/>
        <w:spacing w:after="0"/>
        <w:rPr>
          <w:sz w:val="20"/>
          <w:szCs w:val="20"/>
          <w:color w:val="auto"/>
        </w:rPr>
      </w:pPr>
      <w:r>
        <w:rPr>
          <w:rFonts w:ascii="Arial" w:cs="Arial" w:eastAsia="Arial" w:hAnsi="Arial"/>
          <w:sz w:val="16"/>
          <w:szCs w:val="16"/>
          <w:b w:val="1"/>
          <w:bCs w:val="1"/>
          <w:color w:val="FFFFFF"/>
        </w:rPr>
        <w:t>Guillermo Ortiz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1329055" cy="25558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29055" cy="255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1"/>
        <w:spacing w:after="0"/>
        <w:rPr>
          <w:sz w:val="20"/>
          <w:szCs w:val="20"/>
          <w:color w:val="auto"/>
        </w:rPr>
      </w:pPr>
      <w:r>
        <w:rPr>
          <w:rFonts w:ascii="Arial" w:cs="Arial" w:eastAsia="Arial" w:hAnsi="Arial"/>
          <w:sz w:val="12"/>
          <w:szCs w:val="12"/>
          <w:b w:val="1"/>
          <w:bCs w:val="1"/>
          <w:color w:val="auto"/>
        </w:rPr>
        <w:t xml:space="preserve">Age: </w:t>
      </w:r>
      <w:r>
        <w:rPr>
          <w:rFonts w:ascii="Arial" w:cs="Arial" w:eastAsia="Arial" w:hAnsi="Arial"/>
          <w:sz w:val="12"/>
          <w:szCs w:val="12"/>
          <w:color w:val="auto"/>
        </w:rPr>
        <w:t>65</w:t>
      </w:r>
    </w:p>
    <w:p>
      <w:pPr>
        <w:spacing w:after="0" w:line="24" w:lineRule="exact"/>
        <w:rPr>
          <w:sz w:val="20"/>
          <w:szCs w:val="20"/>
          <w:color w:val="auto"/>
        </w:rPr>
      </w:pPr>
    </w:p>
    <w:p>
      <w:pPr>
        <w:ind w:left="101"/>
        <w:spacing w:after="0"/>
        <w:rPr>
          <w:sz w:val="20"/>
          <w:szCs w:val="20"/>
          <w:color w:val="auto"/>
        </w:rPr>
      </w:pPr>
      <w:r>
        <w:rPr>
          <w:rFonts w:ascii="Arial" w:cs="Arial" w:eastAsia="Arial" w:hAnsi="Arial"/>
          <w:sz w:val="12"/>
          <w:szCs w:val="12"/>
          <w:b w:val="1"/>
          <w:bCs w:val="1"/>
          <w:color w:val="auto"/>
        </w:rPr>
        <w:t xml:space="preserve">Director since: </w:t>
      </w:r>
      <w:r>
        <w:rPr>
          <w:rFonts w:ascii="Arial" w:cs="Arial" w:eastAsia="Arial" w:hAnsi="Arial"/>
          <w:sz w:val="12"/>
          <w:szCs w:val="12"/>
          <w:color w:val="auto"/>
        </w:rPr>
        <w:t>2010</w:t>
      </w:r>
    </w:p>
    <w:p>
      <w:pPr>
        <w:spacing w:after="0" w:line="22" w:lineRule="exact"/>
        <w:rPr>
          <w:sz w:val="20"/>
          <w:szCs w:val="20"/>
          <w:color w:val="auto"/>
        </w:rPr>
      </w:pPr>
    </w:p>
    <w:p>
      <w:pPr>
        <w:ind w:left="101"/>
        <w:spacing w:after="0"/>
        <w:rPr>
          <w:sz w:val="20"/>
          <w:szCs w:val="20"/>
          <w:color w:val="auto"/>
        </w:rPr>
      </w:pPr>
      <w:r>
        <w:rPr>
          <w:rFonts w:ascii="Arial" w:cs="Arial" w:eastAsia="Arial" w:hAnsi="Arial"/>
          <w:sz w:val="12"/>
          <w:szCs w:val="12"/>
          <w:b w:val="1"/>
          <w:bCs w:val="1"/>
          <w:color w:val="auto"/>
        </w:rPr>
        <w:t xml:space="preserve">Committees: </w:t>
      </w:r>
      <w:r>
        <w:rPr>
          <w:rFonts w:ascii="Arial" w:cs="Arial" w:eastAsia="Arial" w:hAnsi="Arial"/>
          <w:sz w:val="12"/>
          <w:szCs w:val="12"/>
          <w:color w:val="auto"/>
        </w:rPr>
        <w:t>Audit;</w:t>
      </w:r>
    </w:p>
    <w:p>
      <w:pPr>
        <w:ind w:left="101"/>
        <w:spacing w:after="0"/>
        <w:rPr>
          <w:sz w:val="20"/>
          <w:szCs w:val="20"/>
          <w:color w:val="auto"/>
        </w:rPr>
      </w:pPr>
      <w:r>
        <w:rPr>
          <w:rFonts w:ascii="Arial" w:cs="Arial" w:eastAsia="Arial" w:hAnsi="Arial"/>
          <w:sz w:val="12"/>
          <w:szCs w:val="12"/>
          <w:color w:val="auto"/>
        </w:rPr>
        <w:t>Compensation</w:t>
      </w:r>
    </w:p>
    <w:p>
      <w:pPr>
        <w:spacing w:after="0" w:line="10" w:lineRule="exact"/>
        <w:rPr>
          <w:sz w:val="20"/>
          <w:szCs w:val="20"/>
          <w:color w:val="auto"/>
        </w:rPr>
      </w:pPr>
    </w:p>
    <w:p>
      <w:pPr>
        <w:ind w:left="101"/>
        <w:spacing w:after="0" w:line="239" w:lineRule="auto"/>
        <w:rPr>
          <w:sz w:val="20"/>
          <w:szCs w:val="20"/>
          <w:color w:val="auto"/>
        </w:rPr>
      </w:pPr>
      <w:r>
        <w:rPr>
          <w:rFonts w:ascii="Arial" w:cs="Arial" w:eastAsia="Arial" w:hAnsi="Arial"/>
          <w:sz w:val="12"/>
          <w:szCs w:val="12"/>
          <w:b w:val="1"/>
          <w:bCs w:val="1"/>
          <w:color w:val="auto"/>
        </w:rPr>
        <w:t xml:space="preserve">Other Public Company Boards: </w:t>
      </w:r>
      <w:r>
        <w:rPr>
          <w:rFonts w:ascii="Arial" w:cs="Arial" w:eastAsia="Arial" w:hAnsi="Arial"/>
          <w:sz w:val="12"/>
          <w:szCs w:val="12"/>
          <w:color w:val="auto"/>
        </w:rPr>
        <w:t>Grupo Aeroportuario</w:t>
      </w:r>
      <w:r>
        <w:rPr>
          <w:rFonts w:ascii="Arial" w:cs="Arial" w:eastAsia="Arial" w:hAnsi="Arial"/>
          <w:sz w:val="12"/>
          <w:szCs w:val="12"/>
          <w:b w:val="1"/>
          <w:bCs w:val="1"/>
          <w:color w:val="auto"/>
        </w:rPr>
        <w:t xml:space="preserve"> </w:t>
      </w:r>
      <w:r>
        <w:rPr>
          <w:rFonts w:ascii="Arial" w:cs="Arial" w:eastAsia="Arial" w:hAnsi="Arial"/>
          <w:sz w:val="12"/>
          <w:szCs w:val="12"/>
          <w:color w:val="auto"/>
        </w:rPr>
        <w:t>del Sureste S.A.B. de C.V., Grupo Comercial Chedraui S.A.B. de C.V., Mexichem S.A.B. de C.V., Vitro S.A.B. de C.V.</w:t>
      </w:r>
    </w:p>
    <w:p>
      <w:pPr>
        <w:spacing w:after="0" w:line="20" w:lineRule="exact"/>
        <w:rPr>
          <w:sz w:val="20"/>
          <w:szCs w:val="20"/>
          <w:color w:val="auto"/>
        </w:rPr>
      </w:pPr>
      <w:r>
        <w:rPr>
          <w:sz w:val="20"/>
          <w:szCs w:val="20"/>
          <w:color w:val="auto"/>
        </w:rPr>
        <w:br w:type="column"/>
      </w:r>
    </w:p>
    <w:p>
      <w:pPr>
        <w:jc w:val="both"/>
        <w:spacing w:after="0" w:line="241" w:lineRule="auto"/>
        <w:rPr>
          <w:sz w:val="20"/>
          <w:szCs w:val="20"/>
          <w:color w:val="auto"/>
        </w:rPr>
      </w:pPr>
      <w:r>
        <w:rPr>
          <w:rFonts w:ascii="Arial" w:cs="Arial" w:eastAsia="Arial" w:hAnsi="Arial"/>
          <w:sz w:val="12"/>
          <w:szCs w:val="12"/>
          <w:color w:val="auto"/>
        </w:rPr>
        <w:t>Dr. Ortiz is Chairman of Banorte, the third largest bank in Mexico, and served as Governor of the Bank of Mexico from 1998 until 2009, and as Chairman of the Board of the Bank for International Settlements (BIS) in 2009. He previously served as Secretary of Finance and Public Credit in Mexico, from 1994 to 1998. Dr. Ortiz was also Executive Director at the International Monetary Fund and is a director of several international non-profit organizations. Other public company boards include Grupo Aeroportuario del Sureste S.A.B. de C.V., Grupo Comercial Chedraui S.A.B. de C.V., Mexichem S.A.B. de C.V., and Vitro S.A.B. de C.V. Dr. Ortiz holds a B.A. in Economics from the National Autonomous University of Mexico and both an M.Sc. and a Ph.D. in Economics from Stanford University.</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Specific qualifications and experience of particular relevance to our Company</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Dr. Ortiz is a valuable member of the Audit Committee because of his extensive finance and banking experience, particularly relating to global economic matters and multinational financing. In addition, he brings to the Board an important international perspective.</w:t>
      </w:r>
    </w:p>
    <w:p>
      <w:pPr>
        <w:spacing w:after="0" w:line="2914" w:lineRule="exact"/>
        <w:rPr>
          <w:sz w:val="20"/>
          <w:szCs w:val="20"/>
          <w:color w:val="auto"/>
        </w:rPr>
      </w:pPr>
    </w:p>
    <w:p>
      <w:pPr>
        <w:sectPr>
          <w:pgSz w:w="11900" w:h="16838" w:orient="portrait"/>
          <w:cols w:equalWidth="0" w:num="2">
            <w:col w:w="1761" w:space="540"/>
            <w:col w:w="9120"/>
          </w:cols>
          <w:pgMar w:left="239" w:top="563" w:right="239" w:bottom="1440" w:gutter="0" w:footer="0" w:header="0"/>
          <w:type w:val="continuous"/>
        </w:sectPr>
      </w:pPr>
    </w:p>
    <w:p>
      <w:pPr>
        <w:ind w:left="241" w:hanging="241"/>
        <w:spacing w:after="0"/>
        <w:tabs>
          <w:tab w:leader="none" w:pos="241" w:val="left"/>
        </w:tabs>
        <w:numPr>
          <w:ilvl w:val="0"/>
          <w:numId w:val="20"/>
        </w:numPr>
        <w:rPr>
          <w:rFonts w:ascii="Arial" w:cs="Arial" w:eastAsia="Arial" w:hAnsi="Arial"/>
          <w:sz w:val="12"/>
          <w:szCs w:val="12"/>
          <w:b w:val="1"/>
          <w:bCs w:val="1"/>
          <w:color w:val="auto"/>
        </w:rPr>
      </w:pPr>
      <w:r>
        <w:rPr>
          <w:rFonts w:ascii="Arial" w:cs="Arial" w:eastAsia="Arial" w:hAnsi="Arial"/>
          <w:sz w:val="12"/>
          <w:szCs w:val="12"/>
          <w:color w:val="auto"/>
        </w:rPr>
        <w:t>Weatherford International plc - 2014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8370" cy="203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type w:val="continuous"/>
        </w:sectPr>
      </w:pPr>
    </w:p>
    <w:bookmarkStart w:id="26" w:name="page27"/>
    <w:bookmarkEnd w:id="26"/>
    <w:p>
      <w:pPr>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FFFFFF"/>
        </w:rPr>
        <w:t>Emyr Jones Parry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1336675" cy="22802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3667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0"/>
        <w:spacing w:after="0"/>
        <w:rPr>
          <w:sz w:val="20"/>
          <w:szCs w:val="20"/>
          <w:color w:val="auto"/>
        </w:rPr>
      </w:pPr>
      <w:r>
        <w:rPr>
          <w:rFonts w:ascii="Arial" w:cs="Arial" w:eastAsia="Arial" w:hAnsi="Arial"/>
          <w:sz w:val="12"/>
          <w:szCs w:val="12"/>
          <w:b w:val="1"/>
          <w:bCs w:val="1"/>
          <w:color w:val="auto"/>
        </w:rPr>
        <w:t xml:space="preserve">Age: </w:t>
      </w:r>
      <w:r>
        <w:rPr>
          <w:rFonts w:ascii="Arial" w:cs="Arial" w:eastAsia="Arial" w:hAnsi="Arial"/>
          <w:sz w:val="12"/>
          <w:szCs w:val="12"/>
          <w:color w:val="auto"/>
        </w:rPr>
        <w:t>66</w:t>
      </w:r>
    </w:p>
    <w:p>
      <w:pPr>
        <w:spacing w:after="0" w:line="24" w:lineRule="exact"/>
        <w:rPr>
          <w:sz w:val="20"/>
          <w:szCs w:val="20"/>
          <w:color w:val="auto"/>
        </w:rPr>
      </w:pPr>
    </w:p>
    <w:p>
      <w:pPr>
        <w:ind w:left="100"/>
        <w:spacing w:after="0"/>
        <w:rPr>
          <w:sz w:val="20"/>
          <w:szCs w:val="20"/>
          <w:color w:val="auto"/>
        </w:rPr>
      </w:pPr>
      <w:r>
        <w:rPr>
          <w:rFonts w:ascii="Arial" w:cs="Arial" w:eastAsia="Arial" w:hAnsi="Arial"/>
          <w:sz w:val="12"/>
          <w:szCs w:val="12"/>
          <w:b w:val="1"/>
          <w:bCs w:val="1"/>
          <w:color w:val="auto"/>
        </w:rPr>
        <w:t xml:space="preserve">Director since: </w:t>
      </w:r>
      <w:r>
        <w:rPr>
          <w:rFonts w:ascii="Arial" w:cs="Arial" w:eastAsia="Arial" w:hAnsi="Arial"/>
          <w:sz w:val="12"/>
          <w:szCs w:val="12"/>
          <w:color w:val="auto"/>
        </w:rPr>
        <w:t>2010</w:t>
      </w:r>
    </w:p>
    <w:p>
      <w:pPr>
        <w:spacing w:after="0" w:line="23" w:lineRule="exact"/>
        <w:rPr>
          <w:sz w:val="20"/>
          <w:szCs w:val="20"/>
          <w:color w:val="auto"/>
        </w:rPr>
      </w:pPr>
    </w:p>
    <w:p>
      <w:pPr>
        <w:ind w:left="100"/>
        <w:spacing w:after="0" w:line="242" w:lineRule="auto"/>
        <w:rPr>
          <w:sz w:val="20"/>
          <w:szCs w:val="20"/>
          <w:color w:val="auto"/>
        </w:rPr>
      </w:pPr>
      <w:r>
        <w:rPr>
          <w:rFonts w:ascii="Arial" w:cs="Arial" w:eastAsia="Arial" w:hAnsi="Arial"/>
          <w:sz w:val="12"/>
          <w:szCs w:val="12"/>
          <w:b w:val="1"/>
          <w:bCs w:val="1"/>
          <w:color w:val="auto"/>
        </w:rPr>
        <w:t xml:space="preserve">Committees: </w:t>
      </w:r>
      <w:r>
        <w:rPr>
          <w:rFonts w:ascii="Arial" w:cs="Arial" w:eastAsia="Arial" w:hAnsi="Arial"/>
          <w:sz w:val="12"/>
          <w:szCs w:val="12"/>
          <w:color w:val="auto"/>
        </w:rPr>
        <w:t>Corporate</w:t>
      </w:r>
      <w:r>
        <w:rPr>
          <w:rFonts w:ascii="Arial" w:cs="Arial" w:eastAsia="Arial" w:hAnsi="Arial"/>
          <w:sz w:val="12"/>
          <w:szCs w:val="12"/>
          <w:b w:val="1"/>
          <w:bCs w:val="1"/>
          <w:color w:val="auto"/>
        </w:rPr>
        <w:t xml:space="preserve"> </w:t>
      </w:r>
      <w:r>
        <w:rPr>
          <w:rFonts w:ascii="Arial" w:cs="Arial" w:eastAsia="Arial" w:hAnsi="Arial"/>
          <w:sz w:val="12"/>
          <w:szCs w:val="12"/>
          <w:color w:val="auto"/>
        </w:rPr>
        <w:t>Governance &amp; Nominating; Health, Safety and Environment (Chair)</w:t>
      </w:r>
    </w:p>
    <w:p>
      <w:pPr>
        <w:spacing w:after="0" w:line="1" w:lineRule="exact"/>
        <w:rPr>
          <w:sz w:val="20"/>
          <w:szCs w:val="20"/>
          <w:color w:val="auto"/>
        </w:rPr>
      </w:pPr>
    </w:p>
    <w:p>
      <w:pPr>
        <w:ind w:left="100" w:right="400"/>
        <w:spacing w:after="0" w:line="255" w:lineRule="auto"/>
        <w:rPr>
          <w:sz w:val="20"/>
          <w:szCs w:val="20"/>
          <w:color w:val="auto"/>
        </w:rPr>
      </w:pPr>
      <w:r>
        <w:rPr>
          <w:rFonts w:ascii="Arial" w:cs="Arial" w:eastAsia="Arial" w:hAnsi="Arial"/>
          <w:sz w:val="12"/>
          <w:szCs w:val="12"/>
          <w:b w:val="1"/>
          <w:bCs w:val="1"/>
          <w:color w:val="auto"/>
        </w:rPr>
        <w:t xml:space="preserve">Other Public Company Boards: </w:t>
      </w:r>
      <w:r>
        <w:rPr>
          <w:rFonts w:ascii="Arial" w:cs="Arial" w:eastAsia="Arial" w:hAnsi="Arial"/>
          <w:sz w:val="12"/>
          <w:szCs w:val="12"/>
          <w:color w:val="auto"/>
        </w:rPr>
        <w:t>None</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FFFFFF"/>
        </w:rPr>
        <w:t>Robert A. Rayne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1352550" cy="24536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52550" cy="2453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0"/>
        <w:spacing w:after="0"/>
        <w:rPr>
          <w:sz w:val="20"/>
          <w:szCs w:val="20"/>
          <w:color w:val="auto"/>
        </w:rPr>
      </w:pPr>
      <w:r>
        <w:rPr>
          <w:rFonts w:ascii="Arial" w:cs="Arial" w:eastAsia="Arial" w:hAnsi="Arial"/>
          <w:sz w:val="12"/>
          <w:szCs w:val="12"/>
          <w:b w:val="1"/>
          <w:bCs w:val="1"/>
          <w:color w:val="auto"/>
        </w:rPr>
        <w:t xml:space="preserve">Age: </w:t>
      </w:r>
      <w:r>
        <w:rPr>
          <w:rFonts w:ascii="Arial" w:cs="Arial" w:eastAsia="Arial" w:hAnsi="Arial"/>
          <w:sz w:val="12"/>
          <w:szCs w:val="12"/>
          <w:color w:val="auto"/>
        </w:rPr>
        <w:t>65</w:t>
      </w:r>
    </w:p>
    <w:p>
      <w:pPr>
        <w:spacing w:after="0" w:line="24" w:lineRule="exact"/>
        <w:rPr>
          <w:sz w:val="20"/>
          <w:szCs w:val="20"/>
          <w:color w:val="auto"/>
        </w:rPr>
      </w:pPr>
    </w:p>
    <w:p>
      <w:pPr>
        <w:ind w:left="100"/>
        <w:spacing w:after="0"/>
        <w:rPr>
          <w:sz w:val="20"/>
          <w:szCs w:val="20"/>
          <w:color w:val="auto"/>
        </w:rPr>
      </w:pPr>
      <w:r>
        <w:rPr>
          <w:rFonts w:ascii="Arial" w:cs="Arial" w:eastAsia="Arial" w:hAnsi="Arial"/>
          <w:sz w:val="12"/>
          <w:szCs w:val="12"/>
          <w:b w:val="1"/>
          <w:bCs w:val="1"/>
          <w:color w:val="auto"/>
        </w:rPr>
        <w:t xml:space="preserve">Director since: </w:t>
      </w:r>
      <w:r>
        <w:rPr>
          <w:rFonts w:ascii="Arial" w:cs="Arial" w:eastAsia="Arial" w:hAnsi="Arial"/>
          <w:sz w:val="12"/>
          <w:szCs w:val="12"/>
          <w:color w:val="auto"/>
        </w:rPr>
        <w:t>1987</w:t>
      </w:r>
    </w:p>
    <w:p>
      <w:pPr>
        <w:spacing w:after="0" w:line="23" w:lineRule="exact"/>
        <w:rPr>
          <w:sz w:val="20"/>
          <w:szCs w:val="20"/>
          <w:color w:val="auto"/>
        </w:rPr>
      </w:pPr>
    </w:p>
    <w:p>
      <w:pPr>
        <w:ind w:left="100" w:right="280"/>
        <w:spacing w:after="0" w:line="244" w:lineRule="auto"/>
        <w:rPr>
          <w:sz w:val="20"/>
          <w:szCs w:val="20"/>
          <w:color w:val="auto"/>
        </w:rPr>
      </w:pPr>
      <w:r>
        <w:rPr>
          <w:rFonts w:ascii="Arial" w:cs="Arial" w:eastAsia="Arial" w:hAnsi="Arial"/>
          <w:sz w:val="12"/>
          <w:szCs w:val="12"/>
          <w:b w:val="1"/>
          <w:bCs w:val="1"/>
          <w:color w:val="auto"/>
        </w:rPr>
        <w:t xml:space="preserve">Committees: </w:t>
      </w:r>
      <w:r>
        <w:rPr>
          <w:rFonts w:ascii="Arial" w:cs="Arial" w:eastAsia="Arial" w:hAnsi="Arial"/>
          <w:sz w:val="12"/>
          <w:szCs w:val="12"/>
          <w:color w:val="auto"/>
        </w:rPr>
        <w:t>Audit</w:t>
      </w:r>
      <w:r>
        <w:rPr>
          <w:rFonts w:ascii="Arial" w:cs="Arial" w:eastAsia="Arial" w:hAnsi="Arial"/>
          <w:sz w:val="12"/>
          <w:szCs w:val="12"/>
          <w:b w:val="1"/>
          <w:bCs w:val="1"/>
          <w:color w:val="auto"/>
        </w:rPr>
        <w:t xml:space="preserve"> </w:t>
      </w:r>
      <w:r>
        <w:rPr>
          <w:rFonts w:ascii="Arial" w:cs="Arial" w:eastAsia="Arial" w:hAnsi="Arial"/>
          <w:sz w:val="12"/>
          <w:szCs w:val="12"/>
          <w:color w:val="auto"/>
        </w:rPr>
        <w:t>(Chairman), Corporate Governance &amp; Nominating</w:t>
      </w:r>
    </w:p>
    <w:p>
      <w:pPr>
        <w:ind w:left="100" w:right="60"/>
        <w:spacing w:after="0" w:line="241" w:lineRule="auto"/>
        <w:rPr>
          <w:sz w:val="20"/>
          <w:szCs w:val="20"/>
          <w:color w:val="auto"/>
        </w:rPr>
      </w:pPr>
      <w:r>
        <w:rPr>
          <w:rFonts w:ascii="Arial" w:cs="Arial" w:eastAsia="Arial" w:hAnsi="Arial"/>
          <w:sz w:val="12"/>
          <w:szCs w:val="12"/>
          <w:b w:val="1"/>
          <w:bCs w:val="1"/>
          <w:color w:val="auto"/>
        </w:rPr>
        <w:t xml:space="preserve">Other Public Company Boards: </w:t>
      </w:r>
      <w:r>
        <w:rPr>
          <w:rFonts w:ascii="Arial" w:cs="Arial" w:eastAsia="Arial" w:hAnsi="Arial"/>
          <w:sz w:val="12"/>
          <w:szCs w:val="12"/>
          <w:color w:val="auto"/>
        </w:rPr>
        <w:t>ChyronHego</w:t>
      </w:r>
      <w:r>
        <w:rPr>
          <w:rFonts w:ascii="Arial" w:cs="Arial" w:eastAsia="Arial" w:hAnsi="Arial"/>
          <w:sz w:val="12"/>
          <w:szCs w:val="12"/>
          <w:b w:val="1"/>
          <w:bCs w:val="1"/>
          <w:color w:val="auto"/>
        </w:rPr>
        <w:t xml:space="preserve"> </w:t>
      </w:r>
      <w:r>
        <w:rPr>
          <w:rFonts w:ascii="Arial" w:cs="Arial" w:eastAsia="Arial" w:hAnsi="Arial"/>
          <w:sz w:val="12"/>
          <w:szCs w:val="12"/>
          <w:color w:val="auto"/>
        </w:rPr>
        <w:t>Corporation, Derwent London plc (Non-Executive Chairman), LMS Capital plc</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ind w:left="8100"/>
        <w:spacing w:after="0"/>
        <w:rPr>
          <w:sz w:val="20"/>
          <w:szCs w:val="20"/>
          <w:color w:val="auto"/>
        </w:rPr>
      </w:pPr>
      <w:r>
        <w:rPr>
          <w:rFonts w:ascii="Arial" w:cs="Arial" w:eastAsia="Arial" w:hAnsi="Arial"/>
          <w:sz w:val="12"/>
          <w:szCs w:val="12"/>
          <w:b w:val="1"/>
          <w:bCs w:val="1"/>
          <w:color w:val="FFFFFF"/>
          <w:shd w:val="clear" w:color="auto" w:fill="BB1131"/>
        </w:rPr>
        <w:t>AGENDA ITEM 1</w:t>
      </w:r>
    </w:p>
    <w:p>
      <w:pPr>
        <w:spacing w:after="0" w:line="200" w:lineRule="exact"/>
        <w:rPr>
          <w:sz w:val="20"/>
          <w:szCs w:val="20"/>
          <w:color w:val="auto"/>
        </w:rPr>
      </w:pPr>
    </w:p>
    <w:p>
      <w:pPr>
        <w:spacing w:after="0" w:line="233" w:lineRule="exact"/>
        <w:rPr>
          <w:sz w:val="20"/>
          <w:szCs w:val="20"/>
          <w:color w:val="auto"/>
        </w:rPr>
      </w:pPr>
    </w:p>
    <w:p>
      <w:pPr>
        <w:jc w:val="both"/>
        <w:spacing w:after="0"/>
        <w:rPr>
          <w:sz w:val="20"/>
          <w:szCs w:val="20"/>
          <w:color w:val="auto"/>
        </w:rPr>
      </w:pPr>
      <w:r>
        <w:rPr>
          <w:rFonts w:ascii="Arial" w:cs="Arial" w:eastAsia="Arial" w:hAnsi="Arial"/>
          <w:sz w:val="12"/>
          <w:szCs w:val="12"/>
          <w:color w:val="auto"/>
        </w:rPr>
        <w:t>Sir Emyr has been the President of the University of Aberystwyth, located in Wales, since 2008, Chairman of the All Wales Convention, a body established by the Welsh Assembly Government to review Wales’s constitutional arrangements, since 2007, Chairman of Redress, a human rights organization, and Chairman of the Corporate and Social Responsibility External Advisory Group of First Group plc, a transport operator, since 2008. Sir Emyr previously held numerous diplomatic positions, including UK Permanent Representative to the UN from 2003 to 2007 and UK Ambassador to NATO from 2001 to 2003, after specializing in European Union affairs including energy policy. Sir Emyr received a B.S. in Theoretical Physics from the University of Cardiff and a Ph.D. in Polymer Physics from the University of Cambridge.</w:t>
      </w:r>
    </w:p>
    <w:p>
      <w:pPr>
        <w:spacing w:after="0" w:line="2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Specific qualifications and experience of particular relevance to our Company</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Sir Emyr brings to the Board a wealth of government relations experience, a high level of public and social policy knowledge and an important international perspective that are valuable to the Board in making global business decisions.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left="20"/>
        <w:spacing w:after="0"/>
        <w:rPr>
          <w:sz w:val="20"/>
          <w:szCs w:val="20"/>
          <w:color w:val="auto"/>
        </w:rPr>
      </w:pPr>
      <w:r>
        <w:rPr>
          <w:rFonts w:ascii="Arial" w:cs="Arial" w:eastAsia="Arial" w:hAnsi="Arial"/>
          <w:sz w:val="12"/>
          <w:szCs w:val="12"/>
          <w:color w:val="auto"/>
        </w:rPr>
        <w:t>Mr. Rayne has been a non-executive director of LMS Capital plc, an investment company listed on the London Stock Exchange, since February 2010, and was the Chairman of LMS Capital from February 2010 to January 2012. Mr. Rayne was the Chief Executive Officer and a director of LMS Capital from June 2006, when the investment business of London Merchant Securities plc was demerged and LMS Capital was formed to hold this business, until February 2010. Mr. Rayne was employed by London Merchant Securities from 1968 to June 2006 and served as its Chief Executive Director from May 2001 to June 2006. Other public company boards include ChyronHego Corporation and Dervvent London plc. Mr. Rayne attended Malvern College and received a diploma from the New York Institute of Finance in Accounting, Law, and Working in the Stock Exchange.</w:t>
      </w:r>
    </w:p>
    <w:p>
      <w:pPr>
        <w:spacing w:after="0" w:line="88" w:lineRule="exact"/>
        <w:rPr>
          <w:sz w:val="20"/>
          <w:szCs w:val="20"/>
          <w:color w:val="auto"/>
        </w:rPr>
      </w:pPr>
    </w:p>
    <w:p>
      <w:pPr>
        <w:jc w:val="both"/>
        <w:ind w:left="20"/>
        <w:spacing w:after="0" w:line="254" w:lineRule="auto"/>
        <w:rPr>
          <w:sz w:val="20"/>
          <w:szCs w:val="20"/>
          <w:color w:val="auto"/>
        </w:rPr>
      </w:pPr>
      <w:r>
        <w:rPr>
          <w:rFonts w:ascii="Arial" w:cs="Arial" w:eastAsia="Arial" w:hAnsi="Arial"/>
          <w:sz w:val="12"/>
          <w:szCs w:val="12"/>
          <w:color w:val="auto"/>
        </w:rPr>
        <w:t>Mr. Rayne is Vice Chairman and Presiding Director of the Company’s Board. As Presiding Director, Mr. Rayne leads the executive sessions of the non-management directors, which are held at least twice each year.</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Specific qualifications and experience of particular relevance to our Company</w:t>
      </w:r>
    </w:p>
    <w:p>
      <w:pPr>
        <w:spacing w:after="0" w:line="111" w:lineRule="exact"/>
        <w:rPr>
          <w:sz w:val="20"/>
          <w:szCs w:val="20"/>
          <w:color w:val="auto"/>
        </w:rPr>
      </w:pPr>
    </w:p>
    <w:p>
      <w:pPr>
        <w:jc w:val="both"/>
        <w:ind w:left="20"/>
        <w:spacing w:after="0" w:line="245" w:lineRule="auto"/>
        <w:rPr>
          <w:sz w:val="20"/>
          <w:szCs w:val="20"/>
          <w:color w:val="auto"/>
        </w:rPr>
      </w:pPr>
      <w:r>
        <w:rPr>
          <w:rFonts w:ascii="Arial" w:cs="Arial" w:eastAsia="Arial" w:hAnsi="Arial"/>
          <w:sz w:val="12"/>
          <w:szCs w:val="12"/>
          <w:color w:val="auto"/>
        </w:rPr>
        <w:t>Mr. Rayne has expertise in a wide range of sectors in addition to the oilfield service industry, including the real estate, media, consumer and technology industries. His 27-year tenure on our Board and his financial and investment expertise, chief executive office experience, international perspectives and diversity of expertise are beneficial to the Board in carrying out its duties.</w:t>
      </w:r>
    </w:p>
    <w:p>
      <w:pPr>
        <w:spacing w:after="0" w:line="2111" w:lineRule="exact"/>
        <w:rPr>
          <w:sz w:val="20"/>
          <w:szCs w:val="20"/>
          <w:color w:val="auto"/>
        </w:rPr>
      </w:pPr>
    </w:p>
    <w:p>
      <w:pPr>
        <w:sectPr>
          <w:pgSz w:w="11900" w:h="16838" w:orient="portrait"/>
          <w:cols w:equalWidth="0" w:num="2">
            <w:col w:w="1840" w:space="460"/>
            <w:col w:w="9120"/>
          </w:cols>
          <w:pgMar w:left="240" w:top="563" w:right="239" w:bottom="1440" w:gutter="0" w:footer="0" w:header="0"/>
        </w:sectPr>
      </w:pPr>
    </w:p>
    <w:p>
      <w:pPr>
        <w:spacing w:after="0"/>
        <w:rPr>
          <w:sz w:val="20"/>
          <w:szCs w:val="20"/>
          <w:color w:val="auto"/>
        </w:rPr>
      </w:pPr>
      <w:r>
        <w:rPr>
          <w:rFonts w:ascii="Arial" w:cs="Arial" w:eastAsia="Arial" w:hAnsi="Arial"/>
          <w:sz w:val="20"/>
          <w:szCs w:val="20"/>
          <w:color w:val="BB1131"/>
        </w:rPr>
        <w:t>Former director</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color w:val="auto"/>
        </w:rPr>
        <w:t>Mr. Nicholas F. Brady served as a director of the Company beginning in 2004. Mr. Brady resigned from the Board of Directors in February 2014 due to other personal commitments.</w:t>
      </w:r>
    </w:p>
    <w:p>
      <w:pPr>
        <w:spacing w:after="0" w:line="182"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2"/>
          <w:szCs w:val="12"/>
          <w:color w:val="auto"/>
        </w:rPr>
        <w:t>Weatherford International plc - www.WeatherfordAnnualMeeting.com</w:t>
      </w:r>
      <w:r>
        <w:rPr>
          <w:sz w:val="20"/>
          <w:szCs w:val="20"/>
          <w:color w:val="auto"/>
        </w:rPr>
        <w:tab/>
      </w:r>
      <w:r>
        <w:rPr>
          <w:rFonts w:ascii="Arial" w:cs="Arial" w:eastAsia="Arial" w:hAnsi="Arial"/>
          <w:sz w:val="10"/>
          <w:szCs w:val="10"/>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131445</wp:posOffset>
            </wp:positionV>
            <wp:extent cx="7278370" cy="203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type w:val="continuous"/>
        </w:sectPr>
      </w:pPr>
    </w:p>
    <w:bookmarkStart w:id="27" w:name="page28"/>
    <w:bookmarkEnd w:id="27"/>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41"/>
        <w:spacing w:after="0"/>
        <w:rPr>
          <w:sz w:val="20"/>
          <w:szCs w:val="20"/>
          <w:color w:val="auto"/>
        </w:rPr>
      </w:pPr>
      <w:r>
        <w:rPr>
          <w:rFonts w:ascii="Arial" w:cs="Arial" w:eastAsia="Arial" w:hAnsi="Arial"/>
          <w:sz w:val="12"/>
          <w:szCs w:val="12"/>
          <w:b w:val="1"/>
          <w:bCs w:val="1"/>
          <w:color w:val="FFFFFF"/>
          <w:shd w:val="clear" w:color="auto" w:fill="BB1131"/>
        </w:rPr>
        <w:t>AGENDA ITEM 1</w:t>
      </w:r>
    </w:p>
    <w:p>
      <w:pPr>
        <w:spacing w:after="0" w:line="214" w:lineRule="exact"/>
        <w:rPr>
          <w:sz w:val="20"/>
          <w:szCs w:val="20"/>
          <w:color w:val="auto"/>
        </w:rPr>
      </w:pPr>
    </w:p>
    <w:p>
      <w:pPr>
        <w:ind w:left="1"/>
        <w:spacing w:after="0"/>
        <w:rPr>
          <w:sz w:val="20"/>
          <w:szCs w:val="20"/>
          <w:color w:val="auto"/>
        </w:rPr>
      </w:pPr>
      <w:r>
        <w:rPr>
          <w:rFonts w:ascii="Arial" w:cs="Arial" w:eastAsia="Arial" w:hAnsi="Arial"/>
          <w:sz w:val="30"/>
          <w:szCs w:val="30"/>
          <w:color w:val="BB1131"/>
        </w:rPr>
        <w:t>Meetings of the board and committees</w:t>
      </w:r>
    </w:p>
    <w:p>
      <w:pPr>
        <w:spacing w:after="0" w:line="389"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38"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The Board has created the following committees: Audit; Compensation; Corporate Governance and Nominating; and Health, Safety and Environment. All members of these committees are considered independent under the current rules of the NYSE and the SEC. The current members of each committee are shown in the following table.</w:t>
      </w:r>
    </w:p>
    <w:p>
      <w:pPr>
        <w:spacing w:after="0" w:line="177"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39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80" w:type="dxa"/>
            <w:vAlign w:val="bottom"/>
          </w:tcPr>
          <w:p>
            <w:pPr>
              <w:jc w:val="right"/>
              <w:ind w:right="198"/>
              <w:spacing w:after="0"/>
              <w:rPr>
                <w:sz w:val="20"/>
                <w:szCs w:val="20"/>
                <w:color w:val="auto"/>
              </w:rPr>
            </w:pPr>
            <w:r>
              <w:rPr>
                <w:rFonts w:ascii="Arial" w:cs="Arial" w:eastAsia="Arial" w:hAnsi="Arial"/>
                <w:sz w:val="12"/>
                <w:szCs w:val="12"/>
                <w:color w:val="auto"/>
              </w:rPr>
              <w:t>Corporate Governance</w:t>
            </w:r>
          </w:p>
        </w:tc>
        <w:tc>
          <w:tcPr>
            <w:tcW w:w="1060" w:type="dxa"/>
            <w:vAlign w:val="bottom"/>
          </w:tcPr>
          <w:p>
            <w:pPr>
              <w:jc w:val="right"/>
              <w:spacing w:after="0"/>
              <w:rPr>
                <w:sz w:val="20"/>
                <w:szCs w:val="20"/>
                <w:color w:val="auto"/>
              </w:rPr>
            </w:pPr>
            <w:r>
              <w:rPr>
                <w:rFonts w:ascii="Arial" w:cs="Arial" w:eastAsia="Arial" w:hAnsi="Arial"/>
                <w:sz w:val="12"/>
                <w:szCs w:val="12"/>
                <w:color w:val="auto"/>
              </w:rPr>
              <w:t>Health, Safety</w:t>
            </w:r>
          </w:p>
        </w:tc>
      </w:tr>
      <w:tr>
        <w:trPr>
          <w:trHeight w:val="137"/>
        </w:trPr>
        <w:tc>
          <w:tcPr>
            <w:tcW w:w="3900" w:type="dxa"/>
            <w:vAlign w:val="bottom"/>
            <w:tcBorders>
              <w:bottom w:val="single" w:sz="8" w:color="auto"/>
            </w:tcBorders>
          </w:tcPr>
          <w:p>
            <w:pPr>
              <w:spacing w:after="0" w:line="137" w:lineRule="exact"/>
              <w:rPr>
                <w:sz w:val="20"/>
                <w:szCs w:val="20"/>
                <w:color w:val="auto"/>
              </w:rPr>
            </w:pPr>
            <w:r>
              <w:rPr>
                <w:rFonts w:ascii="Arial" w:cs="Arial" w:eastAsia="Arial" w:hAnsi="Arial"/>
                <w:sz w:val="12"/>
                <w:szCs w:val="12"/>
                <w:color w:val="auto"/>
              </w:rPr>
              <w:t>Name</w:t>
            </w:r>
          </w:p>
        </w:tc>
        <w:tc>
          <w:tcPr>
            <w:tcW w:w="3660" w:type="dxa"/>
            <w:vAlign w:val="bottom"/>
            <w:tcBorders>
              <w:bottom w:val="single" w:sz="8" w:color="auto"/>
            </w:tcBorders>
          </w:tcPr>
          <w:p>
            <w:pPr>
              <w:jc w:val="right"/>
              <w:ind w:right="98"/>
              <w:spacing w:after="0" w:line="137" w:lineRule="exact"/>
              <w:rPr>
                <w:sz w:val="20"/>
                <w:szCs w:val="20"/>
                <w:color w:val="auto"/>
              </w:rPr>
            </w:pPr>
            <w:r>
              <w:rPr>
                <w:rFonts w:ascii="Arial" w:cs="Arial" w:eastAsia="Arial" w:hAnsi="Arial"/>
                <w:sz w:val="12"/>
                <w:szCs w:val="12"/>
                <w:color w:val="auto"/>
              </w:rPr>
              <w:t>Audit</w:t>
            </w:r>
          </w:p>
        </w:tc>
        <w:tc>
          <w:tcPr>
            <w:tcW w:w="1120" w:type="dxa"/>
            <w:vAlign w:val="bottom"/>
            <w:tcBorders>
              <w:bottom w:val="single" w:sz="8" w:color="auto"/>
            </w:tcBorders>
          </w:tcPr>
          <w:p>
            <w:pPr>
              <w:jc w:val="right"/>
              <w:ind w:right="98"/>
              <w:spacing w:after="0" w:line="137" w:lineRule="exact"/>
              <w:rPr>
                <w:sz w:val="20"/>
                <w:szCs w:val="20"/>
                <w:color w:val="auto"/>
              </w:rPr>
            </w:pPr>
            <w:r>
              <w:rPr>
                <w:rFonts w:ascii="Arial" w:cs="Arial" w:eastAsia="Arial" w:hAnsi="Arial"/>
                <w:sz w:val="12"/>
                <w:szCs w:val="12"/>
                <w:color w:val="auto"/>
              </w:rPr>
              <w:t>Compensation</w:t>
            </w:r>
          </w:p>
        </w:tc>
        <w:tc>
          <w:tcPr>
            <w:tcW w:w="1680" w:type="dxa"/>
            <w:vAlign w:val="bottom"/>
            <w:tcBorders>
              <w:bottom w:val="single" w:sz="8" w:color="auto"/>
            </w:tcBorders>
          </w:tcPr>
          <w:p>
            <w:pPr>
              <w:jc w:val="right"/>
              <w:ind w:right="198"/>
              <w:spacing w:after="0" w:line="137" w:lineRule="exact"/>
              <w:rPr>
                <w:sz w:val="20"/>
                <w:szCs w:val="20"/>
                <w:color w:val="auto"/>
              </w:rPr>
            </w:pPr>
            <w:r>
              <w:rPr>
                <w:rFonts w:ascii="Arial" w:cs="Arial" w:eastAsia="Arial" w:hAnsi="Arial"/>
                <w:sz w:val="12"/>
                <w:szCs w:val="12"/>
                <w:color w:val="auto"/>
              </w:rPr>
              <w:t>&amp; Nominating</w:t>
            </w:r>
          </w:p>
        </w:tc>
        <w:tc>
          <w:tcPr>
            <w:tcW w:w="106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2"/>
                <w:szCs w:val="12"/>
                <w:color w:val="auto"/>
              </w:rPr>
              <w:t>&amp; Environment</w:t>
            </w:r>
          </w:p>
        </w:tc>
      </w:tr>
      <w:tr>
        <w:trPr>
          <w:trHeight w:val="177"/>
        </w:trPr>
        <w:tc>
          <w:tcPr>
            <w:tcW w:w="3900" w:type="dxa"/>
            <w:vAlign w:val="bottom"/>
          </w:tcPr>
          <w:p>
            <w:pPr>
              <w:spacing w:after="0"/>
              <w:rPr>
                <w:sz w:val="20"/>
                <w:szCs w:val="20"/>
                <w:color w:val="auto"/>
              </w:rPr>
            </w:pPr>
            <w:r>
              <w:rPr>
                <w:rFonts w:ascii="Arial" w:cs="Arial" w:eastAsia="Arial" w:hAnsi="Arial"/>
                <w:sz w:val="12"/>
                <w:szCs w:val="12"/>
                <w:color w:val="auto"/>
              </w:rPr>
              <w:t>David J. Butters</w:t>
            </w:r>
          </w:p>
        </w:tc>
        <w:tc>
          <w:tcPr>
            <w:tcW w:w="3660" w:type="dxa"/>
            <w:vAlign w:val="bottom"/>
          </w:tcPr>
          <w:p>
            <w:pPr>
              <w:jc w:val="right"/>
              <w:ind w:right="98"/>
              <w:spacing w:after="0"/>
              <w:rPr>
                <w:sz w:val="20"/>
                <w:szCs w:val="20"/>
                <w:color w:val="auto"/>
              </w:rPr>
            </w:pPr>
            <w:r>
              <w:rPr>
                <w:rFonts w:ascii="Arial" w:cs="Arial" w:eastAsia="Arial" w:hAnsi="Arial"/>
                <w:sz w:val="12"/>
                <w:szCs w:val="12"/>
                <w:b w:val="1"/>
                <w:bCs w:val="1"/>
                <w:color w:val="auto"/>
              </w:rPr>
              <w:t>ü</w:t>
            </w:r>
          </w:p>
        </w:tc>
        <w:tc>
          <w:tcPr>
            <w:tcW w:w="1120" w:type="dxa"/>
            <w:vAlign w:val="bottom"/>
          </w:tcPr>
          <w:p>
            <w:pPr>
              <w:spacing w:after="0"/>
              <w:rPr>
                <w:sz w:val="15"/>
                <w:szCs w:val="15"/>
                <w:color w:val="auto"/>
              </w:rPr>
            </w:pPr>
          </w:p>
        </w:tc>
        <w:tc>
          <w:tcPr>
            <w:tcW w:w="1680" w:type="dxa"/>
            <w:vAlign w:val="bottom"/>
          </w:tcPr>
          <w:p>
            <w:pPr>
              <w:jc w:val="right"/>
              <w:ind w:right="198"/>
              <w:spacing w:after="0"/>
              <w:rPr>
                <w:sz w:val="20"/>
                <w:szCs w:val="20"/>
                <w:color w:val="auto"/>
              </w:rPr>
            </w:pPr>
            <w:r>
              <w:rPr>
                <w:rFonts w:ascii="Arial" w:cs="Arial" w:eastAsia="Arial" w:hAnsi="Arial"/>
                <w:sz w:val="12"/>
                <w:szCs w:val="12"/>
                <w:b w:val="1"/>
                <w:bCs w:val="1"/>
                <w:color w:val="auto"/>
              </w:rPr>
              <w:t xml:space="preserve">ü </w:t>
            </w:r>
            <w:r>
              <w:rPr>
                <w:rFonts w:ascii="Arial" w:cs="Arial" w:eastAsia="Arial" w:hAnsi="Arial"/>
                <w:sz w:val="12"/>
                <w:szCs w:val="12"/>
                <w:color w:val="auto"/>
              </w:rPr>
              <w:t>(Chairman)</w:t>
            </w:r>
          </w:p>
        </w:tc>
        <w:tc>
          <w:tcPr>
            <w:tcW w:w="1060" w:type="dxa"/>
            <w:vAlign w:val="bottom"/>
          </w:tcPr>
          <w:p>
            <w:pPr>
              <w:spacing w:after="0"/>
              <w:rPr>
                <w:sz w:val="15"/>
                <w:szCs w:val="15"/>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2"/>
                <w:szCs w:val="12"/>
                <w:color w:val="auto"/>
              </w:rPr>
              <w:t>Bernard J. Duroc-Danner</w:t>
            </w:r>
          </w:p>
        </w:tc>
        <w:tc>
          <w:tcPr>
            <w:tcW w:w="3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2"/>
                <w:szCs w:val="12"/>
                <w:color w:val="auto"/>
              </w:rPr>
              <w:t>John D. Gass</w:t>
            </w:r>
          </w:p>
        </w:tc>
        <w:tc>
          <w:tcPr>
            <w:tcW w:w="3660" w:type="dxa"/>
            <w:vAlign w:val="bottom"/>
          </w:tcPr>
          <w:p>
            <w:pPr>
              <w:spacing w:after="0"/>
              <w:rPr>
                <w:sz w:val="19"/>
                <w:szCs w:val="19"/>
                <w:color w:val="auto"/>
              </w:rPr>
            </w:pPr>
          </w:p>
        </w:tc>
        <w:tc>
          <w:tcPr>
            <w:tcW w:w="1120" w:type="dxa"/>
            <w:vAlign w:val="bottom"/>
          </w:tcPr>
          <w:p>
            <w:pPr>
              <w:jc w:val="right"/>
              <w:ind w:right="98"/>
              <w:spacing w:after="0"/>
              <w:rPr>
                <w:sz w:val="20"/>
                <w:szCs w:val="20"/>
                <w:color w:val="auto"/>
              </w:rPr>
            </w:pPr>
            <w:r>
              <w:rPr>
                <w:rFonts w:ascii="Arial" w:cs="Arial" w:eastAsia="Arial" w:hAnsi="Arial"/>
                <w:sz w:val="12"/>
                <w:szCs w:val="12"/>
                <w:b w:val="1"/>
                <w:bCs w:val="1"/>
                <w:color w:val="auto"/>
              </w:rPr>
              <w:t>ü</w:t>
            </w:r>
          </w:p>
        </w:tc>
        <w:tc>
          <w:tcPr>
            <w:tcW w:w="1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2"/>
                <w:szCs w:val="12"/>
                <w:b w:val="1"/>
                <w:bCs w:val="1"/>
                <w:color w:val="auto"/>
              </w:rPr>
              <w:t>ü</w:t>
            </w:r>
          </w:p>
        </w:tc>
      </w:tr>
      <w:tr>
        <w:trPr>
          <w:trHeight w:val="223"/>
        </w:trPr>
        <w:tc>
          <w:tcPr>
            <w:tcW w:w="3900" w:type="dxa"/>
            <w:vAlign w:val="bottom"/>
          </w:tcPr>
          <w:p>
            <w:pPr>
              <w:spacing w:after="0"/>
              <w:rPr>
                <w:sz w:val="20"/>
                <w:szCs w:val="20"/>
                <w:color w:val="auto"/>
              </w:rPr>
            </w:pPr>
            <w:r>
              <w:rPr>
                <w:rFonts w:ascii="Arial" w:cs="Arial" w:eastAsia="Arial" w:hAnsi="Arial"/>
                <w:sz w:val="12"/>
                <w:szCs w:val="12"/>
                <w:color w:val="auto"/>
              </w:rPr>
              <w:t>Francis S. Kalman</w:t>
            </w:r>
          </w:p>
        </w:tc>
        <w:tc>
          <w:tcPr>
            <w:tcW w:w="3660" w:type="dxa"/>
            <w:vAlign w:val="bottom"/>
          </w:tcPr>
          <w:p>
            <w:pPr>
              <w:jc w:val="right"/>
              <w:ind w:right="98"/>
              <w:spacing w:after="0"/>
              <w:rPr>
                <w:sz w:val="20"/>
                <w:szCs w:val="20"/>
                <w:color w:val="auto"/>
              </w:rPr>
            </w:pPr>
            <w:r>
              <w:rPr>
                <w:rFonts w:ascii="Arial" w:cs="Arial" w:eastAsia="Arial" w:hAnsi="Arial"/>
                <w:sz w:val="12"/>
                <w:szCs w:val="12"/>
                <w:b w:val="1"/>
                <w:bCs w:val="1"/>
                <w:color w:val="auto"/>
              </w:rPr>
              <w:t xml:space="preserve">ü </w:t>
            </w:r>
            <w:r>
              <w:rPr>
                <w:rFonts w:ascii="Arial" w:cs="Arial" w:eastAsia="Arial" w:hAnsi="Arial"/>
                <w:sz w:val="12"/>
                <w:szCs w:val="12"/>
                <w:color w:val="auto"/>
              </w:rPr>
              <w:t>(Vice Chairman)</w:t>
            </w:r>
          </w:p>
        </w:tc>
        <w:tc>
          <w:tcPr>
            <w:tcW w:w="1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2"/>
                <w:szCs w:val="12"/>
                <w:color w:val="auto"/>
              </w:rPr>
              <w:t>William E. Macaulay</w:t>
            </w:r>
          </w:p>
        </w:tc>
        <w:tc>
          <w:tcPr>
            <w:tcW w:w="3660" w:type="dxa"/>
            <w:vAlign w:val="bottom"/>
          </w:tcPr>
          <w:p>
            <w:pPr>
              <w:spacing w:after="0"/>
              <w:rPr>
                <w:sz w:val="19"/>
                <w:szCs w:val="19"/>
                <w:color w:val="auto"/>
              </w:rPr>
            </w:pPr>
          </w:p>
        </w:tc>
        <w:tc>
          <w:tcPr>
            <w:tcW w:w="1120" w:type="dxa"/>
            <w:vAlign w:val="bottom"/>
          </w:tcPr>
          <w:p>
            <w:pPr>
              <w:jc w:val="right"/>
              <w:ind w:right="98"/>
              <w:spacing w:after="0"/>
              <w:rPr>
                <w:sz w:val="20"/>
                <w:szCs w:val="20"/>
                <w:color w:val="auto"/>
              </w:rPr>
            </w:pPr>
            <w:r>
              <w:rPr>
                <w:rFonts w:ascii="Arial" w:cs="Arial" w:eastAsia="Arial" w:hAnsi="Arial"/>
                <w:sz w:val="12"/>
                <w:szCs w:val="12"/>
                <w:b w:val="1"/>
                <w:bCs w:val="1"/>
                <w:color w:val="auto"/>
              </w:rPr>
              <w:t xml:space="preserve">ü </w:t>
            </w:r>
            <w:r>
              <w:rPr>
                <w:rFonts w:ascii="Arial" w:cs="Arial" w:eastAsia="Arial" w:hAnsi="Arial"/>
                <w:sz w:val="12"/>
                <w:szCs w:val="12"/>
                <w:color w:val="auto"/>
              </w:rPr>
              <w:t>(Chairman)</w:t>
            </w:r>
          </w:p>
        </w:tc>
        <w:tc>
          <w:tcPr>
            <w:tcW w:w="16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2"/>
                <w:szCs w:val="12"/>
                <w:color w:val="auto"/>
              </w:rPr>
              <w:t>Robert K. Moses, Jr.</w:t>
            </w:r>
          </w:p>
        </w:tc>
        <w:tc>
          <w:tcPr>
            <w:tcW w:w="3660" w:type="dxa"/>
            <w:vAlign w:val="bottom"/>
          </w:tcPr>
          <w:p>
            <w:pPr>
              <w:jc w:val="right"/>
              <w:ind w:right="98"/>
              <w:spacing w:after="0"/>
              <w:rPr>
                <w:sz w:val="20"/>
                <w:szCs w:val="20"/>
                <w:color w:val="auto"/>
              </w:rPr>
            </w:pPr>
            <w:r>
              <w:rPr>
                <w:rFonts w:ascii="Arial" w:cs="Arial" w:eastAsia="Arial" w:hAnsi="Arial"/>
                <w:sz w:val="12"/>
                <w:szCs w:val="12"/>
                <w:b w:val="1"/>
                <w:bCs w:val="1"/>
                <w:color w:val="auto"/>
              </w:rPr>
              <w:t>ü</w:t>
            </w:r>
          </w:p>
        </w:tc>
        <w:tc>
          <w:tcPr>
            <w:tcW w:w="1120" w:type="dxa"/>
            <w:vAlign w:val="bottom"/>
          </w:tcPr>
          <w:p>
            <w:pPr>
              <w:jc w:val="right"/>
              <w:ind w:right="98"/>
              <w:spacing w:after="0"/>
              <w:rPr>
                <w:sz w:val="20"/>
                <w:szCs w:val="20"/>
                <w:color w:val="auto"/>
              </w:rPr>
            </w:pPr>
            <w:r>
              <w:rPr>
                <w:rFonts w:ascii="Arial" w:cs="Arial" w:eastAsia="Arial" w:hAnsi="Arial"/>
                <w:sz w:val="12"/>
                <w:szCs w:val="12"/>
                <w:b w:val="1"/>
                <w:bCs w:val="1"/>
                <w:color w:val="auto"/>
              </w:rPr>
              <w:t>ü</w:t>
            </w:r>
          </w:p>
        </w:tc>
        <w:tc>
          <w:tcPr>
            <w:tcW w:w="1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2"/>
                <w:szCs w:val="12"/>
                <w:b w:val="1"/>
                <w:bCs w:val="1"/>
                <w:color w:val="auto"/>
              </w:rPr>
              <w:t>ü</w:t>
            </w:r>
          </w:p>
        </w:tc>
      </w:tr>
      <w:tr>
        <w:trPr>
          <w:trHeight w:val="223"/>
        </w:trPr>
        <w:tc>
          <w:tcPr>
            <w:tcW w:w="3900" w:type="dxa"/>
            <w:vAlign w:val="bottom"/>
          </w:tcPr>
          <w:p>
            <w:pPr>
              <w:spacing w:after="0"/>
              <w:rPr>
                <w:sz w:val="20"/>
                <w:szCs w:val="20"/>
                <w:color w:val="auto"/>
              </w:rPr>
            </w:pPr>
            <w:r>
              <w:rPr>
                <w:rFonts w:ascii="Arial" w:cs="Arial" w:eastAsia="Arial" w:hAnsi="Arial"/>
                <w:sz w:val="12"/>
                <w:szCs w:val="12"/>
                <w:color w:val="auto"/>
              </w:rPr>
              <w:t>Guillermo Ortiz</w:t>
            </w:r>
          </w:p>
        </w:tc>
        <w:tc>
          <w:tcPr>
            <w:tcW w:w="3660" w:type="dxa"/>
            <w:vAlign w:val="bottom"/>
          </w:tcPr>
          <w:p>
            <w:pPr>
              <w:jc w:val="right"/>
              <w:ind w:right="98"/>
              <w:spacing w:after="0"/>
              <w:rPr>
                <w:sz w:val="20"/>
                <w:szCs w:val="20"/>
                <w:color w:val="auto"/>
              </w:rPr>
            </w:pPr>
            <w:r>
              <w:rPr>
                <w:rFonts w:ascii="Arial" w:cs="Arial" w:eastAsia="Arial" w:hAnsi="Arial"/>
                <w:sz w:val="12"/>
                <w:szCs w:val="12"/>
                <w:b w:val="1"/>
                <w:bCs w:val="1"/>
                <w:color w:val="auto"/>
              </w:rPr>
              <w:t>ü</w:t>
            </w:r>
          </w:p>
        </w:tc>
        <w:tc>
          <w:tcPr>
            <w:tcW w:w="1120" w:type="dxa"/>
            <w:vAlign w:val="bottom"/>
          </w:tcPr>
          <w:p>
            <w:pPr>
              <w:jc w:val="right"/>
              <w:ind w:right="98"/>
              <w:spacing w:after="0"/>
              <w:rPr>
                <w:sz w:val="20"/>
                <w:szCs w:val="20"/>
                <w:color w:val="auto"/>
              </w:rPr>
            </w:pPr>
            <w:r>
              <w:rPr>
                <w:rFonts w:ascii="Arial" w:cs="Arial" w:eastAsia="Arial" w:hAnsi="Arial"/>
                <w:sz w:val="12"/>
                <w:szCs w:val="12"/>
                <w:b w:val="1"/>
                <w:bCs w:val="1"/>
                <w:color w:val="auto"/>
              </w:rPr>
              <w:t>ü</w:t>
            </w:r>
          </w:p>
        </w:tc>
        <w:tc>
          <w:tcPr>
            <w:tcW w:w="16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2"/>
                <w:szCs w:val="12"/>
                <w:color w:val="auto"/>
              </w:rPr>
              <w:t>Emyr Jones Parry</w:t>
            </w:r>
          </w:p>
        </w:tc>
        <w:tc>
          <w:tcPr>
            <w:tcW w:w="3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80" w:type="dxa"/>
            <w:vAlign w:val="bottom"/>
          </w:tcPr>
          <w:p>
            <w:pPr>
              <w:jc w:val="right"/>
              <w:ind w:right="198"/>
              <w:spacing w:after="0"/>
              <w:rPr>
                <w:sz w:val="20"/>
                <w:szCs w:val="20"/>
                <w:color w:val="auto"/>
              </w:rPr>
            </w:pPr>
            <w:r>
              <w:rPr>
                <w:rFonts w:ascii="Arial" w:cs="Arial" w:eastAsia="Arial" w:hAnsi="Arial"/>
                <w:sz w:val="12"/>
                <w:szCs w:val="12"/>
                <w:b w:val="1"/>
                <w:bCs w:val="1"/>
                <w:color w:val="auto"/>
              </w:rPr>
              <w:t>ü</w:t>
            </w:r>
          </w:p>
        </w:tc>
        <w:tc>
          <w:tcPr>
            <w:tcW w:w="1060" w:type="dxa"/>
            <w:vAlign w:val="bottom"/>
          </w:tcPr>
          <w:p>
            <w:pPr>
              <w:jc w:val="right"/>
              <w:spacing w:after="0"/>
              <w:rPr>
                <w:sz w:val="20"/>
                <w:szCs w:val="20"/>
                <w:color w:val="auto"/>
              </w:rPr>
            </w:pPr>
            <w:r>
              <w:rPr>
                <w:rFonts w:ascii="Arial" w:cs="Arial" w:eastAsia="Arial" w:hAnsi="Arial"/>
                <w:sz w:val="12"/>
                <w:szCs w:val="12"/>
                <w:b w:val="1"/>
                <w:bCs w:val="1"/>
                <w:color w:val="auto"/>
              </w:rPr>
              <w:t xml:space="preserve">ü </w:t>
            </w:r>
            <w:r>
              <w:rPr>
                <w:rFonts w:ascii="Arial" w:cs="Arial" w:eastAsia="Arial" w:hAnsi="Arial"/>
                <w:sz w:val="12"/>
                <w:szCs w:val="12"/>
                <w:color w:val="auto"/>
              </w:rPr>
              <w:t>(Chairman)</w:t>
            </w:r>
          </w:p>
        </w:tc>
      </w:tr>
      <w:tr>
        <w:trPr>
          <w:trHeight w:val="223"/>
        </w:trPr>
        <w:tc>
          <w:tcPr>
            <w:tcW w:w="3900" w:type="dxa"/>
            <w:vAlign w:val="bottom"/>
          </w:tcPr>
          <w:p>
            <w:pPr>
              <w:spacing w:after="0"/>
              <w:rPr>
                <w:sz w:val="20"/>
                <w:szCs w:val="20"/>
                <w:color w:val="auto"/>
              </w:rPr>
            </w:pPr>
            <w:r>
              <w:rPr>
                <w:rFonts w:ascii="Arial" w:cs="Arial" w:eastAsia="Arial" w:hAnsi="Arial"/>
                <w:sz w:val="12"/>
                <w:szCs w:val="12"/>
                <w:color w:val="auto"/>
              </w:rPr>
              <w:t>Robert A. Rayne</w:t>
            </w:r>
          </w:p>
        </w:tc>
        <w:tc>
          <w:tcPr>
            <w:tcW w:w="3660" w:type="dxa"/>
            <w:vAlign w:val="bottom"/>
          </w:tcPr>
          <w:p>
            <w:pPr>
              <w:jc w:val="right"/>
              <w:ind w:right="98"/>
              <w:spacing w:after="0"/>
              <w:rPr>
                <w:sz w:val="20"/>
                <w:szCs w:val="20"/>
                <w:color w:val="auto"/>
              </w:rPr>
            </w:pPr>
            <w:r>
              <w:rPr>
                <w:rFonts w:ascii="Arial" w:cs="Arial" w:eastAsia="Arial" w:hAnsi="Arial"/>
                <w:sz w:val="12"/>
                <w:szCs w:val="12"/>
                <w:b w:val="1"/>
                <w:bCs w:val="1"/>
                <w:color w:val="auto"/>
              </w:rPr>
              <w:t xml:space="preserve">ü </w:t>
            </w:r>
            <w:r>
              <w:rPr>
                <w:rFonts w:ascii="Arial" w:cs="Arial" w:eastAsia="Arial" w:hAnsi="Arial"/>
                <w:sz w:val="12"/>
                <w:szCs w:val="12"/>
                <w:color w:val="auto"/>
              </w:rPr>
              <w:t>(Chairman)</w:t>
            </w:r>
          </w:p>
        </w:tc>
        <w:tc>
          <w:tcPr>
            <w:tcW w:w="1120" w:type="dxa"/>
            <w:vAlign w:val="bottom"/>
          </w:tcPr>
          <w:p>
            <w:pPr>
              <w:spacing w:after="0"/>
              <w:rPr>
                <w:sz w:val="19"/>
                <w:szCs w:val="19"/>
                <w:color w:val="auto"/>
              </w:rPr>
            </w:pPr>
          </w:p>
        </w:tc>
        <w:tc>
          <w:tcPr>
            <w:tcW w:w="1680" w:type="dxa"/>
            <w:vAlign w:val="bottom"/>
          </w:tcPr>
          <w:p>
            <w:pPr>
              <w:jc w:val="right"/>
              <w:ind w:right="198"/>
              <w:spacing w:after="0"/>
              <w:rPr>
                <w:sz w:val="20"/>
                <w:szCs w:val="20"/>
                <w:color w:val="auto"/>
              </w:rPr>
            </w:pPr>
            <w:r>
              <w:rPr>
                <w:rFonts w:ascii="Arial" w:cs="Arial" w:eastAsia="Arial" w:hAnsi="Arial"/>
                <w:sz w:val="12"/>
                <w:szCs w:val="12"/>
                <w:b w:val="1"/>
                <w:bCs w:val="1"/>
                <w:color w:val="auto"/>
              </w:rPr>
              <w:t>ü</w:t>
            </w:r>
          </w:p>
        </w:tc>
        <w:tc>
          <w:tcPr>
            <w:tcW w:w="1060" w:type="dxa"/>
            <w:vAlign w:val="bottom"/>
          </w:tcPr>
          <w:p>
            <w:pPr>
              <w:spacing w:after="0"/>
              <w:rPr>
                <w:sz w:val="19"/>
                <w:szCs w:val="19"/>
                <w:color w:val="auto"/>
              </w:rPr>
            </w:pPr>
          </w:p>
        </w:tc>
      </w:tr>
      <w:tr>
        <w:trPr>
          <w:trHeight w:val="43"/>
        </w:trPr>
        <w:tc>
          <w:tcPr>
            <w:tcW w:w="3900" w:type="dxa"/>
            <w:vAlign w:val="bottom"/>
            <w:tcBorders>
              <w:bottom w:val="single" w:sz="8" w:color="auto"/>
            </w:tcBorders>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bl>
    <w:p>
      <w:pPr>
        <w:spacing w:after="0" w:line="193"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Meetings in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38"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During 2013, the Board of Directors met five times, the Audit Committee met 11 times, the Compensation Committee met four times, the Corporate Governance and Nominating Committee met four times and the Health, Safety and Environment Committee met one time, for its inaugural meeting. All of the directors participated in at least 75% of all Board of Directors and respective committee meetings.</w:t>
      </w:r>
    </w:p>
    <w:p>
      <w:pPr>
        <w:spacing w:after="0" w:line="149"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38"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 xml:space="preserve">The Audit Committee has been established in accordance with Section 3(a)(58)(A) of the Securities Exchange Act of 1934, as amended (the “Exchange Act”). The Board of Directors has adopted a written charter for the Audit Committee. The charter is available on our website at </w:t>
      </w:r>
      <w:r>
        <w:rPr>
          <w:rFonts w:ascii="Arial" w:cs="Arial" w:eastAsia="Arial" w:hAnsi="Arial"/>
          <w:sz w:val="12"/>
          <w:szCs w:val="12"/>
          <w:i w:val="1"/>
          <w:iCs w:val="1"/>
          <w:color w:val="auto"/>
        </w:rPr>
        <w:t>www.weatherford.com,</w:t>
      </w:r>
      <w:r>
        <w:rPr>
          <w:rFonts w:ascii="Arial" w:cs="Arial" w:eastAsia="Arial" w:hAnsi="Arial"/>
          <w:sz w:val="12"/>
          <w:szCs w:val="12"/>
          <w:color w:val="auto"/>
        </w:rPr>
        <w:t xml:space="preserve"> by clicking on “About Weatherford,” then “Corporate Governance,” then “Committee Charters.” The primary functions of the Audit Committee are:</w:t>
      </w:r>
    </w:p>
    <w:p>
      <w:pPr>
        <w:spacing w:after="0" w:line="60" w:lineRule="exact"/>
        <w:rPr>
          <w:sz w:val="20"/>
          <w:szCs w:val="20"/>
          <w:color w:val="auto"/>
        </w:rPr>
      </w:pPr>
    </w:p>
    <w:p>
      <w:pPr>
        <w:ind w:left="701" w:right="3280"/>
        <w:spacing w:after="0" w:line="398" w:lineRule="auto"/>
        <w:rPr>
          <w:sz w:val="20"/>
          <w:szCs w:val="20"/>
          <w:color w:val="auto"/>
        </w:rPr>
      </w:pPr>
      <w:r>
        <w:rPr>
          <w:rFonts w:ascii="Arial" w:cs="Arial" w:eastAsia="Arial" w:hAnsi="Arial"/>
          <w:sz w:val="12"/>
          <w:szCs w:val="12"/>
          <w:color w:val="auto"/>
        </w:rPr>
        <w:t>overseeing the integrity of our financial statements, financial reporting process and systems of internal accounting and financial controls; overseeing our compliance with legal and regulatory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-278765</wp:posOffset>
            </wp:positionV>
            <wp:extent cx="57150" cy="571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150" cy="57150"/>
                    </a:xfrm>
                    <a:prstGeom prst="rect">
                      <a:avLst/>
                    </a:prstGeom>
                    <a:noFill/>
                  </pic:spPr>
                </pic:pic>
              </a:graphicData>
            </a:graphic>
          </wp:anchor>
        </w:drawing>
        <w:drawing>
          <wp:anchor simplePos="0" relativeHeight="251657728" behindDoc="1" locked="0" layoutInCell="0" allowOverlap="1">
            <wp:simplePos x="0" y="0"/>
            <wp:positionH relativeFrom="column">
              <wp:posOffset>309880</wp:posOffset>
            </wp:positionH>
            <wp:positionV relativeFrom="paragraph">
              <wp:posOffset>-137160</wp:posOffset>
            </wp:positionV>
            <wp:extent cx="57150" cy="571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ind w:left="701"/>
        <w:spacing w:after="0"/>
        <w:rPr>
          <w:sz w:val="20"/>
          <w:szCs w:val="20"/>
          <w:color w:val="auto"/>
        </w:rPr>
      </w:pPr>
      <w:r>
        <w:rPr>
          <w:rFonts w:ascii="Arial" w:cs="Arial" w:eastAsia="Arial" w:hAnsi="Arial"/>
          <w:sz w:val="12"/>
          <w:szCs w:val="12"/>
          <w:color w:val="auto"/>
        </w:rPr>
        <w:t>overseeing our independent auditor’s qualifications and independence;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77" w:lineRule="exact"/>
        <w:rPr>
          <w:sz w:val="20"/>
          <w:szCs w:val="20"/>
          <w:color w:val="auto"/>
        </w:rPr>
      </w:pPr>
    </w:p>
    <w:p>
      <w:pPr>
        <w:ind w:left="701"/>
        <w:spacing w:after="0"/>
        <w:rPr>
          <w:sz w:val="20"/>
          <w:szCs w:val="20"/>
          <w:color w:val="auto"/>
        </w:rPr>
      </w:pPr>
      <w:r>
        <w:rPr>
          <w:rFonts w:ascii="Arial" w:cs="Arial" w:eastAsia="Arial" w:hAnsi="Arial"/>
          <w:sz w:val="12"/>
          <w:szCs w:val="12"/>
          <w:color w:val="auto"/>
        </w:rPr>
        <w:t>overseeing the performance of our internal audit function and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102"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The Board of Directors has determined that each member of the Audit Committee is “financially literate” pursuant to the listing standards of the New York Stock Exchange. The Board of Directors has also determined that Mr. Rayne is an “audit committee financial expert” as defined by applicable SEC rules because of his extensive financial experience. For more information regarding Mr. Rayne’s experience, please see his biography on page 9 of this proxy statement.</w:t>
      </w:r>
    </w:p>
    <w:p>
      <w:pPr>
        <w:spacing w:after="0" w:line="85"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Mr. Kalman currently serves on the audit committees of four public companies, including the Company’s Audit Committee. In connection with his commencement of service on the fourth audit committee, the Board of Directors of the Company determined that his service on these other audit committees would not impair his ability to effectively serve on the Company’s Audit Committee.</w:t>
      </w:r>
    </w:p>
    <w:p>
      <w:pPr>
        <w:spacing w:after="0" w:line="149"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88" w:lineRule="exact"/>
        <w:rPr>
          <w:sz w:val="20"/>
          <w:szCs w:val="20"/>
          <w:color w:val="auto"/>
        </w:rPr>
      </w:pPr>
    </w:p>
    <w:p>
      <w:pPr>
        <w:ind w:left="1"/>
        <w:spacing w:after="0"/>
        <w:rPr>
          <w:sz w:val="20"/>
          <w:szCs w:val="20"/>
          <w:color w:val="auto"/>
        </w:rPr>
      </w:pPr>
      <w:r>
        <w:rPr>
          <w:rFonts w:ascii="Arial" w:cs="Arial" w:eastAsia="Arial" w:hAnsi="Arial"/>
          <w:sz w:val="12"/>
          <w:szCs w:val="12"/>
          <w:color w:val="auto"/>
        </w:rPr>
        <w:t xml:space="preserve">The Board of Directors has adopted a written charter for the Compensation Committee. The charter is available on our website at </w:t>
      </w:r>
      <w:r>
        <w:rPr>
          <w:rFonts w:ascii="Arial" w:cs="Arial" w:eastAsia="Arial" w:hAnsi="Arial"/>
          <w:sz w:val="12"/>
          <w:szCs w:val="12"/>
          <w:i w:val="1"/>
          <w:iCs w:val="1"/>
          <w:color w:val="auto"/>
        </w:rPr>
        <w:t>www.weatherford.com,</w:t>
      </w:r>
      <w:r>
        <w:rPr>
          <w:rFonts w:ascii="Arial" w:cs="Arial" w:eastAsia="Arial" w:hAnsi="Arial"/>
          <w:sz w:val="12"/>
          <w:szCs w:val="12"/>
          <w:color w:val="auto"/>
        </w:rPr>
        <w:t xml:space="preserve"> by clicking on “About Weatherford,” then “Corporate</w:t>
      </w:r>
    </w:p>
    <w:p>
      <w:pPr>
        <w:spacing w:after="0" w:line="35" w:lineRule="exact"/>
        <w:rPr>
          <w:sz w:val="20"/>
          <w:szCs w:val="20"/>
          <w:color w:val="auto"/>
        </w:rPr>
      </w:pPr>
    </w:p>
    <w:p>
      <w:pPr>
        <w:ind w:left="1"/>
        <w:spacing w:after="0"/>
        <w:rPr>
          <w:sz w:val="20"/>
          <w:szCs w:val="20"/>
          <w:color w:val="auto"/>
        </w:rPr>
      </w:pPr>
      <w:r>
        <w:rPr>
          <w:rFonts w:ascii="Arial" w:cs="Arial" w:eastAsia="Arial" w:hAnsi="Arial"/>
          <w:sz w:val="12"/>
          <w:szCs w:val="12"/>
          <w:color w:val="auto"/>
        </w:rPr>
        <w:t>Governance,” then “Committee Charters.” The primary functions of the Compensation Committee are:</w:t>
      </w:r>
    </w:p>
    <w:p>
      <w:pPr>
        <w:spacing w:after="0" w:line="60" w:lineRule="exact"/>
        <w:rPr>
          <w:sz w:val="20"/>
          <w:szCs w:val="20"/>
          <w:color w:val="auto"/>
        </w:rPr>
      </w:pPr>
    </w:p>
    <w:p>
      <w:pPr>
        <w:ind w:left="701"/>
        <w:spacing w:after="0"/>
        <w:rPr>
          <w:sz w:val="20"/>
          <w:szCs w:val="20"/>
          <w:color w:val="auto"/>
        </w:rPr>
      </w:pPr>
      <w:r>
        <w:rPr>
          <w:rFonts w:ascii="Arial" w:cs="Arial" w:eastAsia="Arial" w:hAnsi="Arial"/>
          <w:sz w:val="12"/>
          <w:szCs w:val="12"/>
          <w:color w:val="auto"/>
        </w:rPr>
        <w:t>evaluating the performance and determining and approving the compensation of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77" w:lineRule="exact"/>
        <w:rPr>
          <w:sz w:val="20"/>
          <w:szCs w:val="20"/>
          <w:color w:val="auto"/>
        </w:rPr>
      </w:pPr>
    </w:p>
    <w:p>
      <w:pPr>
        <w:ind w:left="701"/>
        <w:spacing w:after="0"/>
        <w:rPr>
          <w:sz w:val="20"/>
          <w:szCs w:val="20"/>
          <w:color w:val="auto"/>
        </w:rPr>
      </w:pPr>
      <w:r>
        <w:rPr>
          <w:rFonts w:ascii="Arial" w:cs="Arial" w:eastAsia="Arial" w:hAnsi="Arial"/>
          <w:sz w:val="12"/>
          <w:szCs w:val="12"/>
          <w:color w:val="auto"/>
        </w:rPr>
        <w:t>making decisions regarding executive compensation plans, incentive compensation plans and equity-based plans;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77" w:lineRule="exact"/>
        <w:rPr>
          <w:sz w:val="20"/>
          <w:szCs w:val="20"/>
          <w:color w:val="auto"/>
        </w:rPr>
      </w:pPr>
    </w:p>
    <w:p>
      <w:pPr>
        <w:ind w:left="701"/>
        <w:spacing w:after="0"/>
        <w:rPr>
          <w:sz w:val="20"/>
          <w:szCs w:val="20"/>
          <w:color w:val="auto"/>
        </w:rPr>
      </w:pPr>
      <w:r>
        <w:rPr>
          <w:rFonts w:ascii="Arial" w:cs="Arial" w:eastAsia="Arial" w:hAnsi="Arial"/>
          <w:sz w:val="12"/>
          <w:szCs w:val="12"/>
          <w:color w:val="auto"/>
        </w:rPr>
        <w:t>administering or having administered our incentive compensation plans and equity-based plans for executive officers and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102"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All members of the Compensation Committee satisfy the qualification standards of section 162(m) (“section 162(m)”) of the U.S. Internal Revenue Code of 1986, as amended (the “Code”), and Section 16 of the Exchange Act.</w:t>
      </w:r>
    </w:p>
    <w:p>
      <w:pPr>
        <w:spacing w:after="0" w:line="178" w:lineRule="exact"/>
        <w:rPr>
          <w:sz w:val="20"/>
          <w:szCs w:val="20"/>
          <w:color w:val="auto"/>
        </w:rPr>
      </w:pPr>
    </w:p>
    <w:p>
      <w:pPr>
        <w:ind w:left="301" w:hanging="301"/>
        <w:spacing w:after="0"/>
        <w:tabs>
          <w:tab w:leader="none" w:pos="301" w:val="left"/>
        </w:tabs>
        <w:numPr>
          <w:ilvl w:val="0"/>
          <w:numId w:val="21"/>
        </w:numPr>
        <w:rPr>
          <w:rFonts w:ascii="Arial" w:cs="Arial" w:eastAsia="Arial" w:hAnsi="Arial"/>
          <w:sz w:val="12"/>
          <w:szCs w:val="12"/>
          <w:b w:val="1"/>
          <w:bCs w:val="1"/>
          <w:color w:val="auto"/>
        </w:rPr>
      </w:pPr>
      <w:r>
        <w:rPr>
          <w:rFonts w:ascii="Arial" w:cs="Arial" w:eastAsia="Arial" w:hAnsi="Arial"/>
          <w:sz w:val="12"/>
          <w:szCs w:val="12"/>
          <w:color w:val="auto"/>
        </w:rPr>
        <w:t>Weatherford International plc - 2014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8370" cy="203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10400"/>
        <w:spacing w:after="0"/>
        <w:rPr>
          <w:sz w:val="20"/>
          <w:szCs w:val="20"/>
          <w:color w:val="auto"/>
        </w:rPr>
      </w:pPr>
      <w:r>
        <w:rPr>
          <w:rFonts w:ascii="Arial" w:cs="Arial" w:eastAsia="Arial" w:hAnsi="Arial"/>
          <w:sz w:val="12"/>
          <w:szCs w:val="12"/>
          <w:b w:val="1"/>
          <w:bCs w:val="1"/>
          <w:color w:val="FFFFFF"/>
          <w:shd w:val="clear" w:color="auto" w:fill="BB1131"/>
        </w:rPr>
        <w:t>AGENDA ITEM 1</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Governance and Nominating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The Board of Directors has adopted a written charter for the Corporate Governance and Nominating Committee. The charter is available on our website at </w:t>
      </w:r>
      <w:r>
        <w:rPr>
          <w:rFonts w:ascii="Arial" w:cs="Arial" w:eastAsia="Arial" w:hAnsi="Arial"/>
          <w:sz w:val="12"/>
          <w:szCs w:val="12"/>
          <w:i w:val="1"/>
          <w:iCs w:val="1"/>
          <w:color w:val="auto"/>
        </w:rPr>
        <w:t>www.weatherford.com,</w:t>
      </w:r>
      <w:r>
        <w:rPr>
          <w:rFonts w:ascii="Arial" w:cs="Arial" w:eastAsia="Arial" w:hAnsi="Arial"/>
          <w:sz w:val="12"/>
          <w:szCs w:val="12"/>
          <w:color w:val="auto"/>
        </w:rPr>
        <w:t xml:space="preserve"> by clicking on “About</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Weatherford,” then “Corporate Governance,” then “Committee Charters.” The primary functions of the Corporate Governance and Nominating Committee are:</w:t>
      </w:r>
    </w:p>
    <w:p>
      <w:pPr>
        <w:spacing w:after="0" w:line="73" w:lineRule="exact"/>
        <w:rPr>
          <w:sz w:val="20"/>
          <w:szCs w:val="20"/>
          <w:color w:val="auto"/>
        </w:rPr>
      </w:pPr>
    </w:p>
    <w:p>
      <w:pPr>
        <w:ind w:left="700"/>
        <w:spacing w:after="0"/>
        <w:rPr>
          <w:sz w:val="20"/>
          <w:szCs w:val="20"/>
          <w:color w:val="auto"/>
        </w:rPr>
      </w:pPr>
      <w:r>
        <w:rPr>
          <w:rFonts w:ascii="Arial" w:cs="Arial" w:eastAsia="Arial" w:hAnsi="Arial"/>
          <w:sz w:val="12"/>
          <w:szCs w:val="12"/>
          <w:color w:val="auto"/>
        </w:rPr>
        <w:t>identifying individuals qualified to serve as Board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-75565</wp:posOffset>
            </wp:positionV>
            <wp:extent cx="57150" cy="571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65" w:lineRule="exact"/>
        <w:rPr>
          <w:sz w:val="20"/>
          <w:szCs w:val="20"/>
          <w:color w:val="auto"/>
        </w:rPr>
      </w:pPr>
    </w:p>
    <w:p>
      <w:pPr>
        <w:ind w:left="700"/>
        <w:spacing w:after="0"/>
        <w:rPr>
          <w:sz w:val="20"/>
          <w:szCs w:val="20"/>
          <w:color w:val="auto"/>
        </w:rPr>
      </w:pPr>
      <w:r>
        <w:rPr>
          <w:rFonts w:ascii="Arial" w:cs="Arial" w:eastAsia="Arial" w:hAnsi="Arial"/>
          <w:sz w:val="12"/>
          <w:szCs w:val="12"/>
          <w:color w:val="auto"/>
        </w:rPr>
        <w:t>recommending to the Board the director nominees for the next Annual General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-75565</wp:posOffset>
            </wp:positionV>
            <wp:extent cx="57150" cy="571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2"/>
          <w:szCs w:val="12"/>
          <w:color w:val="auto"/>
        </w:rPr>
        <w:t>reviewing and structuring our compensation policy regarding fees and equity compensation paid and granted to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-75565</wp:posOffset>
            </wp:positionV>
            <wp:extent cx="57150" cy="571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2"/>
          <w:szCs w:val="12"/>
          <w:color w:val="auto"/>
        </w:rPr>
        <w:t>developing and recommending to the Board the Corporate Governance Guidelines for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-75565</wp:posOffset>
            </wp:positionV>
            <wp:extent cx="57150" cy="571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65" w:lineRule="exact"/>
        <w:rPr>
          <w:sz w:val="20"/>
          <w:szCs w:val="20"/>
          <w:color w:val="auto"/>
        </w:rPr>
      </w:pPr>
    </w:p>
    <w:p>
      <w:pPr>
        <w:ind w:left="700"/>
        <w:spacing w:after="0"/>
        <w:rPr>
          <w:sz w:val="20"/>
          <w:szCs w:val="20"/>
          <w:color w:val="auto"/>
        </w:rPr>
      </w:pPr>
      <w:r>
        <w:rPr>
          <w:rFonts w:ascii="Arial" w:cs="Arial" w:eastAsia="Arial" w:hAnsi="Arial"/>
          <w:sz w:val="12"/>
          <w:szCs w:val="12"/>
          <w:color w:val="auto"/>
        </w:rPr>
        <w:t>overseeing the Board in its annual review of the Board’s and management’s performance;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-75565</wp:posOffset>
            </wp:positionV>
            <wp:extent cx="57150" cy="571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2"/>
          <w:szCs w:val="12"/>
          <w:color w:val="auto"/>
        </w:rPr>
        <w:t>recommending to the Board director nominees for each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-75565</wp:posOffset>
            </wp:positionV>
            <wp:extent cx="57150" cy="571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Health, Safety and Environment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26" w:lineRule="exact"/>
        <w:rPr>
          <w:sz w:val="20"/>
          <w:szCs w:val="20"/>
          <w:color w:val="auto"/>
        </w:rPr>
      </w:pPr>
    </w:p>
    <w:p>
      <w:pPr>
        <w:jc w:val="both"/>
        <w:spacing w:after="0" w:line="275" w:lineRule="auto"/>
        <w:rPr>
          <w:sz w:val="20"/>
          <w:szCs w:val="20"/>
          <w:color w:val="auto"/>
        </w:rPr>
      </w:pPr>
      <w:r>
        <w:rPr>
          <w:rFonts w:ascii="Arial" w:cs="Arial" w:eastAsia="Arial" w:hAnsi="Arial"/>
          <w:sz w:val="12"/>
          <w:szCs w:val="12"/>
          <w:color w:val="auto"/>
        </w:rPr>
        <w:t xml:space="preserve">The Board of Directors has adopted a written charter for the Health, Safety and Environment Committee. The charter is available on our website at </w:t>
      </w:r>
      <w:r>
        <w:rPr>
          <w:rFonts w:ascii="Arial" w:cs="Arial" w:eastAsia="Arial" w:hAnsi="Arial"/>
          <w:sz w:val="12"/>
          <w:szCs w:val="12"/>
          <w:i w:val="1"/>
          <w:iCs w:val="1"/>
          <w:color w:val="auto"/>
        </w:rPr>
        <w:t>www.weatherford.com,</w:t>
      </w:r>
      <w:r>
        <w:rPr>
          <w:rFonts w:ascii="Arial" w:cs="Arial" w:eastAsia="Arial" w:hAnsi="Arial"/>
          <w:sz w:val="12"/>
          <w:szCs w:val="12"/>
          <w:color w:val="auto"/>
        </w:rPr>
        <w:t xml:space="preserve"> by clicking on “About Weatherford,” then “Corporate Governance,” then “Committee Charters.” The primary functions of the Health, Safety and Environment Committee are:</w:t>
      </w:r>
    </w:p>
    <w:p>
      <w:pPr>
        <w:spacing w:after="0" w:line="43" w:lineRule="exact"/>
        <w:rPr>
          <w:sz w:val="20"/>
          <w:szCs w:val="20"/>
          <w:color w:val="auto"/>
        </w:rPr>
      </w:pPr>
    </w:p>
    <w:p>
      <w:pPr>
        <w:ind w:left="700"/>
        <w:spacing w:after="0"/>
        <w:rPr>
          <w:sz w:val="20"/>
          <w:szCs w:val="20"/>
          <w:color w:val="auto"/>
        </w:rPr>
      </w:pPr>
      <w:r>
        <w:rPr>
          <w:rFonts w:ascii="Arial" w:cs="Arial" w:eastAsia="Arial" w:hAnsi="Arial"/>
          <w:sz w:val="12"/>
          <w:szCs w:val="12"/>
          <w:color w:val="auto"/>
        </w:rPr>
        <w:t>overseeing the Company’s adherence to policies, practices and procedures that promote best practices relating to health, safety and environmental stewardship;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-75565</wp:posOffset>
            </wp:positionV>
            <wp:extent cx="57150" cy="571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2"/>
          <w:szCs w:val="12"/>
          <w:color w:val="auto"/>
        </w:rPr>
        <w:t>encouraging the Company to promote safety awareness among all employees and monitor safety performance and safety inspections;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-75565</wp:posOffset>
            </wp:positionV>
            <wp:extent cx="57150" cy="571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65" w:lineRule="exact"/>
        <w:rPr>
          <w:sz w:val="20"/>
          <w:szCs w:val="20"/>
          <w:color w:val="auto"/>
        </w:rPr>
      </w:pPr>
    </w:p>
    <w:p>
      <w:pPr>
        <w:ind w:left="700"/>
        <w:spacing w:after="0"/>
        <w:rPr>
          <w:sz w:val="20"/>
          <w:szCs w:val="20"/>
          <w:color w:val="auto"/>
        </w:rPr>
      </w:pPr>
      <w:r>
        <w:rPr>
          <w:rFonts w:ascii="Arial" w:cs="Arial" w:eastAsia="Arial" w:hAnsi="Arial"/>
          <w:sz w:val="12"/>
          <w:szCs w:val="12"/>
          <w:color w:val="auto"/>
        </w:rPr>
        <w:t>providing suggestions and recommendations to executive management of the Company for resolution of health, safety and environmental concerns of strategic significance.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-75565</wp:posOffset>
            </wp:positionV>
            <wp:extent cx="57150" cy="571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30"/>
          <w:szCs w:val="30"/>
          <w:color w:val="BB1131"/>
        </w:rPr>
        <w:t>Board compensation</w:t>
      </w:r>
    </w:p>
    <w:p>
      <w:pPr>
        <w:spacing w:after="0" w:line="196"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We use a combination of cash and share-based incentive compensation to attract and retain qualified candidates to serve on the Board. In setting director compensation, we consider the significant amount of time that directors expend in fulfilling their duties to the Company, as well as the level of knowledge and experience that we require of members of our Board. Our Corporate Governance and Nominating Committee is responsible for reviewing and structuring our compensation policy regarding fees and compensation paid and granted to our directors.</w:t>
      </w:r>
    </w:p>
    <w:p>
      <w:pPr>
        <w:spacing w:after="0" w:line="85" w:lineRule="exact"/>
        <w:rPr>
          <w:sz w:val="20"/>
          <w:szCs w:val="20"/>
          <w:color w:val="auto"/>
        </w:rPr>
      </w:pPr>
    </w:p>
    <w:p>
      <w:pPr>
        <w:jc w:val="both"/>
        <w:spacing w:after="0" w:line="243" w:lineRule="auto"/>
        <w:rPr>
          <w:sz w:val="20"/>
          <w:szCs w:val="20"/>
          <w:color w:val="auto"/>
        </w:rPr>
      </w:pPr>
      <w:r>
        <w:rPr>
          <w:rFonts w:ascii="Arial" w:cs="Arial" w:eastAsia="Arial" w:hAnsi="Arial"/>
          <w:sz w:val="12"/>
          <w:szCs w:val="12"/>
          <w:color w:val="auto"/>
        </w:rPr>
        <w:t>Longnecker &amp; Associates (“L&amp;A”), a compensation consulting firm, has been retained by the Corporate Governance and Nominating Committee as an independent compensation consultant to advise the committee on the appropriate compensation for the Board. L&amp;A annually assists the Corporate Governance and Nominating Committee by providing comparative market data on board compensation practices and programs based on an analysis of publicly available information on our peer group (see “Peer Group” in the Compensation Discussion and Analysis section in this proxy statement) and U.S. industry practices.</w:t>
      </w: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Directors’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color w:val="auto"/>
        </w:rPr>
        <w:t>The directors who are not employees of the Company are paid the following fees:</w:t>
      </w:r>
    </w:p>
    <w:p>
      <w:pPr>
        <w:spacing w:after="0" w:line="60" w:lineRule="exact"/>
        <w:rPr>
          <w:sz w:val="20"/>
          <w:szCs w:val="20"/>
          <w:color w:val="auto"/>
        </w:rPr>
      </w:pPr>
    </w:p>
    <w:p>
      <w:pPr>
        <w:ind w:left="700"/>
        <w:spacing w:after="0"/>
        <w:rPr>
          <w:sz w:val="20"/>
          <w:szCs w:val="20"/>
          <w:color w:val="auto"/>
        </w:rPr>
      </w:pPr>
      <w:r>
        <w:rPr>
          <w:rFonts w:ascii="Arial" w:cs="Arial" w:eastAsia="Arial" w:hAnsi="Arial"/>
          <w:sz w:val="12"/>
          <w:szCs w:val="12"/>
          <w:color w:val="auto"/>
        </w:rPr>
        <w:t>$5,000 for each Board meeting attended;</w:t>
      </w:r>
    </w:p>
    <w:p>
      <w:pPr>
        <w:spacing w:after="0" w:line="97" w:lineRule="exact"/>
        <w:rPr>
          <w:sz w:val="20"/>
          <w:szCs w:val="20"/>
          <w:color w:val="auto"/>
        </w:rPr>
      </w:pPr>
    </w:p>
    <w:p>
      <w:pPr>
        <w:ind w:left="700"/>
        <w:spacing w:after="0"/>
        <w:rPr>
          <w:sz w:val="20"/>
          <w:szCs w:val="20"/>
          <w:color w:val="auto"/>
        </w:rPr>
      </w:pPr>
      <w:r>
        <w:rPr>
          <w:rFonts w:ascii="Arial" w:cs="Arial" w:eastAsia="Arial" w:hAnsi="Arial"/>
          <w:sz w:val="12"/>
          <w:szCs w:val="12"/>
          <w:color w:val="auto"/>
        </w:rPr>
        <w:t>$2,000 for each committee meeting attended;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-75565</wp:posOffset>
            </wp:positionV>
            <wp:extent cx="57150" cy="571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2"/>
          <w:szCs w:val="12"/>
          <w:color w:val="auto"/>
        </w:rPr>
        <w:t>$60,000 as an annual retainer;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-75565</wp:posOffset>
            </wp:positionV>
            <wp:extent cx="57150" cy="571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65" w:lineRule="exact"/>
        <w:rPr>
          <w:sz w:val="20"/>
          <w:szCs w:val="20"/>
          <w:color w:val="auto"/>
        </w:rPr>
      </w:pPr>
    </w:p>
    <w:p>
      <w:pPr>
        <w:ind w:left="700"/>
        <w:spacing w:after="0"/>
        <w:rPr>
          <w:sz w:val="20"/>
          <w:szCs w:val="20"/>
          <w:color w:val="auto"/>
        </w:rPr>
      </w:pPr>
      <w:r>
        <w:rPr>
          <w:rFonts w:ascii="Arial" w:cs="Arial" w:eastAsia="Arial" w:hAnsi="Arial"/>
          <w:sz w:val="12"/>
          <w:szCs w:val="12"/>
          <w:color w:val="auto"/>
        </w:rPr>
        <w:t>$20,000 as an additional annual retainer for the Audit Committee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-75565</wp:posOffset>
            </wp:positionV>
            <wp:extent cx="57150" cy="571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2"/>
          <w:szCs w:val="12"/>
          <w:color w:val="auto"/>
        </w:rPr>
        <w:t>$10,000 as an additional annual retainer for each Audit Committee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-75565</wp:posOffset>
            </wp:positionV>
            <wp:extent cx="57150" cy="571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2"/>
          <w:szCs w:val="12"/>
          <w:color w:val="auto"/>
        </w:rPr>
        <w:t>$15,000 as an additional annual retainer for the Compensation Committee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-75565</wp:posOffset>
            </wp:positionV>
            <wp:extent cx="57150" cy="571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65" w:lineRule="exact"/>
        <w:rPr>
          <w:sz w:val="20"/>
          <w:szCs w:val="20"/>
          <w:color w:val="auto"/>
        </w:rPr>
      </w:pPr>
    </w:p>
    <w:p>
      <w:pPr>
        <w:ind w:left="700" w:right="4720"/>
        <w:spacing w:after="0" w:line="417" w:lineRule="auto"/>
        <w:rPr>
          <w:sz w:val="20"/>
          <w:szCs w:val="20"/>
          <w:color w:val="auto"/>
        </w:rPr>
      </w:pPr>
      <w:r>
        <w:rPr>
          <w:rFonts w:ascii="Arial" w:cs="Arial" w:eastAsia="Arial" w:hAnsi="Arial"/>
          <w:sz w:val="12"/>
          <w:szCs w:val="12"/>
          <w:color w:val="auto"/>
        </w:rPr>
        <w:t>$15,000 as an additional annual retainer for the Corporate Governance and Nominating Committee chairman; $15,000 as an additional annual retainer for the Health, Safety and Environment Committee chairman; and $20,000 as an additional annual retainer for the Presiding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-445135</wp:posOffset>
            </wp:positionV>
            <wp:extent cx="57150" cy="571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7150" cy="57150"/>
                    </a:xfrm>
                    <a:prstGeom prst="rect">
                      <a:avLst/>
                    </a:prstGeom>
                    <a:noFill/>
                  </pic:spPr>
                </pic:pic>
              </a:graphicData>
            </a:graphic>
          </wp:anchor>
        </w:drawing>
        <w:drawing>
          <wp:anchor simplePos="0" relativeHeight="251657728" behindDoc="1" locked="0" layoutInCell="0" allowOverlap="1">
            <wp:simplePos x="0" y="0"/>
            <wp:positionH relativeFrom="column">
              <wp:posOffset>309245</wp:posOffset>
            </wp:positionH>
            <wp:positionV relativeFrom="paragraph">
              <wp:posOffset>-295275</wp:posOffset>
            </wp:positionV>
            <wp:extent cx="57150" cy="571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7150" cy="57150"/>
                    </a:xfrm>
                    <a:prstGeom prst="rect">
                      <a:avLst/>
                    </a:prstGeom>
                    <a:noFill/>
                  </pic:spPr>
                </pic:pic>
              </a:graphicData>
            </a:graphic>
          </wp:anchor>
        </w:drawing>
        <w:drawing>
          <wp:anchor simplePos="0" relativeHeight="251657728" behindDoc="1" locked="0" layoutInCell="0" allowOverlap="1">
            <wp:simplePos x="0" y="0"/>
            <wp:positionH relativeFrom="column">
              <wp:posOffset>309245</wp:posOffset>
            </wp:positionH>
            <wp:positionV relativeFrom="paragraph">
              <wp:posOffset>-146050</wp:posOffset>
            </wp:positionV>
            <wp:extent cx="57150" cy="571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Annual retainers are paid quarterly. We do not compensate Dr. Duroc-Danner for his service on the Board.</w:t>
      </w:r>
    </w:p>
    <w:p>
      <w:pPr>
        <w:spacing w:after="0" w:line="244"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auto"/>
        </w:rPr>
        <w:t>Weatherford International plc - www.WeatherfordAnnualMeeting.com</w:t>
      </w:r>
      <w:r>
        <w:rPr>
          <w:sz w:val="20"/>
          <w:szCs w:val="20"/>
          <w:color w:val="auto"/>
        </w:rPr>
        <w:tab/>
      </w:r>
      <w:r>
        <w:rPr>
          <w:rFonts w:ascii="Arial" w:cs="Arial" w:eastAsia="Arial" w:hAnsi="Arial"/>
          <w:sz w:val="10"/>
          <w:szCs w:val="10"/>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78370" cy="203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9" w:name="page30"/>
    <w:bookmarkEnd w:id="29"/>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41"/>
        <w:spacing w:after="0"/>
        <w:rPr>
          <w:sz w:val="20"/>
          <w:szCs w:val="20"/>
          <w:color w:val="auto"/>
        </w:rPr>
      </w:pPr>
      <w:r>
        <w:rPr>
          <w:rFonts w:ascii="Arial" w:cs="Arial" w:eastAsia="Arial" w:hAnsi="Arial"/>
          <w:sz w:val="12"/>
          <w:szCs w:val="12"/>
          <w:b w:val="1"/>
          <w:bCs w:val="1"/>
          <w:color w:val="FFFFFF"/>
          <w:shd w:val="clear" w:color="auto" w:fill="BB1131"/>
        </w:rPr>
        <w:t>AGENDA ITEM 1</w:t>
      </w:r>
    </w:p>
    <w:p>
      <w:pPr>
        <w:spacing w:after="0" w:line="181"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Restricted Share Unit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38" w:lineRule="exact"/>
        <w:rPr>
          <w:sz w:val="20"/>
          <w:szCs w:val="20"/>
          <w:color w:val="auto"/>
        </w:rPr>
      </w:pPr>
    </w:p>
    <w:p>
      <w:pPr>
        <w:jc w:val="both"/>
        <w:ind w:left="1"/>
        <w:spacing w:after="0" w:line="241" w:lineRule="auto"/>
        <w:rPr>
          <w:sz w:val="20"/>
          <w:szCs w:val="20"/>
          <w:color w:val="auto"/>
        </w:rPr>
      </w:pPr>
      <w:r>
        <w:rPr>
          <w:rFonts w:ascii="Arial" w:cs="Arial" w:eastAsia="Arial" w:hAnsi="Arial"/>
          <w:sz w:val="12"/>
          <w:szCs w:val="12"/>
          <w:color w:val="auto"/>
        </w:rPr>
        <w:t>On September 27, 2013, we granted to each of the non-employee directors then serving on our Board of Directors 12,000 restricted share units pursuant to our 2010 Omnibus Incentive Plan. The awards vest in three equal annual installments, beginning on September 27, 2014, subject to earlier vesting in the event of the death or disability of the director or a change of control of the Company. In addition, on June 20, 2013, we granted to each of Messrs. Gass and Kalman 7,174 restricted share units, in connection with their joining our Board, which vest in two equal installments on June 20, 2015 and 2017, also subject to earlier vesting in the aforesaid circumstances. The Corporate Governance and Nominating Committee believes that providing a majority of the overall Board compensation in the form of our ordinary shares aligns the interests of our directors with those of our shareholders.</w:t>
      </w:r>
    </w:p>
    <w:p>
      <w:pPr>
        <w:spacing w:after="0" w:line="157"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Non-Employee Director Deferred Compensation Plan (Suspended)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38"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The Weatherford International Ltd. Non-Employee Director Deferred Compensation Plan was suspended effective December 31, 2008 because of changes in tax laws. While the plan is suspended, amounts are still payable to participants on the occurrence of triggering events under the plan.</w:t>
      </w:r>
    </w:p>
    <w:p>
      <w:pPr>
        <w:spacing w:after="0" w:line="79"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Prior to the suspension of this plan, each of our non-employee directors (other than Messrs. Gass and Kalman and Dr. Ortiz and Sir Emyr, who are not participants in the plan) elected to defer 7.5% of the fees paid by us and to have his distribution paid on the first day of the calendar quarter on or immediately following the date of his cessation of service with the Board. In any event, all benefits under the plan will be distributed no later than January 1, 2017. The amount of the distribution will be a number of ordinary shares equal to the number of units in the director’s account at the time of the distribution.</w:t>
      </w:r>
    </w:p>
    <w:p>
      <w:pPr>
        <w:spacing w:after="0" w:line="155"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Non-Employee Director Retirement Plan (Discontinued)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38"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After the merger of EVI, Inc. and Weatherford Enterra in June 1998, we discontinued this plan. Mr. Moses is the only current director who was fully vested and eligible to participate in this plan at the time of the plan’s discontinuance. Mr. Moses had over 10 years of credited service on the Board of Weatherford Enterra at the time the plan was discontinued, and his annual benefit amount upon his retirement will be $20,000 payable for 10 years, provided that in any event, benefits under this plan will be completely distributed no later than January 1, 2017.</w:t>
      </w:r>
    </w:p>
    <w:p>
      <w:pPr>
        <w:spacing w:after="0" w:line="155"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Summary of Board Compensation for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38"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The following table sets forth the compensation paid to each of our non-employee directors for the year ended December 31, 2013. Dr. Duroc-Danner was an executive officer and director in 2013, and information about his compensation is listed in the Summary Compensation Table in this proxy statement. Samuel W. Bodman, III, did not stand for re-election and ceased being a director in June 2013. Nicholas F. Brady resigned from the Board of Directors in February 2014.</w:t>
      </w:r>
    </w:p>
    <w:p>
      <w:pPr>
        <w:spacing w:after="0" w:line="170" w:lineRule="exact"/>
        <w:rPr>
          <w:sz w:val="20"/>
          <w:szCs w:val="20"/>
          <w:color w:val="auto"/>
        </w:rPr>
      </w:pPr>
    </w:p>
    <w:tbl>
      <w:tblPr>
        <w:tblLayout w:type="fixed"/>
        <w:tblInd w:w="1"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Arial" w:cs="Arial" w:eastAsia="Arial" w:hAnsi="Arial"/>
                <w:sz w:val="12"/>
                <w:szCs w:val="12"/>
                <w:b w:val="1"/>
                <w:bCs w:val="1"/>
                <w:color w:val="auto"/>
              </w:rPr>
              <w:t>Director compensation</w:t>
            </w:r>
          </w:p>
        </w:tc>
        <w:tc>
          <w:tcPr>
            <w:tcW w:w="4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9"/>
        </w:trPr>
        <w:tc>
          <w:tcPr>
            <w:tcW w:w="4440" w:type="dxa"/>
            <w:vAlign w:val="bottom"/>
          </w:tcPr>
          <w:p>
            <w:pPr>
              <w:spacing w:after="0"/>
              <w:rPr>
                <w:sz w:val="24"/>
                <w:szCs w:val="24"/>
                <w:color w:val="auto"/>
              </w:rPr>
            </w:pPr>
          </w:p>
        </w:tc>
        <w:tc>
          <w:tcPr>
            <w:tcW w:w="4920" w:type="dxa"/>
            <w:vAlign w:val="bottom"/>
            <w:vMerge w:val="restart"/>
          </w:tcPr>
          <w:p>
            <w:pPr>
              <w:jc w:val="right"/>
              <w:ind w:right="178"/>
              <w:spacing w:after="0"/>
              <w:rPr>
                <w:sz w:val="20"/>
                <w:szCs w:val="20"/>
                <w:color w:val="auto"/>
              </w:rPr>
            </w:pPr>
            <w:r>
              <w:rPr>
                <w:rFonts w:ascii="Arial" w:cs="Arial" w:eastAsia="Arial" w:hAnsi="Arial"/>
                <w:sz w:val="12"/>
                <w:szCs w:val="12"/>
                <w:color w:val="auto"/>
              </w:rPr>
              <w:t>Fees Earned or Paid in Cash</w:t>
            </w:r>
          </w:p>
        </w:tc>
        <w:tc>
          <w:tcPr>
            <w:tcW w:w="1320" w:type="dxa"/>
            <w:vAlign w:val="bottom"/>
          </w:tcPr>
          <w:p>
            <w:pPr>
              <w:jc w:val="right"/>
              <w:ind w:right="240"/>
              <w:spacing w:after="0"/>
              <w:rPr>
                <w:sz w:val="20"/>
                <w:szCs w:val="20"/>
                <w:color w:val="auto"/>
              </w:rPr>
            </w:pPr>
            <w:r>
              <w:rPr>
                <w:rFonts w:ascii="Arial" w:cs="Arial" w:eastAsia="Arial" w:hAnsi="Arial"/>
                <w:sz w:val="12"/>
                <w:szCs w:val="12"/>
                <w:color w:val="auto"/>
              </w:rPr>
              <w:t>Share Awards</w:t>
            </w: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31"/>
        </w:trPr>
        <w:tc>
          <w:tcPr>
            <w:tcW w:w="4440" w:type="dxa"/>
            <w:vAlign w:val="bottom"/>
          </w:tcPr>
          <w:p>
            <w:pPr>
              <w:spacing w:after="0"/>
              <w:rPr>
                <w:sz w:val="2"/>
                <w:szCs w:val="2"/>
                <w:color w:val="auto"/>
              </w:rPr>
            </w:pPr>
          </w:p>
        </w:tc>
        <w:tc>
          <w:tcPr>
            <w:tcW w:w="4920" w:type="dxa"/>
            <w:vAlign w:val="bottom"/>
            <w:vMerge w:val="continue"/>
          </w:tcPr>
          <w:p>
            <w:pPr>
              <w:spacing w:after="0"/>
              <w:rPr>
                <w:sz w:val="2"/>
                <w:szCs w:val="2"/>
                <w:color w:val="auto"/>
              </w:rPr>
            </w:pPr>
          </w:p>
        </w:tc>
        <w:tc>
          <w:tcPr>
            <w:tcW w:w="1320" w:type="dxa"/>
            <w:vAlign w:val="bottom"/>
            <w:vMerge w:val="restart"/>
          </w:tcPr>
          <w:p>
            <w:pPr>
              <w:jc w:val="right"/>
              <w:ind w:right="240"/>
              <w:spacing w:after="0" w:line="168"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9"/>
                <w:szCs w:val="9"/>
                <w:color w:val="auto"/>
              </w:rPr>
              <w:t>(1)(2)</w:t>
            </w:r>
          </w:p>
        </w:tc>
        <w:tc>
          <w:tcPr>
            <w:tcW w:w="7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7"/>
        </w:trPr>
        <w:tc>
          <w:tcPr>
            <w:tcW w:w="4440" w:type="dxa"/>
            <w:vAlign w:val="bottom"/>
            <w:tcBorders>
              <w:bottom w:val="single" w:sz="8" w:color="auto"/>
            </w:tcBorders>
          </w:tcPr>
          <w:p>
            <w:pPr>
              <w:spacing w:after="0" w:line="137" w:lineRule="exact"/>
              <w:rPr>
                <w:sz w:val="20"/>
                <w:szCs w:val="20"/>
                <w:color w:val="auto"/>
              </w:rPr>
            </w:pPr>
            <w:r>
              <w:rPr>
                <w:rFonts w:ascii="Arial" w:cs="Arial" w:eastAsia="Arial" w:hAnsi="Arial"/>
                <w:sz w:val="12"/>
                <w:szCs w:val="12"/>
                <w:color w:val="auto"/>
              </w:rPr>
              <w:t>Name</w:t>
            </w:r>
          </w:p>
        </w:tc>
        <w:tc>
          <w:tcPr>
            <w:tcW w:w="4920" w:type="dxa"/>
            <w:vAlign w:val="bottom"/>
            <w:tcBorders>
              <w:bottom w:val="single" w:sz="8" w:color="auto"/>
            </w:tcBorders>
          </w:tcPr>
          <w:p>
            <w:pPr>
              <w:jc w:val="right"/>
              <w:ind w:right="178"/>
              <w:spacing w:after="0" w:line="137" w:lineRule="exact"/>
              <w:rPr>
                <w:sz w:val="20"/>
                <w:szCs w:val="20"/>
                <w:color w:val="auto"/>
              </w:rPr>
            </w:pPr>
            <w:r>
              <w:rPr>
                <w:rFonts w:ascii="Arial" w:cs="Arial" w:eastAsia="Arial" w:hAnsi="Arial"/>
                <w:sz w:val="12"/>
                <w:szCs w:val="12"/>
                <w:color w:val="auto"/>
              </w:rPr>
              <w:t>($)</w:t>
            </w:r>
          </w:p>
        </w:tc>
        <w:tc>
          <w:tcPr>
            <w:tcW w:w="1320" w:type="dxa"/>
            <w:vAlign w:val="bottom"/>
            <w:tcBorders>
              <w:bottom w:val="single" w:sz="8" w:color="auto"/>
            </w:tcBorders>
            <w:vMerge w:val="continue"/>
          </w:tcPr>
          <w:p>
            <w:pPr>
              <w:spacing w:after="0"/>
              <w:rPr>
                <w:sz w:val="11"/>
                <w:szCs w:val="11"/>
                <w:color w:val="auto"/>
              </w:rPr>
            </w:pPr>
          </w:p>
        </w:tc>
        <w:tc>
          <w:tcPr>
            <w:tcW w:w="7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7"/>
        </w:trPr>
        <w:tc>
          <w:tcPr>
            <w:tcW w:w="4440" w:type="dxa"/>
            <w:vAlign w:val="bottom"/>
          </w:tcPr>
          <w:p>
            <w:pPr>
              <w:spacing w:after="0"/>
              <w:rPr>
                <w:sz w:val="20"/>
                <w:szCs w:val="20"/>
                <w:color w:val="auto"/>
              </w:rPr>
            </w:pPr>
            <w:r>
              <w:rPr>
                <w:rFonts w:ascii="Arial" w:cs="Arial" w:eastAsia="Arial" w:hAnsi="Arial"/>
                <w:sz w:val="12"/>
                <w:szCs w:val="12"/>
                <w:color w:val="auto"/>
              </w:rPr>
              <w:t>Samuel W. Bodman, III</w:t>
            </w:r>
          </w:p>
        </w:tc>
        <w:tc>
          <w:tcPr>
            <w:tcW w:w="4920" w:type="dxa"/>
            <w:vAlign w:val="bottom"/>
          </w:tcPr>
          <w:p>
            <w:pPr>
              <w:jc w:val="right"/>
              <w:ind w:right="178"/>
              <w:spacing w:after="0"/>
              <w:rPr>
                <w:sz w:val="20"/>
                <w:szCs w:val="20"/>
                <w:color w:val="auto"/>
              </w:rPr>
            </w:pPr>
            <w:r>
              <w:rPr>
                <w:rFonts w:ascii="Arial" w:cs="Arial" w:eastAsia="Arial" w:hAnsi="Arial"/>
                <w:sz w:val="12"/>
                <w:szCs w:val="12"/>
                <w:color w:val="auto"/>
              </w:rPr>
              <w:t>55,500</w:t>
            </w:r>
          </w:p>
        </w:tc>
        <w:tc>
          <w:tcPr>
            <w:tcW w:w="1320" w:type="dxa"/>
            <w:vAlign w:val="bottom"/>
          </w:tcPr>
          <w:p>
            <w:pPr>
              <w:jc w:val="right"/>
              <w:ind w:right="240"/>
              <w:spacing w:after="0"/>
              <w:rPr>
                <w:sz w:val="20"/>
                <w:szCs w:val="20"/>
                <w:color w:val="auto"/>
              </w:rPr>
            </w:pPr>
            <w:r>
              <w:rPr>
                <w:rFonts w:ascii="Arial" w:cs="Arial" w:eastAsia="Arial" w:hAnsi="Arial"/>
                <w:sz w:val="12"/>
                <w:szCs w:val="12"/>
                <w:color w:val="auto"/>
              </w:rPr>
              <w:t>0</w:t>
            </w:r>
          </w:p>
        </w:tc>
        <w:tc>
          <w:tcPr>
            <w:tcW w:w="740" w:type="dxa"/>
            <w:vAlign w:val="bottom"/>
          </w:tcPr>
          <w:p>
            <w:pPr>
              <w:jc w:val="right"/>
              <w:spacing w:after="0"/>
              <w:rPr>
                <w:sz w:val="20"/>
                <w:szCs w:val="20"/>
                <w:color w:val="auto"/>
              </w:rPr>
            </w:pPr>
            <w:r>
              <w:rPr>
                <w:rFonts w:ascii="Arial" w:cs="Arial" w:eastAsia="Arial" w:hAnsi="Arial"/>
                <w:sz w:val="12"/>
                <w:szCs w:val="12"/>
                <w:color w:val="auto"/>
              </w:rPr>
              <w:t>55,500</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2"/>
                <w:szCs w:val="12"/>
                <w:color w:val="auto"/>
              </w:rPr>
              <w:t>Nicholas F. Brady</w:t>
            </w:r>
          </w:p>
        </w:tc>
        <w:tc>
          <w:tcPr>
            <w:tcW w:w="4920" w:type="dxa"/>
            <w:vAlign w:val="bottom"/>
          </w:tcPr>
          <w:p>
            <w:pPr>
              <w:jc w:val="right"/>
              <w:ind w:right="178"/>
              <w:spacing w:after="0"/>
              <w:rPr>
                <w:sz w:val="20"/>
                <w:szCs w:val="20"/>
                <w:color w:val="auto"/>
              </w:rPr>
            </w:pPr>
            <w:r>
              <w:rPr>
                <w:rFonts w:ascii="Arial" w:cs="Arial" w:eastAsia="Arial" w:hAnsi="Arial"/>
                <w:sz w:val="12"/>
                <w:szCs w:val="12"/>
                <w:color w:val="auto"/>
              </w:rPr>
              <w:t>96,000</w:t>
            </w:r>
          </w:p>
        </w:tc>
        <w:tc>
          <w:tcPr>
            <w:tcW w:w="1320" w:type="dxa"/>
            <w:vAlign w:val="bottom"/>
          </w:tcPr>
          <w:p>
            <w:pPr>
              <w:jc w:val="right"/>
              <w:ind w:right="240"/>
              <w:spacing w:after="0"/>
              <w:rPr>
                <w:sz w:val="20"/>
                <w:szCs w:val="20"/>
                <w:color w:val="auto"/>
              </w:rPr>
            </w:pPr>
            <w:r>
              <w:rPr>
                <w:rFonts w:ascii="Arial" w:cs="Arial" w:eastAsia="Arial" w:hAnsi="Arial"/>
                <w:sz w:val="12"/>
                <w:szCs w:val="12"/>
                <w:color w:val="auto"/>
              </w:rPr>
              <w:t>183,120</w:t>
            </w:r>
          </w:p>
        </w:tc>
        <w:tc>
          <w:tcPr>
            <w:tcW w:w="740" w:type="dxa"/>
            <w:vAlign w:val="bottom"/>
          </w:tcPr>
          <w:p>
            <w:pPr>
              <w:jc w:val="right"/>
              <w:spacing w:after="0"/>
              <w:rPr>
                <w:sz w:val="20"/>
                <w:szCs w:val="20"/>
                <w:color w:val="auto"/>
              </w:rPr>
            </w:pPr>
            <w:r>
              <w:rPr>
                <w:rFonts w:ascii="Arial" w:cs="Arial" w:eastAsia="Arial" w:hAnsi="Arial"/>
                <w:sz w:val="12"/>
                <w:szCs w:val="12"/>
                <w:color w:val="auto"/>
              </w:rPr>
              <w:t>279,120</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2"/>
                <w:szCs w:val="12"/>
                <w:color w:val="auto"/>
              </w:rPr>
              <w:t>David J. Butters</w:t>
            </w:r>
          </w:p>
        </w:tc>
        <w:tc>
          <w:tcPr>
            <w:tcW w:w="4920" w:type="dxa"/>
            <w:vAlign w:val="bottom"/>
          </w:tcPr>
          <w:p>
            <w:pPr>
              <w:jc w:val="right"/>
              <w:ind w:right="178"/>
              <w:spacing w:after="0"/>
              <w:rPr>
                <w:sz w:val="20"/>
                <w:szCs w:val="20"/>
                <w:color w:val="auto"/>
              </w:rPr>
            </w:pPr>
            <w:r>
              <w:rPr>
                <w:rFonts w:ascii="Arial" w:cs="Arial" w:eastAsia="Arial" w:hAnsi="Arial"/>
                <w:sz w:val="12"/>
                <w:szCs w:val="12"/>
                <w:color w:val="auto"/>
              </w:rPr>
              <w:t>140,000</w:t>
            </w:r>
          </w:p>
        </w:tc>
        <w:tc>
          <w:tcPr>
            <w:tcW w:w="1320" w:type="dxa"/>
            <w:vAlign w:val="bottom"/>
          </w:tcPr>
          <w:p>
            <w:pPr>
              <w:jc w:val="right"/>
              <w:ind w:right="240"/>
              <w:spacing w:after="0"/>
              <w:rPr>
                <w:sz w:val="20"/>
                <w:szCs w:val="20"/>
                <w:color w:val="auto"/>
              </w:rPr>
            </w:pPr>
            <w:r>
              <w:rPr>
                <w:rFonts w:ascii="Arial" w:cs="Arial" w:eastAsia="Arial" w:hAnsi="Arial"/>
                <w:sz w:val="12"/>
                <w:szCs w:val="12"/>
                <w:color w:val="auto"/>
              </w:rPr>
              <w:t>183,120</w:t>
            </w:r>
          </w:p>
        </w:tc>
        <w:tc>
          <w:tcPr>
            <w:tcW w:w="740" w:type="dxa"/>
            <w:vAlign w:val="bottom"/>
          </w:tcPr>
          <w:p>
            <w:pPr>
              <w:jc w:val="right"/>
              <w:spacing w:after="0"/>
              <w:rPr>
                <w:sz w:val="20"/>
                <w:szCs w:val="20"/>
                <w:color w:val="auto"/>
              </w:rPr>
            </w:pPr>
            <w:r>
              <w:rPr>
                <w:rFonts w:ascii="Arial" w:cs="Arial" w:eastAsia="Arial" w:hAnsi="Arial"/>
                <w:sz w:val="12"/>
                <w:szCs w:val="12"/>
                <w:color w:val="auto"/>
              </w:rPr>
              <w:t>323,120</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2"/>
                <w:szCs w:val="12"/>
                <w:color w:val="auto"/>
              </w:rPr>
              <w:t>John D. Gass</w:t>
            </w:r>
          </w:p>
        </w:tc>
        <w:tc>
          <w:tcPr>
            <w:tcW w:w="4920" w:type="dxa"/>
            <w:vAlign w:val="bottom"/>
          </w:tcPr>
          <w:p>
            <w:pPr>
              <w:jc w:val="right"/>
              <w:ind w:right="178"/>
              <w:spacing w:after="0"/>
              <w:rPr>
                <w:sz w:val="20"/>
                <w:szCs w:val="20"/>
                <w:color w:val="auto"/>
              </w:rPr>
            </w:pPr>
            <w:r>
              <w:rPr>
                <w:rFonts w:ascii="Arial" w:cs="Arial" w:eastAsia="Arial" w:hAnsi="Arial"/>
                <w:sz w:val="12"/>
                <w:szCs w:val="12"/>
                <w:color w:val="auto"/>
              </w:rPr>
              <w:t>68,000</w:t>
            </w:r>
          </w:p>
        </w:tc>
        <w:tc>
          <w:tcPr>
            <w:tcW w:w="1320" w:type="dxa"/>
            <w:vAlign w:val="bottom"/>
          </w:tcPr>
          <w:p>
            <w:pPr>
              <w:jc w:val="right"/>
              <w:ind w:right="240"/>
              <w:spacing w:after="0"/>
              <w:rPr>
                <w:sz w:val="20"/>
                <w:szCs w:val="20"/>
                <w:color w:val="auto"/>
              </w:rPr>
            </w:pPr>
            <w:r>
              <w:rPr>
                <w:rFonts w:ascii="Arial" w:cs="Arial" w:eastAsia="Arial" w:hAnsi="Arial"/>
                <w:sz w:val="12"/>
                <w:szCs w:val="12"/>
                <w:color w:val="auto"/>
              </w:rPr>
              <w:t>279,969</w:t>
            </w:r>
          </w:p>
        </w:tc>
        <w:tc>
          <w:tcPr>
            <w:tcW w:w="740" w:type="dxa"/>
            <w:vAlign w:val="bottom"/>
          </w:tcPr>
          <w:p>
            <w:pPr>
              <w:jc w:val="right"/>
              <w:spacing w:after="0"/>
              <w:rPr>
                <w:sz w:val="20"/>
                <w:szCs w:val="20"/>
                <w:color w:val="auto"/>
              </w:rPr>
            </w:pPr>
            <w:r>
              <w:rPr>
                <w:rFonts w:ascii="Arial" w:cs="Arial" w:eastAsia="Arial" w:hAnsi="Arial"/>
                <w:sz w:val="12"/>
                <w:szCs w:val="12"/>
                <w:color w:val="auto"/>
              </w:rPr>
              <w:t>347,969</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2"/>
                <w:szCs w:val="12"/>
                <w:color w:val="auto"/>
              </w:rPr>
              <w:t>Francis S. Kalman</w:t>
            </w:r>
          </w:p>
        </w:tc>
        <w:tc>
          <w:tcPr>
            <w:tcW w:w="4920" w:type="dxa"/>
            <w:vAlign w:val="bottom"/>
          </w:tcPr>
          <w:p>
            <w:pPr>
              <w:jc w:val="right"/>
              <w:ind w:right="178"/>
              <w:spacing w:after="0"/>
              <w:rPr>
                <w:sz w:val="20"/>
                <w:szCs w:val="20"/>
                <w:color w:val="auto"/>
              </w:rPr>
            </w:pPr>
            <w:r>
              <w:rPr>
                <w:rFonts w:ascii="Arial" w:cs="Arial" w:eastAsia="Arial" w:hAnsi="Arial"/>
                <w:sz w:val="12"/>
                <w:szCs w:val="12"/>
                <w:color w:val="auto"/>
              </w:rPr>
              <w:t>77,500</w:t>
            </w:r>
          </w:p>
        </w:tc>
        <w:tc>
          <w:tcPr>
            <w:tcW w:w="1320" w:type="dxa"/>
            <w:vAlign w:val="bottom"/>
          </w:tcPr>
          <w:p>
            <w:pPr>
              <w:jc w:val="right"/>
              <w:ind w:right="240"/>
              <w:spacing w:after="0"/>
              <w:rPr>
                <w:sz w:val="20"/>
                <w:szCs w:val="20"/>
                <w:color w:val="auto"/>
              </w:rPr>
            </w:pPr>
            <w:r>
              <w:rPr>
                <w:rFonts w:ascii="Arial" w:cs="Arial" w:eastAsia="Arial" w:hAnsi="Arial"/>
                <w:sz w:val="12"/>
                <w:szCs w:val="12"/>
                <w:color w:val="auto"/>
              </w:rPr>
              <w:t>279,969</w:t>
            </w:r>
          </w:p>
        </w:tc>
        <w:tc>
          <w:tcPr>
            <w:tcW w:w="740" w:type="dxa"/>
            <w:vAlign w:val="bottom"/>
          </w:tcPr>
          <w:p>
            <w:pPr>
              <w:jc w:val="right"/>
              <w:spacing w:after="0"/>
              <w:rPr>
                <w:sz w:val="20"/>
                <w:szCs w:val="20"/>
                <w:color w:val="auto"/>
              </w:rPr>
            </w:pPr>
            <w:r>
              <w:rPr>
                <w:rFonts w:ascii="Arial" w:cs="Arial" w:eastAsia="Arial" w:hAnsi="Arial"/>
                <w:sz w:val="12"/>
                <w:szCs w:val="12"/>
                <w:color w:val="auto"/>
              </w:rPr>
              <w:t>357,469</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2"/>
                <w:szCs w:val="12"/>
                <w:color w:val="auto"/>
              </w:rPr>
              <w:t>William E. Macaulay</w:t>
            </w:r>
          </w:p>
        </w:tc>
        <w:tc>
          <w:tcPr>
            <w:tcW w:w="4920" w:type="dxa"/>
            <w:vAlign w:val="bottom"/>
          </w:tcPr>
          <w:p>
            <w:pPr>
              <w:jc w:val="right"/>
              <w:ind w:right="178"/>
              <w:spacing w:after="0"/>
              <w:rPr>
                <w:sz w:val="20"/>
                <w:szCs w:val="20"/>
                <w:color w:val="auto"/>
              </w:rPr>
            </w:pPr>
            <w:r>
              <w:rPr>
                <w:rFonts w:ascii="Arial" w:cs="Arial" w:eastAsia="Arial" w:hAnsi="Arial"/>
                <w:sz w:val="12"/>
                <w:szCs w:val="12"/>
                <w:color w:val="auto"/>
              </w:rPr>
              <w:t>118,750</w:t>
            </w:r>
          </w:p>
        </w:tc>
        <w:tc>
          <w:tcPr>
            <w:tcW w:w="1320" w:type="dxa"/>
            <w:vAlign w:val="bottom"/>
          </w:tcPr>
          <w:p>
            <w:pPr>
              <w:jc w:val="right"/>
              <w:ind w:right="240"/>
              <w:spacing w:after="0"/>
              <w:rPr>
                <w:sz w:val="20"/>
                <w:szCs w:val="20"/>
                <w:color w:val="auto"/>
              </w:rPr>
            </w:pPr>
            <w:r>
              <w:rPr>
                <w:rFonts w:ascii="Arial" w:cs="Arial" w:eastAsia="Arial" w:hAnsi="Arial"/>
                <w:sz w:val="12"/>
                <w:szCs w:val="12"/>
                <w:color w:val="auto"/>
              </w:rPr>
              <w:t>183,120</w:t>
            </w:r>
          </w:p>
        </w:tc>
        <w:tc>
          <w:tcPr>
            <w:tcW w:w="740" w:type="dxa"/>
            <w:vAlign w:val="bottom"/>
          </w:tcPr>
          <w:p>
            <w:pPr>
              <w:jc w:val="right"/>
              <w:spacing w:after="0"/>
              <w:rPr>
                <w:sz w:val="20"/>
                <w:szCs w:val="20"/>
                <w:color w:val="auto"/>
              </w:rPr>
            </w:pPr>
            <w:r>
              <w:rPr>
                <w:rFonts w:ascii="Arial" w:cs="Arial" w:eastAsia="Arial" w:hAnsi="Arial"/>
                <w:sz w:val="12"/>
                <w:szCs w:val="12"/>
                <w:color w:val="auto"/>
              </w:rPr>
              <w:t>301,870</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2"/>
                <w:szCs w:val="12"/>
                <w:color w:val="auto"/>
              </w:rPr>
              <w:t>Robert K. Moses, Jr.</w:t>
            </w:r>
          </w:p>
        </w:tc>
        <w:tc>
          <w:tcPr>
            <w:tcW w:w="4920" w:type="dxa"/>
            <w:vAlign w:val="bottom"/>
          </w:tcPr>
          <w:p>
            <w:pPr>
              <w:jc w:val="right"/>
              <w:ind w:right="178"/>
              <w:spacing w:after="0"/>
              <w:rPr>
                <w:sz w:val="20"/>
                <w:szCs w:val="20"/>
                <w:color w:val="auto"/>
              </w:rPr>
            </w:pPr>
            <w:r>
              <w:rPr>
                <w:rFonts w:ascii="Arial" w:cs="Arial" w:eastAsia="Arial" w:hAnsi="Arial"/>
                <w:sz w:val="12"/>
                <w:szCs w:val="12"/>
                <w:color w:val="auto"/>
              </w:rPr>
              <w:t>136,000</w:t>
            </w:r>
          </w:p>
        </w:tc>
        <w:tc>
          <w:tcPr>
            <w:tcW w:w="1320" w:type="dxa"/>
            <w:vAlign w:val="bottom"/>
          </w:tcPr>
          <w:p>
            <w:pPr>
              <w:jc w:val="right"/>
              <w:ind w:right="240"/>
              <w:spacing w:after="0"/>
              <w:rPr>
                <w:sz w:val="20"/>
                <w:szCs w:val="20"/>
                <w:color w:val="auto"/>
              </w:rPr>
            </w:pPr>
            <w:r>
              <w:rPr>
                <w:rFonts w:ascii="Arial" w:cs="Arial" w:eastAsia="Arial" w:hAnsi="Arial"/>
                <w:sz w:val="12"/>
                <w:szCs w:val="12"/>
                <w:color w:val="auto"/>
              </w:rPr>
              <w:t>183,120</w:t>
            </w:r>
          </w:p>
        </w:tc>
        <w:tc>
          <w:tcPr>
            <w:tcW w:w="740" w:type="dxa"/>
            <w:vAlign w:val="bottom"/>
          </w:tcPr>
          <w:p>
            <w:pPr>
              <w:jc w:val="right"/>
              <w:spacing w:after="0"/>
              <w:rPr>
                <w:sz w:val="20"/>
                <w:szCs w:val="20"/>
                <w:color w:val="auto"/>
              </w:rPr>
            </w:pPr>
            <w:r>
              <w:rPr>
                <w:rFonts w:ascii="Arial" w:cs="Arial" w:eastAsia="Arial" w:hAnsi="Arial"/>
                <w:sz w:val="12"/>
                <w:szCs w:val="12"/>
                <w:color w:val="auto"/>
              </w:rPr>
              <w:t>319,120</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2"/>
                <w:szCs w:val="12"/>
                <w:color w:val="auto"/>
              </w:rPr>
              <w:t>Guillermo Ortiz</w:t>
            </w:r>
          </w:p>
        </w:tc>
        <w:tc>
          <w:tcPr>
            <w:tcW w:w="4920" w:type="dxa"/>
            <w:vAlign w:val="bottom"/>
          </w:tcPr>
          <w:p>
            <w:pPr>
              <w:jc w:val="right"/>
              <w:ind w:right="178"/>
              <w:spacing w:after="0"/>
              <w:rPr>
                <w:sz w:val="20"/>
                <w:szCs w:val="20"/>
                <w:color w:val="auto"/>
              </w:rPr>
            </w:pPr>
            <w:r>
              <w:rPr>
                <w:rFonts w:ascii="Arial" w:cs="Arial" w:eastAsia="Arial" w:hAnsi="Arial"/>
                <w:sz w:val="12"/>
                <w:szCs w:val="12"/>
                <w:color w:val="auto"/>
              </w:rPr>
              <w:t>189,906</w:t>
            </w:r>
          </w:p>
        </w:tc>
        <w:tc>
          <w:tcPr>
            <w:tcW w:w="1320" w:type="dxa"/>
            <w:vAlign w:val="bottom"/>
          </w:tcPr>
          <w:p>
            <w:pPr>
              <w:jc w:val="right"/>
              <w:ind w:right="240"/>
              <w:spacing w:after="0"/>
              <w:rPr>
                <w:sz w:val="20"/>
                <w:szCs w:val="20"/>
                <w:color w:val="auto"/>
              </w:rPr>
            </w:pPr>
            <w:r>
              <w:rPr>
                <w:rFonts w:ascii="Arial" w:cs="Arial" w:eastAsia="Arial" w:hAnsi="Arial"/>
                <w:sz w:val="12"/>
                <w:szCs w:val="12"/>
                <w:color w:val="auto"/>
              </w:rPr>
              <w:t>183,120</w:t>
            </w:r>
          </w:p>
        </w:tc>
        <w:tc>
          <w:tcPr>
            <w:tcW w:w="740" w:type="dxa"/>
            <w:vAlign w:val="bottom"/>
          </w:tcPr>
          <w:p>
            <w:pPr>
              <w:jc w:val="right"/>
              <w:spacing w:after="0"/>
              <w:rPr>
                <w:sz w:val="20"/>
                <w:szCs w:val="20"/>
                <w:color w:val="auto"/>
              </w:rPr>
            </w:pPr>
            <w:r>
              <w:rPr>
                <w:rFonts w:ascii="Arial" w:cs="Arial" w:eastAsia="Arial" w:hAnsi="Arial"/>
                <w:sz w:val="12"/>
                <w:szCs w:val="12"/>
                <w:color w:val="auto"/>
              </w:rPr>
              <w:t>373,026</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2"/>
                <w:szCs w:val="12"/>
                <w:color w:val="auto"/>
              </w:rPr>
              <w:t>Emyr Jones Parry</w:t>
            </w:r>
          </w:p>
        </w:tc>
        <w:tc>
          <w:tcPr>
            <w:tcW w:w="4920" w:type="dxa"/>
            <w:vAlign w:val="bottom"/>
          </w:tcPr>
          <w:p>
            <w:pPr>
              <w:jc w:val="right"/>
              <w:ind w:right="178"/>
              <w:spacing w:after="0"/>
              <w:rPr>
                <w:sz w:val="20"/>
                <w:szCs w:val="20"/>
                <w:color w:val="auto"/>
              </w:rPr>
            </w:pPr>
            <w:r>
              <w:rPr>
                <w:rFonts w:ascii="Arial" w:cs="Arial" w:eastAsia="Arial" w:hAnsi="Arial"/>
                <w:sz w:val="12"/>
                <w:szCs w:val="12"/>
                <w:color w:val="auto"/>
              </w:rPr>
              <w:t>105,750</w:t>
            </w:r>
          </w:p>
        </w:tc>
        <w:tc>
          <w:tcPr>
            <w:tcW w:w="1320" w:type="dxa"/>
            <w:vAlign w:val="bottom"/>
          </w:tcPr>
          <w:p>
            <w:pPr>
              <w:jc w:val="right"/>
              <w:ind w:right="240"/>
              <w:spacing w:after="0"/>
              <w:rPr>
                <w:sz w:val="20"/>
                <w:szCs w:val="20"/>
                <w:color w:val="auto"/>
              </w:rPr>
            </w:pPr>
            <w:r>
              <w:rPr>
                <w:rFonts w:ascii="Arial" w:cs="Arial" w:eastAsia="Arial" w:hAnsi="Arial"/>
                <w:sz w:val="12"/>
                <w:szCs w:val="12"/>
                <w:color w:val="auto"/>
              </w:rPr>
              <w:t>183,120</w:t>
            </w:r>
          </w:p>
        </w:tc>
        <w:tc>
          <w:tcPr>
            <w:tcW w:w="740" w:type="dxa"/>
            <w:vAlign w:val="bottom"/>
          </w:tcPr>
          <w:p>
            <w:pPr>
              <w:jc w:val="right"/>
              <w:spacing w:after="0"/>
              <w:rPr>
                <w:sz w:val="20"/>
                <w:szCs w:val="20"/>
                <w:color w:val="auto"/>
              </w:rPr>
            </w:pPr>
            <w:r>
              <w:rPr>
                <w:rFonts w:ascii="Arial" w:cs="Arial" w:eastAsia="Arial" w:hAnsi="Arial"/>
                <w:sz w:val="12"/>
                <w:szCs w:val="12"/>
                <w:color w:val="auto"/>
              </w:rPr>
              <w:t>288,870</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2"/>
                <w:szCs w:val="12"/>
                <w:color w:val="auto"/>
              </w:rPr>
              <w:t>Robert A. Rayne</w:t>
            </w:r>
          </w:p>
        </w:tc>
        <w:tc>
          <w:tcPr>
            <w:tcW w:w="4920" w:type="dxa"/>
            <w:vAlign w:val="bottom"/>
          </w:tcPr>
          <w:p>
            <w:pPr>
              <w:jc w:val="right"/>
              <w:ind w:right="178"/>
              <w:spacing w:after="0"/>
              <w:rPr>
                <w:sz w:val="20"/>
                <w:szCs w:val="20"/>
                <w:color w:val="auto"/>
              </w:rPr>
            </w:pPr>
            <w:r>
              <w:rPr>
                <w:rFonts w:ascii="Arial" w:cs="Arial" w:eastAsia="Arial" w:hAnsi="Arial"/>
                <w:sz w:val="12"/>
                <w:szCs w:val="12"/>
                <w:color w:val="auto"/>
              </w:rPr>
              <w:t>164,000</w:t>
            </w:r>
          </w:p>
        </w:tc>
        <w:tc>
          <w:tcPr>
            <w:tcW w:w="1320" w:type="dxa"/>
            <w:vAlign w:val="bottom"/>
          </w:tcPr>
          <w:p>
            <w:pPr>
              <w:jc w:val="right"/>
              <w:ind w:right="240"/>
              <w:spacing w:after="0"/>
              <w:rPr>
                <w:sz w:val="20"/>
                <w:szCs w:val="20"/>
                <w:color w:val="auto"/>
              </w:rPr>
            </w:pPr>
            <w:r>
              <w:rPr>
                <w:rFonts w:ascii="Arial" w:cs="Arial" w:eastAsia="Arial" w:hAnsi="Arial"/>
                <w:sz w:val="12"/>
                <w:szCs w:val="12"/>
                <w:color w:val="auto"/>
              </w:rPr>
              <w:t>183,120</w:t>
            </w:r>
          </w:p>
        </w:tc>
        <w:tc>
          <w:tcPr>
            <w:tcW w:w="740" w:type="dxa"/>
            <w:vAlign w:val="bottom"/>
          </w:tcPr>
          <w:p>
            <w:pPr>
              <w:jc w:val="right"/>
              <w:spacing w:after="0"/>
              <w:rPr>
                <w:sz w:val="20"/>
                <w:szCs w:val="20"/>
                <w:color w:val="auto"/>
              </w:rPr>
            </w:pPr>
            <w:r>
              <w:rPr>
                <w:rFonts w:ascii="Arial" w:cs="Arial" w:eastAsia="Arial" w:hAnsi="Arial"/>
                <w:sz w:val="12"/>
                <w:szCs w:val="12"/>
                <w:color w:val="auto"/>
              </w:rPr>
              <w:t>347,120</w:t>
            </w:r>
          </w:p>
        </w:tc>
        <w:tc>
          <w:tcPr>
            <w:tcW w:w="0" w:type="dxa"/>
            <w:vAlign w:val="bottom"/>
          </w:tcPr>
          <w:p>
            <w:pPr>
              <w:spacing w:after="0"/>
              <w:rPr>
                <w:sz w:val="1"/>
                <w:szCs w:val="1"/>
                <w:color w:val="auto"/>
              </w:rPr>
            </w:pPr>
          </w:p>
        </w:tc>
      </w:tr>
      <w:tr>
        <w:trPr>
          <w:trHeight w:val="43"/>
        </w:trPr>
        <w:tc>
          <w:tcPr>
            <w:tcW w:w="4440" w:type="dxa"/>
            <w:vAlign w:val="bottom"/>
            <w:tcBorders>
              <w:bottom w:val="single" w:sz="8" w:color="auto"/>
            </w:tcBorders>
          </w:tcPr>
          <w:p>
            <w:pPr>
              <w:spacing w:after="0"/>
              <w:rPr>
                <w:sz w:val="3"/>
                <w:szCs w:val="3"/>
                <w:color w:val="auto"/>
              </w:rPr>
            </w:pPr>
          </w:p>
        </w:tc>
        <w:tc>
          <w:tcPr>
            <w:tcW w:w="49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181" w:hanging="181"/>
        <w:spacing w:after="0" w:line="254" w:lineRule="auto"/>
        <w:tabs>
          <w:tab w:leader="none" w:pos="181" w:val="left"/>
        </w:tabs>
        <w:numPr>
          <w:ilvl w:val="0"/>
          <w:numId w:val="22"/>
        </w:numPr>
        <w:rPr>
          <w:rFonts w:ascii="Arial" w:cs="Arial" w:eastAsia="Arial" w:hAnsi="Arial"/>
          <w:sz w:val="12"/>
          <w:szCs w:val="12"/>
          <w:color w:val="auto"/>
        </w:rPr>
      </w:pPr>
      <w:r>
        <w:rPr>
          <w:rFonts w:ascii="Arial" w:cs="Arial" w:eastAsia="Arial" w:hAnsi="Arial"/>
          <w:sz w:val="12"/>
          <w:szCs w:val="12"/>
          <w:color w:val="auto"/>
        </w:rPr>
        <w:t>Each non-employee director was awarded 12,000 restricted share units on September 27, 2013 at a grant date fair value of $183,120 with the exception of Samuel W. Bodman, III who retired in June 2013. Additionally, Messrs. Gass and Kalman were each awarded 7,174 restricted share units on June 20, 2013 at a grant date fair value of $96,849, in connection with their joining our Board.</w:t>
      </w:r>
    </w:p>
    <w:p>
      <w:pPr>
        <w:spacing w:after="0" w:line="178" w:lineRule="exact"/>
        <w:rPr>
          <w:sz w:val="20"/>
          <w:szCs w:val="20"/>
          <w:color w:val="auto"/>
        </w:rPr>
      </w:pPr>
    </w:p>
    <w:p>
      <w:pPr>
        <w:ind w:left="301" w:hanging="301"/>
        <w:spacing w:after="0"/>
        <w:tabs>
          <w:tab w:leader="none" w:pos="301" w:val="left"/>
        </w:tabs>
        <w:numPr>
          <w:ilvl w:val="0"/>
          <w:numId w:val="23"/>
        </w:numPr>
        <w:rPr>
          <w:rFonts w:ascii="Arial" w:cs="Arial" w:eastAsia="Arial" w:hAnsi="Arial"/>
          <w:sz w:val="12"/>
          <w:szCs w:val="12"/>
          <w:b w:val="1"/>
          <w:bCs w:val="1"/>
          <w:color w:val="auto"/>
        </w:rPr>
      </w:pPr>
      <w:r>
        <w:rPr>
          <w:rFonts w:ascii="Arial" w:cs="Arial" w:eastAsia="Arial" w:hAnsi="Arial"/>
          <w:sz w:val="12"/>
          <w:szCs w:val="12"/>
          <w:color w:val="auto"/>
        </w:rPr>
        <w:t>Weatherford International plc - 2014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8370" cy="203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0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Borders>
              <w:bottom w:val="single" w:sz="8" w:color="BB1131"/>
            </w:tcBorders>
            <w:shd w:val="clear" w:color="auto" w:fill="BB1131"/>
          </w:tcPr>
          <w:p>
            <w:pPr>
              <w:jc w:val="right"/>
              <w:spacing w:after="0"/>
              <w:rPr>
                <w:sz w:val="20"/>
                <w:szCs w:val="20"/>
                <w:color w:val="auto"/>
              </w:rPr>
            </w:pPr>
            <w:r>
              <w:rPr>
                <w:rFonts w:ascii="Arial" w:cs="Arial" w:eastAsia="Arial" w:hAnsi="Arial"/>
                <w:sz w:val="12"/>
                <w:szCs w:val="12"/>
                <w:b w:val="1"/>
                <w:bCs w:val="1"/>
                <w:color w:val="FFFFFF"/>
                <w:shd w:val="clear" w:color="auto" w:fill="BB1131"/>
              </w:rPr>
              <w:t>AGENDA ITEM 1</w:t>
            </w:r>
          </w:p>
        </w:tc>
      </w:tr>
      <w:tr>
        <w:trPr>
          <w:trHeight w:val="296"/>
        </w:trPr>
        <w:tc>
          <w:tcPr>
            <w:tcW w:w="9680" w:type="dxa"/>
            <w:vAlign w:val="bottom"/>
            <w:gridSpan w:val="2"/>
          </w:tcPr>
          <w:p>
            <w:pPr>
              <w:spacing w:after="0"/>
              <w:rPr>
                <w:sz w:val="20"/>
                <w:szCs w:val="20"/>
                <w:color w:val="auto"/>
              </w:rPr>
            </w:pPr>
            <w:r>
              <w:rPr>
                <w:rFonts w:ascii="Arial" w:cs="Arial" w:eastAsia="Arial" w:hAnsi="Arial"/>
                <w:sz w:val="12"/>
                <w:szCs w:val="12"/>
                <w:color w:val="auto"/>
              </w:rPr>
              <w:t>(2) As of December 31, 2013, aggregate outstanding restricted share unit and option awards for each non-employee director were as follows:</w:t>
            </w: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22"/>
        </w:trPr>
        <w:tc>
          <w:tcPr>
            <w:tcW w:w="4300" w:type="dxa"/>
            <w:vAlign w:val="bottom"/>
          </w:tcPr>
          <w:p>
            <w:pPr>
              <w:spacing w:after="0"/>
              <w:rPr>
                <w:sz w:val="24"/>
                <w:szCs w:val="24"/>
                <w:color w:val="auto"/>
              </w:rPr>
            </w:pPr>
          </w:p>
        </w:tc>
        <w:tc>
          <w:tcPr>
            <w:tcW w:w="5380" w:type="dxa"/>
            <w:vAlign w:val="bottom"/>
          </w:tcPr>
          <w:p>
            <w:pPr>
              <w:jc w:val="right"/>
              <w:ind w:right="58"/>
              <w:spacing w:after="0"/>
              <w:rPr>
                <w:sz w:val="20"/>
                <w:szCs w:val="20"/>
                <w:color w:val="auto"/>
              </w:rPr>
            </w:pPr>
            <w:r>
              <w:rPr>
                <w:rFonts w:ascii="Arial" w:cs="Arial" w:eastAsia="Arial" w:hAnsi="Arial"/>
                <w:sz w:val="12"/>
                <w:szCs w:val="12"/>
                <w:color w:val="auto"/>
              </w:rPr>
              <w:t>Aggregate Number of Restricted Shares/</w:t>
            </w:r>
          </w:p>
        </w:tc>
        <w:tc>
          <w:tcPr>
            <w:tcW w:w="1740" w:type="dxa"/>
            <w:vAlign w:val="bottom"/>
            <w:gridSpan w:val="2"/>
          </w:tcPr>
          <w:p>
            <w:pPr>
              <w:jc w:val="right"/>
              <w:spacing w:after="0"/>
              <w:rPr>
                <w:sz w:val="20"/>
                <w:szCs w:val="20"/>
                <w:color w:val="auto"/>
              </w:rPr>
            </w:pPr>
            <w:r>
              <w:rPr>
                <w:rFonts w:ascii="Arial" w:cs="Arial" w:eastAsia="Arial" w:hAnsi="Arial"/>
                <w:sz w:val="12"/>
                <w:szCs w:val="12"/>
                <w:color w:val="auto"/>
              </w:rPr>
              <w:t>Aggregate Number of Shares</w:t>
            </w:r>
          </w:p>
        </w:tc>
      </w:tr>
      <w:tr>
        <w:trPr>
          <w:trHeight w:val="137"/>
        </w:trPr>
        <w:tc>
          <w:tcPr>
            <w:tcW w:w="4300" w:type="dxa"/>
            <w:vAlign w:val="bottom"/>
            <w:tcBorders>
              <w:bottom w:val="single" w:sz="8" w:color="auto"/>
            </w:tcBorders>
          </w:tcPr>
          <w:p>
            <w:pPr>
              <w:spacing w:after="0" w:line="137" w:lineRule="exact"/>
              <w:rPr>
                <w:sz w:val="20"/>
                <w:szCs w:val="20"/>
                <w:color w:val="auto"/>
              </w:rPr>
            </w:pPr>
            <w:r>
              <w:rPr>
                <w:rFonts w:ascii="Arial" w:cs="Arial" w:eastAsia="Arial" w:hAnsi="Arial"/>
                <w:sz w:val="12"/>
                <w:szCs w:val="12"/>
                <w:color w:val="auto"/>
              </w:rPr>
              <w:t>Name</w:t>
            </w:r>
          </w:p>
        </w:tc>
        <w:tc>
          <w:tcPr>
            <w:tcW w:w="5380" w:type="dxa"/>
            <w:vAlign w:val="bottom"/>
            <w:tcBorders>
              <w:bottom w:val="single" w:sz="8" w:color="auto"/>
            </w:tcBorders>
          </w:tcPr>
          <w:p>
            <w:pPr>
              <w:jc w:val="right"/>
              <w:ind w:right="58"/>
              <w:spacing w:after="0" w:line="137" w:lineRule="exact"/>
              <w:rPr>
                <w:sz w:val="20"/>
                <w:szCs w:val="20"/>
                <w:color w:val="auto"/>
              </w:rPr>
            </w:pPr>
            <w:r>
              <w:rPr>
                <w:rFonts w:ascii="Arial" w:cs="Arial" w:eastAsia="Arial" w:hAnsi="Arial"/>
                <w:sz w:val="12"/>
                <w:szCs w:val="12"/>
                <w:color w:val="auto"/>
              </w:rPr>
              <w:t>Restricted Share Units</w:t>
            </w:r>
          </w:p>
        </w:tc>
        <w:tc>
          <w:tcPr>
            <w:tcW w:w="6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2"/>
                <w:szCs w:val="12"/>
                <w:color w:val="auto"/>
              </w:rPr>
              <w:t>Underlying Options</w:t>
            </w:r>
          </w:p>
        </w:tc>
      </w:tr>
      <w:tr>
        <w:trPr>
          <w:trHeight w:val="177"/>
        </w:trPr>
        <w:tc>
          <w:tcPr>
            <w:tcW w:w="4300" w:type="dxa"/>
            <w:vAlign w:val="bottom"/>
          </w:tcPr>
          <w:p>
            <w:pPr>
              <w:spacing w:after="0"/>
              <w:rPr>
                <w:sz w:val="20"/>
                <w:szCs w:val="20"/>
                <w:color w:val="auto"/>
              </w:rPr>
            </w:pPr>
            <w:r>
              <w:rPr>
                <w:rFonts w:ascii="Arial" w:cs="Arial" w:eastAsia="Arial" w:hAnsi="Arial"/>
                <w:sz w:val="12"/>
                <w:szCs w:val="12"/>
                <w:color w:val="auto"/>
              </w:rPr>
              <w:t>Samuel W. Bodman, III</w:t>
            </w:r>
          </w:p>
        </w:tc>
        <w:tc>
          <w:tcPr>
            <w:tcW w:w="5380" w:type="dxa"/>
            <w:vAlign w:val="bottom"/>
          </w:tcPr>
          <w:p>
            <w:pPr>
              <w:jc w:val="right"/>
              <w:ind w:right="58"/>
              <w:spacing w:after="0"/>
              <w:rPr>
                <w:sz w:val="20"/>
                <w:szCs w:val="20"/>
                <w:color w:val="auto"/>
              </w:rPr>
            </w:pPr>
            <w:r>
              <w:rPr>
                <w:rFonts w:ascii="Arial" w:cs="Arial" w:eastAsia="Arial" w:hAnsi="Arial"/>
                <w:sz w:val="12"/>
                <w:szCs w:val="12"/>
                <w:color w:val="auto"/>
              </w:rPr>
              <w:t>0</w:t>
            </w:r>
          </w:p>
        </w:tc>
        <w:tc>
          <w:tcPr>
            <w:tcW w:w="1740" w:type="dxa"/>
            <w:vAlign w:val="bottom"/>
            <w:gridSpan w:val="2"/>
          </w:tcPr>
          <w:p>
            <w:pPr>
              <w:jc w:val="right"/>
              <w:spacing w:after="0"/>
              <w:rPr>
                <w:sz w:val="20"/>
                <w:szCs w:val="20"/>
                <w:color w:val="auto"/>
              </w:rPr>
            </w:pPr>
            <w:r>
              <w:rPr>
                <w:rFonts w:ascii="Arial" w:cs="Arial" w:eastAsia="Arial" w:hAnsi="Arial"/>
                <w:sz w:val="12"/>
                <w:szCs w:val="12"/>
                <w:color w:val="auto"/>
              </w:rPr>
              <w:t>0</w:t>
            </w:r>
          </w:p>
        </w:tc>
      </w:tr>
      <w:tr>
        <w:trPr>
          <w:trHeight w:val="223"/>
        </w:trPr>
        <w:tc>
          <w:tcPr>
            <w:tcW w:w="4300" w:type="dxa"/>
            <w:vAlign w:val="bottom"/>
          </w:tcPr>
          <w:p>
            <w:pPr>
              <w:spacing w:after="0"/>
              <w:rPr>
                <w:sz w:val="20"/>
                <w:szCs w:val="20"/>
                <w:color w:val="auto"/>
              </w:rPr>
            </w:pPr>
            <w:r>
              <w:rPr>
                <w:rFonts w:ascii="Arial" w:cs="Arial" w:eastAsia="Arial" w:hAnsi="Arial"/>
                <w:sz w:val="12"/>
                <w:szCs w:val="12"/>
                <w:color w:val="auto"/>
              </w:rPr>
              <w:t>Nicholas F. Brady</w:t>
            </w:r>
          </w:p>
        </w:tc>
        <w:tc>
          <w:tcPr>
            <w:tcW w:w="5380" w:type="dxa"/>
            <w:vAlign w:val="bottom"/>
          </w:tcPr>
          <w:p>
            <w:pPr>
              <w:jc w:val="right"/>
              <w:ind w:right="58"/>
              <w:spacing w:after="0"/>
              <w:rPr>
                <w:sz w:val="20"/>
                <w:szCs w:val="20"/>
                <w:color w:val="auto"/>
              </w:rPr>
            </w:pPr>
            <w:r>
              <w:rPr>
                <w:rFonts w:ascii="Arial" w:cs="Arial" w:eastAsia="Arial" w:hAnsi="Arial"/>
                <w:sz w:val="12"/>
                <w:szCs w:val="12"/>
                <w:color w:val="auto"/>
              </w:rPr>
              <w:t>24,000</w:t>
            </w:r>
          </w:p>
        </w:tc>
        <w:tc>
          <w:tcPr>
            <w:tcW w:w="1740" w:type="dxa"/>
            <w:vAlign w:val="bottom"/>
            <w:gridSpan w:val="2"/>
          </w:tcPr>
          <w:p>
            <w:pPr>
              <w:jc w:val="right"/>
              <w:spacing w:after="0"/>
              <w:rPr>
                <w:sz w:val="20"/>
                <w:szCs w:val="20"/>
                <w:color w:val="auto"/>
              </w:rPr>
            </w:pPr>
            <w:r>
              <w:rPr>
                <w:rFonts w:ascii="Arial" w:cs="Arial" w:eastAsia="Arial" w:hAnsi="Arial"/>
                <w:sz w:val="12"/>
                <w:szCs w:val="12"/>
                <w:color w:val="auto"/>
              </w:rPr>
              <w:t>0</w:t>
            </w:r>
          </w:p>
        </w:tc>
      </w:tr>
      <w:tr>
        <w:trPr>
          <w:trHeight w:val="223"/>
        </w:trPr>
        <w:tc>
          <w:tcPr>
            <w:tcW w:w="4300" w:type="dxa"/>
            <w:vAlign w:val="bottom"/>
          </w:tcPr>
          <w:p>
            <w:pPr>
              <w:spacing w:after="0"/>
              <w:rPr>
                <w:sz w:val="20"/>
                <w:szCs w:val="20"/>
                <w:color w:val="auto"/>
              </w:rPr>
            </w:pPr>
            <w:r>
              <w:rPr>
                <w:rFonts w:ascii="Arial" w:cs="Arial" w:eastAsia="Arial" w:hAnsi="Arial"/>
                <w:sz w:val="12"/>
                <w:szCs w:val="12"/>
                <w:color w:val="auto"/>
              </w:rPr>
              <w:t>David J. Butters</w:t>
            </w:r>
          </w:p>
        </w:tc>
        <w:tc>
          <w:tcPr>
            <w:tcW w:w="5380" w:type="dxa"/>
            <w:vAlign w:val="bottom"/>
          </w:tcPr>
          <w:p>
            <w:pPr>
              <w:jc w:val="right"/>
              <w:ind w:right="58"/>
              <w:spacing w:after="0"/>
              <w:rPr>
                <w:sz w:val="20"/>
                <w:szCs w:val="20"/>
                <w:color w:val="auto"/>
              </w:rPr>
            </w:pPr>
            <w:r>
              <w:rPr>
                <w:rFonts w:ascii="Arial" w:cs="Arial" w:eastAsia="Arial" w:hAnsi="Arial"/>
                <w:sz w:val="12"/>
                <w:szCs w:val="12"/>
                <w:color w:val="auto"/>
              </w:rPr>
              <w:t>24,000</w:t>
            </w:r>
          </w:p>
        </w:tc>
        <w:tc>
          <w:tcPr>
            <w:tcW w:w="1740" w:type="dxa"/>
            <w:vAlign w:val="bottom"/>
            <w:gridSpan w:val="2"/>
          </w:tcPr>
          <w:p>
            <w:pPr>
              <w:jc w:val="right"/>
              <w:spacing w:after="0"/>
              <w:rPr>
                <w:sz w:val="20"/>
                <w:szCs w:val="20"/>
                <w:color w:val="auto"/>
              </w:rPr>
            </w:pPr>
            <w:r>
              <w:rPr>
                <w:rFonts w:ascii="Arial" w:cs="Arial" w:eastAsia="Arial" w:hAnsi="Arial"/>
                <w:sz w:val="12"/>
                <w:szCs w:val="12"/>
                <w:color w:val="auto"/>
              </w:rPr>
              <w:t>240,000</w:t>
            </w:r>
          </w:p>
        </w:tc>
      </w:tr>
      <w:tr>
        <w:trPr>
          <w:trHeight w:val="223"/>
        </w:trPr>
        <w:tc>
          <w:tcPr>
            <w:tcW w:w="4300" w:type="dxa"/>
            <w:vAlign w:val="bottom"/>
          </w:tcPr>
          <w:p>
            <w:pPr>
              <w:spacing w:after="0"/>
              <w:rPr>
                <w:sz w:val="20"/>
                <w:szCs w:val="20"/>
                <w:color w:val="auto"/>
              </w:rPr>
            </w:pPr>
            <w:r>
              <w:rPr>
                <w:rFonts w:ascii="Arial" w:cs="Arial" w:eastAsia="Arial" w:hAnsi="Arial"/>
                <w:sz w:val="12"/>
                <w:szCs w:val="12"/>
                <w:color w:val="auto"/>
              </w:rPr>
              <w:t>John D. Gass</w:t>
            </w:r>
          </w:p>
        </w:tc>
        <w:tc>
          <w:tcPr>
            <w:tcW w:w="5380" w:type="dxa"/>
            <w:vAlign w:val="bottom"/>
          </w:tcPr>
          <w:p>
            <w:pPr>
              <w:jc w:val="right"/>
              <w:ind w:right="58"/>
              <w:spacing w:after="0"/>
              <w:rPr>
                <w:sz w:val="20"/>
                <w:szCs w:val="20"/>
                <w:color w:val="auto"/>
              </w:rPr>
            </w:pPr>
            <w:r>
              <w:rPr>
                <w:rFonts w:ascii="Arial" w:cs="Arial" w:eastAsia="Arial" w:hAnsi="Arial"/>
                <w:sz w:val="12"/>
                <w:szCs w:val="12"/>
                <w:color w:val="auto"/>
              </w:rPr>
              <w:t>19,174</w:t>
            </w:r>
          </w:p>
        </w:tc>
        <w:tc>
          <w:tcPr>
            <w:tcW w:w="1740" w:type="dxa"/>
            <w:vAlign w:val="bottom"/>
            <w:gridSpan w:val="2"/>
          </w:tcPr>
          <w:p>
            <w:pPr>
              <w:jc w:val="right"/>
              <w:spacing w:after="0"/>
              <w:rPr>
                <w:sz w:val="20"/>
                <w:szCs w:val="20"/>
                <w:color w:val="auto"/>
              </w:rPr>
            </w:pPr>
            <w:r>
              <w:rPr>
                <w:rFonts w:ascii="Arial" w:cs="Arial" w:eastAsia="Arial" w:hAnsi="Arial"/>
                <w:sz w:val="12"/>
                <w:szCs w:val="12"/>
                <w:color w:val="auto"/>
              </w:rPr>
              <w:t>0</w:t>
            </w:r>
          </w:p>
        </w:tc>
      </w:tr>
      <w:tr>
        <w:trPr>
          <w:trHeight w:val="223"/>
        </w:trPr>
        <w:tc>
          <w:tcPr>
            <w:tcW w:w="4300" w:type="dxa"/>
            <w:vAlign w:val="bottom"/>
          </w:tcPr>
          <w:p>
            <w:pPr>
              <w:spacing w:after="0"/>
              <w:rPr>
                <w:sz w:val="20"/>
                <w:szCs w:val="20"/>
                <w:color w:val="auto"/>
              </w:rPr>
            </w:pPr>
            <w:r>
              <w:rPr>
                <w:rFonts w:ascii="Arial" w:cs="Arial" w:eastAsia="Arial" w:hAnsi="Arial"/>
                <w:sz w:val="12"/>
                <w:szCs w:val="12"/>
                <w:color w:val="auto"/>
              </w:rPr>
              <w:t>Francis S. Kalman</w:t>
            </w:r>
          </w:p>
        </w:tc>
        <w:tc>
          <w:tcPr>
            <w:tcW w:w="5380" w:type="dxa"/>
            <w:vAlign w:val="bottom"/>
          </w:tcPr>
          <w:p>
            <w:pPr>
              <w:jc w:val="right"/>
              <w:ind w:right="58"/>
              <w:spacing w:after="0"/>
              <w:rPr>
                <w:sz w:val="20"/>
                <w:szCs w:val="20"/>
                <w:color w:val="auto"/>
              </w:rPr>
            </w:pPr>
            <w:r>
              <w:rPr>
                <w:rFonts w:ascii="Arial" w:cs="Arial" w:eastAsia="Arial" w:hAnsi="Arial"/>
                <w:sz w:val="12"/>
                <w:szCs w:val="12"/>
                <w:color w:val="auto"/>
              </w:rPr>
              <w:t>19,174</w:t>
            </w:r>
          </w:p>
        </w:tc>
        <w:tc>
          <w:tcPr>
            <w:tcW w:w="1740" w:type="dxa"/>
            <w:vAlign w:val="bottom"/>
            <w:gridSpan w:val="2"/>
          </w:tcPr>
          <w:p>
            <w:pPr>
              <w:jc w:val="right"/>
              <w:spacing w:after="0"/>
              <w:rPr>
                <w:sz w:val="20"/>
                <w:szCs w:val="20"/>
                <w:color w:val="auto"/>
              </w:rPr>
            </w:pPr>
            <w:r>
              <w:rPr>
                <w:rFonts w:ascii="Arial" w:cs="Arial" w:eastAsia="Arial" w:hAnsi="Arial"/>
                <w:sz w:val="12"/>
                <w:szCs w:val="12"/>
                <w:color w:val="auto"/>
              </w:rPr>
              <w:t>0</w:t>
            </w:r>
          </w:p>
        </w:tc>
      </w:tr>
      <w:tr>
        <w:trPr>
          <w:trHeight w:val="223"/>
        </w:trPr>
        <w:tc>
          <w:tcPr>
            <w:tcW w:w="4300" w:type="dxa"/>
            <w:vAlign w:val="bottom"/>
          </w:tcPr>
          <w:p>
            <w:pPr>
              <w:spacing w:after="0"/>
              <w:rPr>
                <w:sz w:val="20"/>
                <w:szCs w:val="20"/>
                <w:color w:val="auto"/>
              </w:rPr>
            </w:pPr>
            <w:r>
              <w:rPr>
                <w:rFonts w:ascii="Arial" w:cs="Arial" w:eastAsia="Arial" w:hAnsi="Arial"/>
                <w:sz w:val="12"/>
                <w:szCs w:val="12"/>
                <w:color w:val="auto"/>
              </w:rPr>
              <w:t>William E. Macaulay</w:t>
            </w:r>
          </w:p>
        </w:tc>
        <w:tc>
          <w:tcPr>
            <w:tcW w:w="5380" w:type="dxa"/>
            <w:vAlign w:val="bottom"/>
          </w:tcPr>
          <w:p>
            <w:pPr>
              <w:jc w:val="right"/>
              <w:ind w:right="58"/>
              <w:spacing w:after="0"/>
              <w:rPr>
                <w:sz w:val="20"/>
                <w:szCs w:val="20"/>
                <w:color w:val="auto"/>
              </w:rPr>
            </w:pPr>
            <w:r>
              <w:rPr>
                <w:rFonts w:ascii="Arial" w:cs="Arial" w:eastAsia="Arial" w:hAnsi="Arial"/>
                <w:sz w:val="12"/>
                <w:szCs w:val="12"/>
                <w:color w:val="auto"/>
              </w:rPr>
              <w:t>24,000</w:t>
            </w:r>
          </w:p>
        </w:tc>
        <w:tc>
          <w:tcPr>
            <w:tcW w:w="1740" w:type="dxa"/>
            <w:vAlign w:val="bottom"/>
            <w:gridSpan w:val="2"/>
          </w:tcPr>
          <w:p>
            <w:pPr>
              <w:jc w:val="right"/>
              <w:spacing w:after="0"/>
              <w:rPr>
                <w:sz w:val="20"/>
                <w:szCs w:val="20"/>
                <w:color w:val="auto"/>
              </w:rPr>
            </w:pPr>
            <w:r>
              <w:rPr>
                <w:rFonts w:ascii="Arial" w:cs="Arial" w:eastAsia="Arial" w:hAnsi="Arial"/>
                <w:sz w:val="12"/>
                <w:szCs w:val="12"/>
                <w:color w:val="auto"/>
              </w:rPr>
              <w:t>240,000</w:t>
            </w:r>
          </w:p>
        </w:tc>
      </w:tr>
      <w:tr>
        <w:trPr>
          <w:trHeight w:val="223"/>
        </w:trPr>
        <w:tc>
          <w:tcPr>
            <w:tcW w:w="4300" w:type="dxa"/>
            <w:vAlign w:val="bottom"/>
          </w:tcPr>
          <w:p>
            <w:pPr>
              <w:spacing w:after="0"/>
              <w:rPr>
                <w:sz w:val="20"/>
                <w:szCs w:val="20"/>
                <w:color w:val="auto"/>
              </w:rPr>
            </w:pPr>
            <w:r>
              <w:rPr>
                <w:rFonts w:ascii="Arial" w:cs="Arial" w:eastAsia="Arial" w:hAnsi="Arial"/>
                <w:sz w:val="12"/>
                <w:szCs w:val="12"/>
                <w:color w:val="auto"/>
              </w:rPr>
              <w:t>Robert K. Moses, Jr.</w:t>
            </w:r>
          </w:p>
        </w:tc>
        <w:tc>
          <w:tcPr>
            <w:tcW w:w="5380" w:type="dxa"/>
            <w:vAlign w:val="bottom"/>
          </w:tcPr>
          <w:p>
            <w:pPr>
              <w:jc w:val="right"/>
              <w:ind w:right="58"/>
              <w:spacing w:after="0"/>
              <w:rPr>
                <w:sz w:val="20"/>
                <w:szCs w:val="20"/>
                <w:color w:val="auto"/>
              </w:rPr>
            </w:pPr>
            <w:r>
              <w:rPr>
                <w:rFonts w:ascii="Arial" w:cs="Arial" w:eastAsia="Arial" w:hAnsi="Arial"/>
                <w:sz w:val="12"/>
                <w:szCs w:val="12"/>
                <w:color w:val="auto"/>
              </w:rPr>
              <w:t>24,000</w:t>
            </w:r>
          </w:p>
        </w:tc>
        <w:tc>
          <w:tcPr>
            <w:tcW w:w="1740" w:type="dxa"/>
            <w:vAlign w:val="bottom"/>
            <w:gridSpan w:val="2"/>
          </w:tcPr>
          <w:p>
            <w:pPr>
              <w:jc w:val="right"/>
              <w:spacing w:after="0"/>
              <w:rPr>
                <w:sz w:val="20"/>
                <w:szCs w:val="20"/>
                <w:color w:val="auto"/>
              </w:rPr>
            </w:pPr>
            <w:r>
              <w:rPr>
                <w:rFonts w:ascii="Arial" w:cs="Arial" w:eastAsia="Arial" w:hAnsi="Arial"/>
                <w:sz w:val="12"/>
                <w:szCs w:val="12"/>
                <w:color w:val="auto"/>
              </w:rPr>
              <w:t>0</w:t>
            </w:r>
          </w:p>
        </w:tc>
      </w:tr>
      <w:tr>
        <w:trPr>
          <w:trHeight w:val="223"/>
        </w:trPr>
        <w:tc>
          <w:tcPr>
            <w:tcW w:w="4300" w:type="dxa"/>
            <w:vAlign w:val="bottom"/>
          </w:tcPr>
          <w:p>
            <w:pPr>
              <w:spacing w:after="0"/>
              <w:rPr>
                <w:sz w:val="20"/>
                <w:szCs w:val="20"/>
                <w:color w:val="auto"/>
              </w:rPr>
            </w:pPr>
            <w:r>
              <w:rPr>
                <w:rFonts w:ascii="Arial" w:cs="Arial" w:eastAsia="Arial" w:hAnsi="Arial"/>
                <w:sz w:val="12"/>
                <w:szCs w:val="12"/>
                <w:color w:val="auto"/>
              </w:rPr>
              <w:t>Guillermo Ortiz</w:t>
            </w:r>
          </w:p>
        </w:tc>
        <w:tc>
          <w:tcPr>
            <w:tcW w:w="5380" w:type="dxa"/>
            <w:vAlign w:val="bottom"/>
          </w:tcPr>
          <w:p>
            <w:pPr>
              <w:jc w:val="right"/>
              <w:ind w:right="58"/>
              <w:spacing w:after="0"/>
              <w:rPr>
                <w:sz w:val="20"/>
                <w:szCs w:val="20"/>
                <w:color w:val="auto"/>
              </w:rPr>
            </w:pPr>
            <w:r>
              <w:rPr>
                <w:rFonts w:ascii="Arial" w:cs="Arial" w:eastAsia="Arial" w:hAnsi="Arial"/>
                <w:sz w:val="12"/>
                <w:szCs w:val="12"/>
                <w:color w:val="auto"/>
              </w:rPr>
              <w:t>27,383</w:t>
            </w:r>
          </w:p>
        </w:tc>
        <w:tc>
          <w:tcPr>
            <w:tcW w:w="1740" w:type="dxa"/>
            <w:vAlign w:val="bottom"/>
            <w:gridSpan w:val="2"/>
          </w:tcPr>
          <w:p>
            <w:pPr>
              <w:jc w:val="right"/>
              <w:spacing w:after="0"/>
              <w:rPr>
                <w:sz w:val="20"/>
                <w:szCs w:val="20"/>
                <w:color w:val="auto"/>
              </w:rPr>
            </w:pPr>
            <w:r>
              <w:rPr>
                <w:rFonts w:ascii="Arial" w:cs="Arial" w:eastAsia="Arial" w:hAnsi="Arial"/>
                <w:sz w:val="12"/>
                <w:szCs w:val="12"/>
                <w:color w:val="auto"/>
              </w:rPr>
              <w:t>0</w:t>
            </w:r>
          </w:p>
        </w:tc>
      </w:tr>
      <w:tr>
        <w:trPr>
          <w:trHeight w:val="223"/>
        </w:trPr>
        <w:tc>
          <w:tcPr>
            <w:tcW w:w="4300" w:type="dxa"/>
            <w:vAlign w:val="bottom"/>
          </w:tcPr>
          <w:p>
            <w:pPr>
              <w:spacing w:after="0"/>
              <w:rPr>
                <w:sz w:val="20"/>
                <w:szCs w:val="20"/>
                <w:color w:val="auto"/>
              </w:rPr>
            </w:pPr>
            <w:r>
              <w:rPr>
                <w:rFonts w:ascii="Arial" w:cs="Arial" w:eastAsia="Arial" w:hAnsi="Arial"/>
                <w:sz w:val="12"/>
                <w:szCs w:val="12"/>
                <w:color w:val="auto"/>
              </w:rPr>
              <w:t>Emyr Jones Parry</w:t>
            </w:r>
          </w:p>
        </w:tc>
        <w:tc>
          <w:tcPr>
            <w:tcW w:w="5380" w:type="dxa"/>
            <w:vAlign w:val="bottom"/>
          </w:tcPr>
          <w:p>
            <w:pPr>
              <w:jc w:val="right"/>
              <w:ind w:right="58"/>
              <w:spacing w:after="0"/>
              <w:rPr>
                <w:sz w:val="20"/>
                <w:szCs w:val="20"/>
                <w:color w:val="auto"/>
              </w:rPr>
            </w:pPr>
            <w:r>
              <w:rPr>
                <w:rFonts w:ascii="Arial" w:cs="Arial" w:eastAsia="Arial" w:hAnsi="Arial"/>
                <w:sz w:val="12"/>
                <w:szCs w:val="12"/>
                <w:color w:val="auto"/>
              </w:rPr>
              <w:t>27,383</w:t>
            </w:r>
          </w:p>
        </w:tc>
        <w:tc>
          <w:tcPr>
            <w:tcW w:w="1740" w:type="dxa"/>
            <w:vAlign w:val="bottom"/>
            <w:gridSpan w:val="2"/>
          </w:tcPr>
          <w:p>
            <w:pPr>
              <w:jc w:val="right"/>
              <w:spacing w:after="0"/>
              <w:rPr>
                <w:sz w:val="20"/>
                <w:szCs w:val="20"/>
                <w:color w:val="auto"/>
              </w:rPr>
            </w:pPr>
            <w:r>
              <w:rPr>
                <w:rFonts w:ascii="Arial" w:cs="Arial" w:eastAsia="Arial" w:hAnsi="Arial"/>
                <w:sz w:val="12"/>
                <w:szCs w:val="12"/>
                <w:color w:val="auto"/>
              </w:rPr>
              <w:t>0</w:t>
            </w:r>
          </w:p>
        </w:tc>
      </w:tr>
      <w:tr>
        <w:trPr>
          <w:trHeight w:val="223"/>
        </w:trPr>
        <w:tc>
          <w:tcPr>
            <w:tcW w:w="4300" w:type="dxa"/>
            <w:vAlign w:val="bottom"/>
          </w:tcPr>
          <w:p>
            <w:pPr>
              <w:spacing w:after="0"/>
              <w:rPr>
                <w:sz w:val="20"/>
                <w:szCs w:val="20"/>
                <w:color w:val="auto"/>
              </w:rPr>
            </w:pPr>
            <w:r>
              <w:rPr>
                <w:rFonts w:ascii="Arial" w:cs="Arial" w:eastAsia="Arial" w:hAnsi="Arial"/>
                <w:sz w:val="12"/>
                <w:szCs w:val="12"/>
                <w:color w:val="auto"/>
              </w:rPr>
              <w:t>Robert A. Rayne</w:t>
            </w:r>
          </w:p>
        </w:tc>
        <w:tc>
          <w:tcPr>
            <w:tcW w:w="5380" w:type="dxa"/>
            <w:vAlign w:val="bottom"/>
          </w:tcPr>
          <w:p>
            <w:pPr>
              <w:jc w:val="right"/>
              <w:ind w:right="58"/>
              <w:spacing w:after="0"/>
              <w:rPr>
                <w:sz w:val="20"/>
                <w:szCs w:val="20"/>
                <w:color w:val="auto"/>
              </w:rPr>
            </w:pPr>
            <w:r>
              <w:rPr>
                <w:rFonts w:ascii="Arial" w:cs="Arial" w:eastAsia="Arial" w:hAnsi="Arial"/>
                <w:sz w:val="12"/>
                <w:szCs w:val="12"/>
                <w:color w:val="auto"/>
              </w:rPr>
              <w:t>24,000</w:t>
            </w:r>
          </w:p>
        </w:tc>
        <w:tc>
          <w:tcPr>
            <w:tcW w:w="1740" w:type="dxa"/>
            <w:vAlign w:val="bottom"/>
            <w:gridSpan w:val="2"/>
          </w:tcPr>
          <w:p>
            <w:pPr>
              <w:jc w:val="right"/>
              <w:spacing w:after="0"/>
              <w:rPr>
                <w:sz w:val="20"/>
                <w:szCs w:val="20"/>
                <w:color w:val="auto"/>
              </w:rPr>
            </w:pPr>
            <w:r>
              <w:rPr>
                <w:rFonts w:ascii="Arial" w:cs="Arial" w:eastAsia="Arial" w:hAnsi="Arial"/>
                <w:sz w:val="12"/>
                <w:szCs w:val="12"/>
                <w:color w:val="auto"/>
              </w:rPr>
              <w:t>240,000</w:t>
            </w:r>
          </w:p>
        </w:tc>
      </w:tr>
      <w:tr>
        <w:trPr>
          <w:trHeight w:val="43"/>
        </w:trPr>
        <w:tc>
          <w:tcPr>
            <w:tcW w:w="4300" w:type="dxa"/>
            <w:vAlign w:val="bottom"/>
            <w:tcBorders>
              <w:bottom w:val="single" w:sz="8" w:color="auto"/>
            </w:tcBorders>
          </w:tcPr>
          <w:p>
            <w:pPr>
              <w:spacing w:after="0"/>
              <w:rPr>
                <w:sz w:val="3"/>
                <w:szCs w:val="3"/>
                <w:color w:val="auto"/>
              </w:rPr>
            </w:pPr>
          </w:p>
        </w:tc>
        <w:tc>
          <w:tcPr>
            <w:tcW w:w="53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30"/>
          <w:szCs w:val="30"/>
          <w:color w:val="BB1131"/>
        </w:rPr>
        <w:t>Corporate governance matters</w:t>
      </w:r>
    </w:p>
    <w:p>
      <w:pPr>
        <w:spacing w:after="0" w:line="246" w:lineRule="exact"/>
        <w:rPr>
          <w:sz w:val="20"/>
          <w:szCs w:val="20"/>
          <w:color w:val="auto"/>
        </w:rPr>
      </w:pPr>
    </w:p>
    <w:p>
      <w:pPr>
        <w:jc w:val="both"/>
        <w:ind w:right="40"/>
        <w:spacing w:after="0" w:line="318" w:lineRule="auto"/>
        <w:rPr>
          <w:sz w:val="20"/>
          <w:szCs w:val="20"/>
          <w:color w:val="auto"/>
        </w:rPr>
      </w:pPr>
      <w:r>
        <w:rPr>
          <w:rFonts w:ascii="Arial" w:cs="Arial" w:eastAsia="Arial" w:hAnsi="Arial"/>
          <w:sz w:val="12"/>
          <w:szCs w:val="12"/>
          <w:color w:val="auto"/>
        </w:rPr>
        <w:t xml:space="preserve">We are committed to adhering to sound principles of corporate governance. A copy of our Corporate Governance Principles is available on our website at </w:t>
      </w:r>
      <w:r>
        <w:rPr>
          <w:rFonts w:ascii="Arial" w:cs="Arial" w:eastAsia="Arial" w:hAnsi="Arial"/>
          <w:sz w:val="12"/>
          <w:szCs w:val="12"/>
          <w:i w:val="1"/>
          <w:iCs w:val="1"/>
          <w:color w:val="auto"/>
        </w:rPr>
        <w:t>www.weatherford.com</w:t>
      </w:r>
      <w:r>
        <w:rPr>
          <w:rFonts w:ascii="Arial" w:cs="Arial" w:eastAsia="Arial" w:hAnsi="Arial"/>
          <w:sz w:val="12"/>
          <w:szCs w:val="12"/>
          <w:color w:val="auto"/>
        </w:rPr>
        <w:t>, by clicking on “About Weatherford,” then “Corporate Governance,” then “Corporate Governance Policies.”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38" w:lineRule="exact"/>
        <w:rPr>
          <w:sz w:val="20"/>
          <w:szCs w:val="20"/>
          <w:color w:val="auto"/>
        </w:rPr>
      </w:pPr>
    </w:p>
    <w:p>
      <w:pPr>
        <w:jc w:val="both"/>
        <w:ind w:right="40"/>
        <w:spacing w:after="0" w:line="245" w:lineRule="auto"/>
        <w:rPr>
          <w:sz w:val="20"/>
          <w:szCs w:val="20"/>
          <w:color w:val="auto"/>
        </w:rPr>
      </w:pPr>
      <w:r>
        <w:rPr>
          <w:rFonts w:ascii="Arial" w:cs="Arial" w:eastAsia="Arial" w:hAnsi="Arial"/>
          <w:sz w:val="12"/>
          <w:szCs w:val="12"/>
          <w:color w:val="auto"/>
        </w:rPr>
        <w:t xml:space="preserve">The Board of Directors has affirmatively determined that each director is independent under the current rules of the NYSE and the SEC, other than Dr. Duroc-Danner, who is an employee. As contemplated by NYSE rules, the Board has adopted categorical standards to assist it in making independence determinations. These standards are available on our website at </w:t>
      </w:r>
      <w:r>
        <w:rPr>
          <w:rFonts w:ascii="Arial" w:cs="Arial" w:eastAsia="Arial" w:hAnsi="Arial"/>
          <w:sz w:val="12"/>
          <w:szCs w:val="12"/>
          <w:i w:val="1"/>
          <w:iCs w:val="1"/>
          <w:color w:val="auto"/>
        </w:rPr>
        <w:t>www.weatherford.com,</w:t>
      </w:r>
      <w:r>
        <w:rPr>
          <w:rFonts w:ascii="Arial" w:cs="Arial" w:eastAsia="Arial" w:hAnsi="Arial"/>
          <w:sz w:val="12"/>
          <w:szCs w:val="12"/>
          <w:color w:val="auto"/>
        </w:rPr>
        <w:t xml:space="preserve"> by clicking on “About Weatherford,” then “Corporate Governance,” then “Corporate Governance Policies.” A relationship falls within the categorical standards of independence if it:</w:t>
      </w:r>
    </w:p>
    <w:p>
      <w:pPr>
        <w:spacing w:after="0" w:line="60" w:lineRule="exact"/>
        <w:rPr>
          <w:sz w:val="20"/>
          <w:szCs w:val="20"/>
          <w:color w:val="auto"/>
        </w:rPr>
      </w:pPr>
    </w:p>
    <w:p>
      <w:pPr>
        <w:ind w:left="700" w:right="1300"/>
        <w:spacing w:after="0" w:line="405" w:lineRule="auto"/>
        <w:rPr>
          <w:sz w:val="20"/>
          <w:szCs w:val="20"/>
          <w:color w:val="auto"/>
        </w:rPr>
      </w:pPr>
      <w:r>
        <w:rPr>
          <w:rFonts w:ascii="Arial" w:cs="Arial" w:eastAsia="Arial" w:hAnsi="Arial"/>
          <w:sz w:val="12"/>
          <w:szCs w:val="12"/>
          <w:color w:val="auto"/>
        </w:rPr>
        <w:t>is a type of relationship addressed in Section 303A.02(b) of the NYSE Listed Company Manual, but under those rules does not preclude a determination of independence; or is in the ordinary course of business and does not exceed 2% of the consolidated gross revenues of the other person for the previous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-283845</wp:posOffset>
            </wp:positionV>
            <wp:extent cx="57150" cy="571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7150" cy="57150"/>
                    </a:xfrm>
                    <a:prstGeom prst="rect">
                      <a:avLst/>
                    </a:prstGeom>
                    <a:noFill/>
                  </pic:spPr>
                </pic:pic>
              </a:graphicData>
            </a:graphic>
          </wp:anchor>
        </w:drawing>
        <w:drawing>
          <wp:anchor simplePos="0" relativeHeight="251657728" behindDoc="1" locked="0" layoutInCell="0" allowOverlap="1">
            <wp:simplePos x="0" y="0"/>
            <wp:positionH relativeFrom="column">
              <wp:posOffset>309245</wp:posOffset>
            </wp:positionH>
            <wp:positionV relativeFrom="paragraph">
              <wp:posOffset>-142240</wp:posOffset>
            </wp:positionV>
            <wp:extent cx="57150" cy="571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jc w:val="both"/>
        <w:ind w:right="40"/>
        <w:spacing w:after="0" w:line="245" w:lineRule="auto"/>
        <w:rPr>
          <w:sz w:val="20"/>
          <w:szCs w:val="20"/>
          <w:color w:val="auto"/>
        </w:rPr>
      </w:pPr>
      <w:r>
        <w:rPr>
          <w:rFonts w:ascii="Arial" w:cs="Arial" w:eastAsia="Arial" w:hAnsi="Arial"/>
          <w:sz w:val="12"/>
          <w:szCs w:val="12"/>
          <w:color w:val="auto"/>
        </w:rPr>
        <w:t>The Board, however, considers and reviews all relationships with each director in making its independence determinations. None of the independent directors had relationships relevant to an independence determination that were outside the scope of the Board’s categorical standards. The relationship discussed under “Related Person Transaction” in this proxy statement did not exceed these categorical standards and was determined by the Board not to be material.</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Policies Regarding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38" w:lineRule="exact"/>
        <w:rPr>
          <w:sz w:val="20"/>
          <w:szCs w:val="20"/>
          <w:color w:val="auto"/>
        </w:rPr>
      </w:pPr>
    </w:p>
    <w:p>
      <w:pPr>
        <w:jc w:val="both"/>
        <w:ind w:right="40"/>
        <w:spacing w:after="0" w:line="241" w:lineRule="auto"/>
        <w:rPr>
          <w:sz w:val="20"/>
          <w:szCs w:val="20"/>
          <w:color w:val="auto"/>
        </w:rPr>
      </w:pPr>
      <w:r>
        <w:rPr>
          <w:rFonts w:ascii="Arial" w:cs="Arial" w:eastAsia="Arial" w:hAnsi="Arial"/>
          <w:sz w:val="12"/>
          <w:szCs w:val="12"/>
          <w:color w:val="auto"/>
        </w:rPr>
        <w:t xml:space="preserve">Our policies regarding transactions between us or any of our affiliates and our directors, executive officers and other employees are set forth in writing in our Corporate Governance Principles and our Code of Business Conduct. These documents are available on our website at </w:t>
      </w:r>
      <w:r>
        <w:rPr>
          <w:rFonts w:ascii="Arial" w:cs="Arial" w:eastAsia="Arial" w:hAnsi="Arial"/>
          <w:sz w:val="12"/>
          <w:szCs w:val="12"/>
          <w:i w:val="1"/>
          <w:iCs w:val="1"/>
          <w:color w:val="auto"/>
        </w:rPr>
        <w:t>www.weatherford.com,</w:t>
      </w:r>
      <w:r>
        <w:rPr>
          <w:rFonts w:ascii="Arial" w:cs="Arial" w:eastAsia="Arial" w:hAnsi="Arial"/>
          <w:sz w:val="12"/>
          <w:szCs w:val="12"/>
          <w:color w:val="auto"/>
        </w:rPr>
        <w:t xml:space="preserve"> by clicking on “About Weatherford,” then “Corporate Governance,” then “Corporate Governance Policies” or “Code of Business Conduct,” as applicable. If an actual or potential conflict of interest arises for any director, the director is required to notify the Board and is not allowed to participate in any discussions or vote on any transaction in which the actual or potential conflict of interest may arise. The Board of Directors approves any transactions with our Chief Executive Officer, and our Chief Executive Officer approves any transactions with any other officer.</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38" w:lineRule="exact"/>
        <w:rPr>
          <w:sz w:val="20"/>
          <w:szCs w:val="20"/>
          <w:color w:val="auto"/>
        </w:rPr>
      </w:pPr>
    </w:p>
    <w:p>
      <w:pPr>
        <w:jc w:val="both"/>
        <w:ind w:right="40"/>
        <w:spacing w:after="0"/>
        <w:rPr>
          <w:sz w:val="20"/>
          <w:szCs w:val="20"/>
          <w:color w:val="auto"/>
        </w:rPr>
      </w:pPr>
      <w:r>
        <w:rPr>
          <w:rFonts w:ascii="Arial" w:cs="Arial" w:eastAsia="Arial" w:hAnsi="Arial"/>
          <w:sz w:val="12"/>
          <w:szCs w:val="12"/>
          <w:color w:val="auto"/>
        </w:rPr>
        <w:t>In obtaining the names of possible nominees, the Corporate Governance and Nominating Committee conducts its own inquiries and will consider suggestions from other directors, management, shareholders and other sources, and its process for evaluating nominees identified in unsolicited recommendations from shareholders is the same as its process for unsolicited recommendations from other sources. The Corporate Governance and Nominating Committee will consider nominees recommended by shareholders who submit their recommendations in writing to Chairman, Corporate Governance and Nominating Committee, care of the Secretary, Weatherford International plc, Bahnhofstrasse 1, 6340 Baar, Switzerland. Recommendations received before December 1st in any year will be considered for inclusion in the slate of director nominees to be presented at the Annual General Meeting in the following year. Unsolicited recommendations must contain the name, address and telephone number of the potential nominee, a statement regarding the potential nominee’s background, experience, expertise and qualifications,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180" w:type="dxa"/>
            <w:vAlign w:val="bottom"/>
          </w:tcPr>
          <w:p>
            <w:pPr>
              <w:ind w:left="7320"/>
              <w:spacing w:after="0"/>
              <w:rPr>
                <w:sz w:val="20"/>
                <w:szCs w:val="20"/>
                <w:color w:val="auto"/>
              </w:rPr>
            </w:pPr>
            <w:r>
              <w:rPr>
                <w:rFonts w:ascii="Arial" w:cs="Arial" w:eastAsia="Arial" w:hAnsi="Arial"/>
                <w:sz w:val="12"/>
                <w:szCs w:val="12"/>
                <w:color w:val="auto"/>
              </w:rPr>
              <w:t>Weatherford International plc - www.WeatherfordAnnualMeeting.com</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auto"/>
              </w:rPr>
              <w:t>13</w:t>
            </w:r>
          </w:p>
        </w:tc>
      </w:tr>
      <w:tr>
        <w:trPr>
          <w:trHeight w:val="195"/>
        </w:trPr>
        <w:tc>
          <w:tcPr>
            <w:tcW w:w="1118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-13335</wp:posOffset>
            </wp:positionV>
            <wp:extent cx="1270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60"/>
          </w:cols>
          <w:pgMar w:left="240" w:top="563" w:right="199" w:bottom="1440" w:gutter="0" w:footer="0" w:header="0"/>
        </w:sectPr>
      </w:pPr>
    </w:p>
    <w:bookmarkStart w:id="31" w:name="page32"/>
    <w:bookmarkEnd w:id="31"/>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41"/>
        <w:spacing w:after="0"/>
        <w:rPr>
          <w:sz w:val="20"/>
          <w:szCs w:val="20"/>
          <w:color w:val="auto"/>
        </w:rPr>
      </w:pPr>
      <w:r>
        <w:rPr>
          <w:rFonts w:ascii="Arial" w:cs="Arial" w:eastAsia="Arial" w:hAnsi="Arial"/>
          <w:sz w:val="12"/>
          <w:szCs w:val="12"/>
          <w:b w:val="1"/>
          <w:bCs w:val="1"/>
          <w:color w:val="FFFFFF"/>
          <w:shd w:val="clear" w:color="auto" w:fill="BB1131"/>
        </w:rPr>
        <w:t>AGENDA ITEM 1</w:t>
      </w:r>
    </w:p>
    <w:p>
      <w:pPr>
        <w:spacing w:after="0" w:line="210"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a signed statement confirming his or her willingness and ability to serve as a director and abide by our corporate governance policies and his or her availability for a personal interview with the Corporate Governance and Nominating Committee, and evidence that the person making the recommendation is a shareholder of Weatherford.</w:t>
      </w:r>
    </w:p>
    <w:p>
      <w:pPr>
        <w:spacing w:after="0" w:line="79" w:lineRule="exact"/>
        <w:rPr>
          <w:sz w:val="20"/>
          <w:szCs w:val="20"/>
          <w:color w:val="auto"/>
        </w:rPr>
      </w:pPr>
    </w:p>
    <w:p>
      <w:pPr>
        <w:jc w:val="both"/>
        <w:ind w:left="1"/>
        <w:spacing w:after="0" w:line="241" w:lineRule="auto"/>
        <w:rPr>
          <w:sz w:val="20"/>
          <w:szCs w:val="20"/>
          <w:color w:val="auto"/>
        </w:rPr>
      </w:pPr>
      <w:r>
        <w:rPr>
          <w:rFonts w:ascii="Arial" w:cs="Arial" w:eastAsia="Arial" w:hAnsi="Arial"/>
          <w:sz w:val="12"/>
          <w:szCs w:val="12"/>
          <w:color w:val="auto"/>
        </w:rPr>
        <w:t>The Corporate Governance and Nominating Committee believes that nominees should possess the highest personal and professional ethics, integrity and values and be committed to representing the long-term interests of our shareholders. Directors should have a record of accomplishment in their chosen professional field and demonstrate sound business judgment. Directors must be willing and able to devote sufficient time to carrying out their duties and responsibilities effectively, including attendance at and participation in Board and Committee meetings, and should be committed to serve on the Board for an extended period of time. The Corporate Governance and Nominating Committee will consider whether and to what extent a nominee will bring diversity, whether in educational background, experience, expertise and/or regional knowledge, to the Board in determining whether a candidate will be an appropriate fit with, and an asset to, the Board of Directors.</w:t>
      </w:r>
    </w:p>
    <w:p>
      <w:pPr>
        <w:spacing w:after="0" w:line="87"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Rule 14a-8 under the Exchange Act addresses when a shareholder may submit a proposal for inclusion of a nominee for director in our proxy materials. Shareholders who do not comply with Rule 14a-8 but who wish to have a nominee considered by our shareholders at the Annual General Meeting must comply with the deadlines and procedures set forth in our Articles. Please see “Proposals by Shareholders” in this proxy statement for more information.</w:t>
      </w:r>
    </w:p>
    <w:p>
      <w:pPr>
        <w:spacing w:after="0" w:line="155"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Communication with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38" w:lineRule="exact"/>
        <w:rPr>
          <w:sz w:val="20"/>
          <w:szCs w:val="20"/>
          <w:color w:val="auto"/>
        </w:rPr>
      </w:pPr>
    </w:p>
    <w:p>
      <w:pPr>
        <w:jc w:val="both"/>
        <w:ind w:left="1"/>
        <w:spacing w:after="0" w:line="247" w:lineRule="auto"/>
        <w:rPr>
          <w:sz w:val="20"/>
          <w:szCs w:val="20"/>
          <w:color w:val="auto"/>
        </w:rPr>
      </w:pPr>
      <w:r>
        <w:rPr>
          <w:rFonts w:ascii="Arial" w:cs="Arial" w:eastAsia="Arial" w:hAnsi="Arial"/>
          <w:sz w:val="12"/>
          <w:szCs w:val="12"/>
          <w:color w:val="auto"/>
        </w:rPr>
        <w:t>Any shareholder or other interested party that desires to communicate with the Board of Directors or any of its specific members, including the Presiding Director or the non-management directors as a group, should send their communication to the Secretary, Weatherford International plc, Bahnhofstrasse 1, 6340 Baar, Switzerland. All such communications will be forwarded to the appropriate members of the Board.</w:t>
      </w:r>
    </w:p>
    <w:p>
      <w:pPr>
        <w:spacing w:after="0" w:line="293"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80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163830</wp:posOffset>
            </wp:positionV>
            <wp:extent cx="7258050" cy="8020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8050" cy="802005"/>
                    </a:xfrm>
                    <a:prstGeom prst="rect">
                      <a:avLst/>
                    </a:prstGeom>
                    <a:noFill/>
                  </pic:spPr>
                </pic:pic>
              </a:graphicData>
            </a:graphic>
          </wp:anchor>
        </w:drawing>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Our Board Leadership</w:t>
      </w:r>
    </w:p>
    <w:p>
      <w:pPr>
        <w:spacing w:after="0" w:line="148" w:lineRule="exact"/>
        <w:rPr>
          <w:sz w:val="20"/>
          <w:szCs w:val="20"/>
          <w:color w:val="auto"/>
        </w:rPr>
      </w:pPr>
    </w:p>
    <w:p>
      <w:pPr>
        <w:ind w:left="741"/>
        <w:spacing w:after="0"/>
        <w:rPr>
          <w:sz w:val="20"/>
          <w:szCs w:val="20"/>
          <w:color w:val="auto"/>
        </w:rPr>
      </w:pPr>
      <w:r>
        <w:rPr>
          <w:rFonts w:ascii="Arial" w:cs="Arial" w:eastAsia="Arial" w:hAnsi="Arial"/>
          <w:sz w:val="12"/>
          <w:szCs w:val="12"/>
          <w:color w:val="auto"/>
        </w:rPr>
        <w:t>Bernard J. Duroc-Danner is our Chairman and CEO.</w:t>
      </w:r>
    </w:p>
    <w:p>
      <w:pPr>
        <w:spacing w:after="0" w:line="97" w:lineRule="exact"/>
        <w:rPr>
          <w:sz w:val="20"/>
          <w:szCs w:val="20"/>
          <w:color w:val="auto"/>
        </w:rPr>
      </w:pPr>
    </w:p>
    <w:p>
      <w:pPr>
        <w:ind w:left="741"/>
        <w:spacing w:after="0"/>
        <w:rPr>
          <w:sz w:val="20"/>
          <w:szCs w:val="20"/>
          <w:color w:val="auto"/>
        </w:rPr>
      </w:pPr>
      <w:r>
        <w:rPr>
          <w:rFonts w:ascii="Arial" w:cs="Arial" w:eastAsia="Arial" w:hAnsi="Arial"/>
          <w:sz w:val="12"/>
          <w:szCs w:val="12"/>
          <w:color w:val="auto"/>
        </w:rPr>
        <w:t>Robert A. Rayne is our Vice-Chairman and Presiding Director over executive sessions of non-management directors.</w:t>
      </w:r>
    </w:p>
    <w:p>
      <w:pPr>
        <w:spacing w:after="0" w:line="85" w:lineRule="exact"/>
        <w:rPr>
          <w:sz w:val="20"/>
          <w:szCs w:val="20"/>
          <w:color w:val="auto"/>
        </w:rPr>
      </w:pPr>
    </w:p>
    <w:p>
      <w:pPr>
        <w:ind w:left="741"/>
        <w:spacing w:after="0"/>
        <w:rPr>
          <w:sz w:val="20"/>
          <w:szCs w:val="20"/>
          <w:color w:val="auto"/>
        </w:rPr>
      </w:pPr>
      <w:r>
        <w:rPr>
          <w:rFonts w:ascii="Arial" w:cs="Arial" w:eastAsia="Arial" w:hAnsi="Arial"/>
          <w:sz w:val="12"/>
          <w:szCs w:val="12"/>
          <w:color w:val="auto"/>
        </w:rPr>
        <w:t>Eight of our nine director nominees are independent.</w:t>
      </w:r>
    </w:p>
    <w:p>
      <w:pPr>
        <w:spacing w:after="0" w:line="97" w:lineRule="exact"/>
        <w:rPr>
          <w:sz w:val="20"/>
          <w:szCs w:val="20"/>
          <w:color w:val="auto"/>
        </w:rPr>
      </w:pPr>
    </w:p>
    <w:p>
      <w:pPr>
        <w:ind w:left="741"/>
        <w:spacing w:after="0"/>
        <w:rPr>
          <w:sz w:val="20"/>
          <w:szCs w:val="20"/>
          <w:color w:val="auto"/>
        </w:rPr>
      </w:pPr>
      <w:r>
        <w:rPr>
          <w:rFonts w:ascii="Arial" w:cs="Arial" w:eastAsia="Arial" w:hAnsi="Arial"/>
          <w:sz w:val="12"/>
          <w:szCs w:val="12"/>
          <w:color w:val="auto"/>
        </w:rPr>
        <w:t>All of the members of the Audit, Compensation, Corporate Governance and Nominating, and Health, Safety and Environment Committees are independent.</w:t>
      </w:r>
    </w:p>
    <w:p>
      <w:pPr>
        <w:spacing w:after="0" w:line="271"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The Board has determined that the most effective leadership structure for the Company is to combine the role of Chief Executive Officer and Chairman. The Board believes that by serving both as Chief Executive Officer and Chairman, Dr. Duroc-Danner brings multiple perspectives to the Board and also is best informed to lead the Board because of his role in the management of the Company’s business and strategic direction.</w:t>
      </w:r>
    </w:p>
    <w:p>
      <w:pPr>
        <w:spacing w:after="0" w:line="85" w:lineRule="exact"/>
        <w:rPr>
          <w:sz w:val="20"/>
          <w:szCs w:val="20"/>
          <w:color w:val="auto"/>
        </w:rPr>
      </w:pPr>
    </w:p>
    <w:p>
      <w:pPr>
        <w:jc w:val="both"/>
        <w:ind w:left="1"/>
        <w:spacing w:after="0" w:line="241" w:lineRule="auto"/>
        <w:rPr>
          <w:sz w:val="20"/>
          <w:szCs w:val="20"/>
          <w:color w:val="auto"/>
        </w:rPr>
      </w:pPr>
      <w:r>
        <w:rPr>
          <w:rFonts w:ascii="Arial" w:cs="Arial" w:eastAsia="Arial" w:hAnsi="Arial"/>
          <w:sz w:val="12"/>
          <w:szCs w:val="12"/>
          <w:color w:val="auto"/>
        </w:rPr>
        <w:t>The Board has appointed Mr. Rayne as Vice Chairman and Presiding Director to preside over executive sessions of non-management directors. The Board believes it is in the best interest of the Company’s shareholders to have a Presiding Director who has the authority to call executive sessions as a counterbalance to the Company’s combined roles of Chief Executive Officer and Chairman. The Board believes executive sessions provide the Board with the ability to independently evaluate management, openly discuss strategic and other business issues involving the Company and ensure that the Company is upholding high standards of corporate governance. For information on how to communicate with our Presiding Director and other non-management members of the Board of Directors, please see “Communication with Directors.”</w:t>
      </w:r>
    </w:p>
    <w:p>
      <w:pPr>
        <w:spacing w:after="0" w:line="157"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Executive Sessions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38"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Executive sessions of non-management directors are held after each regularly scheduled Board meeting and at such additional times as may be needed. In 2013, the non-management directors held four executive sessions.</w:t>
      </w:r>
    </w:p>
    <w:p>
      <w:pPr>
        <w:spacing w:after="0" w:line="149"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Director Attendance at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38" w:lineRule="exact"/>
        <w:rPr>
          <w:sz w:val="20"/>
          <w:szCs w:val="20"/>
          <w:color w:val="auto"/>
        </w:rPr>
      </w:pPr>
    </w:p>
    <w:p>
      <w:pPr>
        <w:ind w:left="1"/>
        <w:spacing w:after="0"/>
        <w:rPr>
          <w:sz w:val="20"/>
          <w:szCs w:val="20"/>
          <w:color w:val="auto"/>
        </w:rPr>
      </w:pPr>
      <w:r>
        <w:rPr>
          <w:rFonts w:ascii="Arial" w:cs="Arial" w:eastAsia="Arial" w:hAnsi="Arial"/>
          <w:sz w:val="12"/>
          <w:szCs w:val="12"/>
          <w:color w:val="auto"/>
        </w:rPr>
        <w:t>All directors are expected to attend our Annual General Meeting of Shareholders. All of our directors other than Mr. Brady attended our 2013 Annual General Meeting.</w:t>
      </w:r>
    </w:p>
    <w:p>
      <w:pPr>
        <w:spacing w:after="0" w:line="167"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Code of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38"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 xml:space="preserve">We have adopted a Code of Business Conduct that applies to our directors, officers and employees. We also have adopted a Supplemental Code of Business Conduct that applies to our President and Chief Executive Officer, our Chief Financial Officer and our Chief Accounting Officer. These documents are available on our website at </w:t>
      </w:r>
      <w:r>
        <w:rPr>
          <w:rFonts w:ascii="Arial" w:cs="Arial" w:eastAsia="Arial" w:hAnsi="Arial"/>
          <w:sz w:val="12"/>
          <w:szCs w:val="12"/>
          <w:i w:val="1"/>
          <w:iCs w:val="1"/>
          <w:color w:val="auto"/>
        </w:rPr>
        <w:t>www.weatherford.com,</w:t>
      </w:r>
      <w:r>
        <w:rPr>
          <w:rFonts w:ascii="Arial" w:cs="Arial" w:eastAsia="Arial" w:hAnsi="Arial"/>
          <w:sz w:val="12"/>
          <w:szCs w:val="12"/>
          <w:color w:val="auto"/>
        </w:rPr>
        <w:t xml:space="preserve"> by clicking on “About Weatherford,” then “Corporate Governance,” then</w:t>
      </w:r>
    </w:p>
    <w:p>
      <w:pPr>
        <w:spacing w:after="0" w:line="184" w:lineRule="exact"/>
        <w:rPr>
          <w:sz w:val="20"/>
          <w:szCs w:val="20"/>
          <w:color w:val="auto"/>
        </w:rPr>
      </w:pPr>
    </w:p>
    <w:p>
      <w:pPr>
        <w:ind w:left="301" w:hanging="301"/>
        <w:spacing w:after="0"/>
        <w:tabs>
          <w:tab w:leader="none" w:pos="301" w:val="left"/>
        </w:tabs>
        <w:numPr>
          <w:ilvl w:val="0"/>
          <w:numId w:val="24"/>
        </w:numPr>
        <w:rPr>
          <w:rFonts w:ascii="Arial" w:cs="Arial" w:eastAsia="Arial" w:hAnsi="Arial"/>
          <w:sz w:val="12"/>
          <w:szCs w:val="12"/>
          <w:b w:val="1"/>
          <w:bCs w:val="1"/>
          <w:color w:val="auto"/>
        </w:rPr>
      </w:pPr>
      <w:r>
        <w:rPr>
          <w:rFonts w:ascii="Arial" w:cs="Arial" w:eastAsia="Arial" w:hAnsi="Arial"/>
          <w:sz w:val="12"/>
          <w:szCs w:val="12"/>
          <w:color w:val="auto"/>
        </w:rPr>
        <w:t>Weatherford International plc - 2014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8370" cy="203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10400"/>
        <w:spacing w:after="0"/>
        <w:rPr>
          <w:sz w:val="20"/>
          <w:szCs w:val="20"/>
          <w:color w:val="auto"/>
        </w:rPr>
      </w:pPr>
      <w:r>
        <w:rPr>
          <w:rFonts w:ascii="Arial" w:cs="Arial" w:eastAsia="Arial" w:hAnsi="Arial"/>
          <w:sz w:val="12"/>
          <w:szCs w:val="12"/>
          <w:b w:val="1"/>
          <w:bCs w:val="1"/>
          <w:color w:val="FFFFFF"/>
          <w:shd w:val="clear" w:color="auto" w:fill="BB1131"/>
        </w:rPr>
        <w:t>AGENDA ITEM 1</w:t>
      </w:r>
    </w:p>
    <w:p>
      <w:pPr>
        <w:spacing w:after="0" w:line="210"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“Code of Business Conduct” or “Supplemental Code of Conduct,” as applicable. Any amendments to, or waivers of, our Code of Business Conduct (to the extent applicable to our President and Chief Executive Officer, our Chief Financial Officer or our Chief Accounting Officer) or to the Supplemental Code of Business Conduct will be posted at this location on our website.</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 Management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38" w:lineRule="exact"/>
        <w:rPr>
          <w:sz w:val="20"/>
          <w:szCs w:val="20"/>
          <w:color w:val="auto"/>
        </w:rPr>
      </w:pPr>
    </w:p>
    <w:p>
      <w:pPr>
        <w:jc w:val="both"/>
        <w:spacing w:after="0" w:line="241" w:lineRule="auto"/>
        <w:rPr>
          <w:sz w:val="20"/>
          <w:szCs w:val="20"/>
          <w:color w:val="auto"/>
        </w:rPr>
      </w:pPr>
      <w:r>
        <w:rPr>
          <w:rFonts w:ascii="Arial" w:cs="Arial" w:eastAsia="Arial" w:hAnsi="Arial"/>
          <w:sz w:val="12"/>
          <w:szCs w:val="12"/>
          <w:color w:val="auto"/>
        </w:rPr>
        <w:t>The Audit Committee is responsible for the oversight of risk management for the Company. As part of their oversight function, the Audit Committee discusses and implements guidelines and policies concerning financial and compliance risk assessment and risk management, including the process by which major financial risk exposure is monitored and mitigated, and works with members of management to assess and monitor risks facing the Company’s business and operations, as well as the effectiveness of the Company’s guidelines and policies for managing and assessing financial and compliance risk. The Audit Committee meets and discusses, as appropriate, issues regarding the Company’s risk management policies and procedures directly with those individuals responsible for day-to-day risk management in the Company’s internal audit and compliance departments.</w:t>
      </w:r>
    </w:p>
    <w:p>
      <w:pPr>
        <w:spacing w:after="0" w:line="87"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In addition, the Corporate Governance and Nominating Committee periodically provides oversight with respect to risks associated with our corporate governance policies and practices, including our Code of Business Conduct and Supplemental Code of Business Conduct. The Corporate Governance and Nominating Committee also oversees and reviews, on an annual basis, an evaluation of the Board, each of our Board committees and management.</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The Compensation Committee reviews our compensation plans and practices to ensure that they do not encourage excessive risk taking and instead encourage behaviors that support sustainable value creation. See “Risk Analysis of our Compensation Programs” in the Compensation Discussion and Analysis section of this proxy statement.</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Our Health, Safety and Environment Committee oversees the Company’s policies and practices to promote good stewardship, to encourage safety awareness, to monitor safety performance, and to provide suggestions to management for the resolution of health, safety and environmental concerns, all with a view towards reducing risks in those areas.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30"/>
          <w:szCs w:val="30"/>
          <w:color w:val="BB1131"/>
        </w:rPr>
        <w:t>Share ownership</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Shares Owned by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37" w:lineRule="exact"/>
        <w:rPr>
          <w:sz w:val="20"/>
          <w:szCs w:val="20"/>
          <w:color w:val="auto"/>
        </w:rPr>
      </w:pPr>
    </w:p>
    <w:p>
      <w:pPr>
        <w:jc w:val="both"/>
        <w:spacing w:after="0" w:line="241" w:lineRule="auto"/>
        <w:rPr>
          <w:sz w:val="20"/>
          <w:szCs w:val="20"/>
          <w:color w:val="auto"/>
        </w:rPr>
      </w:pPr>
      <w:r>
        <w:rPr>
          <w:rFonts w:ascii="Arial" w:cs="Arial" w:eastAsia="Arial" w:hAnsi="Arial"/>
          <w:sz w:val="11"/>
          <w:szCs w:val="11"/>
          <w:color w:val="auto"/>
        </w:rPr>
        <w:t>This table shows the number and percentage of ordinary shares beneficially owned by each of our directors, each of the current and former executive officers named in the Summary Compensation Table that appears under “Executive Compensation” in this proxy statement and all of our directors and current executive officers as a group. Share ownership information of our directors and current executive officers is as of July 23, 2014. Each person has sole voting and investment power for the shares shown below, unless otherwise noted.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6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500" w:type="dxa"/>
            <w:vAlign w:val="bottom"/>
            <w:gridSpan w:val="4"/>
          </w:tcPr>
          <w:p>
            <w:pPr>
              <w:jc w:val="right"/>
              <w:ind w:right="20"/>
              <w:spacing w:after="0"/>
              <w:rPr>
                <w:sz w:val="20"/>
                <w:szCs w:val="20"/>
                <w:color w:val="auto"/>
              </w:rPr>
            </w:pPr>
            <w:r>
              <w:rPr>
                <w:rFonts w:ascii="Arial" w:cs="Arial" w:eastAsia="Arial" w:hAnsi="Arial"/>
                <w:sz w:val="12"/>
                <w:szCs w:val="12"/>
                <w:color w:val="auto"/>
              </w:rPr>
              <w:t>Amount and Nature of Shares Beneficially Owned</w:t>
            </w:r>
          </w:p>
        </w:tc>
        <w:tc>
          <w:tcPr>
            <w:tcW w:w="0" w:type="dxa"/>
            <w:vAlign w:val="bottom"/>
          </w:tcPr>
          <w:p>
            <w:pPr>
              <w:spacing w:after="0"/>
              <w:rPr>
                <w:sz w:val="1"/>
                <w:szCs w:val="1"/>
                <w:color w:val="auto"/>
              </w:rPr>
            </w:pPr>
          </w:p>
        </w:tc>
      </w:tr>
      <w:tr>
        <w:trPr>
          <w:trHeight w:val="38"/>
        </w:trPr>
        <w:tc>
          <w:tcPr>
            <w:tcW w:w="68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6880" w:type="dxa"/>
            <w:vAlign w:val="bottom"/>
          </w:tcPr>
          <w:p>
            <w:pPr>
              <w:spacing w:after="0"/>
              <w:rPr>
                <w:sz w:val="11"/>
                <w:szCs w:val="11"/>
                <w:color w:val="auto"/>
              </w:rPr>
            </w:pPr>
          </w:p>
        </w:tc>
        <w:tc>
          <w:tcPr>
            <w:tcW w:w="106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2"/>
                <w:szCs w:val="12"/>
                <w:color w:val="auto"/>
              </w:rPr>
              <w:t>Number of Shares</w:t>
            </w: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rPr>
              <w:t>Right to Acquire</w:t>
            </w:r>
            <w:r>
              <w:rPr>
                <w:rFonts w:ascii="Arial" w:cs="Arial" w:eastAsia="Arial" w:hAnsi="Arial"/>
                <w:sz w:val="20"/>
                <w:szCs w:val="20"/>
                <w:color w:val="auto"/>
                <w:vertAlign w:val="superscript"/>
              </w:rPr>
              <w:t>(1)</w:t>
            </w:r>
          </w:p>
        </w:tc>
        <w:tc>
          <w:tcPr>
            <w:tcW w:w="120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2"/>
                <w:szCs w:val="12"/>
                <w:color w:val="auto"/>
              </w:rPr>
              <w:t>Total Shares</w:t>
            </w:r>
          </w:p>
        </w:tc>
        <w:tc>
          <w:tcPr>
            <w:tcW w:w="114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2"/>
                <w:szCs w:val="12"/>
                <w:color w:val="auto"/>
              </w:rPr>
              <w:t>Percent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880" w:type="dxa"/>
            <w:vAlign w:val="bottom"/>
            <w:tcBorders>
              <w:bottom w:val="single" w:sz="8" w:color="auto"/>
            </w:tcBorders>
          </w:tcPr>
          <w:p>
            <w:pPr>
              <w:spacing w:after="0" w:line="137" w:lineRule="exact"/>
              <w:rPr>
                <w:sz w:val="20"/>
                <w:szCs w:val="20"/>
                <w:color w:val="auto"/>
              </w:rPr>
            </w:pPr>
            <w:r>
              <w:rPr>
                <w:rFonts w:ascii="Arial" w:cs="Arial" w:eastAsia="Arial" w:hAnsi="Arial"/>
                <w:sz w:val="12"/>
                <w:szCs w:val="12"/>
                <w:color w:val="auto"/>
              </w:rPr>
              <w:t>Name</w:t>
            </w:r>
          </w:p>
        </w:tc>
        <w:tc>
          <w:tcPr>
            <w:tcW w:w="106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2"/>
                <w:szCs w:val="12"/>
                <w:color w:val="auto"/>
              </w:rPr>
              <w:t>Owned</w:t>
            </w:r>
          </w:p>
        </w:tc>
        <w:tc>
          <w:tcPr>
            <w:tcW w:w="1140" w:type="dxa"/>
            <w:vAlign w:val="bottom"/>
            <w:tcBorders>
              <w:bottom w:val="single" w:sz="8" w:color="auto"/>
            </w:tcBorders>
            <w:vMerge w:val="continue"/>
          </w:tcPr>
          <w:p>
            <w:pPr>
              <w:spacing w:after="0"/>
              <w:rPr>
                <w:sz w:val="11"/>
                <w:szCs w:val="11"/>
                <w:color w:val="auto"/>
              </w:rPr>
            </w:pPr>
          </w:p>
        </w:tc>
        <w:tc>
          <w:tcPr>
            <w:tcW w:w="120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2"/>
                <w:szCs w:val="12"/>
                <w:color w:val="auto"/>
              </w:rPr>
              <w:t>Beneficially Owned</w:t>
            </w:r>
          </w:p>
        </w:tc>
        <w:tc>
          <w:tcPr>
            <w:tcW w:w="1160" w:type="dxa"/>
            <w:vAlign w:val="bottom"/>
            <w:tcBorders>
              <w:bottom w:val="single" w:sz="8" w:color="auto"/>
            </w:tcBorders>
            <w:gridSpan w:val="2"/>
          </w:tcPr>
          <w:p>
            <w:pPr>
              <w:jc w:val="right"/>
              <w:ind w:right="20"/>
              <w:spacing w:after="0" w:line="137" w:lineRule="exact"/>
              <w:rPr>
                <w:sz w:val="20"/>
                <w:szCs w:val="20"/>
                <w:color w:val="auto"/>
              </w:rPr>
            </w:pPr>
            <w:r>
              <w:rPr>
                <w:rFonts w:ascii="Arial" w:cs="Arial" w:eastAsia="Arial" w:hAnsi="Arial"/>
                <w:sz w:val="12"/>
                <w:szCs w:val="12"/>
                <w:color w:val="auto"/>
              </w:rPr>
              <w:t>Outstanding Shares</w:t>
            </w:r>
          </w:p>
        </w:tc>
        <w:tc>
          <w:tcPr>
            <w:tcW w:w="0" w:type="dxa"/>
            <w:vAlign w:val="bottom"/>
          </w:tcPr>
          <w:p>
            <w:pPr>
              <w:spacing w:after="0"/>
              <w:rPr>
                <w:sz w:val="1"/>
                <w:szCs w:val="1"/>
                <w:color w:val="auto"/>
              </w:rPr>
            </w:pPr>
          </w:p>
        </w:tc>
      </w:tr>
      <w:tr>
        <w:trPr>
          <w:trHeight w:val="311"/>
        </w:trPr>
        <w:tc>
          <w:tcPr>
            <w:tcW w:w="6880" w:type="dxa"/>
            <w:vAlign w:val="bottom"/>
          </w:tcPr>
          <w:p>
            <w:pPr>
              <w:spacing w:after="0"/>
              <w:rPr>
                <w:sz w:val="20"/>
                <w:szCs w:val="20"/>
                <w:color w:val="auto"/>
              </w:rPr>
            </w:pPr>
            <w:r>
              <w:rPr>
                <w:rFonts w:ascii="Arial" w:cs="Arial" w:eastAsia="Arial" w:hAnsi="Arial"/>
                <w:sz w:val="12"/>
                <w:szCs w:val="12"/>
                <w:color w:val="auto"/>
              </w:rPr>
              <w:t>Bernard J. Duroc-Danner</w:t>
            </w:r>
            <w:r>
              <w:rPr>
                <w:rFonts w:ascii="Arial" w:cs="Arial" w:eastAsia="Arial" w:hAnsi="Arial"/>
                <w:sz w:val="20"/>
                <w:szCs w:val="20"/>
                <w:color w:val="auto"/>
                <w:vertAlign w:val="superscript"/>
              </w:rPr>
              <w:t>(1)</w:t>
            </w:r>
          </w:p>
        </w:tc>
        <w:tc>
          <w:tcPr>
            <w:tcW w:w="1060" w:type="dxa"/>
            <w:vAlign w:val="bottom"/>
          </w:tcPr>
          <w:p>
            <w:pPr>
              <w:jc w:val="right"/>
              <w:spacing w:after="0"/>
              <w:rPr>
                <w:sz w:val="20"/>
                <w:szCs w:val="20"/>
                <w:color w:val="auto"/>
              </w:rPr>
            </w:pPr>
            <w:r>
              <w:rPr>
                <w:rFonts w:ascii="Arial" w:cs="Arial" w:eastAsia="Arial" w:hAnsi="Arial"/>
                <w:sz w:val="12"/>
                <w:szCs w:val="12"/>
                <w:color w:val="auto"/>
              </w:rPr>
              <w:t>1,174,778</w:t>
            </w:r>
          </w:p>
        </w:tc>
        <w:tc>
          <w:tcPr>
            <w:tcW w:w="1140" w:type="dxa"/>
            <w:vAlign w:val="bottom"/>
          </w:tcPr>
          <w:p>
            <w:pPr>
              <w:jc w:val="right"/>
              <w:spacing w:after="0"/>
              <w:rPr>
                <w:sz w:val="20"/>
                <w:szCs w:val="20"/>
                <w:color w:val="auto"/>
              </w:rPr>
            </w:pPr>
            <w:r>
              <w:rPr>
                <w:rFonts w:ascii="Arial" w:cs="Arial" w:eastAsia="Arial" w:hAnsi="Arial"/>
                <w:sz w:val="12"/>
                <w:szCs w:val="12"/>
                <w:color w:val="auto"/>
              </w:rPr>
              <w:t>6,040,490</w:t>
            </w:r>
          </w:p>
        </w:tc>
        <w:tc>
          <w:tcPr>
            <w:tcW w:w="1200" w:type="dxa"/>
            <w:vAlign w:val="bottom"/>
          </w:tcPr>
          <w:p>
            <w:pPr>
              <w:jc w:val="right"/>
              <w:spacing w:after="0"/>
              <w:rPr>
                <w:sz w:val="20"/>
                <w:szCs w:val="20"/>
                <w:color w:val="auto"/>
              </w:rPr>
            </w:pPr>
            <w:r>
              <w:rPr>
                <w:rFonts w:ascii="Arial" w:cs="Arial" w:eastAsia="Arial" w:hAnsi="Arial"/>
                <w:sz w:val="12"/>
                <w:szCs w:val="12"/>
                <w:color w:val="auto"/>
              </w:rPr>
              <w:t>7,215,268</w:t>
            </w:r>
          </w:p>
        </w:tc>
        <w:tc>
          <w:tcPr>
            <w:tcW w:w="1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63"/>
        </w:trPr>
        <w:tc>
          <w:tcPr>
            <w:tcW w:w="6880" w:type="dxa"/>
            <w:vAlign w:val="bottom"/>
          </w:tcPr>
          <w:p>
            <w:pPr>
              <w:spacing w:after="0"/>
              <w:rPr>
                <w:sz w:val="20"/>
                <w:szCs w:val="20"/>
                <w:color w:val="auto"/>
              </w:rPr>
            </w:pPr>
            <w:r>
              <w:rPr>
                <w:rFonts w:ascii="Arial" w:cs="Arial" w:eastAsia="Arial" w:hAnsi="Arial"/>
                <w:sz w:val="12"/>
                <w:szCs w:val="12"/>
                <w:color w:val="auto"/>
              </w:rPr>
              <w:t>David J. Butters</w:t>
            </w:r>
            <w:r>
              <w:rPr>
                <w:rFonts w:ascii="Arial" w:cs="Arial" w:eastAsia="Arial" w:hAnsi="Arial"/>
                <w:sz w:val="20"/>
                <w:szCs w:val="20"/>
                <w:color w:val="auto"/>
                <w:vertAlign w:val="superscript"/>
              </w:rPr>
              <w:t>(2)</w:t>
            </w:r>
          </w:p>
        </w:tc>
        <w:tc>
          <w:tcPr>
            <w:tcW w:w="1060" w:type="dxa"/>
            <w:vAlign w:val="bottom"/>
          </w:tcPr>
          <w:p>
            <w:pPr>
              <w:jc w:val="right"/>
              <w:spacing w:after="0"/>
              <w:rPr>
                <w:sz w:val="20"/>
                <w:szCs w:val="20"/>
                <w:color w:val="auto"/>
              </w:rPr>
            </w:pPr>
            <w:r>
              <w:rPr>
                <w:rFonts w:ascii="Arial" w:cs="Arial" w:eastAsia="Arial" w:hAnsi="Arial"/>
                <w:sz w:val="12"/>
                <w:szCs w:val="12"/>
                <w:color w:val="auto"/>
              </w:rPr>
              <w:t>273,842</w:t>
            </w:r>
          </w:p>
        </w:tc>
        <w:tc>
          <w:tcPr>
            <w:tcW w:w="1140" w:type="dxa"/>
            <w:vAlign w:val="bottom"/>
          </w:tcPr>
          <w:p>
            <w:pPr>
              <w:jc w:val="right"/>
              <w:spacing w:after="0"/>
              <w:rPr>
                <w:sz w:val="20"/>
                <w:szCs w:val="20"/>
                <w:color w:val="auto"/>
              </w:rPr>
            </w:pPr>
            <w:r>
              <w:rPr>
                <w:rFonts w:ascii="Arial" w:cs="Arial" w:eastAsia="Arial" w:hAnsi="Arial"/>
                <w:sz w:val="12"/>
                <w:szCs w:val="12"/>
                <w:color w:val="auto"/>
              </w:rPr>
              <w:t>310,831</w:t>
            </w:r>
          </w:p>
        </w:tc>
        <w:tc>
          <w:tcPr>
            <w:tcW w:w="1200" w:type="dxa"/>
            <w:vAlign w:val="bottom"/>
          </w:tcPr>
          <w:p>
            <w:pPr>
              <w:jc w:val="right"/>
              <w:spacing w:after="0"/>
              <w:rPr>
                <w:sz w:val="20"/>
                <w:szCs w:val="20"/>
                <w:color w:val="auto"/>
              </w:rPr>
            </w:pPr>
            <w:r>
              <w:rPr>
                <w:rFonts w:ascii="Arial" w:cs="Arial" w:eastAsia="Arial" w:hAnsi="Arial"/>
                <w:sz w:val="12"/>
                <w:szCs w:val="12"/>
                <w:color w:val="auto"/>
              </w:rPr>
              <w:t>584,673</w:t>
            </w:r>
          </w:p>
        </w:tc>
        <w:tc>
          <w:tcPr>
            <w:tcW w:w="1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6880" w:type="dxa"/>
            <w:vAlign w:val="bottom"/>
          </w:tcPr>
          <w:p>
            <w:pPr>
              <w:spacing w:after="0"/>
              <w:rPr>
                <w:sz w:val="20"/>
                <w:szCs w:val="20"/>
                <w:color w:val="auto"/>
              </w:rPr>
            </w:pPr>
            <w:r>
              <w:rPr>
                <w:rFonts w:ascii="Arial" w:cs="Arial" w:eastAsia="Arial" w:hAnsi="Arial"/>
                <w:sz w:val="12"/>
                <w:szCs w:val="12"/>
                <w:color w:val="auto"/>
              </w:rPr>
              <w:t>John D. Gass</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Arial" w:cs="Arial" w:eastAsia="Arial" w:hAnsi="Arial"/>
                <w:sz w:val="12"/>
                <w:szCs w:val="12"/>
                <w:color w:val="auto"/>
              </w:rPr>
              <w:t>Francis S. Kalman</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347"/>
        </w:trPr>
        <w:tc>
          <w:tcPr>
            <w:tcW w:w="6880" w:type="dxa"/>
            <w:vAlign w:val="bottom"/>
          </w:tcPr>
          <w:p>
            <w:pPr>
              <w:spacing w:after="0"/>
              <w:rPr>
                <w:sz w:val="20"/>
                <w:szCs w:val="20"/>
                <w:color w:val="auto"/>
              </w:rPr>
            </w:pPr>
            <w:r>
              <w:rPr>
                <w:rFonts w:ascii="Arial" w:cs="Arial" w:eastAsia="Arial" w:hAnsi="Arial"/>
                <w:sz w:val="12"/>
                <w:szCs w:val="12"/>
                <w:color w:val="auto"/>
              </w:rPr>
              <w:t>William E. Macaulay</w:t>
            </w:r>
            <w:r>
              <w:rPr>
                <w:rFonts w:ascii="Arial" w:cs="Arial" w:eastAsia="Arial" w:hAnsi="Arial"/>
                <w:sz w:val="20"/>
                <w:szCs w:val="20"/>
                <w:color w:val="auto"/>
                <w:vertAlign w:val="superscript"/>
              </w:rPr>
              <w:t>(3)</w:t>
            </w:r>
          </w:p>
        </w:tc>
        <w:tc>
          <w:tcPr>
            <w:tcW w:w="1060" w:type="dxa"/>
            <w:vAlign w:val="bottom"/>
          </w:tcPr>
          <w:p>
            <w:pPr>
              <w:jc w:val="right"/>
              <w:spacing w:after="0"/>
              <w:rPr>
                <w:sz w:val="20"/>
                <w:szCs w:val="20"/>
                <w:color w:val="auto"/>
              </w:rPr>
            </w:pPr>
            <w:r>
              <w:rPr>
                <w:rFonts w:ascii="Arial" w:cs="Arial" w:eastAsia="Arial" w:hAnsi="Arial"/>
                <w:sz w:val="12"/>
                <w:szCs w:val="12"/>
                <w:color w:val="auto"/>
              </w:rPr>
              <w:t>933,290</w:t>
            </w:r>
          </w:p>
        </w:tc>
        <w:tc>
          <w:tcPr>
            <w:tcW w:w="1140" w:type="dxa"/>
            <w:vAlign w:val="bottom"/>
          </w:tcPr>
          <w:p>
            <w:pPr>
              <w:jc w:val="right"/>
              <w:spacing w:after="0"/>
              <w:rPr>
                <w:sz w:val="20"/>
                <w:szCs w:val="20"/>
                <w:color w:val="auto"/>
              </w:rPr>
            </w:pPr>
            <w:r>
              <w:rPr>
                <w:rFonts w:ascii="Arial" w:cs="Arial" w:eastAsia="Arial" w:hAnsi="Arial"/>
                <w:sz w:val="12"/>
                <w:szCs w:val="12"/>
                <w:color w:val="auto"/>
              </w:rPr>
              <w:t>18,710</w:t>
            </w:r>
          </w:p>
        </w:tc>
        <w:tc>
          <w:tcPr>
            <w:tcW w:w="1200" w:type="dxa"/>
            <w:vAlign w:val="bottom"/>
          </w:tcPr>
          <w:p>
            <w:pPr>
              <w:jc w:val="right"/>
              <w:spacing w:after="0"/>
              <w:rPr>
                <w:sz w:val="20"/>
                <w:szCs w:val="20"/>
                <w:color w:val="auto"/>
              </w:rPr>
            </w:pPr>
            <w:r>
              <w:rPr>
                <w:rFonts w:ascii="Arial" w:cs="Arial" w:eastAsia="Arial" w:hAnsi="Arial"/>
                <w:sz w:val="12"/>
                <w:szCs w:val="12"/>
                <w:color w:val="auto"/>
              </w:rPr>
              <w:t>952,000</w:t>
            </w:r>
          </w:p>
        </w:tc>
        <w:tc>
          <w:tcPr>
            <w:tcW w:w="1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6880" w:type="dxa"/>
            <w:vAlign w:val="bottom"/>
          </w:tcPr>
          <w:p>
            <w:pPr>
              <w:spacing w:after="0"/>
              <w:rPr>
                <w:sz w:val="20"/>
                <w:szCs w:val="20"/>
                <w:color w:val="auto"/>
              </w:rPr>
            </w:pPr>
            <w:r>
              <w:rPr>
                <w:rFonts w:ascii="Arial" w:cs="Arial" w:eastAsia="Arial" w:hAnsi="Arial"/>
                <w:sz w:val="12"/>
                <w:szCs w:val="12"/>
                <w:color w:val="auto"/>
              </w:rPr>
              <w:t>Robert K. Moses, Jr.</w:t>
            </w:r>
          </w:p>
        </w:tc>
        <w:tc>
          <w:tcPr>
            <w:tcW w:w="1060" w:type="dxa"/>
            <w:vAlign w:val="bottom"/>
          </w:tcPr>
          <w:p>
            <w:pPr>
              <w:jc w:val="right"/>
              <w:spacing w:after="0"/>
              <w:rPr>
                <w:sz w:val="20"/>
                <w:szCs w:val="20"/>
                <w:color w:val="auto"/>
              </w:rPr>
            </w:pPr>
            <w:r>
              <w:rPr>
                <w:rFonts w:ascii="Arial" w:cs="Arial" w:eastAsia="Arial" w:hAnsi="Arial"/>
                <w:sz w:val="12"/>
                <w:szCs w:val="12"/>
                <w:color w:val="auto"/>
              </w:rPr>
              <w:t>599,822</w:t>
            </w:r>
          </w:p>
        </w:tc>
        <w:tc>
          <w:tcPr>
            <w:tcW w:w="1140" w:type="dxa"/>
            <w:vAlign w:val="bottom"/>
          </w:tcPr>
          <w:p>
            <w:pPr>
              <w:jc w:val="right"/>
              <w:spacing w:after="0"/>
              <w:rPr>
                <w:sz w:val="20"/>
                <w:szCs w:val="20"/>
                <w:color w:val="auto"/>
              </w:rPr>
            </w:pPr>
            <w:r>
              <w:rPr>
                <w:rFonts w:ascii="Arial" w:cs="Arial" w:eastAsia="Arial" w:hAnsi="Arial"/>
                <w:sz w:val="12"/>
                <w:szCs w:val="12"/>
                <w:color w:val="auto"/>
              </w:rPr>
              <w:t>19,441</w:t>
            </w:r>
          </w:p>
        </w:tc>
        <w:tc>
          <w:tcPr>
            <w:tcW w:w="1200" w:type="dxa"/>
            <w:vAlign w:val="bottom"/>
          </w:tcPr>
          <w:p>
            <w:pPr>
              <w:jc w:val="right"/>
              <w:spacing w:after="0"/>
              <w:rPr>
                <w:sz w:val="20"/>
                <w:szCs w:val="20"/>
                <w:color w:val="auto"/>
              </w:rPr>
            </w:pPr>
            <w:r>
              <w:rPr>
                <w:rFonts w:ascii="Arial" w:cs="Arial" w:eastAsia="Arial" w:hAnsi="Arial"/>
                <w:sz w:val="12"/>
                <w:szCs w:val="12"/>
                <w:color w:val="auto"/>
              </w:rPr>
              <w:t>619,263</w:t>
            </w:r>
          </w:p>
        </w:tc>
        <w:tc>
          <w:tcPr>
            <w:tcW w:w="1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Arial" w:cs="Arial" w:eastAsia="Arial" w:hAnsi="Arial"/>
                <w:sz w:val="12"/>
                <w:szCs w:val="12"/>
                <w:color w:val="auto"/>
              </w:rPr>
              <w:t>Guillermo Ortiz</w:t>
            </w:r>
          </w:p>
        </w:tc>
        <w:tc>
          <w:tcPr>
            <w:tcW w:w="1060" w:type="dxa"/>
            <w:vAlign w:val="bottom"/>
          </w:tcPr>
          <w:p>
            <w:pPr>
              <w:jc w:val="right"/>
              <w:spacing w:after="0"/>
              <w:rPr>
                <w:sz w:val="20"/>
                <w:szCs w:val="20"/>
                <w:color w:val="auto"/>
              </w:rPr>
            </w:pPr>
            <w:r>
              <w:rPr>
                <w:rFonts w:ascii="Arial" w:cs="Arial" w:eastAsia="Arial" w:hAnsi="Arial"/>
                <w:sz w:val="12"/>
                <w:szCs w:val="12"/>
                <w:color w:val="auto"/>
              </w:rPr>
              <w:t>47,262</w:t>
            </w:r>
          </w:p>
        </w:tc>
        <w:tc>
          <w:tcPr>
            <w:tcW w:w="1140" w:type="dxa"/>
            <w:vAlign w:val="bottom"/>
          </w:tcPr>
          <w:p>
            <w:pPr>
              <w:jc w:val="right"/>
              <w:spacing w:after="0"/>
              <w:rPr>
                <w:sz w:val="20"/>
                <w:szCs w:val="20"/>
                <w:color w:val="auto"/>
              </w:rPr>
            </w:pPr>
            <w:r>
              <w:rPr>
                <w:rFonts w:ascii="Arial" w:cs="Arial" w:eastAsia="Arial" w:hAnsi="Arial"/>
                <w:sz w:val="12"/>
                <w:szCs w:val="12"/>
                <w:color w:val="auto"/>
              </w:rPr>
              <w:t>8,000</w:t>
            </w:r>
          </w:p>
        </w:tc>
        <w:tc>
          <w:tcPr>
            <w:tcW w:w="1200" w:type="dxa"/>
            <w:vAlign w:val="bottom"/>
          </w:tcPr>
          <w:p>
            <w:pPr>
              <w:jc w:val="right"/>
              <w:spacing w:after="0"/>
              <w:rPr>
                <w:sz w:val="20"/>
                <w:szCs w:val="20"/>
                <w:color w:val="auto"/>
              </w:rPr>
            </w:pPr>
            <w:r>
              <w:rPr>
                <w:rFonts w:ascii="Arial" w:cs="Arial" w:eastAsia="Arial" w:hAnsi="Arial"/>
                <w:sz w:val="12"/>
                <w:szCs w:val="12"/>
                <w:color w:val="auto"/>
              </w:rPr>
              <w:t>55,262</w:t>
            </w:r>
          </w:p>
        </w:tc>
        <w:tc>
          <w:tcPr>
            <w:tcW w:w="1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Arial" w:cs="Arial" w:eastAsia="Arial" w:hAnsi="Arial"/>
                <w:sz w:val="12"/>
                <w:szCs w:val="12"/>
                <w:color w:val="auto"/>
              </w:rPr>
              <w:t>Emyr Jones Parry</w:t>
            </w:r>
          </w:p>
        </w:tc>
        <w:tc>
          <w:tcPr>
            <w:tcW w:w="1060" w:type="dxa"/>
            <w:vAlign w:val="bottom"/>
          </w:tcPr>
          <w:p>
            <w:pPr>
              <w:jc w:val="right"/>
              <w:spacing w:after="0"/>
              <w:rPr>
                <w:sz w:val="20"/>
                <w:szCs w:val="20"/>
                <w:color w:val="auto"/>
              </w:rPr>
            </w:pPr>
            <w:r>
              <w:rPr>
                <w:rFonts w:ascii="Arial" w:cs="Arial" w:eastAsia="Arial" w:hAnsi="Arial"/>
                <w:sz w:val="12"/>
                <w:szCs w:val="12"/>
                <w:color w:val="auto"/>
              </w:rPr>
              <w:t>36,612</w:t>
            </w:r>
          </w:p>
        </w:tc>
        <w:tc>
          <w:tcPr>
            <w:tcW w:w="1140" w:type="dxa"/>
            <w:vAlign w:val="bottom"/>
          </w:tcPr>
          <w:p>
            <w:pPr>
              <w:jc w:val="right"/>
              <w:spacing w:after="0"/>
              <w:rPr>
                <w:sz w:val="20"/>
                <w:szCs w:val="20"/>
                <w:color w:val="auto"/>
              </w:rPr>
            </w:pPr>
            <w:r>
              <w:rPr>
                <w:rFonts w:ascii="Arial" w:cs="Arial" w:eastAsia="Arial" w:hAnsi="Arial"/>
                <w:sz w:val="12"/>
                <w:szCs w:val="12"/>
                <w:color w:val="auto"/>
              </w:rPr>
              <w:t>8,000</w:t>
            </w:r>
          </w:p>
        </w:tc>
        <w:tc>
          <w:tcPr>
            <w:tcW w:w="1200" w:type="dxa"/>
            <w:vAlign w:val="bottom"/>
          </w:tcPr>
          <w:p>
            <w:pPr>
              <w:jc w:val="right"/>
              <w:spacing w:after="0"/>
              <w:rPr>
                <w:sz w:val="20"/>
                <w:szCs w:val="20"/>
                <w:color w:val="auto"/>
              </w:rPr>
            </w:pPr>
            <w:r>
              <w:rPr>
                <w:rFonts w:ascii="Arial" w:cs="Arial" w:eastAsia="Arial" w:hAnsi="Arial"/>
                <w:sz w:val="12"/>
                <w:szCs w:val="12"/>
                <w:color w:val="auto"/>
              </w:rPr>
              <w:t>44,612</w:t>
            </w:r>
          </w:p>
        </w:tc>
        <w:tc>
          <w:tcPr>
            <w:tcW w:w="1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347"/>
        </w:trPr>
        <w:tc>
          <w:tcPr>
            <w:tcW w:w="6880" w:type="dxa"/>
            <w:vAlign w:val="bottom"/>
          </w:tcPr>
          <w:p>
            <w:pPr>
              <w:spacing w:after="0"/>
              <w:rPr>
                <w:sz w:val="20"/>
                <w:szCs w:val="20"/>
                <w:color w:val="auto"/>
              </w:rPr>
            </w:pPr>
            <w:r>
              <w:rPr>
                <w:rFonts w:ascii="Arial" w:cs="Arial" w:eastAsia="Arial" w:hAnsi="Arial"/>
                <w:sz w:val="12"/>
                <w:szCs w:val="12"/>
                <w:color w:val="auto"/>
              </w:rPr>
              <w:t>Robert A. Rayne</w:t>
            </w:r>
            <w:r>
              <w:rPr>
                <w:rFonts w:ascii="Arial" w:cs="Arial" w:eastAsia="Arial" w:hAnsi="Arial"/>
                <w:sz w:val="20"/>
                <w:szCs w:val="20"/>
                <w:color w:val="auto"/>
                <w:vertAlign w:val="superscript"/>
              </w:rPr>
              <w:t>(4)</w:t>
            </w:r>
          </w:p>
        </w:tc>
        <w:tc>
          <w:tcPr>
            <w:tcW w:w="1060" w:type="dxa"/>
            <w:vAlign w:val="bottom"/>
          </w:tcPr>
          <w:p>
            <w:pPr>
              <w:jc w:val="right"/>
              <w:spacing w:after="0"/>
              <w:rPr>
                <w:sz w:val="20"/>
                <w:szCs w:val="20"/>
                <w:color w:val="auto"/>
              </w:rPr>
            </w:pPr>
            <w:r>
              <w:rPr>
                <w:rFonts w:ascii="Arial" w:cs="Arial" w:eastAsia="Arial" w:hAnsi="Arial"/>
                <w:sz w:val="12"/>
                <w:szCs w:val="12"/>
                <w:color w:val="auto"/>
              </w:rPr>
              <w:t>274,445</w:t>
            </w:r>
          </w:p>
        </w:tc>
        <w:tc>
          <w:tcPr>
            <w:tcW w:w="1140" w:type="dxa"/>
            <w:vAlign w:val="bottom"/>
          </w:tcPr>
          <w:p>
            <w:pPr>
              <w:jc w:val="right"/>
              <w:spacing w:after="0"/>
              <w:rPr>
                <w:sz w:val="20"/>
                <w:szCs w:val="20"/>
                <w:color w:val="auto"/>
              </w:rPr>
            </w:pPr>
            <w:r>
              <w:rPr>
                <w:rFonts w:ascii="Arial" w:cs="Arial" w:eastAsia="Arial" w:hAnsi="Arial"/>
                <w:sz w:val="12"/>
                <w:szCs w:val="12"/>
                <w:color w:val="auto"/>
              </w:rPr>
              <w:t>269,767</w:t>
            </w:r>
          </w:p>
        </w:tc>
        <w:tc>
          <w:tcPr>
            <w:tcW w:w="1200" w:type="dxa"/>
            <w:vAlign w:val="bottom"/>
          </w:tcPr>
          <w:p>
            <w:pPr>
              <w:jc w:val="right"/>
              <w:spacing w:after="0"/>
              <w:rPr>
                <w:sz w:val="20"/>
                <w:szCs w:val="20"/>
                <w:color w:val="auto"/>
              </w:rPr>
            </w:pPr>
            <w:r>
              <w:rPr>
                <w:rFonts w:ascii="Arial" w:cs="Arial" w:eastAsia="Arial" w:hAnsi="Arial"/>
                <w:sz w:val="12"/>
                <w:szCs w:val="12"/>
                <w:color w:val="auto"/>
              </w:rPr>
              <w:t>544,212</w:t>
            </w:r>
          </w:p>
        </w:tc>
        <w:tc>
          <w:tcPr>
            <w:tcW w:w="1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6880" w:type="dxa"/>
            <w:vAlign w:val="bottom"/>
          </w:tcPr>
          <w:p>
            <w:pPr>
              <w:spacing w:after="0"/>
              <w:rPr>
                <w:sz w:val="20"/>
                <w:szCs w:val="20"/>
                <w:color w:val="auto"/>
              </w:rPr>
            </w:pPr>
            <w:r>
              <w:rPr>
                <w:rFonts w:ascii="Arial" w:cs="Arial" w:eastAsia="Arial" w:hAnsi="Arial"/>
                <w:sz w:val="12"/>
                <w:szCs w:val="12"/>
                <w:color w:val="auto"/>
              </w:rPr>
              <w:t>Krishna Shivram</w:t>
            </w:r>
          </w:p>
        </w:tc>
        <w:tc>
          <w:tcPr>
            <w:tcW w:w="1060" w:type="dxa"/>
            <w:vAlign w:val="bottom"/>
          </w:tcPr>
          <w:p>
            <w:pPr>
              <w:jc w:val="right"/>
              <w:spacing w:after="0"/>
              <w:rPr>
                <w:sz w:val="20"/>
                <w:szCs w:val="20"/>
                <w:color w:val="auto"/>
              </w:rPr>
            </w:pPr>
            <w:r>
              <w:rPr>
                <w:rFonts w:ascii="Arial" w:cs="Arial" w:eastAsia="Arial" w:hAnsi="Arial"/>
                <w:sz w:val="12"/>
                <w:szCs w:val="12"/>
                <w:color w:val="auto"/>
              </w:rPr>
              <w:t>142,413</w:t>
            </w: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142,413</w:t>
            </w:r>
          </w:p>
        </w:tc>
        <w:tc>
          <w:tcPr>
            <w:tcW w:w="1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Arial" w:cs="Arial" w:eastAsia="Arial" w:hAnsi="Arial"/>
                <w:sz w:val="12"/>
                <w:szCs w:val="12"/>
                <w:color w:val="auto"/>
              </w:rPr>
              <w:t>Dharmesh Mehta</w:t>
            </w:r>
          </w:p>
        </w:tc>
        <w:tc>
          <w:tcPr>
            <w:tcW w:w="1060" w:type="dxa"/>
            <w:vAlign w:val="bottom"/>
          </w:tcPr>
          <w:p>
            <w:pPr>
              <w:jc w:val="right"/>
              <w:spacing w:after="0"/>
              <w:rPr>
                <w:sz w:val="20"/>
                <w:szCs w:val="20"/>
                <w:color w:val="auto"/>
              </w:rPr>
            </w:pPr>
            <w:r>
              <w:rPr>
                <w:rFonts w:ascii="Arial" w:cs="Arial" w:eastAsia="Arial" w:hAnsi="Arial"/>
                <w:sz w:val="12"/>
                <w:szCs w:val="12"/>
                <w:color w:val="auto"/>
              </w:rPr>
              <w:t>329,809</w:t>
            </w:r>
          </w:p>
        </w:tc>
        <w:tc>
          <w:tcPr>
            <w:tcW w:w="1140" w:type="dxa"/>
            <w:vAlign w:val="bottom"/>
          </w:tcPr>
          <w:p>
            <w:pPr>
              <w:jc w:val="right"/>
              <w:spacing w:after="0"/>
              <w:rPr>
                <w:sz w:val="20"/>
                <w:szCs w:val="20"/>
                <w:color w:val="auto"/>
              </w:rPr>
            </w:pPr>
            <w:r>
              <w:rPr>
                <w:rFonts w:ascii="Arial" w:cs="Arial" w:eastAsia="Arial" w:hAnsi="Arial"/>
                <w:sz w:val="12"/>
                <w:szCs w:val="12"/>
                <w:color w:val="auto"/>
              </w:rPr>
              <w:t>3,370</w:t>
            </w:r>
          </w:p>
        </w:tc>
        <w:tc>
          <w:tcPr>
            <w:tcW w:w="1200" w:type="dxa"/>
            <w:vAlign w:val="bottom"/>
          </w:tcPr>
          <w:p>
            <w:pPr>
              <w:jc w:val="right"/>
              <w:spacing w:after="0"/>
              <w:rPr>
                <w:sz w:val="20"/>
                <w:szCs w:val="20"/>
                <w:color w:val="auto"/>
              </w:rPr>
            </w:pPr>
            <w:r>
              <w:rPr>
                <w:rFonts w:ascii="Arial" w:cs="Arial" w:eastAsia="Arial" w:hAnsi="Arial"/>
                <w:sz w:val="12"/>
                <w:szCs w:val="12"/>
                <w:color w:val="auto"/>
              </w:rPr>
              <w:t>333,179</w:t>
            </w:r>
          </w:p>
        </w:tc>
        <w:tc>
          <w:tcPr>
            <w:tcW w:w="1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Arial" w:cs="Arial" w:eastAsia="Arial" w:hAnsi="Arial"/>
                <w:sz w:val="12"/>
                <w:szCs w:val="12"/>
                <w:color w:val="auto"/>
              </w:rPr>
              <w:t>All directors and current executive officers as a group (13 persons)</w:t>
            </w:r>
          </w:p>
        </w:tc>
        <w:tc>
          <w:tcPr>
            <w:tcW w:w="1060" w:type="dxa"/>
            <w:vAlign w:val="bottom"/>
          </w:tcPr>
          <w:p>
            <w:pPr>
              <w:jc w:val="right"/>
              <w:spacing w:after="0"/>
              <w:rPr>
                <w:sz w:val="20"/>
                <w:szCs w:val="20"/>
                <w:color w:val="auto"/>
              </w:rPr>
            </w:pPr>
            <w:r>
              <w:rPr>
                <w:rFonts w:ascii="Arial" w:cs="Arial" w:eastAsia="Arial" w:hAnsi="Arial"/>
                <w:sz w:val="12"/>
                <w:szCs w:val="12"/>
                <w:color w:val="auto"/>
              </w:rPr>
              <w:t>3,890,457</w:t>
            </w:r>
          </w:p>
        </w:tc>
        <w:tc>
          <w:tcPr>
            <w:tcW w:w="1140" w:type="dxa"/>
            <w:vAlign w:val="bottom"/>
          </w:tcPr>
          <w:p>
            <w:pPr>
              <w:jc w:val="right"/>
              <w:spacing w:after="0"/>
              <w:rPr>
                <w:sz w:val="20"/>
                <w:szCs w:val="20"/>
                <w:color w:val="auto"/>
              </w:rPr>
            </w:pPr>
            <w:r>
              <w:rPr>
                <w:rFonts w:ascii="Arial" w:cs="Arial" w:eastAsia="Arial" w:hAnsi="Arial"/>
                <w:sz w:val="12"/>
                <w:szCs w:val="12"/>
                <w:color w:val="auto"/>
              </w:rPr>
              <w:t>6,686,154</w:t>
            </w:r>
          </w:p>
        </w:tc>
        <w:tc>
          <w:tcPr>
            <w:tcW w:w="1200" w:type="dxa"/>
            <w:vAlign w:val="bottom"/>
          </w:tcPr>
          <w:p>
            <w:pPr>
              <w:jc w:val="right"/>
              <w:spacing w:after="0"/>
              <w:rPr>
                <w:sz w:val="20"/>
                <w:szCs w:val="20"/>
                <w:color w:val="auto"/>
              </w:rPr>
            </w:pPr>
            <w:r>
              <w:rPr>
                <w:rFonts w:ascii="Arial" w:cs="Arial" w:eastAsia="Arial" w:hAnsi="Arial"/>
                <w:sz w:val="12"/>
                <w:szCs w:val="12"/>
                <w:color w:val="auto"/>
              </w:rPr>
              <w:t>10,576,611</w:t>
            </w:r>
          </w:p>
        </w:tc>
        <w:tc>
          <w:tcPr>
            <w:tcW w:w="1160" w:type="dxa"/>
            <w:vAlign w:val="bottom"/>
            <w:gridSpan w:val="2"/>
          </w:tcPr>
          <w:p>
            <w:pPr>
              <w:jc w:val="right"/>
              <w:ind w:right="20"/>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357"/>
        </w:trPr>
        <w:tc>
          <w:tcPr>
            <w:tcW w:w="6880" w:type="dxa"/>
            <w:vAlign w:val="bottom"/>
          </w:tcPr>
          <w:p>
            <w:pPr>
              <w:spacing w:after="0"/>
              <w:rPr>
                <w:sz w:val="20"/>
                <w:szCs w:val="20"/>
                <w:color w:val="auto"/>
              </w:rPr>
            </w:pPr>
            <w:r>
              <w:rPr>
                <w:rFonts w:ascii="Arial" w:cs="Arial" w:eastAsia="Arial" w:hAnsi="Arial"/>
                <w:sz w:val="12"/>
                <w:szCs w:val="12"/>
                <w:color w:val="auto"/>
              </w:rPr>
              <w:t>Nicholas W. Gee</w:t>
            </w:r>
            <w:r>
              <w:rPr>
                <w:rFonts w:ascii="Arial" w:cs="Arial" w:eastAsia="Arial" w:hAnsi="Arial"/>
                <w:sz w:val="20"/>
                <w:szCs w:val="20"/>
                <w:color w:val="auto"/>
                <w:vertAlign w:val="superscript"/>
              </w:rPr>
              <w:t>(5)</w:t>
            </w:r>
            <w:r>
              <w:rPr>
                <w:rFonts w:ascii="Arial" w:cs="Arial" w:eastAsia="Arial" w:hAnsi="Arial"/>
                <w:sz w:val="12"/>
                <w:szCs w:val="12"/>
                <w:color w:val="auto"/>
              </w:rPr>
              <w:t xml:space="preserve"> (former executive officer)</w:t>
            </w:r>
          </w:p>
        </w:tc>
        <w:tc>
          <w:tcPr>
            <w:tcW w:w="1060" w:type="dxa"/>
            <w:vAlign w:val="bottom"/>
          </w:tcPr>
          <w:p>
            <w:pPr>
              <w:jc w:val="right"/>
              <w:spacing w:after="0"/>
              <w:rPr>
                <w:sz w:val="20"/>
                <w:szCs w:val="20"/>
                <w:color w:val="auto"/>
              </w:rPr>
            </w:pPr>
            <w:r>
              <w:rPr>
                <w:rFonts w:ascii="Arial" w:cs="Arial" w:eastAsia="Arial" w:hAnsi="Arial"/>
                <w:sz w:val="12"/>
                <w:szCs w:val="12"/>
                <w:color w:val="auto"/>
              </w:rPr>
              <w:t>355,218</w:t>
            </w: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355,218</w:t>
            </w:r>
          </w:p>
        </w:tc>
        <w:tc>
          <w:tcPr>
            <w:tcW w:w="1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2"/>
        </w:trPr>
        <w:tc>
          <w:tcPr>
            <w:tcW w:w="6880" w:type="dxa"/>
            <w:vAlign w:val="bottom"/>
          </w:tcPr>
          <w:p>
            <w:pPr>
              <w:spacing w:after="0"/>
              <w:rPr>
                <w:sz w:val="20"/>
                <w:szCs w:val="20"/>
                <w:color w:val="auto"/>
              </w:rPr>
            </w:pPr>
            <w:r>
              <w:rPr>
                <w:rFonts w:ascii="Arial" w:cs="Arial" w:eastAsia="Arial" w:hAnsi="Arial"/>
                <w:sz w:val="12"/>
                <w:szCs w:val="12"/>
                <w:color w:val="auto"/>
              </w:rPr>
              <w:t>John H. Briscoe</w:t>
            </w:r>
            <w:r>
              <w:rPr>
                <w:rFonts w:ascii="Arial" w:cs="Arial" w:eastAsia="Arial" w:hAnsi="Arial"/>
                <w:sz w:val="20"/>
                <w:szCs w:val="20"/>
                <w:color w:val="auto"/>
                <w:vertAlign w:val="superscript"/>
              </w:rPr>
              <w:t>(6)</w:t>
            </w:r>
            <w:r>
              <w:rPr>
                <w:rFonts w:ascii="Arial" w:cs="Arial" w:eastAsia="Arial" w:hAnsi="Arial"/>
                <w:sz w:val="12"/>
                <w:szCs w:val="12"/>
                <w:color w:val="auto"/>
              </w:rPr>
              <w:t xml:space="preserve"> (former executive officer)</w:t>
            </w:r>
          </w:p>
        </w:tc>
        <w:tc>
          <w:tcPr>
            <w:tcW w:w="1060" w:type="dxa"/>
            <w:vAlign w:val="bottom"/>
          </w:tcPr>
          <w:p>
            <w:pPr>
              <w:jc w:val="right"/>
              <w:spacing w:after="0"/>
              <w:rPr>
                <w:sz w:val="20"/>
                <w:szCs w:val="20"/>
                <w:color w:val="auto"/>
              </w:rPr>
            </w:pPr>
            <w:r>
              <w:rPr>
                <w:rFonts w:ascii="Arial" w:cs="Arial" w:eastAsia="Arial" w:hAnsi="Arial"/>
                <w:sz w:val="12"/>
                <w:szCs w:val="12"/>
                <w:color w:val="auto"/>
              </w:rPr>
              <w:t>318,343</w:t>
            </w: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318,343</w:t>
            </w:r>
          </w:p>
        </w:tc>
        <w:tc>
          <w:tcPr>
            <w:tcW w:w="1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2"/>
        </w:trPr>
        <w:tc>
          <w:tcPr>
            <w:tcW w:w="6880" w:type="dxa"/>
            <w:vAlign w:val="bottom"/>
          </w:tcPr>
          <w:p>
            <w:pPr>
              <w:spacing w:after="0"/>
              <w:rPr>
                <w:sz w:val="20"/>
                <w:szCs w:val="20"/>
                <w:color w:val="auto"/>
              </w:rPr>
            </w:pPr>
            <w:r>
              <w:rPr>
                <w:rFonts w:ascii="Arial" w:cs="Arial" w:eastAsia="Arial" w:hAnsi="Arial"/>
                <w:sz w:val="12"/>
                <w:szCs w:val="12"/>
                <w:color w:val="auto"/>
              </w:rPr>
              <w:t>Peter T. Fontana</w:t>
            </w:r>
            <w:r>
              <w:rPr>
                <w:rFonts w:ascii="Arial" w:cs="Arial" w:eastAsia="Arial" w:hAnsi="Arial"/>
                <w:sz w:val="20"/>
                <w:szCs w:val="20"/>
                <w:color w:val="auto"/>
                <w:vertAlign w:val="superscript"/>
              </w:rPr>
              <w:t>(7)</w:t>
            </w:r>
            <w:r>
              <w:rPr>
                <w:rFonts w:ascii="Arial" w:cs="Arial" w:eastAsia="Arial" w:hAnsi="Arial"/>
                <w:sz w:val="12"/>
                <w:szCs w:val="12"/>
                <w:color w:val="auto"/>
              </w:rPr>
              <w:t xml:space="preserve"> (former executive officer)</w:t>
            </w:r>
          </w:p>
        </w:tc>
        <w:tc>
          <w:tcPr>
            <w:tcW w:w="1060" w:type="dxa"/>
            <w:vAlign w:val="bottom"/>
          </w:tcPr>
          <w:p>
            <w:pPr>
              <w:jc w:val="right"/>
              <w:spacing w:after="0"/>
              <w:rPr>
                <w:sz w:val="20"/>
                <w:szCs w:val="20"/>
                <w:color w:val="auto"/>
              </w:rPr>
            </w:pPr>
            <w:r>
              <w:rPr>
                <w:rFonts w:ascii="Arial" w:cs="Arial" w:eastAsia="Arial" w:hAnsi="Arial"/>
                <w:sz w:val="12"/>
                <w:szCs w:val="12"/>
                <w:color w:val="auto"/>
              </w:rPr>
              <w:t>1,465,291</w:t>
            </w: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1,465,291</w:t>
            </w:r>
          </w:p>
        </w:tc>
        <w:tc>
          <w:tcPr>
            <w:tcW w:w="1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2"/>
        </w:trPr>
        <w:tc>
          <w:tcPr>
            <w:tcW w:w="6880" w:type="dxa"/>
            <w:vAlign w:val="bottom"/>
          </w:tcPr>
          <w:p>
            <w:pPr>
              <w:spacing w:after="0"/>
              <w:rPr>
                <w:sz w:val="20"/>
                <w:szCs w:val="20"/>
                <w:color w:val="auto"/>
              </w:rPr>
            </w:pPr>
            <w:r>
              <w:rPr>
                <w:rFonts w:ascii="Arial" w:cs="Arial" w:eastAsia="Arial" w:hAnsi="Arial"/>
                <w:sz w:val="12"/>
                <w:szCs w:val="12"/>
                <w:color w:val="auto"/>
              </w:rPr>
              <w:t>Joseph C. Henry</w:t>
            </w:r>
            <w:r>
              <w:rPr>
                <w:rFonts w:ascii="Arial" w:cs="Arial" w:eastAsia="Arial" w:hAnsi="Arial"/>
                <w:sz w:val="20"/>
                <w:szCs w:val="20"/>
                <w:color w:val="auto"/>
                <w:vertAlign w:val="superscript"/>
              </w:rPr>
              <w:t>(8)</w:t>
            </w:r>
            <w:r>
              <w:rPr>
                <w:rFonts w:ascii="Arial" w:cs="Arial" w:eastAsia="Arial" w:hAnsi="Arial"/>
                <w:sz w:val="12"/>
                <w:szCs w:val="12"/>
                <w:color w:val="auto"/>
              </w:rPr>
              <w:t xml:space="preserve"> (former executive officer)</w:t>
            </w:r>
          </w:p>
        </w:tc>
        <w:tc>
          <w:tcPr>
            <w:tcW w:w="1060" w:type="dxa"/>
            <w:vAlign w:val="bottom"/>
          </w:tcPr>
          <w:p>
            <w:pPr>
              <w:jc w:val="right"/>
              <w:spacing w:after="0"/>
              <w:rPr>
                <w:sz w:val="20"/>
                <w:szCs w:val="20"/>
                <w:color w:val="auto"/>
              </w:rPr>
            </w:pPr>
            <w:r>
              <w:rPr>
                <w:rFonts w:ascii="Arial" w:cs="Arial" w:eastAsia="Arial" w:hAnsi="Arial"/>
                <w:sz w:val="12"/>
                <w:szCs w:val="12"/>
                <w:color w:val="auto"/>
              </w:rPr>
              <w:t>331,766</w:t>
            </w:r>
          </w:p>
        </w:tc>
        <w:tc>
          <w:tcPr>
            <w:tcW w:w="1140" w:type="dxa"/>
            <w:vAlign w:val="bottom"/>
          </w:tcPr>
          <w:p>
            <w:pPr>
              <w:jc w:val="right"/>
              <w:spacing w:after="0"/>
              <w:rPr>
                <w:sz w:val="20"/>
                <w:szCs w:val="20"/>
                <w:color w:val="auto"/>
              </w:rPr>
            </w:pPr>
            <w:r>
              <w:rPr>
                <w:rFonts w:ascii="Arial" w:cs="Arial" w:eastAsia="Arial" w:hAnsi="Arial"/>
                <w:sz w:val="12"/>
                <w:szCs w:val="12"/>
                <w:color w:val="auto"/>
              </w:rPr>
              <w:t>38,000</w:t>
            </w:r>
          </w:p>
        </w:tc>
        <w:tc>
          <w:tcPr>
            <w:tcW w:w="1200" w:type="dxa"/>
            <w:vAlign w:val="bottom"/>
          </w:tcPr>
          <w:p>
            <w:pPr>
              <w:jc w:val="right"/>
              <w:spacing w:after="0"/>
              <w:rPr>
                <w:sz w:val="20"/>
                <w:szCs w:val="20"/>
                <w:color w:val="auto"/>
              </w:rPr>
            </w:pPr>
            <w:r>
              <w:rPr>
                <w:rFonts w:ascii="Arial" w:cs="Arial" w:eastAsia="Arial" w:hAnsi="Arial"/>
                <w:sz w:val="12"/>
                <w:szCs w:val="12"/>
                <w:color w:val="auto"/>
              </w:rPr>
              <w:t>369,766</w:t>
            </w:r>
          </w:p>
        </w:tc>
        <w:tc>
          <w:tcPr>
            <w:tcW w:w="1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31"/>
        </w:trPr>
        <w:tc>
          <w:tcPr>
            <w:tcW w:w="6880" w:type="dxa"/>
            <w:vAlign w:val="bottom"/>
            <w:tcBorders>
              <w:bottom w:val="single" w:sz="8" w:color="auto"/>
            </w:tcBorders>
          </w:tcPr>
          <w:p>
            <w:pPr>
              <w:spacing w:after="0" w:line="227" w:lineRule="exact"/>
              <w:rPr>
                <w:sz w:val="20"/>
                <w:szCs w:val="20"/>
                <w:color w:val="auto"/>
              </w:rPr>
            </w:pPr>
            <w:r>
              <w:rPr>
                <w:rFonts w:ascii="Arial" w:cs="Arial" w:eastAsia="Arial" w:hAnsi="Arial"/>
                <w:sz w:val="12"/>
                <w:szCs w:val="12"/>
                <w:color w:val="auto"/>
              </w:rPr>
              <w:t>William B. Jacobson</w:t>
            </w:r>
            <w:r>
              <w:rPr>
                <w:rFonts w:ascii="Arial" w:cs="Arial" w:eastAsia="Arial" w:hAnsi="Arial"/>
                <w:sz w:val="20"/>
                <w:szCs w:val="20"/>
                <w:color w:val="auto"/>
                <w:vertAlign w:val="superscript"/>
              </w:rPr>
              <w:t>(9)</w:t>
            </w:r>
            <w:r>
              <w:rPr>
                <w:rFonts w:ascii="Arial" w:cs="Arial" w:eastAsia="Arial" w:hAnsi="Arial"/>
                <w:sz w:val="12"/>
                <w:szCs w:val="12"/>
                <w:color w:val="auto"/>
              </w:rPr>
              <w:t xml:space="preserve"> (former executive officer)</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141,415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330,090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471,505</w:t>
            </w: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 Less than 1%.</w:t>
      </w:r>
    </w:p>
    <w:p>
      <w:pPr>
        <w:spacing w:after="0" w:line="200" w:lineRule="exact"/>
        <w:rPr>
          <w:sz w:val="20"/>
          <w:szCs w:val="20"/>
          <w:color w:val="auto"/>
        </w:rPr>
      </w:pPr>
    </w:p>
    <w:p>
      <w:pPr>
        <w:spacing w:after="0" w:line="255"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auto"/>
        </w:rPr>
        <w:t>Weatherford International plc - www.WeatherfordAnnualMeeting.com</w:t>
      </w:r>
      <w:r>
        <w:rPr>
          <w:sz w:val="20"/>
          <w:szCs w:val="20"/>
          <w:color w:val="auto"/>
        </w:rPr>
        <w:tab/>
      </w:r>
      <w:r>
        <w:rPr>
          <w:rFonts w:ascii="Arial" w:cs="Arial" w:eastAsia="Arial" w:hAnsi="Arial"/>
          <w:sz w:val="10"/>
          <w:szCs w:val="10"/>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131445</wp:posOffset>
            </wp:positionV>
            <wp:extent cx="7278370" cy="203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3" w:name="page34"/>
    <w:bookmarkEnd w:id="33"/>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41"/>
        <w:spacing w:after="0"/>
        <w:rPr>
          <w:sz w:val="20"/>
          <w:szCs w:val="20"/>
          <w:color w:val="auto"/>
        </w:rPr>
      </w:pPr>
      <w:r>
        <w:rPr>
          <w:rFonts w:ascii="Arial" w:cs="Arial" w:eastAsia="Arial" w:hAnsi="Arial"/>
          <w:sz w:val="12"/>
          <w:szCs w:val="12"/>
          <w:b w:val="1"/>
          <w:bCs w:val="1"/>
          <w:color w:val="FFFFFF"/>
          <w:shd w:val="clear" w:color="auto" w:fill="BB1131"/>
        </w:rPr>
        <w:t>AGENDA ITEM 1</w:t>
      </w:r>
    </w:p>
    <w:p>
      <w:pPr>
        <w:spacing w:after="0" w:line="209" w:lineRule="exact"/>
        <w:rPr>
          <w:sz w:val="20"/>
          <w:szCs w:val="20"/>
          <w:color w:val="auto"/>
        </w:rPr>
      </w:pPr>
    </w:p>
    <w:p>
      <w:pPr>
        <w:jc w:val="both"/>
        <w:ind w:left="181" w:hanging="181"/>
        <w:spacing w:after="0" w:line="233" w:lineRule="auto"/>
        <w:tabs>
          <w:tab w:leader="none" w:pos="181" w:val="left"/>
        </w:tabs>
        <w:numPr>
          <w:ilvl w:val="0"/>
          <w:numId w:val="25"/>
        </w:numPr>
        <w:rPr>
          <w:rFonts w:ascii="Arial" w:cs="Arial" w:eastAsia="Arial" w:hAnsi="Arial"/>
          <w:sz w:val="12"/>
          <w:szCs w:val="12"/>
          <w:color w:val="auto"/>
        </w:rPr>
      </w:pPr>
      <w:r>
        <w:rPr>
          <w:rFonts w:ascii="Arial" w:cs="Arial" w:eastAsia="Arial" w:hAnsi="Arial"/>
          <w:sz w:val="11"/>
          <w:szCs w:val="11"/>
          <w:color w:val="auto"/>
        </w:rPr>
        <w:t>Includes ordinary shares that can be acquired through share options exercisable through, and restricted share units that vest on or before, September 21, 2014. Also includes ordinary shares that can be acquired as a result of distributions pursuant to our Non-Employee Director Deferred Compensation Plan, our Executive Deferred Compensation Stock Ownership Plan or our Foreign Executive Deferred Compensation Stock Plan, as applicable, based on the number of units allocated to each participant’s account as of July 23, 2014. In the case of Dr. Duroc-Danner, also includes notional share units representing the right to receive ordinary shares under our discontinued supplemental executive retirement plan (“SERP”). See “Retirement Plans – Discontinued Executive Retirement Plan” in the Compensation Discussion and Analysis section in this proxy statement.</w:t>
      </w:r>
    </w:p>
    <w:p>
      <w:pPr>
        <w:spacing w:after="0" w:line="93" w:lineRule="exact"/>
        <w:rPr>
          <w:rFonts w:ascii="Arial" w:cs="Arial" w:eastAsia="Arial" w:hAnsi="Arial"/>
          <w:sz w:val="12"/>
          <w:szCs w:val="12"/>
          <w:color w:val="auto"/>
        </w:rPr>
      </w:pPr>
    </w:p>
    <w:p>
      <w:pPr>
        <w:ind w:left="181" w:hanging="181"/>
        <w:spacing w:after="0"/>
        <w:tabs>
          <w:tab w:leader="none" w:pos="181" w:val="left"/>
        </w:tabs>
        <w:numPr>
          <w:ilvl w:val="0"/>
          <w:numId w:val="25"/>
        </w:numPr>
        <w:rPr>
          <w:rFonts w:ascii="Arial" w:cs="Arial" w:eastAsia="Arial" w:hAnsi="Arial"/>
          <w:sz w:val="12"/>
          <w:szCs w:val="12"/>
          <w:color w:val="auto"/>
        </w:rPr>
      </w:pPr>
      <w:r>
        <w:rPr>
          <w:rFonts w:ascii="Arial" w:cs="Arial" w:eastAsia="Arial" w:hAnsi="Arial"/>
          <w:sz w:val="12"/>
          <w:szCs w:val="12"/>
          <w:color w:val="auto"/>
        </w:rPr>
        <w:t>Includes 55,088 shares held by Mr. Butters’ wife, over which he has no voting or dispositive power and as to which he disclaims beneficial ownership.</w:t>
      </w:r>
    </w:p>
    <w:p>
      <w:pPr>
        <w:spacing w:after="0" w:line="97" w:lineRule="exact"/>
        <w:rPr>
          <w:rFonts w:ascii="Arial" w:cs="Arial" w:eastAsia="Arial" w:hAnsi="Arial"/>
          <w:sz w:val="12"/>
          <w:szCs w:val="12"/>
          <w:color w:val="auto"/>
        </w:rPr>
      </w:pPr>
    </w:p>
    <w:p>
      <w:pPr>
        <w:ind w:left="181" w:hanging="181"/>
        <w:spacing w:after="0" w:line="254" w:lineRule="auto"/>
        <w:tabs>
          <w:tab w:leader="none" w:pos="181" w:val="left"/>
        </w:tabs>
        <w:numPr>
          <w:ilvl w:val="0"/>
          <w:numId w:val="25"/>
        </w:numPr>
        <w:rPr>
          <w:rFonts w:ascii="Arial" w:cs="Arial" w:eastAsia="Arial" w:hAnsi="Arial"/>
          <w:sz w:val="12"/>
          <w:szCs w:val="12"/>
          <w:color w:val="auto"/>
        </w:rPr>
      </w:pPr>
      <w:r>
        <w:rPr>
          <w:rFonts w:ascii="Arial" w:cs="Arial" w:eastAsia="Arial" w:hAnsi="Arial"/>
          <w:sz w:val="12"/>
          <w:szCs w:val="12"/>
          <w:color w:val="auto"/>
        </w:rPr>
        <w:t>Includes 26,472 shares held by Mr. Macaulay’s wife and 15,504 shares held in the name of or in trust for Mr. Macaulay’s adult daughters, over which he has no voting or dispositive power and as to all of which he disclaims beneficial ownership.</w:t>
      </w:r>
    </w:p>
    <w:p>
      <w:pPr>
        <w:spacing w:after="0" w:line="79" w:lineRule="exact"/>
        <w:rPr>
          <w:rFonts w:ascii="Arial" w:cs="Arial" w:eastAsia="Arial" w:hAnsi="Arial"/>
          <w:sz w:val="12"/>
          <w:szCs w:val="12"/>
          <w:color w:val="auto"/>
        </w:rPr>
      </w:pPr>
    </w:p>
    <w:p>
      <w:pPr>
        <w:ind w:left="181" w:hanging="181"/>
        <w:spacing w:after="0" w:line="254" w:lineRule="auto"/>
        <w:tabs>
          <w:tab w:leader="none" w:pos="181" w:val="left"/>
        </w:tabs>
        <w:numPr>
          <w:ilvl w:val="0"/>
          <w:numId w:val="25"/>
        </w:numPr>
        <w:rPr>
          <w:rFonts w:ascii="Arial" w:cs="Arial" w:eastAsia="Arial" w:hAnsi="Arial"/>
          <w:sz w:val="12"/>
          <w:szCs w:val="12"/>
          <w:color w:val="auto"/>
        </w:rPr>
      </w:pPr>
      <w:r>
        <w:rPr>
          <w:rFonts w:ascii="Arial" w:cs="Arial" w:eastAsia="Arial" w:hAnsi="Arial"/>
          <w:sz w:val="12"/>
          <w:szCs w:val="12"/>
          <w:color w:val="auto"/>
        </w:rPr>
        <w:t>Excludes 2,050,000 shares beneficially owned by LMS Capital, of which Mr. Rayne serves as a non-executive director, and affiliates of LMS Capital. Mr. Rayne disclaims beneficial ownership of all of the shares beneficially owned by LMS Capital.</w:t>
      </w:r>
    </w:p>
    <w:p>
      <w:pPr>
        <w:spacing w:after="0" w:line="79" w:lineRule="exact"/>
        <w:rPr>
          <w:rFonts w:ascii="Arial" w:cs="Arial" w:eastAsia="Arial" w:hAnsi="Arial"/>
          <w:sz w:val="12"/>
          <w:szCs w:val="12"/>
          <w:color w:val="auto"/>
        </w:rPr>
      </w:pPr>
    </w:p>
    <w:p>
      <w:pPr>
        <w:ind w:left="181" w:hanging="181"/>
        <w:spacing w:after="0" w:line="254" w:lineRule="auto"/>
        <w:tabs>
          <w:tab w:leader="none" w:pos="181" w:val="left"/>
        </w:tabs>
        <w:numPr>
          <w:ilvl w:val="0"/>
          <w:numId w:val="25"/>
        </w:numPr>
        <w:rPr>
          <w:rFonts w:ascii="Arial" w:cs="Arial" w:eastAsia="Arial" w:hAnsi="Arial"/>
          <w:sz w:val="12"/>
          <w:szCs w:val="12"/>
          <w:color w:val="auto"/>
        </w:rPr>
      </w:pPr>
      <w:r>
        <w:rPr>
          <w:rFonts w:ascii="Arial" w:cs="Arial" w:eastAsia="Arial" w:hAnsi="Arial"/>
          <w:sz w:val="12"/>
          <w:szCs w:val="12"/>
          <w:color w:val="auto"/>
        </w:rPr>
        <w:t>Share ownership information that is presented for Mr. Gee is based on his last-filed Form 4 dated February 15, 2014, and corporate records of shares distributed to him subsequent to his departure from the Company in February 2014.</w:t>
      </w:r>
    </w:p>
    <w:p>
      <w:pPr>
        <w:spacing w:after="0" w:line="79" w:lineRule="exact"/>
        <w:rPr>
          <w:rFonts w:ascii="Arial" w:cs="Arial" w:eastAsia="Arial" w:hAnsi="Arial"/>
          <w:sz w:val="12"/>
          <w:szCs w:val="12"/>
          <w:color w:val="auto"/>
        </w:rPr>
      </w:pPr>
    </w:p>
    <w:p>
      <w:pPr>
        <w:ind w:left="181" w:hanging="181"/>
        <w:spacing w:after="0" w:line="254" w:lineRule="auto"/>
        <w:tabs>
          <w:tab w:leader="none" w:pos="181" w:val="left"/>
        </w:tabs>
        <w:numPr>
          <w:ilvl w:val="0"/>
          <w:numId w:val="25"/>
        </w:numPr>
        <w:rPr>
          <w:rFonts w:ascii="Arial" w:cs="Arial" w:eastAsia="Arial" w:hAnsi="Arial"/>
          <w:sz w:val="12"/>
          <w:szCs w:val="12"/>
          <w:color w:val="auto"/>
        </w:rPr>
      </w:pPr>
      <w:r>
        <w:rPr>
          <w:rFonts w:ascii="Arial" w:cs="Arial" w:eastAsia="Arial" w:hAnsi="Arial"/>
          <w:sz w:val="12"/>
          <w:szCs w:val="12"/>
          <w:color w:val="auto"/>
        </w:rPr>
        <w:t>Share ownership information that is presented for Mr. Briscoe is based on his last-filed Form 4 dated March 23, 2013, and corporate records of shares distributed to him subsequent to his departure from the Company in September 2013.</w:t>
      </w:r>
    </w:p>
    <w:p>
      <w:pPr>
        <w:spacing w:after="0" w:line="79" w:lineRule="exact"/>
        <w:rPr>
          <w:rFonts w:ascii="Arial" w:cs="Arial" w:eastAsia="Arial" w:hAnsi="Arial"/>
          <w:sz w:val="12"/>
          <w:szCs w:val="12"/>
          <w:color w:val="auto"/>
        </w:rPr>
      </w:pPr>
    </w:p>
    <w:p>
      <w:pPr>
        <w:ind w:left="181" w:hanging="181"/>
        <w:spacing w:after="0" w:line="254" w:lineRule="auto"/>
        <w:tabs>
          <w:tab w:leader="none" w:pos="181" w:val="left"/>
        </w:tabs>
        <w:numPr>
          <w:ilvl w:val="0"/>
          <w:numId w:val="25"/>
        </w:numPr>
        <w:rPr>
          <w:rFonts w:ascii="Arial" w:cs="Arial" w:eastAsia="Arial" w:hAnsi="Arial"/>
          <w:sz w:val="12"/>
          <w:szCs w:val="12"/>
          <w:color w:val="auto"/>
        </w:rPr>
      </w:pPr>
      <w:r>
        <w:rPr>
          <w:rFonts w:ascii="Arial" w:cs="Arial" w:eastAsia="Arial" w:hAnsi="Arial"/>
          <w:sz w:val="12"/>
          <w:szCs w:val="12"/>
          <w:color w:val="auto"/>
        </w:rPr>
        <w:t>Share ownership information that is presented for Mr. Fontana is based on his last-filed Form 4 dated October 1, 2013, and corporate records of shares distributed to him subsequent to his departure from the Company in December 2013.</w:t>
      </w:r>
    </w:p>
    <w:p>
      <w:pPr>
        <w:spacing w:after="0" w:line="79" w:lineRule="exact"/>
        <w:rPr>
          <w:rFonts w:ascii="Arial" w:cs="Arial" w:eastAsia="Arial" w:hAnsi="Arial"/>
          <w:sz w:val="12"/>
          <w:szCs w:val="12"/>
          <w:color w:val="auto"/>
        </w:rPr>
      </w:pPr>
    </w:p>
    <w:p>
      <w:pPr>
        <w:ind w:left="181" w:hanging="181"/>
        <w:spacing w:after="0" w:line="254" w:lineRule="auto"/>
        <w:tabs>
          <w:tab w:leader="none" w:pos="181" w:val="left"/>
        </w:tabs>
        <w:numPr>
          <w:ilvl w:val="0"/>
          <w:numId w:val="25"/>
        </w:numPr>
        <w:rPr>
          <w:rFonts w:ascii="Arial" w:cs="Arial" w:eastAsia="Arial" w:hAnsi="Arial"/>
          <w:sz w:val="12"/>
          <w:szCs w:val="12"/>
          <w:color w:val="auto"/>
        </w:rPr>
      </w:pPr>
      <w:r>
        <w:rPr>
          <w:rFonts w:ascii="Arial" w:cs="Arial" w:eastAsia="Arial" w:hAnsi="Arial"/>
          <w:sz w:val="12"/>
          <w:szCs w:val="12"/>
          <w:color w:val="auto"/>
        </w:rPr>
        <w:t>Share ownership information that is presented for Mr. Henry is based on his last-filed Form 4 dated April 1, 2013, and corporate records of shares distributed to him subsequent to his departure from the Company in June 2013.</w:t>
      </w:r>
    </w:p>
    <w:p>
      <w:pPr>
        <w:spacing w:after="0" w:line="79" w:lineRule="exact"/>
        <w:rPr>
          <w:rFonts w:ascii="Arial" w:cs="Arial" w:eastAsia="Arial" w:hAnsi="Arial"/>
          <w:sz w:val="12"/>
          <w:szCs w:val="12"/>
          <w:color w:val="auto"/>
        </w:rPr>
      </w:pPr>
    </w:p>
    <w:p>
      <w:pPr>
        <w:ind w:left="181" w:hanging="181"/>
        <w:spacing w:after="0" w:line="247" w:lineRule="auto"/>
        <w:tabs>
          <w:tab w:leader="none" w:pos="181" w:val="left"/>
        </w:tabs>
        <w:numPr>
          <w:ilvl w:val="0"/>
          <w:numId w:val="25"/>
        </w:numPr>
        <w:rPr>
          <w:rFonts w:ascii="Arial" w:cs="Arial" w:eastAsia="Arial" w:hAnsi="Arial"/>
          <w:sz w:val="12"/>
          <w:szCs w:val="12"/>
          <w:color w:val="auto"/>
        </w:rPr>
      </w:pPr>
      <w:r>
        <w:rPr>
          <w:rFonts w:ascii="Arial" w:cs="Arial" w:eastAsia="Arial" w:hAnsi="Arial"/>
          <w:sz w:val="12"/>
          <w:szCs w:val="12"/>
          <w:color w:val="auto"/>
        </w:rPr>
        <w:t>Share ownership for Mr. Jacobson is based on his last-filed Form 4 dated July 3, 2014 and corporate records of shares to be distributed to him in connection with his departure from the Company in July 2014.</w:t>
      </w:r>
    </w:p>
    <w:p>
      <w:pPr>
        <w:spacing w:after="0" w:line="324"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Shares Owned by Certain Beneficial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37" w:lineRule="exact"/>
        <w:rPr>
          <w:sz w:val="20"/>
          <w:szCs w:val="20"/>
          <w:color w:val="auto"/>
        </w:rPr>
      </w:pPr>
    </w:p>
    <w:p>
      <w:pPr>
        <w:ind w:left="1"/>
        <w:spacing w:after="0"/>
        <w:rPr>
          <w:sz w:val="20"/>
          <w:szCs w:val="20"/>
          <w:color w:val="auto"/>
        </w:rPr>
      </w:pPr>
      <w:r>
        <w:rPr>
          <w:rFonts w:ascii="Arial" w:cs="Arial" w:eastAsia="Arial" w:hAnsi="Arial"/>
          <w:sz w:val="11"/>
          <w:szCs w:val="11"/>
          <w:color w:val="auto"/>
        </w:rPr>
        <w:t>This table shows information for each person who may be deemed to beneficially own 5% or more of our outstanding ordinary shares as of July 23, 2014, as contained in filings made by the shareholder with the SEC.</w:t>
      </w:r>
    </w:p>
    <w:p>
      <w:pPr>
        <w:spacing w:after="0" w:line="197" w:lineRule="exact"/>
        <w:rPr>
          <w:sz w:val="20"/>
          <w:szCs w:val="20"/>
          <w:color w:val="auto"/>
        </w:rPr>
      </w:pPr>
    </w:p>
    <w:tbl>
      <w:tblPr>
        <w:tblLayout w:type="fixed"/>
        <w:tblInd w:w="1" w:type="dxa"/>
        <w:tblCellMar>
          <w:top w:w="0" w:type="dxa"/>
          <w:left w:w="0" w:type="dxa"/>
          <w:bottom w:w="0" w:type="dxa"/>
          <w:right w:w="0" w:type="dxa"/>
        </w:tblCellMar>
      </w:tblPr>
      <w:tr>
        <w:trPr>
          <w:trHeight w:val="143"/>
        </w:trPr>
        <w:tc>
          <w:tcPr>
            <w:tcW w:w="580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500" w:type="dxa"/>
            <w:vAlign w:val="bottom"/>
          </w:tcPr>
          <w:p>
            <w:pPr>
              <w:jc w:val="right"/>
              <w:ind w:right="39"/>
              <w:spacing w:after="0"/>
              <w:rPr>
                <w:sz w:val="20"/>
                <w:szCs w:val="20"/>
                <w:color w:val="auto"/>
              </w:rPr>
            </w:pPr>
            <w:r>
              <w:rPr>
                <w:rFonts w:ascii="Arial" w:cs="Arial" w:eastAsia="Arial" w:hAnsi="Arial"/>
                <w:sz w:val="12"/>
                <w:szCs w:val="12"/>
                <w:color w:val="auto"/>
              </w:rPr>
              <w:t>Percent of Outstanding</w:t>
            </w:r>
          </w:p>
        </w:tc>
      </w:tr>
      <w:tr>
        <w:trPr>
          <w:trHeight w:val="168"/>
        </w:trPr>
        <w:tc>
          <w:tcPr>
            <w:tcW w:w="58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Name and Address of Beneficial Owner</w:t>
            </w:r>
          </w:p>
        </w:tc>
        <w:tc>
          <w:tcPr>
            <w:tcW w:w="412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Number of Shares</w:t>
            </w:r>
          </w:p>
        </w:tc>
        <w:tc>
          <w:tcPr>
            <w:tcW w:w="1500" w:type="dxa"/>
            <w:vAlign w:val="bottom"/>
            <w:tcBorders>
              <w:bottom w:val="single" w:sz="8" w:color="auto"/>
            </w:tcBorders>
          </w:tcPr>
          <w:p>
            <w:pPr>
              <w:jc w:val="right"/>
              <w:ind w:right="39"/>
              <w:spacing w:after="0" w:line="168" w:lineRule="exact"/>
              <w:rPr>
                <w:sz w:val="20"/>
                <w:szCs w:val="20"/>
                <w:color w:val="auto"/>
              </w:rPr>
            </w:pPr>
            <w:r>
              <w:rPr>
                <w:rFonts w:ascii="Arial" w:cs="Arial" w:eastAsia="Arial" w:hAnsi="Arial"/>
                <w:sz w:val="12"/>
                <w:szCs w:val="12"/>
                <w:color w:val="auto"/>
              </w:rPr>
              <w:t>Shares</w:t>
            </w:r>
            <w:r>
              <w:rPr>
                <w:rFonts w:ascii="Arial" w:cs="Arial" w:eastAsia="Arial" w:hAnsi="Arial"/>
                <w:sz w:val="19"/>
                <w:szCs w:val="19"/>
                <w:color w:val="auto"/>
                <w:vertAlign w:val="superscript"/>
              </w:rPr>
              <w:t>(1)</w:t>
            </w:r>
          </w:p>
        </w:tc>
      </w:tr>
      <w:tr>
        <w:trPr>
          <w:trHeight w:val="177"/>
        </w:trPr>
        <w:tc>
          <w:tcPr>
            <w:tcW w:w="5800" w:type="dxa"/>
            <w:vAlign w:val="bottom"/>
          </w:tcPr>
          <w:p>
            <w:pPr>
              <w:spacing w:after="0"/>
              <w:rPr>
                <w:sz w:val="20"/>
                <w:szCs w:val="20"/>
                <w:color w:val="auto"/>
              </w:rPr>
            </w:pPr>
            <w:r>
              <w:rPr>
                <w:rFonts w:ascii="Arial" w:cs="Arial" w:eastAsia="Arial" w:hAnsi="Arial"/>
                <w:sz w:val="12"/>
                <w:szCs w:val="12"/>
                <w:color w:val="auto"/>
              </w:rPr>
              <w:t>Dodge &amp; Cox</w:t>
            </w:r>
          </w:p>
        </w:tc>
        <w:tc>
          <w:tcPr>
            <w:tcW w:w="41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347"/>
        </w:trPr>
        <w:tc>
          <w:tcPr>
            <w:tcW w:w="5800" w:type="dxa"/>
            <w:vAlign w:val="bottom"/>
          </w:tcPr>
          <w:p>
            <w:pPr>
              <w:ind w:left="240"/>
              <w:spacing w:after="0"/>
              <w:rPr>
                <w:sz w:val="20"/>
                <w:szCs w:val="20"/>
                <w:color w:val="auto"/>
              </w:rPr>
            </w:pPr>
            <w:r>
              <w:rPr>
                <w:rFonts w:ascii="Arial" w:cs="Arial" w:eastAsia="Arial" w:hAnsi="Arial"/>
                <w:sz w:val="12"/>
                <w:szCs w:val="12"/>
                <w:color w:val="auto"/>
              </w:rPr>
              <w:t>555 California Street, 40</w:t>
            </w:r>
            <w:r>
              <w:rPr>
                <w:rFonts w:ascii="Arial" w:cs="Arial" w:eastAsia="Arial" w:hAnsi="Arial"/>
                <w:sz w:val="20"/>
                <w:szCs w:val="20"/>
                <w:color w:val="auto"/>
                <w:vertAlign w:val="superscript"/>
              </w:rPr>
              <w:t>th</w:t>
            </w:r>
            <w:r>
              <w:rPr>
                <w:rFonts w:ascii="Arial" w:cs="Arial" w:eastAsia="Arial" w:hAnsi="Arial"/>
                <w:sz w:val="12"/>
                <w:szCs w:val="12"/>
                <w:color w:val="auto"/>
              </w:rPr>
              <w:t xml:space="preserve"> Floor</w:t>
            </w:r>
          </w:p>
        </w:tc>
        <w:tc>
          <w:tcPr>
            <w:tcW w:w="4120" w:type="dxa"/>
            <w:vAlign w:val="bottom"/>
          </w:tcPr>
          <w:p>
            <w:pPr>
              <w:jc w:val="right"/>
              <w:ind w:right="78"/>
              <w:spacing w:after="0"/>
              <w:rPr>
                <w:sz w:val="20"/>
                <w:szCs w:val="20"/>
                <w:color w:val="auto"/>
              </w:rPr>
            </w:pPr>
            <w:r>
              <w:rPr>
                <w:rFonts w:ascii="Arial" w:cs="Arial" w:eastAsia="Arial" w:hAnsi="Arial"/>
                <w:sz w:val="12"/>
                <w:szCs w:val="12"/>
                <w:color w:val="auto"/>
              </w:rPr>
              <w:t>67,712,743</w:t>
            </w:r>
            <w:r>
              <w:rPr>
                <w:rFonts w:ascii="Arial" w:cs="Arial" w:eastAsia="Arial" w:hAnsi="Arial"/>
                <w:sz w:val="10"/>
                <w:szCs w:val="10"/>
                <w:color w:val="auto"/>
              </w:rPr>
              <w:t>(2)</w:t>
            </w:r>
          </w:p>
        </w:tc>
        <w:tc>
          <w:tcPr>
            <w:tcW w:w="1500" w:type="dxa"/>
            <w:vAlign w:val="bottom"/>
          </w:tcPr>
          <w:p>
            <w:pPr>
              <w:jc w:val="right"/>
              <w:spacing w:after="0"/>
              <w:rPr>
                <w:sz w:val="20"/>
                <w:szCs w:val="20"/>
                <w:color w:val="auto"/>
              </w:rPr>
            </w:pPr>
            <w:r>
              <w:rPr>
                <w:rFonts w:ascii="Arial" w:cs="Arial" w:eastAsia="Arial" w:hAnsi="Arial"/>
                <w:sz w:val="12"/>
                <w:szCs w:val="12"/>
                <w:color w:val="auto"/>
              </w:rPr>
              <w:t>8.8%</w:t>
            </w:r>
          </w:p>
        </w:tc>
      </w:tr>
      <w:tr>
        <w:trPr>
          <w:trHeight w:val="148"/>
        </w:trPr>
        <w:tc>
          <w:tcPr>
            <w:tcW w:w="5800" w:type="dxa"/>
            <w:vAlign w:val="bottom"/>
          </w:tcPr>
          <w:p>
            <w:pPr>
              <w:ind w:left="240"/>
              <w:spacing w:after="0"/>
              <w:rPr>
                <w:sz w:val="20"/>
                <w:szCs w:val="20"/>
                <w:color w:val="auto"/>
              </w:rPr>
            </w:pPr>
            <w:r>
              <w:rPr>
                <w:rFonts w:ascii="Arial" w:cs="Arial" w:eastAsia="Arial" w:hAnsi="Arial"/>
                <w:sz w:val="12"/>
                <w:szCs w:val="12"/>
                <w:color w:val="auto"/>
              </w:rPr>
              <w:t>San Francisco, California 94104</w:t>
            </w:r>
          </w:p>
        </w:tc>
        <w:tc>
          <w:tcPr>
            <w:tcW w:w="412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2"/>
                <w:szCs w:val="12"/>
                <w:color w:val="auto"/>
              </w:rPr>
              <w:t>ClearBridge Investments, LLC</w:t>
            </w:r>
          </w:p>
        </w:tc>
        <w:tc>
          <w:tcPr>
            <w:tcW w:w="4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3"/>
        </w:trPr>
        <w:tc>
          <w:tcPr>
            <w:tcW w:w="5800" w:type="dxa"/>
            <w:vAlign w:val="bottom"/>
          </w:tcPr>
          <w:p>
            <w:pPr>
              <w:ind w:left="240"/>
              <w:spacing w:after="0"/>
              <w:rPr>
                <w:sz w:val="20"/>
                <w:szCs w:val="20"/>
                <w:color w:val="auto"/>
              </w:rPr>
            </w:pPr>
            <w:r>
              <w:rPr>
                <w:rFonts w:ascii="Arial" w:cs="Arial" w:eastAsia="Arial" w:hAnsi="Arial"/>
                <w:sz w:val="12"/>
                <w:szCs w:val="12"/>
                <w:color w:val="auto"/>
              </w:rPr>
              <w:t>620 8th Avenue</w:t>
            </w:r>
          </w:p>
        </w:tc>
        <w:tc>
          <w:tcPr>
            <w:tcW w:w="4120" w:type="dxa"/>
            <w:vAlign w:val="bottom"/>
          </w:tcPr>
          <w:p>
            <w:pPr>
              <w:jc w:val="right"/>
              <w:ind w:right="78"/>
              <w:spacing w:after="0"/>
              <w:rPr>
                <w:sz w:val="20"/>
                <w:szCs w:val="20"/>
                <w:color w:val="auto"/>
              </w:rPr>
            </w:pPr>
            <w:r>
              <w:rPr>
                <w:rFonts w:ascii="Arial" w:cs="Arial" w:eastAsia="Arial" w:hAnsi="Arial"/>
                <w:sz w:val="12"/>
                <w:szCs w:val="12"/>
                <w:color w:val="auto"/>
              </w:rPr>
              <w:t>61,913,655</w:t>
            </w:r>
            <w:r>
              <w:rPr>
                <w:rFonts w:ascii="Arial" w:cs="Arial" w:eastAsia="Arial" w:hAnsi="Arial"/>
                <w:sz w:val="10"/>
                <w:szCs w:val="10"/>
                <w:color w:val="auto"/>
              </w:rPr>
              <w:t>(3)</w:t>
            </w:r>
          </w:p>
        </w:tc>
        <w:tc>
          <w:tcPr>
            <w:tcW w:w="1500" w:type="dxa"/>
            <w:vAlign w:val="bottom"/>
          </w:tcPr>
          <w:p>
            <w:pPr>
              <w:jc w:val="right"/>
              <w:spacing w:after="0"/>
              <w:rPr>
                <w:sz w:val="20"/>
                <w:szCs w:val="20"/>
                <w:color w:val="auto"/>
              </w:rPr>
            </w:pPr>
            <w:r>
              <w:rPr>
                <w:rFonts w:ascii="Arial" w:cs="Arial" w:eastAsia="Arial" w:hAnsi="Arial"/>
                <w:sz w:val="12"/>
                <w:szCs w:val="12"/>
                <w:color w:val="auto"/>
              </w:rPr>
              <w:t>8.0%</w:t>
            </w:r>
          </w:p>
        </w:tc>
      </w:tr>
      <w:tr>
        <w:trPr>
          <w:trHeight w:val="223"/>
        </w:trPr>
        <w:tc>
          <w:tcPr>
            <w:tcW w:w="5800" w:type="dxa"/>
            <w:vAlign w:val="bottom"/>
          </w:tcPr>
          <w:p>
            <w:pPr>
              <w:ind w:left="240"/>
              <w:spacing w:after="0"/>
              <w:rPr>
                <w:sz w:val="20"/>
                <w:szCs w:val="20"/>
                <w:color w:val="auto"/>
              </w:rPr>
            </w:pPr>
            <w:r>
              <w:rPr>
                <w:rFonts w:ascii="Arial" w:cs="Arial" w:eastAsia="Arial" w:hAnsi="Arial"/>
                <w:sz w:val="12"/>
                <w:szCs w:val="12"/>
                <w:color w:val="auto"/>
              </w:rPr>
              <w:t>New York, New York 10018</w:t>
            </w:r>
          </w:p>
        </w:tc>
        <w:tc>
          <w:tcPr>
            <w:tcW w:w="4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2"/>
                <w:szCs w:val="12"/>
                <w:color w:val="auto"/>
              </w:rPr>
              <w:t>Invesco Ltd.</w:t>
            </w:r>
          </w:p>
        </w:tc>
        <w:tc>
          <w:tcPr>
            <w:tcW w:w="4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3"/>
        </w:trPr>
        <w:tc>
          <w:tcPr>
            <w:tcW w:w="5800" w:type="dxa"/>
            <w:vAlign w:val="bottom"/>
          </w:tcPr>
          <w:p>
            <w:pPr>
              <w:ind w:left="240"/>
              <w:spacing w:after="0"/>
              <w:rPr>
                <w:sz w:val="20"/>
                <w:szCs w:val="20"/>
                <w:color w:val="auto"/>
              </w:rPr>
            </w:pPr>
            <w:r>
              <w:rPr>
                <w:rFonts w:ascii="Arial" w:cs="Arial" w:eastAsia="Arial" w:hAnsi="Arial"/>
                <w:sz w:val="12"/>
                <w:szCs w:val="12"/>
                <w:color w:val="auto"/>
              </w:rPr>
              <w:t>1555 Peachtree Street NE</w:t>
            </w:r>
          </w:p>
        </w:tc>
        <w:tc>
          <w:tcPr>
            <w:tcW w:w="4120" w:type="dxa"/>
            <w:vAlign w:val="bottom"/>
          </w:tcPr>
          <w:p>
            <w:pPr>
              <w:jc w:val="right"/>
              <w:ind w:right="78"/>
              <w:spacing w:after="0"/>
              <w:rPr>
                <w:sz w:val="20"/>
                <w:szCs w:val="20"/>
                <w:color w:val="auto"/>
              </w:rPr>
            </w:pPr>
            <w:r>
              <w:rPr>
                <w:rFonts w:ascii="Arial" w:cs="Arial" w:eastAsia="Arial" w:hAnsi="Arial"/>
                <w:sz w:val="12"/>
                <w:szCs w:val="12"/>
                <w:color w:val="auto"/>
              </w:rPr>
              <w:t>54,071,450</w:t>
            </w:r>
            <w:r>
              <w:rPr>
                <w:rFonts w:ascii="Arial" w:cs="Arial" w:eastAsia="Arial" w:hAnsi="Arial"/>
                <w:sz w:val="10"/>
                <w:szCs w:val="10"/>
                <w:color w:val="auto"/>
              </w:rPr>
              <w:t>(4)</w:t>
            </w:r>
          </w:p>
        </w:tc>
        <w:tc>
          <w:tcPr>
            <w:tcW w:w="1500" w:type="dxa"/>
            <w:vAlign w:val="bottom"/>
          </w:tcPr>
          <w:p>
            <w:pPr>
              <w:jc w:val="right"/>
              <w:spacing w:after="0"/>
              <w:rPr>
                <w:sz w:val="20"/>
                <w:szCs w:val="20"/>
                <w:color w:val="auto"/>
              </w:rPr>
            </w:pPr>
            <w:r>
              <w:rPr>
                <w:rFonts w:ascii="Arial" w:cs="Arial" w:eastAsia="Arial" w:hAnsi="Arial"/>
                <w:sz w:val="12"/>
                <w:szCs w:val="12"/>
                <w:color w:val="auto"/>
              </w:rPr>
              <w:t>7.0%</w:t>
            </w:r>
          </w:p>
        </w:tc>
      </w:tr>
      <w:tr>
        <w:trPr>
          <w:trHeight w:val="223"/>
        </w:trPr>
        <w:tc>
          <w:tcPr>
            <w:tcW w:w="5800" w:type="dxa"/>
            <w:vAlign w:val="bottom"/>
          </w:tcPr>
          <w:p>
            <w:pPr>
              <w:ind w:left="240"/>
              <w:spacing w:after="0"/>
              <w:rPr>
                <w:sz w:val="20"/>
                <w:szCs w:val="20"/>
                <w:color w:val="auto"/>
              </w:rPr>
            </w:pPr>
            <w:r>
              <w:rPr>
                <w:rFonts w:ascii="Arial" w:cs="Arial" w:eastAsia="Arial" w:hAnsi="Arial"/>
                <w:sz w:val="12"/>
                <w:szCs w:val="12"/>
                <w:color w:val="auto"/>
              </w:rPr>
              <w:t>Atlanta, Georgia 30309</w:t>
            </w:r>
          </w:p>
        </w:tc>
        <w:tc>
          <w:tcPr>
            <w:tcW w:w="4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2"/>
                <w:szCs w:val="12"/>
                <w:color w:val="auto"/>
              </w:rPr>
              <w:t>Orbis Investment Management (U.S.), LLC (“OIMUS”)</w:t>
            </w:r>
          </w:p>
        </w:tc>
        <w:tc>
          <w:tcPr>
            <w:tcW w:w="4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3"/>
        </w:trPr>
        <w:tc>
          <w:tcPr>
            <w:tcW w:w="5800" w:type="dxa"/>
            <w:vAlign w:val="bottom"/>
          </w:tcPr>
          <w:p>
            <w:pPr>
              <w:ind w:left="240"/>
              <w:spacing w:after="0"/>
              <w:rPr>
                <w:sz w:val="20"/>
                <w:szCs w:val="20"/>
                <w:color w:val="auto"/>
              </w:rPr>
            </w:pPr>
            <w:r>
              <w:rPr>
                <w:rFonts w:ascii="Arial" w:cs="Arial" w:eastAsia="Arial" w:hAnsi="Arial"/>
                <w:sz w:val="12"/>
                <w:szCs w:val="12"/>
                <w:color w:val="auto"/>
              </w:rPr>
              <w:t>600 Montgomery Street, Suite 3800</w:t>
            </w:r>
          </w:p>
        </w:tc>
        <w:tc>
          <w:tcPr>
            <w:tcW w:w="4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3"/>
        </w:trPr>
        <w:tc>
          <w:tcPr>
            <w:tcW w:w="5800" w:type="dxa"/>
            <w:vAlign w:val="bottom"/>
          </w:tcPr>
          <w:p>
            <w:pPr>
              <w:ind w:left="240"/>
              <w:spacing w:after="0"/>
              <w:rPr>
                <w:sz w:val="20"/>
                <w:szCs w:val="20"/>
                <w:color w:val="auto"/>
              </w:rPr>
            </w:pPr>
            <w:r>
              <w:rPr>
                <w:rFonts w:ascii="Arial" w:cs="Arial" w:eastAsia="Arial" w:hAnsi="Arial"/>
                <w:sz w:val="12"/>
                <w:szCs w:val="12"/>
                <w:color w:val="auto"/>
              </w:rPr>
              <w:t>San Francisco, California 94111</w:t>
            </w:r>
          </w:p>
        </w:tc>
        <w:tc>
          <w:tcPr>
            <w:tcW w:w="4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2"/>
                <w:szCs w:val="12"/>
                <w:color w:val="auto"/>
              </w:rPr>
              <w:t>Orbis Investment Management Limited (“OIML”)</w:t>
            </w:r>
          </w:p>
        </w:tc>
        <w:tc>
          <w:tcPr>
            <w:tcW w:w="4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2"/>
                <w:szCs w:val="12"/>
                <w:color w:val="auto"/>
              </w:rPr>
              <w:t>Orbis Asset Management Limited (“OAML”)</w:t>
            </w:r>
          </w:p>
        </w:tc>
        <w:tc>
          <w:tcPr>
            <w:tcW w:w="4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3"/>
        </w:trPr>
        <w:tc>
          <w:tcPr>
            <w:tcW w:w="5800" w:type="dxa"/>
            <w:vAlign w:val="bottom"/>
          </w:tcPr>
          <w:p>
            <w:pPr>
              <w:ind w:left="240"/>
              <w:spacing w:after="0"/>
              <w:rPr>
                <w:sz w:val="20"/>
                <w:szCs w:val="20"/>
                <w:color w:val="auto"/>
              </w:rPr>
            </w:pPr>
            <w:r>
              <w:rPr>
                <w:rFonts w:ascii="Arial" w:cs="Arial" w:eastAsia="Arial" w:hAnsi="Arial"/>
                <w:sz w:val="12"/>
                <w:szCs w:val="12"/>
                <w:color w:val="auto"/>
              </w:rPr>
              <w:t>Orbis House, 25 Front Street</w:t>
            </w:r>
          </w:p>
        </w:tc>
        <w:tc>
          <w:tcPr>
            <w:tcW w:w="4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3"/>
        </w:trPr>
        <w:tc>
          <w:tcPr>
            <w:tcW w:w="5800" w:type="dxa"/>
            <w:vAlign w:val="bottom"/>
          </w:tcPr>
          <w:p>
            <w:pPr>
              <w:ind w:left="240"/>
              <w:spacing w:after="0"/>
              <w:rPr>
                <w:sz w:val="20"/>
                <w:szCs w:val="20"/>
                <w:color w:val="auto"/>
              </w:rPr>
            </w:pPr>
            <w:r>
              <w:rPr>
                <w:rFonts w:ascii="Arial" w:cs="Arial" w:eastAsia="Arial" w:hAnsi="Arial"/>
                <w:sz w:val="12"/>
                <w:szCs w:val="12"/>
                <w:color w:val="auto"/>
              </w:rPr>
              <w:t>Hamilton, Bermuda HM11</w:t>
            </w:r>
          </w:p>
        </w:tc>
        <w:tc>
          <w:tcPr>
            <w:tcW w:w="4120" w:type="dxa"/>
            <w:vAlign w:val="bottom"/>
          </w:tcPr>
          <w:p>
            <w:pPr>
              <w:jc w:val="right"/>
              <w:ind w:right="78"/>
              <w:spacing w:after="0"/>
              <w:rPr>
                <w:sz w:val="20"/>
                <w:szCs w:val="20"/>
                <w:color w:val="auto"/>
              </w:rPr>
            </w:pPr>
            <w:r>
              <w:rPr>
                <w:rFonts w:ascii="Arial" w:cs="Arial" w:eastAsia="Arial" w:hAnsi="Arial"/>
                <w:sz w:val="12"/>
                <w:szCs w:val="12"/>
                <w:color w:val="auto"/>
              </w:rPr>
              <w:t>51,151,356</w:t>
            </w:r>
            <w:r>
              <w:rPr>
                <w:rFonts w:ascii="Arial" w:cs="Arial" w:eastAsia="Arial" w:hAnsi="Arial"/>
                <w:sz w:val="10"/>
                <w:szCs w:val="10"/>
                <w:color w:val="auto"/>
              </w:rPr>
              <w:t>(5)</w:t>
            </w:r>
          </w:p>
        </w:tc>
        <w:tc>
          <w:tcPr>
            <w:tcW w:w="1500" w:type="dxa"/>
            <w:vAlign w:val="bottom"/>
          </w:tcPr>
          <w:p>
            <w:pPr>
              <w:jc w:val="right"/>
              <w:spacing w:after="0"/>
              <w:rPr>
                <w:sz w:val="20"/>
                <w:szCs w:val="20"/>
                <w:color w:val="auto"/>
              </w:rPr>
            </w:pPr>
            <w:r>
              <w:rPr>
                <w:rFonts w:ascii="Arial" w:cs="Arial" w:eastAsia="Arial" w:hAnsi="Arial"/>
                <w:sz w:val="12"/>
                <w:szCs w:val="12"/>
                <w:color w:val="auto"/>
              </w:rPr>
              <w:t>6.6%</w:t>
            </w:r>
          </w:p>
        </w:tc>
      </w:tr>
      <w:tr>
        <w:trPr>
          <w:trHeight w:val="43"/>
        </w:trPr>
        <w:tc>
          <w:tcPr>
            <w:tcW w:w="5800" w:type="dxa"/>
            <w:vAlign w:val="bottom"/>
            <w:tcBorders>
              <w:bottom w:val="single" w:sz="8" w:color="auto"/>
            </w:tcBorders>
          </w:tcPr>
          <w:p>
            <w:pPr>
              <w:spacing w:after="0"/>
              <w:rPr>
                <w:sz w:val="3"/>
                <w:szCs w:val="3"/>
                <w:color w:val="auto"/>
              </w:rPr>
            </w:pPr>
          </w:p>
        </w:tc>
        <w:tc>
          <w:tcPr>
            <w:tcW w:w="41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bl>
    <w:p>
      <w:pPr>
        <w:spacing w:after="0" w:line="98" w:lineRule="exact"/>
        <w:rPr>
          <w:sz w:val="20"/>
          <w:szCs w:val="20"/>
          <w:color w:val="auto"/>
        </w:rPr>
      </w:pPr>
    </w:p>
    <w:p>
      <w:pPr>
        <w:ind w:left="181" w:hanging="181"/>
        <w:spacing w:after="0"/>
        <w:tabs>
          <w:tab w:leader="none" w:pos="181"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percentage indicated is based on 773,448,725 outstanding shares as of July 23, 2014.</w:t>
      </w:r>
    </w:p>
    <w:p>
      <w:pPr>
        <w:spacing w:after="0" w:line="97" w:lineRule="exact"/>
        <w:rPr>
          <w:rFonts w:ascii="Arial" w:cs="Arial" w:eastAsia="Arial" w:hAnsi="Arial"/>
          <w:sz w:val="12"/>
          <w:szCs w:val="12"/>
          <w:color w:val="auto"/>
        </w:rPr>
      </w:pPr>
    </w:p>
    <w:p>
      <w:pPr>
        <w:ind w:left="181" w:hanging="181"/>
        <w:spacing w:after="0" w:line="254" w:lineRule="auto"/>
        <w:tabs>
          <w:tab w:leader="none" w:pos="181"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number of shares is based on the Schedule 13G filed with the SEC on February 13, 2014. According to the filing, (i) the beneficial owner reports sole voting power over 65,389,343 shares and sole dispositive power over all the shares, and (ii) the beneficial owner does not have shared voting or dispositive power over any of the shares.</w:t>
      </w:r>
    </w:p>
    <w:p>
      <w:pPr>
        <w:spacing w:after="0" w:line="79" w:lineRule="exact"/>
        <w:rPr>
          <w:rFonts w:ascii="Arial" w:cs="Arial" w:eastAsia="Arial" w:hAnsi="Arial"/>
          <w:sz w:val="12"/>
          <w:szCs w:val="12"/>
          <w:color w:val="auto"/>
        </w:rPr>
      </w:pPr>
    </w:p>
    <w:p>
      <w:pPr>
        <w:ind w:left="181" w:hanging="181"/>
        <w:spacing w:after="0" w:line="254" w:lineRule="auto"/>
        <w:tabs>
          <w:tab w:leader="none" w:pos="181"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number of shares is based on the Schedule 13G/A filed with the SEC on February 14, 2014. According to the filing, (i) the beneficial owner has sole voting power over 60,578,242 shares and sole dispositive power over all shares, and (ii) the beneficial owner does not have shared voting or dispositive power over any of the shares.</w:t>
      </w:r>
    </w:p>
    <w:p>
      <w:pPr>
        <w:spacing w:after="0" w:line="79" w:lineRule="exact"/>
        <w:rPr>
          <w:rFonts w:ascii="Arial" w:cs="Arial" w:eastAsia="Arial" w:hAnsi="Arial"/>
          <w:sz w:val="12"/>
          <w:szCs w:val="12"/>
          <w:color w:val="auto"/>
        </w:rPr>
      </w:pPr>
    </w:p>
    <w:p>
      <w:pPr>
        <w:ind w:left="181" w:hanging="181"/>
        <w:spacing w:after="0" w:line="254" w:lineRule="auto"/>
        <w:tabs>
          <w:tab w:leader="none" w:pos="181"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number of shares is based on the Schedule 13G/A filed with the SEC on February 5, 2014. According to the filing, (i) subsidiaries of the beneficial owner have sole voting power over 53,634,844 shares and sole dispositive power over all shares, and (ii) subsidiaries of the beneficial owner do not have shared voting or dispositive power over any of the shares.</w:t>
      </w:r>
    </w:p>
    <w:p>
      <w:pPr>
        <w:spacing w:after="0" w:line="79" w:lineRule="exact"/>
        <w:rPr>
          <w:rFonts w:ascii="Arial" w:cs="Arial" w:eastAsia="Arial" w:hAnsi="Arial"/>
          <w:sz w:val="12"/>
          <w:szCs w:val="12"/>
          <w:color w:val="auto"/>
        </w:rPr>
      </w:pPr>
    </w:p>
    <w:p>
      <w:pPr>
        <w:jc w:val="both"/>
        <w:ind w:left="181" w:hanging="181"/>
        <w:spacing w:after="0" w:line="245" w:lineRule="auto"/>
        <w:tabs>
          <w:tab w:leader="none" w:pos="181"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number of shares is based on the Schedule 13G/A filed with the SEC on February 14, 2014. According to the filing, OIMUS beneficially owns 188,154 shares, OIML beneficially owns 50,803,581 shares, and OAML beneficially owns 159,621 shares. According to the filing, the beneficial owners have sole voting and dispositive power over all shares and do not have shared voting or dispositive power over any of the shares.</w:t>
      </w:r>
    </w:p>
    <w:p>
      <w:pPr>
        <w:spacing w:after="0" w:line="184" w:lineRule="exact"/>
        <w:rPr>
          <w:sz w:val="20"/>
          <w:szCs w:val="20"/>
          <w:color w:val="auto"/>
        </w:rPr>
      </w:pPr>
    </w:p>
    <w:p>
      <w:pPr>
        <w:ind w:left="301" w:hanging="301"/>
        <w:spacing w:after="0"/>
        <w:tabs>
          <w:tab w:leader="none" w:pos="301" w:val="left"/>
        </w:tabs>
        <w:numPr>
          <w:ilvl w:val="0"/>
          <w:numId w:val="27"/>
        </w:numPr>
        <w:rPr>
          <w:rFonts w:ascii="Arial" w:cs="Arial" w:eastAsia="Arial" w:hAnsi="Arial"/>
          <w:sz w:val="12"/>
          <w:szCs w:val="12"/>
          <w:b w:val="1"/>
          <w:bCs w:val="1"/>
          <w:color w:val="auto"/>
        </w:rPr>
      </w:pPr>
      <w:r>
        <w:rPr>
          <w:rFonts w:ascii="Arial" w:cs="Arial" w:eastAsia="Arial" w:hAnsi="Arial"/>
          <w:sz w:val="12"/>
          <w:szCs w:val="12"/>
          <w:color w:val="auto"/>
        </w:rPr>
        <w:t>Weatherford International plc - 2014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8370" cy="203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10400"/>
        <w:spacing w:after="0"/>
        <w:rPr>
          <w:sz w:val="20"/>
          <w:szCs w:val="20"/>
          <w:color w:val="auto"/>
        </w:rPr>
      </w:pPr>
      <w:r>
        <w:rPr>
          <w:rFonts w:ascii="Arial" w:cs="Arial" w:eastAsia="Arial" w:hAnsi="Arial"/>
          <w:sz w:val="12"/>
          <w:szCs w:val="12"/>
          <w:b w:val="1"/>
          <w:bCs w:val="1"/>
          <w:color w:val="FFFFFF"/>
          <w:shd w:val="clear" w:color="auto" w:fill="BB1131"/>
        </w:rPr>
        <w:t>AGENDA ITEM 1</w:t>
      </w:r>
    </w:p>
    <w:p>
      <w:pPr>
        <w:spacing w:after="0" w:line="214" w:lineRule="exact"/>
        <w:rPr>
          <w:sz w:val="20"/>
          <w:szCs w:val="20"/>
          <w:color w:val="auto"/>
        </w:rPr>
      </w:pPr>
    </w:p>
    <w:p>
      <w:pPr>
        <w:spacing w:after="0"/>
        <w:rPr>
          <w:sz w:val="20"/>
          <w:szCs w:val="20"/>
          <w:color w:val="auto"/>
        </w:rPr>
      </w:pPr>
      <w:r>
        <w:rPr>
          <w:rFonts w:ascii="Arial" w:cs="Arial" w:eastAsia="Arial" w:hAnsi="Arial"/>
          <w:sz w:val="30"/>
          <w:szCs w:val="30"/>
          <w:color w:val="BB1131"/>
        </w:rPr>
        <w:t>Related person transaction</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2"/>
          <w:szCs w:val="12"/>
          <w:color w:val="auto"/>
        </w:rPr>
        <w:t>We lease our London office space from Central London Commercial Estates Limited, which is affiliated with Derwent London, of which one of our directors, Mr. Robert A. Rayne, is the Non-executive Chairman. Mr. Rayne was not personally involved in the negotiation of the lease transaction and receives no personal benefit from this transaction. The lease transaction was reviewed by the Corporate Governance and Nominating Committee of our Board of Directors and approved by our Board of Directors, with Mr. Rayne abstaining from voting on the matter. In their review, our Corporate Governance and Nominating Committee considered among other factors a report from an independent real estate brokerage firm with expertise in the relevant market analyzing lease alternatives to conclude that the transactions were, taken as a whole, at least as fair to us as would have been obtained on an arms-length basis from a non-affiliated party. In 2013, we paid the lessor a total of approximately £253,000 ($396,000 based on an annual average exchange rate for the year ended December 31, 2013).</w:t>
      </w:r>
    </w:p>
    <w:p>
      <w:pPr>
        <w:spacing w:after="0" w:line="173"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auto"/>
        </w:rPr>
        <w:t>Weatherford International plc - www.WeatherfordAnnualMeeting.com</w:t>
      </w:r>
      <w:r>
        <w:rPr>
          <w:sz w:val="20"/>
          <w:szCs w:val="20"/>
          <w:color w:val="auto"/>
        </w:rPr>
        <w:tab/>
      </w:r>
      <w:r>
        <w:rPr>
          <w:rFonts w:ascii="Arial" w:cs="Arial" w:eastAsia="Arial" w:hAnsi="Arial"/>
          <w:sz w:val="10"/>
          <w:szCs w:val="10"/>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131445</wp:posOffset>
            </wp:positionV>
            <wp:extent cx="7278370" cy="203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5" w:name="page36"/>
    <w:bookmarkEnd w:id="35"/>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47" w:lineRule="exact"/>
        <w:rPr>
          <w:sz w:val="20"/>
          <w:szCs w:val="20"/>
          <w:color w:val="auto"/>
        </w:rPr>
      </w:pPr>
    </w:p>
    <w:p>
      <w:pPr>
        <w:ind w:left="101" w:right="3280"/>
        <w:spacing w:after="0" w:line="256" w:lineRule="auto"/>
        <w:rPr>
          <w:sz w:val="20"/>
          <w:szCs w:val="20"/>
          <w:color w:val="auto"/>
        </w:rPr>
      </w:pPr>
      <w:r>
        <w:rPr>
          <w:rFonts w:ascii="Arial" w:cs="Arial" w:eastAsia="Arial" w:hAnsi="Arial"/>
          <w:sz w:val="40"/>
          <w:szCs w:val="40"/>
          <w:b w:val="1"/>
          <w:bCs w:val="1"/>
          <w:color w:val="BB1131"/>
          <w:highlight w:val="lightGray"/>
        </w:rPr>
        <w:t xml:space="preserve">AGENDA ITEM 2 RATIFY APPOINTMENT </w:t>
      </w:r>
      <w:r>
        <w:rPr>
          <w:rFonts w:ascii="Arial" w:cs="Arial" w:eastAsia="Arial" w:hAnsi="Arial"/>
          <w:sz w:val="40"/>
          <w:szCs w:val="40"/>
          <w:b w:val="1"/>
          <w:bCs w:val="1"/>
          <w:color w:val="BB1131"/>
        </w:rPr>
        <w:t xml:space="preserve">OF INDEPENDENT AUDITORS AND </w:t>
      </w:r>
      <w:r>
        <w:rPr>
          <w:rFonts w:ascii="Arial" w:cs="Arial" w:eastAsia="Arial" w:hAnsi="Arial"/>
          <w:sz w:val="40"/>
          <w:szCs w:val="40"/>
          <w:b w:val="1"/>
          <w:bCs w:val="1"/>
          <w:color w:val="BB1131"/>
          <w:highlight w:val="lightGray"/>
        </w:rPr>
        <w:t>AUTHORIZE AUDITORS’ REMUNERATION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-611505</wp:posOffset>
            </wp:positionV>
            <wp:extent cx="4356100" cy="2832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356100" cy="283210"/>
                    </a:xfrm>
                    <a:prstGeom prst="rect">
                      <a:avLst/>
                    </a:prstGeom>
                    <a:noFill/>
                  </pic:spPr>
                </pic:pic>
              </a:graphicData>
            </a:graphic>
          </wp:anchor>
        </w:drawing>
      </w:r>
    </w:p>
    <w:p>
      <w:pPr>
        <w:spacing w:after="0" w:line="133" w:lineRule="exact"/>
        <w:rPr>
          <w:sz w:val="20"/>
          <w:szCs w:val="20"/>
          <w:color w:val="auto"/>
        </w:rPr>
      </w:pPr>
    </w:p>
    <w:p>
      <w:pPr>
        <w:ind w:left="1"/>
        <w:spacing w:after="0"/>
        <w:rPr>
          <w:sz w:val="20"/>
          <w:szCs w:val="20"/>
          <w:color w:val="auto"/>
        </w:rPr>
      </w:pPr>
      <w:r>
        <w:rPr>
          <w:rFonts w:ascii="Arial" w:cs="Arial" w:eastAsia="Arial" w:hAnsi="Arial"/>
          <w:sz w:val="16"/>
          <w:szCs w:val="16"/>
          <w:color w:val="BB1131"/>
        </w:rPr>
        <w:t>The Board of Directors recommends that you vote “FOR” this proposal.</w:t>
      </w:r>
    </w:p>
    <w:p>
      <w:pPr>
        <w:spacing w:after="0" w:line="97" w:lineRule="exact"/>
        <w:rPr>
          <w:sz w:val="20"/>
          <w:szCs w:val="20"/>
          <w:color w:val="auto"/>
        </w:rPr>
      </w:pPr>
    </w:p>
    <w:p>
      <w:pPr>
        <w:jc w:val="both"/>
        <w:ind w:left="1"/>
        <w:spacing w:after="0" w:line="242" w:lineRule="auto"/>
        <w:rPr>
          <w:sz w:val="20"/>
          <w:szCs w:val="20"/>
          <w:color w:val="auto"/>
        </w:rPr>
      </w:pPr>
      <w:r>
        <w:rPr>
          <w:rFonts w:ascii="Arial" w:cs="Arial" w:eastAsia="Arial" w:hAnsi="Arial"/>
          <w:sz w:val="12"/>
          <w:szCs w:val="12"/>
          <w:color w:val="auto"/>
        </w:rPr>
        <w:t>KPMG LLP and KPMG AG (“KPMG”) served as the independent auditors for Weatherford Switzerland, our predecessor company, for the year ended December 31, 2013. The Board, upon the recommendation of the Audit Committee, is asking our shareholders to ratify the appointment of KPMG LLP as our independent registered public accounting firm for the year ending December 31, 2014, to hold office until the close of the 2015 Annual General meeting, and to authorize the Board of Directors, acting through the Audit Committee, to determine the independent auditors’ remuneration. The selection of KPMG LLP as the independent registered public accounting firm for 2014 was approved by the Audit Committee on June 26, 2014.</w:t>
      </w:r>
    </w:p>
    <w:p>
      <w:pPr>
        <w:spacing w:after="0" w:line="75" w:lineRule="exact"/>
        <w:rPr>
          <w:sz w:val="20"/>
          <w:szCs w:val="20"/>
          <w:color w:val="auto"/>
        </w:rPr>
      </w:pPr>
    </w:p>
    <w:p>
      <w:pPr>
        <w:jc w:val="both"/>
        <w:ind w:left="1"/>
        <w:spacing w:after="0" w:line="275" w:lineRule="auto"/>
        <w:rPr>
          <w:sz w:val="20"/>
          <w:szCs w:val="20"/>
          <w:color w:val="auto"/>
        </w:rPr>
      </w:pPr>
      <w:r>
        <w:rPr>
          <w:rFonts w:ascii="Arial" w:cs="Arial" w:eastAsia="Arial" w:hAnsi="Arial"/>
          <w:sz w:val="12"/>
          <w:szCs w:val="12"/>
          <w:color w:val="auto"/>
        </w:rPr>
        <w:t>An ordinary resolution (</w:t>
      </w:r>
      <w:r>
        <w:rPr>
          <w:rFonts w:ascii="Arial" w:cs="Arial" w:eastAsia="Arial" w:hAnsi="Arial"/>
          <w:sz w:val="12"/>
          <w:szCs w:val="12"/>
          <w:i w:val="1"/>
          <w:iCs w:val="1"/>
          <w:color w:val="auto"/>
        </w:rPr>
        <w:t>i.e.</w:t>
      </w:r>
      <w:r>
        <w:rPr>
          <w:rFonts w:ascii="Arial" w:cs="Arial" w:eastAsia="Arial" w:hAnsi="Arial"/>
          <w:sz w:val="12"/>
          <w:szCs w:val="12"/>
          <w:color w:val="auto"/>
        </w:rPr>
        <w:t>, a simple majority of the votes cast “For” or “Against,” in person or by proxy, provided a quorum is present) is required to approve this proposal. If you properly give a proxy but do not indicate how you wish to vote, the persons named on the proxy card will vote for the proposal. Abstentions and “broker non-votes” will not affect the voting results.</w:t>
      </w:r>
    </w:p>
    <w:p>
      <w:pPr>
        <w:spacing w:after="0" w:line="67" w:lineRule="exact"/>
        <w:rPr>
          <w:sz w:val="20"/>
          <w:szCs w:val="20"/>
          <w:color w:val="auto"/>
        </w:rPr>
      </w:pPr>
    </w:p>
    <w:p>
      <w:pPr>
        <w:ind w:left="1"/>
        <w:spacing w:after="0"/>
        <w:rPr>
          <w:sz w:val="20"/>
          <w:szCs w:val="20"/>
          <w:color w:val="auto"/>
        </w:rPr>
      </w:pPr>
      <w:r>
        <w:rPr>
          <w:rFonts w:ascii="Arial" w:cs="Arial" w:eastAsia="Arial" w:hAnsi="Arial"/>
          <w:sz w:val="12"/>
          <w:szCs w:val="12"/>
          <w:color w:val="auto"/>
        </w:rPr>
        <w:t>Representatives of KPMG will be present at the Annual General Meeting to respond to any appropriate shareholder questions and will be given an opportunity to make a statement if they so desire.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
        <w:spacing w:after="0"/>
        <w:rPr>
          <w:sz w:val="20"/>
          <w:szCs w:val="20"/>
          <w:color w:val="auto"/>
        </w:rPr>
      </w:pPr>
      <w:r>
        <w:rPr>
          <w:rFonts w:ascii="Arial" w:cs="Arial" w:eastAsia="Arial" w:hAnsi="Arial"/>
          <w:sz w:val="30"/>
          <w:szCs w:val="30"/>
          <w:color w:val="BB1131"/>
        </w:rPr>
        <w:t>Change in independent registered public accounting firm</w:t>
      </w:r>
    </w:p>
    <w:p>
      <w:pPr>
        <w:spacing w:after="0" w:line="196" w:lineRule="exact"/>
        <w:rPr>
          <w:sz w:val="20"/>
          <w:szCs w:val="20"/>
          <w:color w:val="auto"/>
        </w:rPr>
      </w:pPr>
    </w:p>
    <w:p>
      <w:pPr>
        <w:jc w:val="both"/>
        <w:ind w:left="1"/>
        <w:spacing w:after="0" w:line="241" w:lineRule="auto"/>
        <w:rPr>
          <w:sz w:val="20"/>
          <w:szCs w:val="20"/>
          <w:color w:val="auto"/>
        </w:rPr>
      </w:pPr>
      <w:r>
        <w:rPr>
          <w:rFonts w:ascii="Arial" w:cs="Arial" w:eastAsia="Arial" w:hAnsi="Arial"/>
          <w:sz w:val="12"/>
          <w:szCs w:val="12"/>
          <w:color w:val="auto"/>
        </w:rPr>
        <w:t>On March 7, 2013, the Audit Committee of our Board of Directors approved the appointment of KPMG LLP as our independent registered public accounting firm for the year ending December 31, 2013. During the years ended December 31, 2012 and 2011 and through March 7, 2013, we did not, nor did anyone on our behalf, consult with KPMG LLP with respect to either (i) the application of accounting principles to a specified transaction, either completed or proposed, or the type of audit opinion that might be rendered on our consolidated financial statements, and neither a written report nor oral advice was provided to us that was an important factor we considered in reaching a decision as to any accounting, auditing or financial reporting issue; or (ii) any matter that was either the subject of a disagreement (as defined in Item 304(a)(1)(iv) of Regulation S-K and the related instructions to Item 304 of Regulation S-K) or a reportable event (as defined in Item 304(a)(1)(v) of Regulation S-K).</w:t>
      </w:r>
    </w:p>
    <w:p>
      <w:pPr>
        <w:spacing w:after="0" w:line="87"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On March 7, 2013, the Audit Committee decided not to re-appoint Ernst &amp; Young LLP (“E&amp;Y”) as our independent registered public accounting firm for the year ending December 31, 2013. E&amp;Y completed the audit of our financial statements for the year ended December 31, 2012 on March 4, 2013, the date of its audit opinion.</w:t>
      </w:r>
    </w:p>
    <w:p>
      <w:pPr>
        <w:spacing w:after="0" w:line="79" w:lineRule="exact"/>
        <w:rPr>
          <w:sz w:val="20"/>
          <w:szCs w:val="20"/>
          <w:color w:val="auto"/>
        </w:rPr>
      </w:pPr>
    </w:p>
    <w:p>
      <w:pPr>
        <w:jc w:val="both"/>
        <w:ind w:left="1"/>
        <w:spacing w:after="0" w:line="239" w:lineRule="auto"/>
        <w:rPr>
          <w:sz w:val="20"/>
          <w:szCs w:val="20"/>
          <w:color w:val="auto"/>
        </w:rPr>
      </w:pPr>
      <w:r>
        <w:rPr>
          <w:rFonts w:ascii="Arial" w:cs="Arial" w:eastAsia="Arial" w:hAnsi="Arial"/>
          <w:sz w:val="12"/>
          <w:szCs w:val="12"/>
          <w:color w:val="auto"/>
        </w:rPr>
        <w:t>The audit reports of E&amp;Y on our consolidated financial statements as of and for the years ended December 31, 2012 and 2011, did not contain an adverse opinion or a disclaimer of opinion, and were not qualified or modified as to uncertainty, audit scope or accounting principles. The audit reports of E&amp;Y on the effectiveness of our internal control over financial reporting as of December 31, 2012 and 2011, contained an adverse opinion on our internal control over financial reporting due to the effect of material weaknesses in our predecessor company’s internal controls over the accounting for income taxes. E&amp;Y also identified and communicated to our Audit Committee a material weakness in our internal controls during the quarters ended March 31, June 30, and September 30, 2012, related to a long-term construction contract in Iraq accounted for under the percentage-of-completion method. The material weakness related to percentage-of-completion accounting was reported as remediated as of December 31, 2012, in the Annual Report on Form 10-K filed on March 4, 2013. Our disclosures on the effectiveness of our internal controls in Item 9A of our Annual Reports on Form 10-K and Item 4 of our quarterly reports on Form 10-Q for these periods address the material weaknesses.</w:t>
      </w:r>
    </w:p>
    <w:p>
      <w:pPr>
        <w:spacing w:after="0" w:line="91" w:lineRule="exact"/>
        <w:rPr>
          <w:sz w:val="20"/>
          <w:szCs w:val="20"/>
          <w:color w:val="auto"/>
        </w:rPr>
      </w:pPr>
    </w:p>
    <w:p>
      <w:pPr>
        <w:jc w:val="both"/>
        <w:ind w:left="1"/>
        <w:spacing w:after="0" w:line="242" w:lineRule="auto"/>
        <w:rPr>
          <w:sz w:val="20"/>
          <w:szCs w:val="20"/>
          <w:color w:val="auto"/>
        </w:rPr>
      </w:pPr>
      <w:r>
        <w:rPr>
          <w:rFonts w:ascii="Arial" w:cs="Arial" w:eastAsia="Arial" w:hAnsi="Arial"/>
          <w:sz w:val="12"/>
          <w:szCs w:val="12"/>
          <w:color w:val="auto"/>
        </w:rPr>
        <w:t>During the years ended December 31, 2012, and December 31, 2011, and through March 7, 2013, there were (i) no disagreements (as defined in Item 304(a)(1)(iv) of Regulation S-K and the related instructions to Item 304 of Regulation S-K) with E&amp;Y on any matter of accounting principles or practices, financial statement disclosure, or auditing scope or procedure, which disagreements, if not resolved to the satisfaction of E&amp;Y, would have caused E&amp;Y to make reference to the subject matter of the disagreements in its reports on our consolidated financial statements for such years and (ii) no “reportable events” as that term is defined in Item 304(a)(1)(v) of Regulation S-K, except for the material weaknesses described above.</w:t>
      </w:r>
    </w:p>
    <w:p>
      <w:pPr>
        <w:spacing w:after="0" w:line="186" w:lineRule="exact"/>
        <w:rPr>
          <w:sz w:val="20"/>
          <w:szCs w:val="20"/>
          <w:color w:val="auto"/>
        </w:rPr>
      </w:pPr>
    </w:p>
    <w:p>
      <w:pPr>
        <w:ind w:left="301" w:hanging="301"/>
        <w:spacing w:after="0"/>
        <w:tabs>
          <w:tab w:leader="none" w:pos="301" w:val="left"/>
        </w:tabs>
        <w:numPr>
          <w:ilvl w:val="0"/>
          <w:numId w:val="28"/>
        </w:numPr>
        <w:rPr>
          <w:rFonts w:ascii="Arial" w:cs="Arial" w:eastAsia="Arial" w:hAnsi="Arial"/>
          <w:sz w:val="12"/>
          <w:szCs w:val="12"/>
          <w:b w:val="1"/>
          <w:bCs w:val="1"/>
          <w:color w:val="auto"/>
        </w:rPr>
      </w:pPr>
      <w:r>
        <w:rPr>
          <w:rFonts w:ascii="Arial" w:cs="Arial" w:eastAsia="Arial" w:hAnsi="Arial"/>
          <w:sz w:val="12"/>
          <w:szCs w:val="12"/>
          <w:color w:val="auto"/>
        </w:rPr>
        <w:t>Weatherford International plc - 2014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8370" cy="203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sectPr>
      </w:pPr>
    </w:p>
    <w:bookmarkStart w:id="36" w:name="page37"/>
    <w:bookmarkEnd w:id="36"/>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10401"/>
        <w:spacing w:after="0"/>
        <w:rPr>
          <w:sz w:val="20"/>
          <w:szCs w:val="20"/>
          <w:color w:val="auto"/>
        </w:rPr>
      </w:pPr>
      <w:r>
        <w:rPr>
          <w:rFonts w:ascii="Arial" w:cs="Arial" w:eastAsia="Arial" w:hAnsi="Arial"/>
          <w:sz w:val="12"/>
          <w:szCs w:val="12"/>
          <w:b w:val="1"/>
          <w:bCs w:val="1"/>
          <w:color w:val="FFFFFF"/>
          <w:shd w:val="clear" w:color="auto" w:fill="BB1131"/>
        </w:rPr>
        <w:t>AGENDA ITEM 2</w:t>
      </w:r>
    </w:p>
    <w:p>
      <w:pPr>
        <w:spacing w:after="0" w:line="214" w:lineRule="exact"/>
        <w:rPr>
          <w:sz w:val="20"/>
          <w:szCs w:val="20"/>
          <w:color w:val="auto"/>
        </w:rPr>
      </w:pPr>
    </w:p>
    <w:p>
      <w:pPr>
        <w:ind w:left="1"/>
        <w:spacing w:after="0"/>
        <w:rPr>
          <w:sz w:val="20"/>
          <w:szCs w:val="20"/>
          <w:color w:val="auto"/>
        </w:rPr>
      </w:pPr>
      <w:r>
        <w:rPr>
          <w:rFonts w:ascii="Arial" w:cs="Arial" w:eastAsia="Arial" w:hAnsi="Arial"/>
          <w:sz w:val="30"/>
          <w:szCs w:val="30"/>
          <w:color w:val="BB1131"/>
        </w:rPr>
        <w:t>Fees paid to KPMG and Ernst &amp; Young</w:t>
      </w:r>
    </w:p>
    <w:p>
      <w:pPr>
        <w:spacing w:after="0" w:line="196" w:lineRule="exact"/>
        <w:rPr>
          <w:sz w:val="20"/>
          <w:szCs w:val="20"/>
          <w:color w:val="auto"/>
        </w:rPr>
      </w:pPr>
    </w:p>
    <w:p>
      <w:pPr>
        <w:jc w:val="both"/>
        <w:ind w:left="1"/>
        <w:spacing w:after="0" w:line="242" w:lineRule="auto"/>
        <w:rPr>
          <w:sz w:val="20"/>
          <w:szCs w:val="20"/>
          <w:color w:val="auto"/>
        </w:rPr>
      </w:pPr>
      <w:r>
        <w:rPr>
          <w:rFonts w:ascii="Arial" w:cs="Arial" w:eastAsia="Arial" w:hAnsi="Arial"/>
          <w:sz w:val="12"/>
          <w:szCs w:val="12"/>
          <w:color w:val="auto"/>
        </w:rPr>
        <w:t>The following table presents fees for professional audit services rendered by KPMG LLP and KPMG AG for the audit of the annual consolidated financial statements and statutory financial statements of Weatherford Switzerland, our predecessor company, for the year ended December 31, 2013 and for professional audit services rendered by Ernst &amp; Young LLP and Ernst &amp; Young Ltd., Zurich for the audit of Weatherford Switzerland’s annual consolidated financial statements and statutory financial statements for the year ended December 31, 2012, and fees billed for other services rendered by KPMG LLP and KPMG AG and Ernst &amp; Young LLP and other member firms of Ernst &amp; Young Global Limited during those periods. All fees were approved by the Audit Committee pursuant to its pre-approval policy.</w:t>
      </w:r>
    </w:p>
    <w:p>
      <w:pPr>
        <w:spacing w:after="0" w:line="125" w:lineRule="exact"/>
        <w:rPr>
          <w:sz w:val="20"/>
          <w:szCs w:val="20"/>
          <w:color w:val="auto"/>
        </w:rPr>
      </w:pPr>
    </w:p>
    <w:tbl>
      <w:tblPr>
        <w:tblLayout w:type="fixed"/>
        <w:tblInd w:w="1" w:type="dxa"/>
        <w:tblCellMar>
          <w:top w:w="0" w:type="dxa"/>
          <w:left w:w="0" w:type="dxa"/>
          <w:bottom w:w="0" w:type="dxa"/>
          <w:right w:w="0" w:type="dxa"/>
        </w:tblCellMar>
      </w:tblPr>
      <w:tr>
        <w:trPr>
          <w:trHeight w:val="148"/>
        </w:trPr>
        <w:tc>
          <w:tcPr>
            <w:tcW w:w="5380" w:type="dxa"/>
            <w:vAlign w:val="bottom"/>
          </w:tcPr>
          <w:p>
            <w:pPr>
              <w:spacing w:after="0"/>
              <w:rPr>
                <w:sz w:val="12"/>
                <w:szCs w:val="12"/>
                <w:color w:val="auto"/>
              </w:rPr>
            </w:pPr>
          </w:p>
        </w:tc>
        <w:tc>
          <w:tcPr>
            <w:tcW w:w="5200" w:type="dxa"/>
            <w:vAlign w:val="bottom"/>
          </w:tcPr>
          <w:p>
            <w:pPr>
              <w:jc w:val="right"/>
              <w:ind w:right="78"/>
              <w:spacing w:after="0"/>
              <w:rPr>
                <w:sz w:val="20"/>
                <w:szCs w:val="20"/>
                <w:color w:val="auto"/>
              </w:rPr>
            </w:pPr>
            <w:r>
              <w:rPr>
                <w:rFonts w:ascii="Arial" w:cs="Arial" w:eastAsia="Arial" w:hAnsi="Arial"/>
                <w:sz w:val="12"/>
                <w:szCs w:val="12"/>
                <w:color w:val="auto"/>
              </w:rPr>
              <w:t>2013 (KPMG)</w:t>
            </w:r>
          </w:p>
        </w:tc>
        <w:tc>
          <w:tcPr>
            <w:tcW w:w="840" w:type="dxa"/>
            <w:vAlign w:val="bottom"/>
          </w:tcPr>
          <w:p>
            <w:pPr>
              <w:jc w:val="right"/>
              <w:spacing w:after="0"/>
              <w:rPr>
                <w:sz w:val="20"/>
                <w:szCs w:val="20"/>
                <w:color w:val="auto"/>
              </w:rPr>
            </w:pPr>
            <w:r>
              <w:rPr>
                <w:rFonts w:ascii="Arial" w:cs="Arial" w:eastAsia="Arial" w:hAnsi="Arial"/>
                <w:sz w:val="12"/>
                <w:szCs w:val="12"/>
                <w:color w:val="auto"/>
              </w:rPr>
              <w:t>2012 (EY)</w:t>
            </w:r>
          </w:p>
        </w:tc>
      </w:tr>
      <w:tr>
        <w:trPr>
          <w:trHeight w:val="38"/>
        </w:trPr>
        <w:tc>
          <w:tcPr>
            <w:tcW w:w="5380" w:type="dxa"/>
            <w:vAlign w:val="bottom"/>
            <w:tcBorders>
              <w:bottom w:val="single" w:sz="8" w:color="auto"/>
            </w:tcBorders>
          </w:tcPr>
          <w:p>
            <w:pPr>
              <w:spacing w:after="0"/>
              <w:rPr>
                <w:sz w:val="3"/>
                <w:szCs w:val="3"/>
                <w:color w:val="auto"/>
              </w:rPr>
            </w:pPr>
          </w:p>
        </w:tc>
        <w:tc>
          <w:tcPr>
            <w:tcW w:w="52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311"/>
        </w:trPr>
        <w:tc>
          <w:tcPr>
            <w:tcW w:w="5380" w:type="dxa"/>
            <w:vAlign w:val="bottom"/>
          </w:tcPr>
          <w:p>
            <w:pPr>
              <w:spacing w:after="0"/>
              <w:rPr>
                <w:sz w:val="20"/>
                <w:szCs w:val="20"/>
                <w:color w:val="auto"/>
              </w:rPr>
            </w:pPr>
            <w:r>
              <w:rPr>
                <w:rFonts w:ascii="Arial" w:cs="Arial" w:eastAsia="Arial" w:hAnsi="Arial"/>
                <w:sz w:val="12"/>
                <w:szCs w:val="12"/>
                <w:color w:val="auto"/>
              </w:rPr>
              <w:t>Audit fees</w:t>
            </w:r>
            <w:r>
              <w:rPr>
                <w:rFonts w:ascii="Arial" w:cs="Arial" w:eastAsia="Arial" w:hAnsi="Arial"/>
                <w:sz w:val="20"/>
                <w:szCs w:val="20"/>
                <w:color w:val="auto"/>
                <w:vertAlign w:val="superscript"/>
              </w:rPr>
              <w:t>(1)</w:t>
            </w:r>
          </w:p>
        </w:tc>
        <w:tc>
          <w:tcPr>
            <w:tcW w:w="5200" w:type="dxa"/>
            <w:vAlign w:val="bottom"/>
          </w:tcPr>
          <w:p>
            <w:pPr>
              <w:jc w:val="right"/>
              <w:ind w:right="78"/>
              <w:spacing w:after="0"/>
              <w:rPr>
                <w:sz w:val="20"/>
                <w:szCs w:val="20"/>
                <w:color w:val="auto"/>
              </w:rPr>
            </w:pPr>
            <w:r>
              <w:rPr>
                <w:rFonts w:ascii="Arial" w:cs="Arial" w:eastAsia="Arial" w:hAnsi="Arial"/>
                <w:sz w:val="12"/>
                <w:szCs w:val="12"/>
                <w:color w:val="auto"/>
              </w:rPr>
              <w:t>$16,789,000</w:t>
            </w:r>
          </w:p>
        </w:tc>
        <w:tc>
          <w:tcPr>
            <w:tcW w:w="840" w:type="dxa"/>
            <w:vAlign w:val="bottom"/>
          </w:tcPr>
          <w:p>
            <w:pPr>
              <w:jc w:val="right"/>
              <w:spacing w:after="0"/>
              <w:rPr>
                <w:sz w:val="20"/>
                <w:szCs w:val="20"/>
                <w:color w:val="auto"/>
              </w:rPr>
            </w:pPr>
            <w:r>
              <w:rPr>
                <w:rFonts w:ascii="Arial" w:cs="Arial" w:eastAsia="Arial" w:hAnsi="Arial"/>
                <w:sz w:val="12"/>
                <w:szCs w:val="12"/>
                <w:color w:val="auto"/>
              </w:rPr>
              <w:t>$23,993,000</w:t>
            </w:r>
          </w:p>
        </w:tc>
      </w:tr>
      <w:tr>
        <w:trPr>
          <w:trHeight w:val="272"/>
        </w:trPr>
        <w:tc>
          <w:tcPr>
            <w:tcW w:w="5380" w:type="dxa"/>
            <w:vAlign w:val="bottom"/>
          </w:tcPr>
          <w:p>
            <w:pPr>
              <w:spacing w:after="0"/>
              <w:rPr>
                <w:sz w:val="20"/>
                <w:szCs w:val="20"/>
                <w:color w:val="auto"/>
              </w:rPr>
            </w:pPr>
            <w:r>
              <w:rPr>
                <w:rFonts w:ascii="Arial" w:cs="Arial" w:eastAsia="Arial" w:hAnsi="Arial"/>
                <w:sz w:val="12"/>
                <w:szCs w:val="12"/>
                <w:color w:val="auto"/>
              </w:rPr>
              <w:t>Audit-related fees</w:t>
            </w:r>
            <w:r>
              <w:rPr>
                <w:rFonts w:ascii="Arial" w:cs="Arial" w:eastAsia="Arial" w:hAnsi="Arial"/>
                <w:sz w:val="20"/>
                <w:szCs w:val="20"/>
                <w:color w:val="auto"/>
                <w:vertAlign w:val="superscript"/>
              </w:rPr>
              <w:t>(2)</w:t>
            </w:r>
          </w:p>
        </w:tc>
        <w:tc>
          <w:tcPr>
            <w:tcW w:w="5200" w:type="dxa"/>
            <w:vAlign w:val="bottom"/>
          </w:tcPr>
          <w:p>
            <w:pPr>
              <w:jc w:val="right"/>
              <w:ind w:right="78"/>
              <w:spacing w:after="0"/>
              <w:rPr>
                <w:sz w:val="20"/>
                <w:szCs w:val="20"/>
                <w:color w:val="auto"/>
              </w:rPr>
            </w:pPr>
            <w:r>
              <w:rPr>
                <w:rFonts w:ascii="Arial" w:cs="Arial" w:eastAsia="Arial" w:hAnsi="Arial"/>
                <w:sz w:val="12"/>
                <w:szCs w:val="12"/>
                <w:color w:val="auto"/>
              </w:rPr>
              <w:t>90,000</w:t>
            </w:r>
          </w:p>
        </w:tc>
        <w:tc>
          <w:tcPr>
            <w:tcW w:w="840" w:type="dxa"/>
            <w:vAlign w:val="bottom"/>
          </w:tcPr>
          <w:p>
            <w:pPr>
              <w:jc w:val="right"/>
              <w:spacing w:after="0"/>
              <w:rPr>
                <w:sz w:val="20"/>
                <w:szCs w:val="20"/>
                <w:color w:val="auto"/>
              </w:rPr>
            </w:pPr>
            <w:r>
              <w:rPr>
                <w:rFonts w:ascii="Arial" w:cs="Arial" w:eastAsia="Arial" w:hAnsi="Arial"/>
                <w:sz w:val="12"/>
                <w:szCs w:val="12"/>
                <w:color w:val="auto"/>
              </w:rPr>
              <w:t>135,000</w:t>
            </w:r>
          </w:p>
        </w:tc>
      </w:tr>
      <w:tr>
        <w:trPr>
          <w:trHeight w:val="272"/>
        </w:trPr>
        <w:tc>
          <w:tcPr>
            <w:tcW w:w="5380" w:type="dxa"/>
            <w:vAlign w:val="bottom"/>
          </w:tcPr>
          <w:p>
            <w:pPr>
              <w:spacing w:after="0"/>
              <w:rPr>
                <w:sz w:val="20"/>
                <w:szCs w:val="20"/>
                <w:color w:val="auto"/>
              </w:rPr>
            </w:pPr>
            <w:r>
              <w:rPr>
                <w:rFonts w:ascii="Arial" w:cs="Arial" w:eastAsia="Arial" w:hAnsi="Arial"/>
                <w:sz w:val="12"/>
                <w:szCs w:val="12"/>
                <w:color w:val="auto"/>
              </w:rPr>
              <w:t>Tax fees</w:t>
            </w:r>
            <w:r>
              <w:rPr>
                <w:rFonts w:ascii="Arial" w:cs="Arial" w:eastAsia="Arial" w:hAnsi="Arial"/>
                <w:sz w:val="20"/>
                <w:szCs w:val="20"/>
                <w:color w:val="auto"/>
                <w:vertAlign w:val="superscript"/>
              </w:rPr>
              <w:t>(3)</w:t>
            </w:r>
          </w:p>
        </w:tc>
        <w:tc>
          <w:tcPr>
            <w:tcW w:w="5200" w:type="dxa"/>
            <w:vAlign w:val="bottom"/>
          </w:tcPr>
          <w:p>
            <w:pPr>
              <w:jc w:val="right"/>
              <w:ind w:right="78"/>
              <w:spacing w:after="0"/>
              <w:rPr>
                <w:sz w:val="20"/>
                <w:szCs w:val="20"/>
                <w:color w:val="auto"/>
              </w:rPr>
            </w:pPr>
            <w:r>
              <w:rPr>
                <w:rFonts w:ascii="Arial" w:cs="Arial" w:eastAsia="Arial" w:hAnsi="Arial"/>
                <w:sz w:val="12"/>
                <w:szCs w:val="12"/>
                <w:color w:val="auto"/>
              </w:rPr>
              <w:t>813,000</w:t>
            </w:r>
          </w:p>
        </w:tc>
        <w:tc>
          <w:tcPr>
            <w:tcW w:w="840" w:type="dxa"/>
            <w:vAlign w:val="bottom"/>
          </w:tcPr>
          <w:p>
            <w:pPr>
              <w:jc w:val="right"/>
              <w:spacing w:after="0"/>
              <w:rPr>
                <w:sz w:val="20"/>
                <w:szCs w:val="20"/>
                <w:color w:val="auto"/>
              </w:rPr>
            </w:pPr>
            <w:r>
              <w:rPr>
                <w:rFonts w:ascii="Arial" w:cs="Arial" w:eastAsia="Arial" w:hAnsi="Arial"/>
                <w:sz w:val="12"/>
                <w:szCs w:val="12"/>
                <w:color w:val="auto"/>
              </w:rPr>
              <w:t>226,000</w:t>
            </w:r>
          </w:p>
        </w:tc>
      </w:tr>
      <w:tr>
        <w:trPr>
          <w:trHeight w:val="263"/>
        </w:trPr>
        <w:tc>
          <w:tcPr>
            <w:tcW w:w="5380" w:type="dxa"/>
            <w:vAlign w:val="bottom"/>
          </w:tcPr>
          <w:p>
            <w:pPr>
              <w:spacing w:after="0"/>
              <w:rPr>
                <w:sz w:val="20"/>
                <w:szCs w:val="20"/>
                <w:color w:val="auto"/>
              </w:rPr>
            </w:pPr>
            <w:r>
              <w:rPr>
                <w:rFonts w:ascii="Arial" w:cs="Arial" w:eastAsia="Arial" w:hAnsi="Arial"/>
                <w:sz w:val="12"/>
                <w:szCs w:val="12"/>
                <w:color w:val="auto"/>
              </w:rPr>
              <w:t>All other fees</w:t>
            </w:r>
            <w:r>
              <w:rPr>
                <w:rFonts w:ascii="Arial" w:cs="Arial" w:eastAsia="Arial" w:hAnsi="Arial"/>
                <w:sz w:val="20"/>
                <w:szCs w:val="20"/>
                <w:color w:val="auto"/>
                <w:vertAlign w:val="superscript"/>
              </w:rPr>
              <w:t>(4)</w:t>
            </w:r>
          </w:p>
        </w:tc>
        <w:tc>
          <w:tcPr>
            <w:tcW w:w="5200" w:type="dxa"/>
            <w:vAlign w:val="bottom"/>
          </w:tcPr>
          <w:p>
            <w:pPr>
              <w:jc w:val="right"/>
              <w:ind w:right="78"/>
              <w:spacing w:after="0"/>
              <w:rPr>
                <w:sz w:val="20"/>
                <w:szCs w:val="20"/>
                <w:color w:val="auto"/>
              </w:rPr>
            </w:pPr>
            <w:r>
              <w:rPr>
                <w:rFonts w:ascii="Arial" w:cs="Arial" w:eastAsia="Arial" w:hAnsi="Arial"/>
                <w:sz w:val="12"/>
                <w:szCs w:val="12"/>
                <w:color w:val="auto"/>
              </w:rPr>
              <w:t>350,000</w:t>
            </w:r>
          </w:p>
        </w:tc>
        <w:tc>
          <w:tcPr>
            <w:tcW w:w="840" w:type="dxa"/>
            <w:vAlign w:val="bottom"/>
          </w:tcPr>
          <w:p>
            <w:pPr>
              <w:jc w:val="right"/>
              <w:spacing w:after="0"/>
              <w:rPr>
                <w:sz w:val="20"/>
                <w:szCs w:val="20"/>
                <w:color w:val="auto"/>
              </w:rPr>
            </w:pPr>
            <w:r>
              <w:rPr>
                <w:rFonts w:ascii="Arial" w:cs="Arial" w:eastAsia="Arial" w:hAnsi="Arial"/>
                <w:sz w:val="12"/>
                <w:szCs w:val="12"/>
                <w:color w:val="auto"/>
              </w:rPr>
              <w:t>141,000</w:t>
            </w:r>
          </w:p>
        </w:tc>
      </w:tr>
      <w:tr>
        <w:trPr>
          <w:trHeight w:val="148"/>
        </w:trPr>
        <w:tc>
          <w:tcPr>
            <w:tcW w:w="5380" w:type="dxa"/>
            <w:vAlign w:val="bottom"/>
          </w:tcPr>
          <w:p>
            <w:pPr>
              <w:spacing w:after="0"/>
              <w:rPr>
                <w:sz w:val="20"/>
                <w:szCs w:val="20"/>
                <w:color w:val="auto"/>
              </w:rPr>
            </w:pPr>
            <w:r>
              <w:rPr>
                <w:rFonts w:ascii="Arial" w:cs="Arial" w:eastAsia="Arial" w:hAnsi="Arial"/>
                <w:sz w:val="12"/>
                <w:szCs w:val="12"/>
                <w:color w:val="auto"/>
              </w:rPr>
              <w:t>TOTAL</w:t>
            </w:r>
          </w:p>
        </w:tc>
        <w:tc>
          <w:tcPr>
            <w:tcW w:w="5200" w:type="dxa"/>
            <w:vAlign w:val="bottom"/>
          </w:tcPr>
          <w:p>
            <w:pPr>
              <w:jc w:val="right"/>
              <w:ind w:right="78"/>
              <w:spacing w:after="0"/>
              <w:rPr>
                <w:sz w:val="20"/>
                <w:szCs w:val="20"/>
                <w:color w:val="auto"/>
              </w:rPr>
            </w:pPr>
            <w:r>
              <w:rPr>
                <w:rFonts w:ascii="Arial" w:cs="Arial" w:eastAsia="Arial" w:hAnsi="Arial"/>
                <w:sz w:val="12"/>
                <w:szCs w:val="12"/>
                <w:color w:val="auto"/>
              </w:rPr>
              <w:t>$18,042,000</w:t>
            </w:r>
          </w:p>
        </w:tc>
        <w:tc>
          <w:tcPr>
            <w:tcW w:w="840" w:type="dxa"/>
            <w:vAlign w:val="bottom"/>
          </w:tcPr>
          <w:p>
            <w:pPr>
              <w:jc w:val="right"/>
              <w:spacing w:after="0"/>
              <w:rPr>
                <w:sz w:val="20"/>
                <w:szCs w:val="20"/>
                <w:color w:val="auto"/>
              </w:rPr>
            </w:pPr>
            <w:r>
              <w:rPr>
                <w:rFonts w:ascii="Arial" w:cs="Arial" w:eastAsia="Arial" w:hAnsi="Arial"/>
                <w:sz w:val="12"/>
                <w:szCs w:val="12"/>
                <w:color w:val="auto"/>
              </w:rPr>
              <w:t>$24,495,000</w:t>
            </w:r>
          </w:p>
        </w:tc>
      </w:tr>
      <w:tr>
        <w:trPr>
          <w:trHeight w:val="43"/>
        </w:trPr>
        <w:tc>
          <w:tcPr>
            <w:tcW w:w="5380" w:type="dxa"/>
            <w:vAlign w:val="bottom"/>
            <w:tcBorders>
              <w:bottom w:val="single" w:sz="8" w:color="auto"/>
            </w:tcBorders>
          </w:tcPr>
          <w:p>
            <w:pPr>
              <w:spacing w:after="0"/>
              <w:rPr>
                <w:sz w:val="3"/>
                <w:szCs w:val="3"/>
                <w:color w:val="auto"/>
              </w:rPr>
            </w:pPr>
          </w:p>
        </w:tc>
        <w:tc>
          <w:tcPr>
            <w:tcW w:w="52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bl>
    <w:p>
      <w:pPr>
        <w:spacing w:after="0" w:line="98" w:lineRule="exact"/>
        <w:rPr>
          <w:sz w:val="20"/>
          <w:szCs w:val="20"/>
          <w:color w:val="auto"/>
        </w:rPr>
      </w:pPr>
    </w:p>
    <w:p>
      <w:pPr>
        <w:jc w:val="both"/>
        <w:ind w:left="181" w:hanging="181"/>
        <w:spacing w:after="0" w:line="242" w:lineRule="auto"/>
        <w:tabs>
          <w:tab w:leader="none" w:pos="181" w:val="left"/>
        </w:tabs>
        <w:numPr>
          <w:ilvl w:val="0"/>
          <w:numId w:val="29"/>
        </w:numPr>
        <w:rPr>
          <w:rFonts w:ascii="Arial" w:cs="Arial" w:eastAsia="Arial" w:hAnsi="Arial"/>
          <w:sz w:val="12"/>
          <w:szCs w:val="12"/>
          <w:color w:val="auto"/>
        </w:rPr>
      </w:pPr>
      <w:r>
        <w:rPr>
          <w:rFonts w:ascii="Arial" w:cs="Arial" w:eastAsia="Arial" w:hAnsi="Arial"/>
          <w:sz w:val="12"/>
          <w:szCs w:val="12"/>
          <w:color w:val="auto"/>
        </w:rPr>
        <w:t>Audit fees consist of professional services rendered for the audit of Weatherford Switzerland’s annual financial statements, the audit of the effectiveness of Weatherford Switzerland’s internal controls over financial reporting and the reviews of Weatherford Switzerland’s quarterly financial statements. This category also includes fees for issuance of comfort letters, consents, assistance with and review of documents filed with the SEC, statutory audit fees, work performed by tax professionals in connection with the audit and quarterly reviews and accounting consultations and research work necessary to comply with the standards of the Public Company Accounting Oversight Board (United States). Fees are presented in the period to which they relate versus the period in which they were billed.</w:t>
      </w:r>
    </w:p>
    <w:p>
      <w:pPr>
        <w:spacing w:after="0" w:line="87" w:lineRule="exact"/>
        <w:rPr>
          <w:rFonts w:ascii="Arial" w:cs="Arial" w:eastAsia="Arial" w:hAnsi="Arial"/>
          <w:sz w:val="12"/>
          <w:szCs w:val="12"/>
          <w:color w:val="auto"/>
        </w:rPr>
      </w:pPr>
    </w:p>
    <w:p>
      <w:pPr>
        <w:ind w:left="181" w:hanging="181"/>
        <w:spacing w:after="0"/>
        <w:tabs>
          <w:tab w:leader="none" w:pos="181" w:val="left"/>
        </w:tabs>
        <w:numPr>
          <w:ilvl w:val="0"/>
          <w:numId w:val="29"/>
        </w:numPr>
        <w:rPr>
          <w:rFonts w:ascii="Arial" w:cs="Arial" w:eastAsia="Arial" w:hAnsi="Arial"/>
          <w:sz w:val="12"/>
          <w:szCs w:val="12"/>
          <w:color w:val="auto"/>
        </w:rPr>
      </w:pPr>
      <w:r>
        <w:rPr>
          <w:rFonts w:ascii="Arial" w:cs="Arial" w:eastAsia="Arial" w:hAnsi="Arial"/>
          <w:sz w:val="12"/>
          <w:szCs w:val="12"/>
          <w:color w:val="auto"/>
        </w:rPr>
        <w:t>Audit-related fees include consultations concerning financial accounting and reporting matters not required by statute or regulation.</w:t>
      </w:r>
    </w:p>
    <w:p>
      <w:pPr>
        <w:spacing w:after="0" w:line="97" w:lineRule="exact"/>
        <w:rPr>
          <w:rFonts w:ascii="Arial" w:cs="Arial" w:eastAsia="Arial" w:hAnsi="Arial"/>
          <w:sz w:val="12"/>
          <w:szCs w:val="12"/>
          <w:color w:val="auto"/>
        </w:rPr>
      </w:pPr>
    </w:p>
    <w:p>
      <w:pPr>
        <w:ind w:left="181" w:hanging="181"/>
        <w:spacing w:after="0"/>
        <w:tabs>
          <w:tab w:leader="none" w:pos="181" w:val="left"/>
        </w:tabs>
        <w:numPr>
          <w:ilvl w:val="0"/>
          <w:numId w:val="29"/>
        </w:numPr>
        <w:rPr>
          <w:rFonts w:ascii="Arial" w:cs="Arial" w:eastAsia="Arial" w:hAnsi="Arial"/>
          <w:sz w:val="12"/>
          <w:szCs w:val="12"/>
          <w:color w:val="auto"/>
        </w:rPr>
      </w:pPr>
      <w:r>
        <w:rPr>
          <w:rFonts w:ascii="Arial" w:cs="Arial" w:eastAsia="Arial" w:hAnsi="Arial"/>
          <w:sz w:val="12"/>
          <w:szCs w:val="12"/>
          <w:color w:val="auto"/>
        </w:rPr>
        <w:t>Tax fees consist of non-U.S. tax compliance, planning and U.S./non-U.S. tax-related consultation.</w:t>
      </w:r>
    </w:p>
    <w:p>
      <w:pPr>
        <w:spacing w:after="0" w:line="97" w:lineRule="exact"/>
        <w:rPr>
          <w:rFonts w:ascii="Arial" w:cs="Arial" w:eastAsia="Arial" w:hAnsi="Arial"/>
          <w:sz w:val="12"/>
          <w:szCs w:val="12"/>
          <w:color w:val="auto"/>
        </w:rPr>
      </w:pPr>
    </w:p>
    <w:p>
      <w:pPr>
        <w:ind w:left="181" w:hanging="181"/>
        <w:spacing w:after="0"/>
        <w:tabs>
          <w:tab w:leader="none" w:pos="181" w:val="left"/>
        </w:tabs>
        <w:numPr>
          <w:ilvl w:val="0"/>
          <w:numId w:val="29"/>
        </w:numPr>
        <w:rPr>
          <w:rFonts w:ascii="Arial" w:cs="Arial" w:eastAsia="Arial" w:hAnsi="Arial"/>
          <w:sz w:val="12"/>
          <w:szCs w:val="12"/>
          <w:color w:val="auto"/>
        </w:rPr>
      </w:pPr>
      <w:r>
        <w:rPr>
          <w:rFonts w:ascii="Arial" w:cs="Arial" w:eastAsia="Arial" w:hAnsi="Arial"/>
          <w:sz w:val="12"/>
          <w:szCs w:val="12"/>
          <w:color w:val="auto"/>
        </w:rPr>
        <w:t>Other services performed include certain other advisory services and do not include any fees for financial information systems design and implementation.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
        <w:spacing w:after="0"/>
        <w:rPr>
          <w:sz w:val="20"/>
          <w:szCs w:val="20"/>
          <w:color w:val="auto"/>
        </w:rPr>
      </w:pPr>
      <w:r>
        <w:rPr>
          <w:rFonts w:ascii="Arial" w:cs="Arial" w:eastAsia="Arial" w:hAnsi="Arial"/>
          <w:sz w:val="30"/>
          <w:szCs w:val="30"/>
          <w:color w:val="BB1131"/>
        </w:rPr>
        <w:t>Audit committee pre-approval policy</w:t>
      </w:r>
    </w:p>
    <w:p>
      <w:pPr>
        <w:spacing w:after="0" w:line="196"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The Audit Committee has established a pre-approval policy for all audit and non-audit services to be provided by the independent auditor. During 2013, no audit or non-audit services performed by the independent auditor were subject to waiver of the pre-approval policy.</w:t>
      </w:r>
    </w:p>
    <w:p>
      <w:pPr>
        <w:spacing w:after="0" w:line="79"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There are two types of pre-approval. “General” pre-approval is based on pre-determined types of services. “Specific” pre-approval is required for certain types of services or if a service is expected to exceed budgeted amounts. “Specific” pre-approval must be obtained through direct communications with the Audit Committee or the Chairman of the Audit Committee, to whom the Audit Committee has delegated pre-approval authority. The Chairman must report any pre-approved decisions to the Audit Committee at its next scheduled meeting.</w:t>
      </w:r>
    </w:p>
    <w:p>
      <w:pPr>
        <w:spacing w:after="0" w:line="85"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The Audit Committee has designated the Company’s Vice President, Audit Services, to monitor and report on the performance of all services provided by our independent auditor and to determine whether such services are in compliance with the pre-approval policy. The Vice President, Audit Services, periodically reports to the Audit Committee regarding the results of her monitoring.</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
        <w:spacing w:after="0"/>
        <w:rPr>
          <w:sz w:val="20"/>
          <w:szCs w:val="20"/>
          <w:color w:val="auto"/>
        </w:rPr>
      </w:pPr>
      <w:r>
        <w:rPr>
          <w:rFonts w:ascii="Arial" w:cs="Arial" w:eastAsia="Arial" w:hAnsi="Arial"/>
          <w:sz w:val="30"/>
          <w:szCs w:val="30"/>
          <w:color w:val="BB1131"/>
        </w:rPr>
        <w:t>Audit committee report</w:t>
      </w:r>
    </w:p>
    <w:p>
      <w:pPr>
        <w:spacing w:after="0" w:line="196" w:lineRule="exact"/>
        <w:rPr>
          <w:sz w:val="20"/>
          <w:szCs w:val="20"/>
          <w:color w:val="auto"/>
        </w:rPr>
      </w:pPr>
    </w:p>
    <w:p>
      <w:pPr>
        <w:ind w:left="1"/>
        <w:spacing w:after="0"/>
        <w:rPr>
          <w:sz w:val="20"/>
          <w:szCs w:val="20"/>
          <w:color w:val="auto"/>
        </w:rPr>
      </w:pPr>
      <w:r>
        <w:rPr>
          <w:rFonts w:ascii="Arial" w:cs="Arial" w:eastAsia="Arial" w:hAnsi="Arial"/>
          <w:sz w:val="12"/>
          <w:szCs w:val="12"/>
          <w:color w:val="auto"/>
        </w:rPr>
        <w:t>June 26, 2014</w:t>
      </w:r>
    </w:p>
    <w:p>
      <w:pPr>
        <w:spacing w:after="0" w:line="97" w:lineRule="exact"/>
        <w:rPr>
          <w:sz w:val="20"/>
          <w:szCs w:val="20"/>
          <w:color w:val="auto"/>
        </w:rPr>
      </w:pPr>
    </w:p>
    <w:p>
      <w:pPr>
        <w:ind w:left="1"/>
        <w:spacing w:after="0"/>
        <w:rPr>
          <w:sz w:val="20"/>
          <w:szCs w:val="20"/>
          <w:color w:val="auto"/>
        </w:rPr>
      </w:pPr>
      <w:r>
        <w:rPr>
          <w:rFonts w:ascii="Arial" w:cs="Arial" w:eastAsia="Arial" w:hAnsi="Arial"/>
          <w:sz w:val="12"/>
          <w:szCs w:val="12"/>
          <w:color w:val="auto"/>
        </w:rPr>
        <w:t>We have reviewed and discussed with management the audited financial statements of Weatherford International Ltd. as of and for the year ended December 31, 2013.</w:t>
      </w:r>
    </w:p>
    <w:p>
      <w:pPr>
        <w:spacing w:after="0" w:line="85" w:lineRule="exact"/>
        <w:rPr>
          <w:sz w:val="20"/>
          <w:szCs w:val="20"/>
          <w:color w:val="auto"/>
        </w:rPr>
      </w:pPr>
    </w:p>
    <w:p>
      <w:pPr>
        <w:jc w:val="both"/>
        <w:ind w:left="1"/>
        <w:spacing w:after="0" w:line="275" w:lineRule="auto"/>
        <w:rPr>
          <w:sz w:val="20"/>
          <w:szCs w:val="20"/>
          <w:color w:val="auto"/>
        </w:rPr>
      </w:pPr>
      <w:r>
        <w:rPr>
          <w:rFonts w:ascii="Arial" w:cs="Arial" w:eastAsia="Arial" w:hAnsi="Arial"/>
          <w:sz w:val="12"/>
          <w:szCs w:val="12"/>
          <w:color w:val="auto"/>
        </w:rPr>
        <w:t xml:space="preserve">We have discussed with the independent auditor the matters required to be discussed by Auditing Standard No. 16, </w:t>
      </w:r>
      <w:r>
        <w:rPr>
          <w:rFonts w:ascii="Arial" w:cs="Arial" w:eastAsia="Arial" w:hAnsi="Arial"/>
          <w:sz w:val="12"/>
          <w:szCs w:val="12"/>
          <w:i w:val="1"/>
          <w:iCs w:val="1"/>
          <w:color w:val="auto"/>
        </w:rPr>
        <w:t>Communications with Audit Committees</w:t>
      </w:r>
      <w:r>
        <w:rPr>
          <w:rFonts w:ascii="Arial" w:cs="Arial" w:eastAsia="Arial" w:hAnsi="Arial"/>
          <w:sz w:val="12"/>
          <w:szCs w:val="12"/>
          <w:color w:val="auto"/>
        </w:rPr>
        <w:t>, as adopted by the Public Company Accounting Oversight Board in Release No. 2012-004.</w:t>
      </w:r>
    </w:p>
    <w:p>
      <w:pPr>
        <w:spacing w:after="0" w:line="67"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We have received the written disclosures and the letter from the independent auditor required by applicable requirements of the Public Company Accounting Oversight Board regarding the independent auditor’s communications with the audit committee concerning independence, and have discussed with the independent auditor the independent auditor’s independence.</w:t>
      </w:r>
    </w:p>
    <w:p>
      <w:pPr>
        <w:spacing w:after="0" w:line="79"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Based on the reviews and discussions referred to above, we recommended to the Board of Directors that the audited financial statements referred to above be included in the Annual Report on Form 10-K of Weatherford International Ltd. for the year ended December 31, 2013.</w:t>
      </w:r>
    </w:p>
    <w:p>
      <w:pPr>
        <w:spacing w:after="0" w:line="78" w:lineRule="exact"/>
        <w:rPr>
          <w:sz w:val="20"/>
          <w:szCs w:val="20"/>
          <w:color w:val="auto"/>
        </w:rPr>
      </w:pPr>
    </w:p>
    <w:p>
      <w:pPr>
        <w:ind w:left="1"/>
        <w:spacing w:after="0"/>
        <w:rPr>
          <w:sz w:val="20"/>
          <w:szCs w:val="20"/>
          <w:color w:val="auto"/>
        </w:rPr>
      </w:pPr>
      <w:r>
        <w:rPr>
          <w:rFonts w:ascii="Arial" w:cs="Arial" w:eastAsia="Arial" w:hAnsi="Arial"/>
          <w:sz w:val="12"/>
          <w:szCs w:val="12"/>
          <w:color w:val="auto"/>
        </w:rPr>
        <w:t>David J. Butters</w:t>
      </w:r>
    </w:p>
    <w:p>
      <w:pPr>
        <w:ind w:left="1"/>
        <w:spacing w:after="0" w:line="236" w:lineRule="auto"/>
        <w:rPr>
          <w:sz w:val="20"/>
          <w:szCs w:val="20"/>
          <w:color w:val="auto"/>
        </w:rPr>
      </w:pPr>
      <w:r>
        <w:rPr>
          <w:rFonts w:ascii="Arial" w:cs="Arial" w:eastAsia="Arial" w:hAnsi="Arial"/>
          <w:sz w:val="12"/>
          <w:szCs w:val="12"/>
          <w:color w:val="auto"/>
        </w:rPr>
        <w:t>Francis S. Kalman</w:t>
      </w:r>
    </w:p>
    <w:p>
      <w:pPr>
        <w:ind w:left="1"/>
        <w:spacing w:after="0" w:line="237" w:lineRule="auto"/>
        <w:rPr>
          <w:sz w:val="20"/>
          <w:szCs w:val="20"/>
          <w:color w:val="auto"/>
        </w:rPr>
      </w:pPr>
      <w:r>
        <w:rPr>
          <w:rFonts w:ascii="Arial" w:cs="Arial" w:eastAsia="Arial" w:hAnsi="Arial"/>
          <w:sz w:val="12"/>
          <w:szCs w:val="12"/>
          <w:color w:val="auto"/>
        </w:rPr>
        <w:t>Robert K. Moses, Jr.</w:t>
      </w:r>
    </w:p>
    <w:p>
      <w:pPr>
        <w:ind w:left="1"/>
        <w:spacing w:after="0" w:line="237" w:lineRule="auto"/>
        <w:rPr>
          <w:sz w:val="20"/>
          <w:szCs w:val="20"/>
          <w:color w:val="auto"/>
        </w:rPr>
      </w:pPr>
      <w:r>
        <w:rPr>
          <w:rFonts w:ascii="Arial" w:cs="Arial" w:eastAsia="Arial" w:hAnsi="Arial"/>
          <w:sz w:val="12"/>
          <w:szCs w:val="12"/>
          <w:color w:val="auto"/>
        </w:rPr>
        <w:t>Guillermo Ortiz</w:t>
      </w:r>
    </w:p>
    <w:p>
      <w:pPr>
        <w:ind w:left="1"/>
        <w:spacing w:after="0"/>
        <w:rPr>
          <w:sz w:val="20"/>
          <w:szCs w:val="20"/>
          <w:color w:val="auto"/>
        </w:rPr>
      </w:pPr>
      <w:r>
        <w:rPr>
          <w:rFonts w:ascii="Arial" w:cs="Arial" w:eastAsia="Arial" w:hAnsi="Arial"/>
          <w:sz w:val="12"/>
          <w:szCs w:val="12"/>
          <w:color w:val="auto"/>
        </w:rPr>
        <w:t xml:space="preserve">Robert A. Rayne, </w:t>
      </w:r>
      <w:r>
        <w:rPr>
          <w:rFonts w:ascii="Arial" w:cs="Arial" w:eastAsia="Arial" w:hAnsi="Arial"/>
          <w:sz w:val="12"/>
          <w:szCs w:val="12"/>
          <w:i w:val="1"/>
          <w:iCs w:val="1"/>
          <w:color w:val="auto"/>
        </w:rPr>
        <w:t>Chairman</w:t>
      </w:r>
    </w:p>
    <w:p>
      <w:pPr>
        <w:spacing w:after="0" w:line="182"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auto"/>
        </w:rPr>
        <w:t>Weatherford International plc - www.WeatherfordAnnualMeeting.com</w:t>
      </w:r>
      <w:r>
        <w:rPr>
          <w:sz w:val="20"/>
          <w:szCs w:val="20"/>
          <w:color w:val="auto"/>
        </w:rPr>
        <w:tab/>
      </w:r>
      <w:r>
        <w:rPr>
          <w:rFonts w:ascii="Arial" w:cs="Arial" w:eastAsia="Arial" w:hAnsi="Arial"/>
          <w:sz w:val="10"/>
          <w:szCs w:val="10"/>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131445</wp:posOffset>
            </wp:positionV>
            <wp:extent cx="7278370" cy="203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sectPr>
      </w:pPr>
    </w:p>
    <w:bookmarkStart w:id="37" w:name="page38"/>
    <w:bookmarkEnd w:id="37"/>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47" w:lineRule="exact"/>
        <w:rPr>
          <w:sz w:val="20"/>
          <w:szCs w:val="20"/>
          <w:color w:val="auto"/>
        </w:rPr>
      </w:pPr>
    </w:p>
    <w:p>
      <w:pPr>
        <w:ind w:left="101" w:right="3460" w:hanging="14"/>
        <w:spacing w:after="0" w:line="256" w:lineRule="auto"/>
        <w:rPr>
          <w:sz w:val="20"/>
          <w:szCs w:val="20"/>
          <w:color w:val="auto"/>
        </w:rPr>
      </w:pPr>
      <w:r>
        <w:rPr>
          <w:rFonts w:ascii="Arial" w:cs="Arial" w:eastAsia="Arial" w:hAnsi="Arial"/>
          <w:sz w:val="40"/>
          <w:szCs w:val="40"/>
          <w:b w:val="1"/>
          <w:bCs w:val="1"/>
          <w:color w:val="BB1131"/>
          <w:highlight w:val="lightGray"/>
        </w:rPr>
        <w:t>AGENDA ITEM 3</w:t>
      </w:r>
      <w:r>
        <w:rPr>
          <w:sz w:val="20"/>
          <w:szCs w:val="20"/>
          <w:color w:val="auto"/>
        </w:rPr>
        <w:t xml:space="preserve"> </w:t>
      </w:r>
      <w:r>
        <w:rPr>
          <w:rFonts w:ascii="Arial" w:cs="Arial" w:eastAsia="Arial" w:hAnsi="Arial"/>
          <w:sz w:val="40"/>
          <w:szCs w:val="40"/>
          <w:b w:val="1"/>
          <w:bCs w:val="1"/>
          <w:color w:val="BB1131"/>
          <w:highlight w:val="lightGray"/>
        </w:rPr>
        <w:t>ADOPT AN ADVISORY RESOLUTION APPROVING EXECUTIVE COMPENSATION</w:t>
      </w:r>
    </w:p>
    <w:p>
      <w:pPr>
        <w:spacing w:after="0" w:line="153" w:lineRule="exact"/>
        <w:rPr>
          <w:sz w:val="20"/>
          <w:szCs w:val="20"/>
          <w:color w:val="auto"/>
        </w:rPr>
      </w:pPr>
    </w:p>
    <w:p>
      <w:pPr>
        <w:ind w:left="1"/>
        <w:spacing w:after="0"/>
        <w:rPr>
          <w:sz w:val="20"/>
          <w:szCs w:val="20"/>
          <w:color w:val="auto"/>
        </w:rPr>
      </w:pPr>
      <w:r>
        <w:rPr>
          <w:rFonts w:ascii="Arial" w:cs="Arial" w:eastAsia="Arial" w:hAnsi="Arial"/>
          <w:sz w:val="16"/>
          <w:szCs w:val="16"/>
          <w:color w:val="BB1131"/>
        </w:rPr>
        <w:t>The Board of Directors recommends that you vote “FOR” this proposal.</w:t>
      </w:r>
    </w:p>
    <w:p>
      <w:pPr>
        <w:spacing w:after="0" w:line="97"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This proposal is included pursuant to Section 14A of the Exchange Act, which allows shareholders the opportunity to vote on an advisory (non-binding) resolution approving the compensation of our named executive officers (“NEOs”) as disclosed in this proxy statement.</w:t>
      </w:r>
    </w:p>
    <w:p>
      <w:pPr>
        <w:spacing w:after="0" w:line="78" w:lineRule="exact"/>
        <w:rPr>
          <w:sz w:val="20"/>
          <w:szCs w:val="20"/>
          <w:color w:val="auto"/>
        </w:rPr>
      </w:pPr>
    </w:p>
    <w:p>
      <w:pPr>
        <w:ind w:left="1"/>
        <w:spacing w:after="0"/>
        <w:rPr>
          <w:sz w:val="20"/>
          <w:szCs w:val="20"/>
          <w:color w:val="auto"/>
        </w:rPr>
      </w:pPr>
      <w:r>
        <w:rPr>
          <w:rFonts w:ascii="Arial" w:cs="Arial" w:eastAsia="Arial" w:hAnsi="Arial"/>
          <w:sz w:val="12"/>
          <w:szCs w:val="12"/>
          <w:color w:val="auto"/>
        </w:rPr>
        <w:t>At the 2011 Annual General Meeting, our shareholders were asked to cast an advisory (non-binding) vote on how frequently they wished the Company to conduct future advisory votes on NEO compensation.</w:t>
      </w:r>
    </w:p>
    <w:p>
      <w:pPr>
        <w:ind w:left="1"/>
        <w:spacing w:after="0"/>
        <w:rPr>
          <w:sz w:val="20"/>
          <w:szCs w:val="20"/>
          <w:color w:val="auto"/>
        </w:rPr>
      </w:pPr>
      <w:r>
        <w:rPr>
          <w:rFonts w:ascii="Arial" w:cs="Arial" w:eastAsia="Arial" w:hAnsi="Arial"/>
          <w:sz w:val="12"/>
          <w:szCs w:val="12"/>
          <w:color w:val="auto"/>
        </w:rPr>
        <w:t>The Board recommended, and the shareholders voted, to conduct advisory votes on an annual basis.</w:t>
      </w:r>
    </w:p>
    <w:p>
      <w:pPr>
        <w:spacing w:after="0" w:line="97" w:lineRule="exact"/>
        <w:rPr>
          <w:sz w:val="20"/>
          <w:szCs w:val="20"/>
          <w:color w:val="auto"/>
        </w:rPr>
      </w:pPr>
    </w:p>
    <w:p>
      <w:pPr>
        <w:ind w:left="1"/>
        <w:spacing w:after="0"/>
        <w:rPr>
          <w:sz w:val="20"/>
          <w:szCs w:val="20"/>
          <w:color w:val="auto"/>
        </w:rPr>
      </w:pPr>
      <w:r>
        <w:rPr>
          <w:rFonts w:ascii="Arial" w:cs="Arial" w:eastAsia="Arial" w:hAnsi="Arial"/>
          <w:sz w:val="12"/>
          <w:szCs w:val="12"/>
          <w:color w:val="auto"/>
        </w:rPr>
        <w:t>We are requesting that our shareholders adopt the following advisory resolution, commonly referred to as a “say-on-pay” resolution, on the compensation of our NEOs as disclosed in this proxy statement:</w:t>
      </w:r>
    </w:p>
    <w:p>
      <w:pPr>
        <w:spacing w:after="0" w:line="83" w:lineRule="exact"/>
        <w:rPr>
          <w:sz w:val="20"/>
          <w:szCs w:val="20"/>
          <w:color w:val="auto"/>
        </w:rPr>
      </w:pPr>
    </w:p>
    <w:p>
      <w:pPr>
        <w:jc w:val="both"/>
        <w:ind w:left="1"/>
        <w:spacing w:after="0" w:line="257" w:lineRule="auto"/>
        <w:rPr>
          <w:sz w:val="20"/>
          <w:szCs w:val="20"/>
          <w:color w:val="auto"/>
        </w:rPr>
      </w:pPr>
      <w:r>
        <w:rPr>
          <w:rFonts w:ascii="Arial" w:cs="Arial" w:eastAsia="Arial" w:hAnsi="Arial"/>
          <w:sz w:val="12"/>
          <w:szCs w:val="12"/>
          <w:b w:val="1"/>
          <w:bCs w:val="1"/>
          <w:color w:val="auto"/>
        </w:rPr>
        <w:t xml:space="preserve">“RESOLVED, </w:t>
      </w:r>
      <w:r>
        <w:rPr>
          <w:rFonts w:ascii="Arial" w:cs="Arial" w:eastAsia="Arial" w:hAnsi="Arial"/>
          <w:sz w:val="12"/>
          <w:szCs w:val="12"/>
          <w:color w:val="auto"/>
        </w:rPr>
        <w:t>that the shareholders of the Company approve, on an advisory basis, the compensation of the Company’s named executive officers disclosed pursuant to Item 402 of Regulation S-K, including</w:t>
      </w:r>
      <w:r>
        <w:rPr>
          <w:rFonts w:ascii="Arial" w:cs="Arial" w:eastAsia="Arial" w:hAnsi="Arial"/>
          <w:sz w:val="12"/>
          <w:szCs w:val="12"/>
          <w:b w:val="1"/>
          <w:bCs w:val="1"/>
          <w:color w:val="auto"/>
        </w:rPr>
        <w:t xml:space="preserve"> </w:t>
      </w:r>
      <w:r>
        <w:rPr>
          <w:rFonts w:ascii="Arial" w:cs="Arial" w:eastAsia="Arial" w:hAnsi="Arial"/>
          <w:sz w:val="12"/>
          <w:szCs w:val="12"/>
          <w:color w:val="auto"/>
        </w:rPr>
        <w:t>the Executive Compensation section of the Proxy Statement for the Company’s 2014 Annual General Meeting of Shareholders, which includes the Compensation Discussion and Analysis, the Summary Compensation Table and other compensation tables and accompanying narrative.”</w:t>
      </w:r>
    </w:p>
    <w:p>
      <w:pPr>
        <w:spacing w:after="0" w:line="78" w:lineRule="exact"/>
        <w:rPr>
          <w:sz w:val="20"/>
          <w:szCs w:val="20"/>
          <w:color w:val="auto"/>
        </w:rPr>
      </w:pPr>
    </w:p>
    <w:p>
      <w:pPr>
        <w:ind w:left="1"/>
        <w:spacing w:after="0"/>
        <w:rPr>
          <w:sz w:val="20"/>
          <w:szCs w:val="20"/>
          <w:color w:val="auto"/>
        </w:rPr>
      </w:pPr>
      <w:r>
        <w:rPr>
          <w:rFonts w:ascii="Arial" w:cs="Arial" w:eastAsia="Arial" w:hAnsi="Arial"/>
          <w:sz w:val="12"/>
          <w:szCs w:val="12"/>
          <w:color w:val="auto"/>
        </w:rPr>
        <w:t>We have designed our executive compensation program to achieve the following objectives:</w:t>
      </w:r>
    </w:p>
    <w:p>
      <w:pPr>
        <w:spacing w:after="0" w:line="73" w:lineRule="exact"/>
        <w:rPr>
          <w:sz w:val="20"/>
          <w:szCs w:val="20"/>
          <w:color w:val="auto"/>
        </w:rPr>
      </w:pPr>
    </w:p>
    <w:p>
      <w:pPr>
        <w:ind w:left="701"/>
        <w:spacing w:after="0"/>
        <w:rPr>
          <w:sz w:val="20"/>
          <w:szCs w:val="20"/>
          <w:color w:val="auto"/>
        </w:rPr>
      </w:pPr>
      <w:r>
        <w:rPr>
          <w:rFonts w:ascii="Arial" w:cs="Arial" w:eastAsia="Arial" w:hAnsi="Arial"/>
          <w:sz w:val="12"/>
          <w:szCs w:val="12"/>
          <w:color w:val="auto"/>
        </w:rPr>
        <w:t>Engage in best practices and avoid poor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65" w:lineRule="exact"/>
        <w:rPr>
          <w:sz w:val="20"/>
          <w:szCs w:val="20"/>
          <w:color w:val="auto"/>
        </w:rPr>
      </w:pPr>
    </w:p>
    <w:p>
      <w:pPr>
        <w:ind w:left="701"/>
        <w:spacing w:after="0"/>
        <w:rPr>
          <w:sz w:val="20"/>
          <w:szCs w:val="20"/>
          <w:color w:val="auto"/>
        </w:rPr>
      </w:pPr>
      <w:r>
        <w:rPr>
          <w:rFonts w:ascii="Arial" w:cs="Arial" w:eastAsia="Arial" w:hAnsi="Arial"/>
          <w:sz w:val="12"/>
          <w:szCs w:val="12"/>
          <w:color w:val="auto"/>
        </w:rPr>
        <w:t>Attract, retain and motivate individuals of outstanding ability in key executive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77" w:lineRule="exact"/>
        <w:rPr>
          <w:sz w:val="20"/>
          <w:szCs w:val="20"/>
          <w:color w:val="auto"/>
        </w:rPr>
      </w:pPr>
    </w:p>
    <w:p>
      <w:pPr>
        <w:ind w:left="701"/>
        <w:spacing w:after="0"/>
        <w:rPr>
          <w:sz w:val="20"/>
          <w:szCs w:val="20"/>
          <w:color w:val="auto"/>
        </w:rPr>
      </w:pPr>
      <w:r>
        <w:rPr>
          <w:rFonts w:ascii="Arial" w:cs="Arial" w:eastAsia="Arial" w:hAnsi="Arial"/>
          <w:sz w:val="12"/>
          <w:szCs w:val="12"/>
          <w:color w:val="auto"/>
        </w:rPr>
        <w:t>Drive and reward strong business performance to create superior value for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77" w:lineRule="exact"/>
        <w:rPr>
          <w:sz w:val="20"/>
          <w:szCs w:val="20"/>
          <w:color w:val="auto"/>
        </w:rPr>
      </w:pPr>
    </w:p>
    <w:p>
      <w:pPr>
        <w:ind w:left="701"/>
        <w:spacing w:after="0"/>
        <w:rPr>
          <w:sz w:val="20"/>
          <w:szCs w:val="20"/>
          <w:color w:val="auto"/>
        </w:rPr>
      </w:pPr>
      <w:r>
        <w:rPr>
          <w:rFonts w:ascii="Arial" w:cs="Arial" w:eastAsia="Arial" w:hAnsi="Arial"/>
          <w:sz w:val="12"/>
          <w:szCs w:val="12"/>
          <w:color w:val="auto"/>
        </w:rPr>
        <w:t>Pay for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65" w:lineRule="exact"/>
        <w:rPr>
          <w:sz w:val="20"/>
          <w:szCs w:val="20"/>
          <w:color w:val="auto"/>
        </w:rPr>
      </w:pPr>
    </w:p>
    <w:p>
      <w:pPr>
        <w:ind w:left="701"/>
        <w:spacing w:after="0"/>
        <w:rPr>
          <w:sz w:val="20"/>
          <w:szCs w:val="20"/>
          <w:color w:val="auto"/>
        </w:rPr>
      </w:pPr>
      <w:r>
        <w:rPr>
          <w:rFonts w:ascii="Arial" w:cs="Arial" w:eastAsia="Arial" w:hAnsi="Arial"/>
          <w:sz w:val="12"/>
          <w:szCs w:val="12"/>
          <w:color w:val="auto"/>
        </w:rPr>
        <w:t>Ensure that performance-based compensation does not encourage excessive risk taking;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77" w:lineRule="exact"/>
        <w:rPr>
          <w:sz w:val="20"/>
          <w:szCs w:val="20"/>
          <w:color w:val="auto"/>
        </w:rPr>
      </w:pPr>
    </w:p>
    <w:p>
      <w:pPr>
        <w:ind w:left="701"/>
        <w:spacing w:after="0"/>
        <w:rPr>
          <w:sz w:val="20"/>
          <w:szCs w:val="20"/>
          <w:color w:val="auto"/>
        </w:rPr>
      </w:pPr>
      <w:r>
        <w:rPr>
          <w:rFonts w:ascii="Arial" w:cs="Arial" w:eastAsia="Arial" w:hAnsi="Arial"/>
          <w:sz w:val="12"/>
          <w:szCs w:val="12"/>
          <w:color w:val="auto"/>
        </w:rPr>
        <w:t>Encourage our executives to focus on both the short-term and long-term performance goals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102"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We believe that our executive compensation program is effective in achieving these objectives. We also believe that a thorough understanding of our executive compensation program is important to investors. We urge you to carefully review the Compensation Discussion and Analysis section in this proxy statement, as well as the Summary Compensation Table, other compensation tables and related narrative discussion, for more information regarding the compensation of our NEOs.</w:t>
      </w:r>
    </w:p>
    <w:p>
      <w:pPr>
        <w:spacing w:after="0" w:line="85"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The vote on this proposal is an advisory vote, meaning that it is non-binding on the Company, the Board of Directors and the Compensation Committee. The results of the vote on this proposal will, however, be considered by the Board and the Compensation Committee when making future executive compensation decisions.</w:t>
      </w:r>
    </w:p>
    <w:p>
      <w:pPr>
        <w:spacing w:after="0" w:line="67" w:lineRule="exact"/>
        <w:rPr>
          <w:sz w:val="20"/>
          <w:szCs w:val="20"/>
          <w:color w:val="auto"/>
        </w:rPr>
      </w:pPr>
    </w:p>
    <w:p>
      <w:pPr>
        <w:jc w:val="both"/>
        <w:ind w:left="1"/>
        <w:spacing w:after="0" w:line="275" w:lineRule="auto"/>
        <w:rPr>
          <w:sz w:val="20"/>
          <w:szCs w:val="20"/>
          <w:color w:val="auto"/>
        </w:rPr>
      </w:pPr>
      <w:r>
        <w:rPr>
          <w:rFonts w:ascii="Arial" w:cs="Arial" w:eastAsia="Arial" w:hAnsi="Arial"/>
          <w:sz w:val="12"/>
          <w:szCs w:val="12"/>
          <w:color w:val="auto"/>
        </w:rPr>
        <w:t>An ordinary resolution (</w:t>
      </w:r>
      <w:r>
        <w:rPr>
          <w:rFonts w:ascii="Arial" w:cs="Arial" w:eastAsia="Arial" w:hAnsi="Arial"/>
          <w:sz w:val="12"/>
          <w:szCs w:val="12"/>
          <w:i w:val="1"/>
          <w:iCs w:val="1"/>
          <w:color w:val="auto"/>
        </w:rPr>
        <w:t>i.e.</w:t>
      </w:r>
      <w:r>
        <w:rPr>
          <w:rFonts w:ascii="Arial" w:cs="Arial" w:eastAsia="Arial" w:hAnsi="Arial"/>
          <w:sz w:val="12"/>
          <w:szCs w:val="12"/>
          <w:color w:val="auto"/>
        </w:rPr>
        <w:t>, a simple majority of the votes cast “For” or “Against,” in person or by proxy, provided a quorum is present) is required to approve this proposal. If you properly give a proxy but do not indicate how you wish to vote, the persons named on the proxy card will vote for the proposal. Abstentions and “broker non-votes” will not affect the voting results.</w:t>
      </w:r>
    </w:p>
    <w:p>
      <w:pPr>
        <w:spacing w:after="0" w:line="166" w:lineRule="exact"/>
        <w:rPr>
          <w:sz w:val="20"/>
          <w:szCs w:val="20"/>
          <w:color w:val="auto"/>
        </w:rPr>
      </w:pPr>
    </w:p>
    <w:p>
      <w:pPr>
        <w:ind w:left="301" w:hanging="301"/>
        <w:spacing w:after="0"/>
        <w:tabs>
          <w:tab w:leader="none" w:pos="301" w:val="left"/>
        </w:tabs>
        <w:numPr>
          <w:ilvl w:val="0"/>
          <w:numId w:val="30"/>
        </w:numPr>
        <w:rPr>
          <w:rFonts w:ascii="Arial" w:cs="Arial" w:eastAsia="Arial" w:hAnsi="Arial"/>
          <w:sz w:val="12"/>
          <w:szCs w:val="12"/>
          <w:b w:val="1"/>
          <w:bCs w:val="1"/>
          <w:color w:val="auto"/>
        </w:rPr>
      </w:pPr>
      <w:r>
        <w:rPr>
          <w:rFonts w:ascii="Arial" w:cs="Arial" w:eastAsia="Arial" w:hAnsi="Arial"/>
          <w:sz w:val="12"/>
          <w:szCs w:val="12"/>
          <w:color w:val="auto"/>
        </w:rPr>
        <w:t>Weatherford International plc - 2014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8370" cy="203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47" w:lineRule="exact"/>
        <w:rPr>
          <w:sz w:val="20"/>
          <w:szCs w:val="20"/>
          <w:color w:val="auto"/>
        </w:rPr>
      </w:pPr>
    </w:p>
    <w:p>
      <w:pPr>
        <w:ind w:left="100"/>
        <w:spacing w:after="0"/>
        <w:rPr>
          <w:sz w:val="20"/>
          <w:szCs w:val="20"/>
          <w:color w:val="auto"/>
        </w:rPr>
      </w:pPr>
      <w:r>
        <w:rPr>
          <w:rFonts w:ascii="Arial" w:cs="Arial" w:eastAsia="Arial" w:hAnsi="Arial"/>
          <w:sz w:val="40"/>
          <w:szCs w:val="40"/>
          <w:b w:val="1"/>
          <w:bCs w:val="1"/>
          <w:color w:val="BB1131"/>
          <w:highlight w:val="lightGray"/>
        </w:rPr>
        <w:t>EXECUTIVE OFFICERS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280" w:type="dxa"/>
            <w:vAlign w:val="bottom"/>
          </w:tcPr>
          <w:p>
            <w:pPr>
              <w:spacing w:after="0"/>
              <w:rPr>
                <w:sz w:val="20"/>
                <w:szCs w:val="20"/>
                <w:color w:val="auto"/>
              </w:rPr>
            </w:pPr>
            <w:r>
              <w:rPr>
                <w:rFonts w:ascii="Arial" w:cs="Arial" w:eastAsia="Arial" w:hAnsi="Arial"/>
                <w:sz w:val="12"/>
                <w:szCs w:val="12"/>
                <w:color w:val="auto"/>
              </w:rPr>
              <w:t>The following persons are our executive officers and their ages as of August</w:t>
            </w:r>
          </w:p>
        </w:tc>
        <w:tc>
          <w:tcPr>
            <w:tcW w:w="7140" w:type="dxa"/>
            <w:vAlign w:val="bottom"/>
            <w:gridSpan w:val="2"/>
          </w:tcPr>
          <w:p>
            <w:pPr>
              <w:ind w:left="100"/>
              <w:spacing w:after="0"/>
              <w:rPr>
                <w:sz w:val="20"/>
                <w:szCs w:val="20"/>
                <w:color w:val="auto"/>
              </w:rPr>
            </w:pPr>
            <w:r>
              <w:rPr>
                <w:rFonts w:ascii="Arial" w:cs="Arial" w:eastAsia="Arial" w:hAnsi="Arial"/>
                <w:sz w:val="12"/>
                <w:szCs w:val="12"/>
                <w:color w:val="auto"/>
              </w:rPr>
              <w:t>, 2014. (Dr. Duroc-Danner’s biography is on page 6). None of the executive officers or directors has any family relationships with</w:t>
            </w:r>
          </w:p>
        </w:tc>
      </w:tr>
      <w:tr>
        <w:trPr>
          <w:trHeight w:val="148"/>
        </w:trPr>
        <w:tc>
          <w:tcPr>
            <w:tcW w:w="4280" w:type="dxa"/>
            <w:vAlign w:val="bottom"/>
          </w:tcPr>
          <w:p>
            <w:pPr>
              <w:spacing w:after="0"/>
              <w:rPr>
                <w:sz w:val="20"/>
                <w:szCs w:val="20"/>
                <w:color w:val="auto"/>
              </w:rPr>
            </w:pPr>
            <w:r>
              <w:rPr>
                <w:rFonts w:ascii="Arial" w:cs="Arial" w:eastAsia="Arial" w:hAnsi="Arial"/>
                <w:sz w:val="12"/>
                <w:szCs w:val="12"/>
                <w:color w:val="auto"/>
              </w:rPr>
              <w:t>each other.</w:t>
            </w:r>
          </w:p>
        </w:tc>
        <w:tc>
          <w:tcPr>
            <w:tcW w:w="500" w:type="dxa"/>
            <w:vAlign w:val="bottom"/>
          </w:tcPr>
          <w:p>
            <w:pPr>
              <w:spacing w:after="0"/>
              <w:rPr>
                <w:sz w:val="12"/>
                <w:szCs w:val="12"/>
                <w:color w:val="auto"/>
              </w:rPr>
            </w:pPr>
          </w:p>
        </w:tc>
        <w:tc>
          <w:tcPr>
            <w:tcW w:w="6640" w:type="dxa"/>
            <w:vAlign w:val="bottom"/>
          </w:tcPr>
          <w:p>
            <w:pPr>
              <w:spacing w:after="0"/>
              <w:rPr>
                <w:sz w:val="12"/>
                <w:szCs w:val="12"/>
                <w:color w:val="auto"/>
              </w:rPr>
            </w:pPr>
          </w:p>
        </w:tc>
      </w:tr>
      <w:tr>
        <w:trPr>
          <w:trHeight w:val="359"/>
        </w:trPr>
        <w:tc>
          <w:tcPr>
            <w:tcW w:w="4280" w:type="dxa"/>
            <w:vAlign w:val="bottom"/>
          </w:tcPr>
          <w:p>
            <w:pPr>
              <w:spacing w:after="0"/>
              <w:rPr>
                <w:sz w:val="20"/>
                <w:szCs w:val="20"/>
                <w:color w:val="auto"/>
              </w:rPr>
            </w:pPr>
            <w:r>
              <w:rPr>
                <w:rFonts w:ascii="Arial" w:cs="Arial" w:eastAsia="Arial" w:hAnsi="Arial"/>
                <w:sz w:val="12"/>
                <w:szCs w:val="12"/>
                <w:color w:val="auto"/>
              </w:rPr>
              <w:t>Name</w:t>
            </w:r>
          </w:p>
        </w:tc>
        <w:tc>
          <w:tcPr>
            <w:tcW w:w="500" w:type="dxa"/>
            <w:vAlign w:val="bottom"/>
          </w:tcPr>
          <w:p>
            <w:pPr>
              <w:jc w:val="right"/>
              <w:ind w:right="58"/>
              <w:spacing w:after="0"/>
              <w:rPr>
                <w:sz w:val="20"/>
                <w:szCs w:val="20"/>
                <w:color w:val="auto"/>
              </w:rPr>
            </w:pPr>
            <w:r>
              <w:rPr>
                <w:rFonts w:ascii="Arial" w:cs="Arial" w:eastAsia="Arial" w:hAnsi="Arial"/>
                <w:sz w:val="12"/>
                <w:szCs w:val="12"/>
                <w:color w:val="auto"/>
              </w:rPr>
              <w:t>Age</w:t>
            </w:r>
          </w:p>
        </w:tc>
        <w:tc>
          <w:tcPr>
            <w:tcW w:w="6640" w:type="dxa"/>
            <w:vAlign w:val="bottom"/>
          </w:tcPr>
          <w:p>
            <w:pPr>
              <w:ind w:left="120"/>
              <w:spacing w:after="0"/>
              <w:rPr>
                <w:sz w:val="20"/>
                <w:szCs w:val="20"/>
                <w:color w:val="auto"/>
              </w:rPr>
            </w:pPr>
            <w:r>
              <w:rPr>
                <w:rFonts w:ascii="Arial" w:cs="Arial" w:eastAsia="Arial" w:hAnsi="Arial"/>
                <w:sz w:val="12"/>
                <w:szCs w:val="12"/>
                <w:color w:val="auto"/>
              </w:rPr>
              <w:t>Position</w:t>
            </w:r>
          </w:p>
        </w:tc>
      </w:tr>
      <w:tr>
        <w:trPr>
          <w:trHeight w:val="26"/>
        </w:trPr>
        <w:tc>
          <w:tcPr>
            <w:tcW w:w="4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40" w:type="dxa"/>
            <w:vAlign w:val="bottom"/>
            <w:tcBorders>
              <w:bottom w:val="single" w:sz="8" w:color="auto"/>
            </w:tcBorders>
          </w:tcPr>
          <w:p>
            <w:pPr>
              <w:spacing w:after="0"/>
              <w:rPr>
                <w:sz w:val="2"/>
                <w:szCs w:val="2"/>
                <w:color w:val="auto"/>
              </w:rPr>
            </w:pPr>
          </w:p>
        </w:tc>
      </w:tr>
      <w:tr>
        <w:trPr>
          <w:trHeight w:val="165"/>
        </w:trPr>
        <w:tc>
          <w:tcPr>
            <w:tcW w:w="4280" w:type="dxa"/>
            <w:vAlign w:val="bottom"/>
          </w:tcPr>
          <w:p>
            <w:pPr>
              <w:spacing w:after="0"/>
              <w:rPr>
                <w:sz w:val="20"/>
                <w:szCs w:val="20"/>
                <w:color w:val="auto"/>
              </w:rPr>
            </w:pPr>
            <w:r>
              <w:rPr>
                <w:rFonts w:ascii="Arial" w:cs="Arial" w:eastAsia="Arial" w:hAnsi="Arial"/>
                <w:sz w:val="12"/>
                <w:szCs w:val="12"/>
                <w:color w:val="auto"/>
              </w:rPr>
              <w:t>Bernard J. Duroc-Danner</w:t>
            </w:r>
          </w:p>
        </w:tc>
        <w:tc>
          <w:tcPr>
            <w:tcW w:w="500" w:type="dxa"/>
            <w:vAlign w:val="bottom"/>
          </w:tcPr>
          <w:p>
            <w:pPr>
              <w:jc w:val="right"/>
              <w:ind w:right="58"/>
              <w:spacing w:after="0"/>
              <w:rPr>
                <w:sz w:val="20"/>
                <w:szCs w:val="20"/>
                <w:color w:val="auto"/>
              </w:rPr>
            </w:pPr>
            <w:r>
              <w:rPr>
                <w:rFonts w:ascii="Arial" w:cs="Arial" w:eastAsia="Arial" w:hAnsi="Arial"/>
                <w:sz w:val="12"/>
                <w:szCs w:val="12"/>
                <w:color w:val="auto"/>
              </w:rPr>
              <w:t>60</w:t>
            </w:r>
          </w:p>
        </w:tc>
        <w:tc>
          <w:tcPr>
            <w:tcW w:w="6640" w:type="dxa"/>
            <w:vAlign w:val="bottom"/>
          </w:tcPr>
          <w:p>
            <w:pPr>
              <w:ind w:left="120"/>
              <w:spacing w:after="0"/>
              <w:rPr>
                <w:sz w:val="20"/>
                <w:szCs w:val="20"/>
                <w:color w:val="auto"/>
              </w:rPr>
            </w:pPr>
            <w:r>
              <w:rPr>
                <w:rFonts w:ascii="Arial" w:cs="Arial" w:eastAsia="Arial" w:hAnsi="Arial"/>
                <w:sz w:val="12"/>
                <w:szCs w:val="12"/>
                <w:color w:val="auto"/>
              </w:rPr>
              <w:t>Chairman of the Board, President and Chief Executive Officer</w:t>
            </w:r>
          </w:p>
        </w:tc>
      </w:tr>
      <w:tr>
        <w:trPr>
          <w:trHeight w:val="198"/>
        </w:trPr>
        <w:tc>
          <w:tcPr>
            <w:tcW w:w="4280" w:type="dxa"/>
            <w:vAlign w:val="bottom"/>
          </w:tcPr>
          <w:p>
            <w:pPr>
              <w:spacing w:after="0"/>
              <w:rPr>
                <w:sz w:val="20"/>
                <w:szCs w:val="20"/>
                <w:color w:val="auto"/>
              </w:rPr>
            </w:pPr>
            <w:r>
              <w:rPr>
                <w:rFonts w:ascii="Arial" w:cs="Arial" w:eastAsia="Arial" w:hAnsi="Arial"/>
                <w:sz w:val="12"/>
                <w:szCs w:val="12"/>
                <w:color w:val="auto"/>
              </w:rPr>
              <w:t>Krishna Shivram</w:t>
            </w:r>
          </w:p>
        </w:tc>
        <w:tc>
          <w:tcPr>
            <w:tcW w:w="500" w:type="dxa"/>
            <w:vAlign w:val="bottom"/>
          </w:tcPr>
          <w:p>
            <w:pPr>
              <w:jc w:val="right"/>
              <w:ind w:right="58"/>
              <w:spacing w:after="0"/>
              <w:rPr>
                <w:sz w:val="20"/>
                <w:szCs w:val="20"/>
                <w:color w:val="auto"/>
              </w:rPr>
            </w:pPr>
            <w:r>
              <w:rPr>
                <w:rFonts w:ascii="Arial" w:cs="Arial" w:eastAsia="Arial" w:hAnsi="Arial"/>
                <w:sz w:val="12"/>
                <w:szCs w:val="12"/>
                <w:color w:val="auto"/>
              </w:rPr>
              <w:t>51</w:t>
            </w:r>
          </w:p>
        </w:tc>
        <w:tc>
          <w:tcPr>
            <w:tcW w:w="6640" w:type="dxa"/>
            <w:vAlign w:val="bottom"/>
          </w:tcPr>
          <w:p>
            <w:pPr>
              <w:ind w:left="120"/>
              <w:spacing w:after="0"/>
              <w:rPr>
                <w:sz w:val="20"/>
                <w:szCs w:val="20"/>
                <w:color w:val="auto"/>
              </w:rPr>
            </w:pPr>
            <w:r>
              <w:rPr>
                <w:rFonts w:ascii="Arial" w:cs="Arial" w:eastAsia="Arial" w:hAnsi="Arial"/>
                <w:sz w:val="12"/>
                <w:szCs w:val="12"/>
                <w:color w:val="auto"/>
              </w:rPr>
              <w:t>Executive Vice President and Chief Financial Officer</w:t>
            </w:r>
          </w:p>
        </w:tc>
      </w:tr>
      <w:tr>
        <w:trPr>
          <w:trHeight w:val="198"/>
        </w:trPr>
        <w:tc>
          <w:tcPr>
            <w:tcW w:w="4280" w:type="dxa"/>
            <w:vAlign w:val="bottom"/>
          </w:tcPr>
          <w:p>
            <w:pPr>
              <w:spacing w:after="0"/>
              <w:rPr>
                <w:sz w:val="20"/>
                <w:szCs w:val="20"/>
                <w:color w:val="auto"/>
              </w:rPr>
            </w:pPr>
            <w:r>
              <w:rPr>
                <w:rFonts w:ascii="Arial" w:cs="Arial" w:eastAsia="Arial" w:hAnsi="Arial"/>
                <w:sz w:val="12"/>
                <w:szCs w:val="12"/>
                <w:color w:val="auto"/>
              </w:rPr>
              <w:t>Dharmesh Mehta</w:t>
            </w:r>
          </w:p>
        </w:tc>
        <w:tc>
          <w:tcPr>
            <w:tcW w:w="500" w:type="dxa"/>
            <w:vAlign w:val="bottom"/>
          </w:tcPr>
          <w:p>
            <w:pPr>
              <w:jc w:val="right"/>
              <w:ind w:right="58"/>
              <w:spacing w:after="0"/>
              <w:rPr>
                <w:sz w:val="20"/>
                <w:szCs w:val="20"/>
                <w:color w:val="auto"/>
              </w:rPr>
            </w:pPr>
            <w:r>
              <w:rPr>
                <w:rFonts w:ascii="Arial" w:cs="Arial" w:eastAsia="Arial" w:hAnsi="Arial"/>
                <w:sz w:val="12"/>
                <w:szCs w:val="12"/>
                <w:color w:val="auto"/>
              </w:rPr>
              <w:t>48</w:t>
            </w:r>
          </w:p>
        </w:tc>
        <w:tc>
          <w:tcPr>
            <w:tcW w:w="6640" w:type="dxa"/>
            <w:vAlign w:val="bottom"/>
          </w:tcPr>
          <w:p>
            <w:pPr>
              <w:ind w:left="120"/>
              <w:spacing w:after="0"/>
              <w:rPr>
                <w:sz w:val="20"/>
                <w:szCs w:val="20"/>
                <w:color w:val="auto"/>
              </w:rPr>
            </w:pPr>
            <w:r>
              <w:rPr>
                <w:rFonts w:ascii="Arial" w:cs="Arial" w:eastAsia="Arial" w:hAnsi="Arial"/>
                <w:sz w:val="12"/>
                <w:szCs w:val="12"/>
                <w:color w:val="auto"/>
              </w:rPr>
              <w:t>Executive Vice President and Chief Operating Officer</w:t>
            </w:r>
          </w:p>
        </w:tc>
      </w:tr>
      <w:tr>
        <w:trPr>
          <w:trHeight w:val="198"/>
        </w:trPr>
        <w:tc>
          <w:tcPr>
            <w:tcW w:w="4280" w:type="dxa"/>
            <w:vAlign w:val="bottom"/>
          </w:tcPr>
          <w:p>
            <w:pPr>
              <w:spacing w:after="0"/>
              <w:rPr>
                <w:sz w:val="20"/>
                <w:szCs w:val="20"/>
                <w:color w:val="auto"/>
              </w:rPr>
            </w:pPr>
            <w:r>
              <w:rPr>
                <w:rFonts w:ascii="Arial" w:cs="Arial" w:eastAsia="Arial" w:hAnsi="Arial"/>
                <w:sz w:val="12"/>
                <w:szCs w:val="12"/>
                <w:color w:val="auto"/>
              </w:rPr>
              <w:t>Dianne B. Ralston</w:t>
            </w:r>
          </w:p>
        </w:tc>
        <w:tc>
          <w:tcPr>
            <w:tcW w:w="500" w:type="dxa"/>
            <w:vAlign w:val="bottom"/>
          </w:tcPr>
          <w:p>
            <w:pPr>
              <w:jc w:val="right"/>
              <w:ind w:right="58"/>
              <w:spacing w:after="0"/>
              <w:rPr>
                <w:sz w:val="20"/>
                <w:szCs w:val="20"/>
                <w:color w:val="auto"/>
              </w:rPr>
            </w:pPr>
            <w:r>
              <w:rPr>
                <w:rFonts w:ascii="Arial" w:cs="Arial" w:eastAsia="Arial" w:hAnsi="Arial"/>
                <w:sz w:val="12"/>
                <w:szCs w:val="12"/>
                <w:color w:val="auto"/>
              </w:rPr>
              <w:t>47</w:t>
            </w:r>
          </w:p>
        </w:tc>
        <w:tc>
          <w:tcPr>
            <w:tcW w:w="6640" w:type="dxa"/>
            <w:vAlign w:val="bottom"/>
          </w:tcPr>
          <w:p>
            <w:pPr>
              <w:ind w:left="120"/>
              <w:spacing w:after="0"/>
              <w:rPr>
                <w:sz w:val="20"/>
                <w:szCs w:val="20"/>
                <w:color w:val="auto"/>
              </w:rPr>
            </w:pPr>
            <w:r>
              <w:rPr>
                <w:rFonts w:ascii="Arial" w:cs="Arial" w:eastAsia="Arial" w:hAnsi="Arial"/>
                <w:sz w:val="12"/>
                <w:szCs w:val="12"/>
                <w:color w:val="auto"/>
              </w:rPr>
              <w:t>Executive Vice President, General Counsel and Corporate Secretary</w:t>
            </w:r>
          </w:p>
        </w:tc>
      </w:tr>
      <w:tr>
        <w:trPr>
          <w:trHeight w:val="198"/>
        </w:trPr>
        <w:tc>
          <w:tcPr>
            <w:tcW w:w="4280" w:type="dxa"/>
            <w:vAlign w:val="bottom"/>
          </w:tcPr>
          <w:p>
            <w:pPr>
              <w:spacing w:after="0"/>
              <w:rPr>
                <w:sz w:val="20"/>
                <w:szCs w:val="20"/>
                <w:color w:val="auto"/>
              </w:rPr>
            </w:pPr>
            <w:r>
              <w:rPr>
                <w:rFonts w:ascii="Arial" w:cs="Arial" w:eastAsia="Arial" w:hAnsi="Arial"/>
                <w:sz w:val="12"/>
                <w:szCs w:val="12"/>
                <w:color w:val="auto"/>
              </w:rPr>
              <w:t>Douglas M. Mills</w:t>
            </w:r>
          </w:p>
        </w:tc>
        <w:tc>
          <w:tcPr>
            <w:tcW w:w="500" w:type="dxa"/>
            <w:vAlign w:val="bottom"/>
          </w:tcPr>
          <w:p>
            <w:pPr>
              <w:jc w:val="right"/>
              <w:ind w:right="58"/>
              <w:spacing w:after="0"/>
              <w:rPr>
                <w:sz w:val="20"/>
                <w:szCs w:val="20"/>
                <w:color w:val="auto"/>
              </w:rPr>
            </w:pPr>
            <w:r>
              <w:rPr>
                <w:rFonts w:ascii="Arial" w:cs="Arial" w:eastAsia="Arial" w:hAnsi="Arial"/>
                <w:sz w:val="12"/>
                <w:szCs w:val="12"/>
                <w:color w:val="auto"/>
              </w:rPr>
              <w:t>40</w:t>
            </w:r>
          </w:p>
        </w:tc>
        <w:tc>
          <w:tcPr>
            <w:tcW w:w="6640" w:type="dxa"/>
            <w:vAlign w:val="bottom"/>
          </w:tcPr>
          <w:p>
            <w:pPr>
              <w:ind w:left="120"/>
              <w:spacing w:after="0"/>
              <w:rPr>
                <w:sz w:val="20"/>
                <w:szCs w:val="20"/>
                <w:color w:val="auto"/>
              </w:rPr>
            </w:pPr>
            <w:r>
              <w:rPr>
                <w:rFonts w:ascii="Arial" w:cs="Arial" w:eastAsia="Arial" w:hAnsi="Arial"/>
                <w:sz w:val="12"/>
                <w:szCs w:val="12"/>
                <w:color w:val="auto"/>
              </w:rPr>
              <w:t>Vice President and Chief Accounting Officer</w:t>
            </w:r>
          </w:p>
        </w:tc>
      </w:tr>
      <w:tr>
        <w:trPr>
          <w:trHeight w:val="31"/>
        </w:trPr>
        <w:tc>
          <w:tcPr>
            <w:tcW w:w="4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40" w:type="dxa"/>
            <w:vAlign w:val="bottom"/>
            <w:tcBorders>
              <w:bottom w:val="single" w:sz="8" w:color="auto"/>
            </w:tcBorders>
          </w:tcPr>
          <w:p>
            <w:pPr>
              <w:spacing w:after="0"/>
              <w:rPr>
                <w:sz w:val="2"/>
                <w:szCs w:val="2"/>
                <w:color w:val="auto"/>
              </w:rPr>
            </w:pPr>
          </w:p>
        </w:tc>
      </w:tr>
    </w:tbl>
    <w:p>
      <w:pPr>
        <w:spacing w:after="0" w:line="84" w:lineRule="exact"/>
        <w:rPr>
          <w:sz w:val="20"/>
          <w:szCs w:val="20"/>
          <w:color w:val="auto"/>
        </w:rPr>
      </w:pPr>
    </w:p>
    <w:p>
      <w:pPr>
        <w:jc w:val="both"/>
        <w:spacing w:after="0" w:line="247" w:lineRule="auto"/>
        <w:rPr>
          <w:sz w:val="20"/>
          <w:szCs w:val="20"/>
          <w:color w:val="auto"/>
        </w:rPr>
      </w:pPr>
      <w:r>
        <w:rPr>
          <w:rFonts w:ascii="Arial" w:cs="Arial" w:eastAsia="Arial" w:hAnsi="Arial"/>
          <w:sz w:val="12"/>
          <w:szCs w:val="12"/>
          <w:b w:val="1"/>
          <w:bCs w:val="1"/>
          <w:color w:val="auto"/>
        </w:rPr>
        <w:t xml:space="preserve">Krishna Shivram </w:t>
      </w:r>
      <w:r>
        <w:rPr>
          <w:rFonts w:ascii="Arial" w:cs="Arial" w:eastAsia="Arial" w:hAnsi="Arial"/>
          <w:sz w:val="12"/>
          <w:szCs w:val="12"/>
          <w:color w:val="auto"/>
        </w:rPr>
        <w:t>was appointed Executive Vice President and Chief Financial Officer in November 2013. Mr. Shivram has over 25 years of financial and operational management experience in the oilfield</w:t>
      </w:r>
      <w:r>
        <w:rPr>
          <w:rFonts w:ascii="Arial" w:cs="Arial" w:eastAsia="Arial" w:hAnsi="Arial"/>
          <w:sz w:val="12"/>
          <w:szCs w:val="12"/>
          <w:b w:val="1"/>
          <w:bCs w:val="1"/>
          <w:color w:val="auto"/>
        </w:rPr>
        <w:t xml:space="preserve"> </w:t>
      </w:r>
      <w:r>
        <w:rPr>
          <w:rFonts w:ascii="Arial" w:cs="Arial" w:eastAsia="Arial" w:hAnsi="Arial"/>
          <w:sz w:val="12"/>
          <w:szCs w:val="12"/>
          <w:color w:val="auto"/>
        </w:rPr>
        <w:t>service industry and previously worked for Schlumberger Ltd. in a variety of roles across the globe. Immediately prior to joining Weatherford, Mr. Shivram had served as Vice President and Treasurer of Schlumberger Ltd. since January 2011. Prior to his serving as Vice President and Treasurer, Mr. Shivram held a number of senior management positions at Schlumberger, including Controller - Drilling Group from May 2010 to January 2011, Manager - Mergers and Acquisitions from May 2009 to April 2010 and Controller - Oilfield Services from August 2006 to April 2009. Mr. Shivram is a Chartered Accountant and has experience in financial accounting, income taxes and treasury operations, along with a strong background in corporate finance and mergers and acquisitions.</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2"/>
          <w:szCs w:val="12"/>
          <w:b w:val="1"/>
          <w:bCs w:val="1"/>
          <w:color w:val="auto"/>
        </w:rPr>
        <w:t xml:space="preserve">Dharmesh Mehta </w:t>
      </w:r>
      <w:r>
        <w:rPr>
          <w:rFonts w:ascii="Arial" w:cs="Arial" w:eastAsia="Arial" w:hAnsi="Arial"/>
          <w:sz w:val="12"/>
          <w:szCs w:val="12"/>
          <w:color w:val="auto"/>
        </w:rPr>
        <w:t>was appointed Executive Vice President in March 2013 and Chief Operating Officer in November 2013. Mr. Mehta joined the Company in 2001 and has served in various senior management</w:t>
      </w:r>
      <w:r>
        <w:rPr>
          <w:rFonts w:ascii="Arial" w:cs="Arial" w:eastAsia="Arial" w:hAnsi="Arial"/>
          <w:sz w:val="12"/>
          <w:szCs w:val="12"/>
          <w:b w:val="1"/>
          <w:bCs w:val="1"/>
          <w:color w:val="auto"/>
        </w:rPr>
        <w:t xml:space="preserve"> </w:t>
      </w:r>
      <w:r>
        <w:rPr>
          <w:rFonts w:ascii="Arial" w:cs="Arial" w:eastAsia="Arial" w:hAnsi="Arial"/>
          <w:sz w:val="12"/>
          <w:szCs w:val="12"/>
          <w:color w:val="auto"/>
        </w:rPr>
        <w:t>capacities, including Senior Vice President – Completion and Production Systems and Chief Administrative Officer. Prior to joining the Company, Mr. Mehta had 10 years of experience in the software and oil and gas industries. Mr. Mehta holds a bachelor’s degree from the University of Houston and a master’s degree from the University of Wisconsin.</w:t>
      </w:r>
    </w:p>
    <w:p>
      <w:pPr>
        <w:spacing w:after="0" w:line="64" w:lineRule="exact"/>
        <w:rPr>
          <w:sz w:val="20"/>
          <w:szCs w:val="20"/>
          <w:color w:val="auto"/>
        </w:rPr>
      </w:pPr>
    </w:p>
    <w:p>
      <w:pPr>
        <w:jc w:val="both"/>
        <w:spacing w:after="0" w:line="250" w:lineRule="auto"/>
        <w:rPr>
          <w:sz w:val="20"/>
          <w:szCs w:val="20"/>
          <w:color w:val="auto"/>
        </w:rPr>
      </w:pPr>
      <w:r>
        <w:rPr>
          <w:rFonts w:ascii="Arial" w:cs="Arial" w:eastAsia="Arial" w:hAnsi="Arial"/>
          <w:sz w:val="12"/>
          <w:szCs w:val="12"/>
          <w:b w:val="1"/>
          <w:bCs w:val="1"/>
          <w:color w:val="auto"/>
        </w:rPr>
        <w:t xml:space="preserve">Dianne B. Ralston </w:t>
      </w:r>
      <w:r>
        <w:rPr>
          <w:rFonts w:ascii="Arial" w:cs="Arial" w:eastAsia="Arial" w:hAnsi="Arial"/>
          <w:sz w:val="12"/>
          <w:szCs w:val="12"/>
          <w:color w:val="auto"/>
        </w:rPr>
        <w:t>became the Company’s Executive Vice President, General Counsel and Corporate Secretary on July 21, 2014. Ms. Ralston came to Weatherford with more than 20 years of combined</w:t>
      </w:r>
      <w:r>
        <w:rPr>
          <w:rFonts w:ascii="Arial" w:cs="Arial" w:eastAsia="Arial" w:hAnsi="Arial"/>
          <w:sz w:val="12"/>
          <w:szCs w:val="12"/>
          <w:b w:val="1"/>
          <w:bCs w:val="1"/>
          <w:color w:val="auto"/>
        </w:rPr>
        <w:t xml:space="preserve"> </w:t>
      </w:r>
      <w:r>
        <w:rPr>
          <w:rFonts w:ascii="Arial" w:cs="Arial" w:eastAsia="Arial" w:hAnsi="Arial"/>
          <w:sz w:val="12"/>
          <w:szCs w:val="12"/>
          <w:color w:val="auto"/>
        </w:rPr>
        <w:t>legal, compliance, and contractual experience in the oil and gas industry, including working for Schlumberger in a variety of roles since 1998. Her most recent positions with Schlumberger were Deputy General Counsel, Corporate, as well as Deputy General Counsel, Government Affairs and Litigation. Ms. Ralston also acted as Director of Compliance, responsible for the development and management of Schlumberger’s global corporate ethics and compliance program. Ms. Ralston holds two B.B.A.s from Texas A&amp;M University and a Juris Doctorate from the University of Houston School of Law.</w:t>
      </w:r>
    </w:p>
    <w:p>
      <w:pPr>
        <w:spacing w:after="0" w:line="69" w:lineRule="exact"/>
        <w:rPr>
          <w:sz w:val="20"/>
          <w:szCs w:val="20"/>
          <w:color w:val="auto"/>
        </w:rPr>
      </w:pPr>
    </w:p>
    <w:p>
      <w:pPr>
        <w:jc w:val="both"/>
        <w:spacing w:after="0" w:line="252" w:lineRule="auto"/>
        <w:rPr>
          <w:sz w:val="20"/>
          <w:szCs w:val="20"/>
          <w:color w:val="auto"/>
        </w:rPr>
      </w:pPr>
      <w:r>
        <w:rPr>
          <w:rFonts w:ascii="Arial" w:cs="Arial" w:eastAsia="Arial" w:hAnsi="Arial"/>
          <w:sz w:val="12"/>
          <w:szCs w:val="12"/>
          <w:b w:val="1"/>
          <w:bCs w:val="1"/>
          <w:color w:val="auto"/>
        </w:rPr>
        <w:t xml:space="preserve">Douglas M. Mills </w:t>
      </w:r>
      <w:r>
        <w:rPr>
          <w:rFonts w:ascii="Arial" w:cs="Arial" w:eastAsia="Arial" w:hAnsi="Arial"/>
          <w:sz w:val="12"/>
          <w:szCs w:val="12"/>
          <w:color w:val="auto"/>
        </w:rPr>
        <w:t>was appointed Vice President and Chief Accounting Officer in June 2013 and serves as the Company’s principal accounting officer. Mr. Mills joined Weatherford in 2003 and has served in</w:t>
      </w:r>
      <w:r>
        <w:rPr>
          <w:rFonts w:ascii="Arial" w:cs="Arial" w:eastAsia="Arial" w:hAnsi="Arial"/>
          <w:sz w:val="12"/>
          <w:szCs w:val="12"/>
          <w:b w:val="1"/>
          <w:bCs w:val="1"/>
          <w:color w:val="auto"/>
        </w:rPr>
        <w:t xml:space="preserve"> </w:t>
      </w:r>
      <w:r>
        <w:rPr>
          <w:rFonts w:ascii="Arial" w:cs="Arial" w:eastAsia="Arial" w:hAnsi="Arial"/>
          <w:sz w:val="12"/>
          <w:szCs w:val="12"/>
          <w:color w:val="auto"/>
        </w:rPr>
        <w:t>various financial reporting capacities, including Vice President of Corporate Accounting since 2011, and has had other corporate and regional controller positions of increasing responsibility while at Weatherford. Mr. Mills has over five years of public accounting experience with the firms of Ernst &amp; Young and Arthur Andersen. He is a certified public accountant and holds a MPA/BBA from the University of Texas.</w:t>
      </w:r>
    </w:p>
    <w:p>
      <w:pPr>
        <w:spacing w:after="0" w:line="308"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auto"/>
        </w:rPr>
        <w:t>Weatherford International plc - www.WeatherfordAnnualMeeting.com</w:t>
      </w:r>
      <w:r>
        <w:rPr>
          <w:sz w:val="20"/>
          <w:szCs w:val="20"/>
          <w:color w:val="auto"/>
        </w:rPr>
        <w:tab/>
      </w:r>
      <w:r>
        <w:rPr>
          <w:rFonts w:ascii="Arial" w:cs="Arial" w:eastAsia="Arial" w:hAnsi="Arial"/>
          <w:sz w:val="10"/>
          <w:szCs w:val="10"/>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131445</wp:posOffset>
            </wp:positionV>
            <wp:extent cx="7278370" cy="203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9" w:name="page40"/>
    <w:bookmarkEnd w:id="39"/>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47" w:lineRule="exact"/>
        <w:rPr>
          <w:sz w:val="20"/>
          <w:szCs w:val="20"/>
          <w:color w:val="auto"/>
        </w:rPr>
      </w:pPr>
    </w:p>
    <w:p>
      <w:pPr>
        <w:ind w:left="101"/>
        <w:spacing w:after="0"/>
        <w:rPr>
          <w:sz w:val="20"/>
          <w:szCs w:val="20"/>
          <w:color w:val="auto"/>
        </w:rPr>
      </w:pPr>
      <w:r>
        <w:rPr>
          <w:rFonts w:ascii="Arial" w:cs="Arial" w:eastAsia="Arial" w:hAnsi="Arial"/>
          <w:sz w:val="40"/>
          <w:szCs w:val="40"/>
          <w:b w:val="1"/>
          <w:bCs w:val="1"/>
          <w:color w:val="BB1131"/>
          <w:highlight w:val="lightGray"/>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
        <w:spacing w:after="0"/>
        <w:rPr>
          <w:sz w:val="20"/>
          <w:szCs w:val="20"/>
          <w:color w:val="auto"/>
        </w:rPr>
      </w:pPr>
      <w:r>
        <w:rPr>
          <w:rFonts w:ascii="Arial" w:cs="Arial" w:eastAsia="Arial" w:hAnsi="Arial"/>
          <w:sz w:val="30"/>
          <w:szCs w:val="30"/>
          <w:color w:val="BB1131"/>
        </w:rPr>
        <w:t>Compensation discussion and analysis</w:t>
      </w:r>
    </w:p>
    <w:p>
      <w:pPr>
        <w:spacing w:after="0" w:line="196"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This Compensation Discussion and Analysis (“CD&amp;A”) is designed to provide shareholders with an understanding of our compensation philosophy, core principles, and decision making process. It explains the compensation-related actions taken with respect to our NEOs who are identified in the Summary Compensation Table. Details regarding the compensation we paid to the NEOs for 2013 are found in the tables and narrative which follows them.</w:t>
      </w:r>
    </w:p>
    <w:p>
      <w:pPr>
        <w:spacing w:after="0" w:line="155"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Compensation Program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14"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Our compensation program is designed to reward our NEOs currently serving the Company (“current NEOs”) for the achievement of strategic and operational goals and the achievement of increased shareholder value while at the same time avoiding the encouragement of unnecessary or excessive risk-taking.</w:t>
      </w:r>
    </w:p>
    <w:p>
      <w:pPr>
        <w:spacing w:after="0" w:line="149"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2013 Performance Highlights and Our Company’s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337" w:lineRule="exact"/>
        <w:rPr>
          <w:sz w:val="20"/>
          <w:szCs w:val="20"/>
          <w:color w:val="auto"/>
        </w:rPr>
      </w:pPr>
    </w:p>
    <w:p>
      <w:pPr>
        <w:ind w:left="1"/>
        <w:spacing w:after="0"/>
        <w:rPr>
          <w:sz w:val="20"/>
          <w:szCs w:val="20"/>
          <w:color w:val="auto"/>
        </w:rPr>
      </w:pPr>
      <w:r>
        <w:rPr>
          <w:rFonts w:ascii="Arial" w:cs="Arial" w:eastAsia="Arial" w:hAnsi="Arial"/>
          <w:sz w:val="12"/>
          <w:szCs w:val="12"/>
          <w:color w:val="auto"/>
        </w:rPr>
        <w:t>In 2013 Weatherford achieved significant progress in key areas:</w:t>
      </w:r>
    </w:p>
    <w:p>
      <w:pPr>
        <w:spacing w:after="0" w:line="73" w:lineRule="exact"/>
        <w:rPr>
          <w:sz w:val="20"/>
          <w:szCs w:val="20"/>
          <w:color w:val="auto"/>
        </w:rPr>
      </w:pPr>
    </w:p>
    <w:p>
      <w:pPr>
        <w:ind w:left="701"/>
        <w:spacing w:after="0"/>
        <w:rPr>
          <w:sz w:val="20"/>
          <w:szCs w:val="20"/>
          <w:color w:val="auto"/>
        </w:rPr>
      </w:pPr>
      <w:r>
        <w:rPr>
          <w:rFonts w:ascii="Arial" w:cs="Arial" w:eastAsia="Arial" w:hAnsi="Arial"/>
          <w:sz w:val="12"/>
          <w:szCs w:val="12"/>
          <w:color w:val="auto"/>
        </w:rPr>
        <w:t>We successfully remediated our material weakness in internal control over income tax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65" w:lineRule="exact"/>
        <w:rPr>
          <w:sz w:val="20"/>
          <w:szCs w:val="20"/>
          <w:color w:val="auto"/>
        </w:rPr>
      </w:pPr>
    </w:p>
    <w:p>
      <w:pPr>
        <w:ind w:left="701"/>
        <w:spacing w:after="0"/>
        <w:rPr>
          <w:sz w:val="20"/>
          <w:szCs w:val="20"/>
          <w:color w:val="auto"/>
        </w:rPr>
      </w:pPr>
      <w:r>
        <w:rPr>
          <w:rFonts w:ascii="Arial" w:cs="Arial" w:eastAsia="Arial" w:hAnsi="Arial"/>
          <w:sz w:val="12"/>
          <w:szCs w:val="12"/>
          <w:color w:val="auto"/>
        </w:rPr>
        <w:t>We negotiated a settlement of our U.S. governmental investigations;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77" w:lineRule="exact"/>
        <w:rPr>
          <w:sz w:val="20"/>
          <w:szCs w:val="20"/>
          <w:color w:val="auto"/>
        </w:rPr>
      </w:pPr>
    </w:p>
    <w:p>
      <w:pPr>
        <w:ind w:left="701"/>
        <w:spacing w:after="0"/>
        <w:rPr>
          <w:sz w:val="20"/>
          <w:szCs w:val="20"/>
          <w:color w:val="auto"/>
        </w:rPr>
      </w:pPr>
      <w:r>
        <w:rPr>
          <w:rFonts w:ascii="Arial" w:cs="Arial" w:eastAsia="Arial" w:hAnsi="Arial"/>
          <w:sz w:val="12"/>
          <w:szCs w:val="12"/>
          <w:color w:val="auto"/>
        </w:rPr>
        <w:t>We initiated a focus on cash and returns as a guiding principle and value system and substantially improved our working capital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77" w:lineRule="exact"/>
        <w:rPr>
          <w:sz w:val="20"/>
          <w:szCs w:val="20"/>
          <w:color w:val="auto"/>
        </w:rPr>
      </w:pPr>
    </w:p>
    <w:p>
      <w:pPr>
        <w:ind w:left="701"/>
        <w:spacing w:after="0"/>
        <w:rPr>
          <w:sz w:val="20"/>
          <w:szCs w:val="20"/>
          <w:color w:val="auto"/>
        </w:rPr>
      </w:pPr>
      <w:r>
        <w:rPr>
          <w:rFonts w:ascii="Arial" w:cs="Arial" w:eastAsia="Arial" w:hAnsi="Arial"/>
          <w:sz w:val="12"/>
          <w:szCs w:val="12"/>
          <w:color w:val="auto"/>
        </w:rPr>
        <w:t>We commenced our divestiture of non-core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65" w:lineRule="exact"/>
        <w:rPr>
          <w:sz w:val="20"/>
          <w:szCs w:val="20"/>
          <w:color w:val="auto"/>
        </w:rPr>
      </w:pPr>
    </w:p>
    <w:p>
      <w:pPr>
        <w:ind w:left="701"/>
        <w:spacing w:after="0"/>
        <w:rPr>
          <w:sz w:val="20"/>
          <w:szCs w:val="20"/>
          <w:color w:val="auto"/>
        </w:rPr>
      </w:pPr>
      <w:r>
        <w:rPr>
          <w:rFonts w:ascii="Arial" w:cs="Arial" w:eastAsia="Arial" w:hAnsi="Arial"/>
          <w:sz w:val="12"/>
          <w:szCs w:val="12"/>
          <w:color w:val="auto"/>
        </w:rPr>
        <w:t>We achieved significant improvement in our safety statistics over prior years;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40" w:lineRule="exact"/>
        <w:rPr>
          <w:sz w:val="20"/>
          <w:szCs w:val="20"/>
          <w:color w:val="auto"/>
        </w:rPr>
      </w:pPr>
    </w:p>
    <w:p>
      <w:pPr>
        <w:ind w:left="701"/>
        <w:spacing w:after="0"/>
        <w:rPr>
          <w:sz w:val="20"/>
          <w:szCs w:val="20"/>
          <w:color w:val="auto"/>
        </w:rPr>
      </w:pPr>
      <w:r>
        <w:rPr>
          <w:rFonts w:ascii="Arial" w:cs="Arial" w:eastAsia="Arial" w:hAnsi="Arial"/>
          <w:sz w:val="12"/>
          <w:szCs w:val="12"/>
          <w:color w:val="auto"/>
        </w:rPr>
        <w:t>We generated a 38% total shareholder return in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102" w:lineRule="exact"/>
        <w:rPr>
          <w:sz w:val="20"/>
          <w:szCs w:val="20"/>
          <w:color w:val="auto"/>
        </w:rPr>
      </w:pPr>
    </w:p>
    <w:p>
      <w:pPr>
        <w:ind w:left="1"/>
        <w:spacing w:after="0"/>
        <w:rPr>
          <w:sz w:val="20"/>
          <w:szCs w:val="20"/>
          <w:color w:val="auto"/>
        </w:rPr>
      </w:pPr>
      <w:r>
        <w:rPr>
          <w:rFonts w:ascii="Arial" w:cs="Arial" w:eastAsia="Arial" w:hAnsi="Arial"/>
          <w:sz w:val="12"/>
          <w:szCs w:val="12"/>
          <w:color w:val="auto"/>
        </w:rPr>
        <w:t>We believe that these achievements position Weatherford on a path towards capital efficiency, operational excellence, and administrative quality.</w:t>
      </w:r>
    </w:p>
    <w:p>
      <w:pPr>
        <w:spacing w:after="0" w:line="97" w:lineRule="exact"/>
        <w:rPr>
          <w:sz w:val="20"/>
          <w:szCs w:val="20"/>
          <w:color w:val="auto"/>
        </w:rPr>
      </w:pPr>
    </w:p>
    <w:p>
      <w:pPr>
        <w:jc w:val="both"/>
        <w:ind w:left="1"/>
        <w:spacing w:after="0" w:line="243" w:lineRule="auto"/>
        <w:rPr>
          <w:sz w:val="20"/>
          <w:szCs w:val="20"/>
          <w:color w:val="auto"/>
        </w:rPr>
      </w:pPr>
      <w:r>
        <w:rPr>
          <w:rFonts w:ascii="Arial" w:cs="Arial" w:eastAsia="Arial" w:hAnsi="Arial"/>
          <w:sz w:val="12"/>
          <w:szCs w:val="12"/>
          <w:color w:val="auto"/>
        </w:rPr>
        <w:t>Amidst challenging times, when we first embarked on our transformational path, we said that Weatherford was beginning a new chapter with a disciplined focus on operating excellence and capital efficiency. After a constructive year of problem-solving in 2013, as noted above, our financial and operational performance is now turning around. We have put our legacy issues behind us, and we have begun delivering on this commitment with improved performance, yielding a much improved market valuation of our shares. During 2013 we also identified and began acting on three initiatives that will further drive us in 2014 and beyond:</w:t>
      </w:r>
    </w:p>
    <w:p>
      <w:pPr>
        <w:spacing w:after="0" w:line="151" w:lineRule="exact"/>
        <w:rPr>
          <w:sz w:val="20"/>
          <w:szCs w:val="20"/>
          <w:color w:val="auto"/>
        </w:rPr>
      </w:pPr>
    </w:p>
    <w:p>
      <w:pPr>
        <w:jc w:val="both"/>
        <w:ind w:left="701"/>
        <w:spacing w:after="0" w:line="256" w:lineRule="auto"/>
        <w:rPr>
          <w:sz w:val="20"/>
          <w:szCs w:val="20"/>
          <w:color w:val="auto"/>
        </w:rPr>
      </w:pPr>
      <w:r>
        <w:rPr>
          <w:rFonts w:ascii="Arial" w:cs="Arial" w:eastAsia="Arial" w:hAnsi="Arial"/>
          <w:sz w:val="12"/>
          <w:szCs w:val="12"/>
          <w:i w:val="1"/>
          <w:iCs w:val="1"/>
          <w:color w:val="auto"/>
        </w:rPr>
        <w:t xml:space="preserve">Core. </w:t>
      </w:r>
      <w:r>
        <w:rPr>
          <w:rFonts w:ascii="Arial" w:cs="Arial" w:eastAsia="Arial" w:hAnsi="Arial"/>
          <w:sz w:val="12"/>
          <w:szCs w:val="12"/>
          <w:color w:val="auto"/>
        </w:rPr>
        <w:t>We will grow our core, with emphasis on four product lines: well construction, formation evaluation, completion, and artificial lift. We have begun an aggressive divestiture program to dispose</w:t>
      </w:r>
      <w:r>
        <w:rPr>
          <w:rFonts w:ascii="Arial" w:cs="Arial" w:eastAsia="Arial" w:hAnsi="Arial"/>
          <w:sz w:val="12"/>
          <w:szCs w:val="12"/>
          <w:i w:val="1"/>
          <w:iCs w:val="1"/>
          <w:color w:val="auto"/>
        </w:rPr>
        <w:t xml:space="preserve"> </w:t>
      </w:r>
      <w:r>
        <w:rPr>
          <w:rFonts w:ascii="Arial" w:cs="Arial" w:eastAsia="Arial" w:hAnsi="Arial"/>
          <w:sz w:val="12"/>
          <w:szCs w:val="12"/>
          <w:color w:val="auto"/>
        </w:rPr>
        <w:t>of non-core assets and business lines: land drilling rigs, pipeline and specialty services, drilling fluids, testing and production services, and wellheads. In March 2014 we signed an agreement to sell our pipeline and specialty services business, and in July 2014 we signed agreements to sell our land drilling and workover operations in Russia and Venezuela.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-252730</wp:posOffset>
            </wp:positionV>
            <wp:extent cx="48895" cy="488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jc w:val="both"/>
        <w:ind w:left="701"/>
        <w:spacing w:after="0" w:line="258" w:lineRule="auto"/>
        <w:rPr>
          <w:sz w:val="20"/>
          <w:szCs w:val="20"/>
          <w:color w:val="auto"/>
        </w:rPr>
      </w:pPr>
      <w:r>
        <w:rPr>
          <w:rFonts w:ascii="Arial" w:cs="Arial" w:eastAsia="Arial" w:hAnsi="Arial"/>
          <w:sz w:val="12"/>
          <w:szCs w:val="12"/>
          <w:i w:val="1"/>
          <w:iCs w:val="1"/>
          <w:color w:val="auto"/>
        </w:rPr>
        <w:t xml:space="preserve">Cost. </w:t>
      </w:r>
      <w:r>
        <w:rPr>
          <w:rFonts w:ascii="Arial" w:cs="Arial" w:eastAsia="Arial" w:hAnsi="Arial"/>
          <w:sz w:val="12"/>
          <w:szCs w:val="12"/>
          <w:color w:val="auto"/>
        </w:rPr>
        <w:t>We will emphasize efficiency and cost-saving. Running support functions and operations with a lower cost structure is now a key management metric for us. We have embarked on an</w:t>
      </w:r>
      <w:r>
        <w:rPr>
          <w:rFonts w:ascii="Arial" w:cs="Arial" w:eastAsia="Arial" w:hAnsi="Arial"/>
          <w:sz w:val="12"/>
          <w:szCs w:val="12"/>
          <w:i w:val="1"/>
          <w:iCs w:val="1"/>
          <w:color w:val="auto"/>
        </w:rPr>
        <w:t xml:space="preserve"> </w:t>
      </w:r>
      <w:r>
        <w:rPr>
          <w:rFonts w:ascii="Arial" w:cs="Arial" w:eastAsia="Arial" w:hAnsi="Arial"/>
          <w:sz w:val="12"/>
          <w:szCs w:val="12"/>
          <w:color w:val="auto"/>
        </w:rPr>
        <w:t>aggressive cost-reduction program, including a lower support headcount and eliminating unprofitable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-161290</wp:posOffset>
            </wp:positionV>
            <wp:extent cx="48895" cy="488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jc w:val="both"/>
        <w:ind w:left="701"/>
        <w:spacing w:after="0" w:line="275" w:lineRule="auto"/>
        <w:rPr>
          <w:sz w:val="20"/>
          <w:szCs w:val="20"/>
          <w:color w:val="auto"/>
        </w:rPr>
      </w:pPr>
      <w:r>
        <w:rPr>
          <w:rFonts w:ascii="Arial" w:cs="Arial" w:eastAsia="Arial" w:hAnsi="Arial"/>
          <w:sz w:val="12"/>
          <w:szCs w:val="12"/>
          <w:i w:val="1"/>
          <w:iCs w:val="1"/>
          <w:color w:val="auto"/>
        </w:rPr>
        <w:t xml:space="preserve">Cash. </w:t>
      </w:r>
      <w:r>
        <w:rPr>
          <w:rFonts w:ascii="Arial" w:cs="Arial" w:eastAsia="Arial" w:hAnsi="Arial"/>
          <w:sz w:val="12"/>
          <w:szCs w:val="12"/>
          <w:color w:val="auto"/>
        </w:rPr>
        <w:t>We plan to generate free cash flow, efficient working capital, and lower capital intensity compatible with growing our core. We will strive to reduce our net debt to total capitalization ratio from</w:t>
      </w:r>
      <w:r>
        <w:rPr>
          <w:rFonts w:ascii="Arial" w:cs="Arial" w:eastAsia="Arial" w:hAnsi="Arial"/>
          <w:sz w:val="12"/>
          <w:szCs w:val="12"/>
          <w:i w:val="1"/>
          <w:iCs w:val="1"/>
          <w:color w:val="auto"/>
        </w:rPr>
        <w:t xml:space="preserve"> </w:t>
      </w:r>
      <w:r>
        <w:rPr>
          <w:rFonts w:ascii="Arial" w:cs="Arial" w:eastAsia="Arial" w:hAnsi="Arial"/>
          <w:sz w:val="12"/>
          <w:szCs w:val="12"/>
          <w:color w:val="auto"/>
        </w:rPr>
        <w:t>52% to 25% over the next few years through a combination of higher free cash flow augmented by the proceeds of divestitures.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-173355</wp:posOffset>
            </wp:positionV>
            <wp:extent cx="48895" cy="488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spacing w:after="0" w:line="47" w:lineRule="exact"/>
        <w:rPr>
          <w:sz w:val="20"/>
          <w:szCs w:val="20"/>
          <w:color w:val="auto"/>
        </w:rPr>
      </w:pPr>
    </w:p>
    <w:p>
      <w:pPr>
        <w:ind w:left="1"/>
        <w:spacing w:after="0"/>
        <w:rPr>
          <w:sz w:val="20"/>
          <w:szCs w:val="20"/>
          <w:color w:val="auto"/>
        </w:rPr>
      </w:pPr>
      <w:r>
        <w:rPr>
          <w:rFonts w:ascii="Arial" w:cs="Arial" w:eastAsia="Arial" w:hAnsi="Arial"/>
          <w:sz w:val="12"/>
          <w:szCs w:val="12"/>
          <w:color w:val="auto"/>
        </w:rPr>
        <w:t>We believe these initiatives serve as key principles and elements of our compensation program.</w:t>
      </w:r>
    </w:p>
    <w:p>
      <w:pPr>
        <w:spacing w:after="0" w:line="196" w:lineRule="exact"/>
        <w:rPr>
          <w:sz w:val="20"/>
          <w:szCs w:val="20"/>
          <w:color w:val="auto"/>
        </w:rPr>
      </w:pPr>
    </w:p>
    <w:p>
      <w:pPr>
        <w:ind w:left="301" w:hanging="301"/>
        <w:spacing w:after="0"/>
        <w:tabs>
          <w:tab w:leader="none" w:pos="301" w:val="left"/>
        </w:tabs>
        <w:numPr>
          <w:ilvl w:val="0"/>
          <w:numId w:val="31"/>
        </w:numPr>
        <w:rPr>
          <w:rFonts w:ascii="Arial" w:cs="Arial" w:eastAsia="Arial" w:hAnsi="Arial"/>
          <w:sz w:val="12"/>
          <w:szCs w:val="12"/>
          <w:b w:val="1"/>
          <w:bCs w:val="1"/>
          <w:color w:val="auto"/>
        </w:rPr>
      </w:pPr>
      <w:r>
        <w:rPr>
          <w:rFonts w:ascii="Arial" w:cs="Arial" w:eastAsia="Arial" w:hAnsi="Arial"/>
          <w:sz w:val="12"/>
          <w:szCs w:val="12"/>
          <w:color w:val="auto"/>
        </w:rPr>
        <w:t>Weatherford International plc - 2014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8370" cy="203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4" w:right="239" w:bottom="1440" w:gutter="0" w:footer="0" w:header="0"/>
        </w:sectPr>
      </w:pPr>
    </w:p>
    <w:bookmarkStart w:id="40" w:name="page41"/>
    <w:bookmarkEnd w:id="40"/>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9641"/>
        <w:spacing w:after="0"/>
        <w:rPr>
          <w:sz w:val="20"/>
          <w:szCs w:val="20"/>
          <w:color w:val="auto"/>
        </w:rPr>
      </w:pPr>
      <w:r>
        <w:rPr>
          <w:rFonts w:ascii="Arial" w:cs="Arial" w:eastAsia="Arial" w:hAnsi="Arial"/>
          <w:sz w:val="12"/>
          <w:szCs w:val="12"/>
          <w:b w:val="1"/>
          <w:bCs w:val="1"/>
          <w:color w:val="FFFFFF"/>
          <w:shd w:val="clear" w:color="auto" w:fill="BB1131"/>
        </w:rPr>
        <w:t>EXECUTIVE COMPENSATION</w:t>
      </w:r>
    </w:p>
    <w:p>
      <w:pPr>
        <w:spacing w:after="0" w:line="181"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14" w:lineRule="exact"/>
        <w:rPr>
          <w:sz w:val="20"/>
          <w:szCs w:val="20"/>
          <w:color w:val="auto"/>
        </w:rPr>
      </w:pPr>
    </w:p>
    <w:p>
      <w:pPr>
        <w:ind w:left="1"/>
        <w:spacing w:after="0" w:line="254" w:lineRule="auto"/>
        <w:rPr>
          <w:sz w:val="20"/>
          <w:szCs w:val="20"/>
          <w:color w:val="auto"/>
        </w:rPr>
      </w:pPr>
      <w:r>
        <w:rPr>
          <w:rFonts w:ascii="Arial" w:cs="Arial" w:eastAsia="Arial" w:hAnsi="Arial"/>
          <w:sz w:val="12"/>
          <w:szCs w:val="12"/>
          <w:color w:val="auto"/>
        </w:rPr>
        <w:t>We structure our executive compensation program to align pay with performance. Our CEO’s compensation for the years 2011-2013, relative to our peers, correlates strongly with our total shareholder return for the three year period ended December 31, 2013, relative to our peers.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951230</wp:posOffset>
            </wp:positionH>
            <wp:positionV relativeFrom="paragraph">
              <wp:posOffset>113665</wp:posOffset>
            </wp:positionV>
            <wp:extent cx="5354955" cy="25006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354955" cy="2500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81" w:hanging="181"/>
        <w:spacing w:after="0" w:line="254" w:lineRule="auto"/>
        <w:tabs>
          <w:tab w:leader="none" w:pos="181" w:val="left"/>
        </w:tabs>
        <w:numPr>
          <w:ilvl w:val="0"/>
          <w:numId w:val="32"/>
        </w:numPr>
        <w:rPr>
          <w:rFonts w:ascii="Arial" w:cs="Arial" w:eastAsia="Arial" w:hAnsi="Arial"/>
          <w:sz w:val="12"/>
          <w:szCs w:val="12"/>
          <w:color w:val="auto"/>
        </w:rPr>
      </w:pPr>
      <w:r>
        <w:rPr>
          <w:rFonts w:ascii="Arial" w:cs="Arial" w:eastAsia="Arial" w:hAnsi="Arial"/>
          <w:sz w:val="12"/>
          <w:szCs w:val="12"/>
          <w:color w:val="auto"/>
        </w:rPr>
        <w:t>3-Year Total Compensation is the sum of base salary, annual incentives, bonuses, long-term incentive awards and all other compensation paid (perquisites and change in pension included) for the years 2011-2013 for our chief executive officer and for the chief executive officer of each of our peers as reported in their respective publicly available proxy statements.</w:t>
      </w:r>
    </w:p>
    <w:p>
      <w:pPr>
        <w:spacing w:after="0" w:line="79" w:lineRule="exact"/>
        <w:rPr>
          <w:rFonts w:ascii="Arial" w:cs="Arial" w:eastAsia="Arial" w:hAnsi="Arial"/>
          <w:sz w:val="12"/>
          <w:szCs w:val="12"/>
          <w:color w:val="auto"/>
        </w:rPr>
      </w:pPr>
    </w:p>
    <w:p>
      <w:pPr>
        <w:ind w:left="181" w:hanging="181"/>
        <w:spacing w:after="0"/>
        <w:tabs>
          <w:tab w:leader="none" w:pos="181" w:val="left"/>
        </w:tabs>
        <w:numPr>
          <w:ilvl w:val="0"/>
          <w:numId w:val="32"/>
        </w:numPr>
        <w:rPr>
          <w:rFonts w:ascii="Arial" w:cs="Arial" w:eastAsia="Arial" w:hAnsi="Arial"/>
          <w:sz w:val="12"/>
          <w:szCs w:val="12"/>
          <w:color w:val="auto"/>
        </w:rPr>
      </w:pPr>
      <w:r>
        <w:rPr>
          <w:rFonts w:ascii="Arial" w:cs="Arial" w:eastAsia="Arial" w:hAnsi="Arial"/>
          <w:sz w:val="12"/>
          <w:szCs w:val="12"/>
          <w:color w:val="auto"/>
        </w:rPr>
        <w:t>3-Year Total Shareholder Return is the percentage increase (or decrease) in stock price for the three years ended December 31, 2013, adjusted for cash dividends paid.</w:t>
      </w:r>
    </w:p>
    <w:p>
      <w:pPr>
        <w:spacing w:after="0" w:line="97" w:lineRule="exact"/>
        <w:rPr>
          <w:sz w:val="20"/>
          <w:szCs w:val="20"/>
          <w:color w:val="auto"/>
        </w:rPr>
      </w:pPr>
    </w:p>
    <w:p>
      <w:pPr>
        <w:ind w:left="1"/>
        <w:spacing w:after="0"/>
        <w:rPr>
          <w:sz w:val="20"/>
          <w:szCs w:val="20"/>
          <w:color w:val="auto"/>
        </w:rPr>
      </w:pPr>
      <w:r>
        <w:rPr>
          <w:rFonts w:ascii="Arial" w:cs="Arial" w:eastAsia="Arial" w:hAnsi="Arial"/>
          <w:sz w:val="12"/>
          <w:szCs w:val="12"/>
          <w:color w:val="auto"/>
        </w:rPr>
        <w:t>Source: Longnecker &amp; Associates research.</w:t>
      </w:r>
    </w:p>
    <w:p>
      <w:pPr>
        <w:spacing w:after="0" w:line="167"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Proactive Approach to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Over the past two years, we have engaged with our investors and improved our executive compensation program based on their feedback.</w:t>
      </w:r>
    </w:p>
    <w:p>
      <w:pPr>
        <w:spacing w:after="0" w:line="117"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In 2012 and 2013, we engaged with shareholders in response to the negative say-on-pay vote of 2011, and addressed the primary concerns that led to that negative result. During 2013, the approval of our say-on-pay proposal for 2012 compensation was over 70%. To continue to further understand investor concerns, during 2013, we reached out proactively to our 50 largest shareholders, and had meaningful engagement, including telephonic and personal meetings, with 19 of our 20 largest investors regarding executive compensation. No major concerns regarding compensation were raised by these investors.</w:t>
      </w:r>
    </w:p>
    <w:p>
      <w:pPr>
        <w:spacing w:after="0" w:line="69"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We have established and continue to maintain preferred pay practices in our executive compensation program.</w:t>
      </w:r>
    </w:p>
    <w:p>
      <w:pPr>
        <w:spacing w:after="0" w:line="55" w:lineRule="exact"/>
        <w:rPr>
          <w:sz w:val="20"/>
          <w:szCs w:val="20"/>
          <w:color w:val="auto"/>
        </w:rPr>
      </w:pPr>
    </w:p>
    <w:p>
      <w:pPr>
        <w:ind w:left="701"/>
        <w:spacing w:after="0"/>
        <w:rPr>
          <w:sz w:val="20"/>
          <w:szCs w:val="20"/>
          <w:color w:val="auto"/>
        </w:rPr>
      </w:pPr>
      <w:r>
        <w:rPr>
          <w:rFonts w:ascii="Arial" w:cs="Arial" w:eastAsia="Arial" w:hAnsi="Arial"/>
          <w:sz w:val="12"/>
          <w:szCs w:val="12"/>
          <w:color w:val="auto"/>
        </w:rPr>
        <w:t>We pay annual bonuses to executives only on the achievement of pre-determined and measurable objectives that benefit our Company and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-67945</wp:posOffset>
            </wp:positionV>
            <wp:extent cx="48895" cy="488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spacing w:after="0" w:line="3" w:lineRule="exact"/>
        <w:rPr>
          <w:sz w:val="20"/>
          <w:szCs w:val="20"/>
          <w:color w:val="auto"/>
        </w:rPr>
      </w:pPr>
    </w:p>
    <w:p>
      <w:pPr>
        <w:ind w:left="701"/>
        <w:spacing w:after="0"/>
        <w:rPr>
          <w:sz w:val="20"/>
          <w:szCs w:val="20"/>
          <w:color w:val="auto"/>
        </w:rPr>
      </w:pPr>
      <w:r>
        <w:rPr>
          <w:rFonts w:ascii="Arial" w:cs="Arial" w:eastAsia="Arial" w:hAnsi="Arial"/>
          <w:sz w:val="12"/>
          <w:szCs w:val="12"/>
          <w:color w:val="auto"/>
        </w:rPr>
        <w:t>For 2013 those objectives focused on profitability, capital efficiency and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-67945</wp:posOffset>
            </wp:positionV>
            <wp:extent cx="48895" cy="488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spacing w:after="0" w:line="15" w:lineRule="exact"/>
        <w:rPr>
          <w:sz w:val="20"/>
          <w:szCs w:val="20"/>
          <w:color w:val="auto"/>
        </w:rPr>
      </w:pPr>
    </w:p>
    <w:p>
      <w:pPr>
        <w:ind w:left="701"/>
        <w:spacing w:after="0"/>
        <w:rPr>
          <w:sz w:val="20"/>
          <w:szCs w:val="20"/>
          <w:color w:val="auto"/>
        </w:rPr>
      </w:pPr>
      <w:r>
        <w:rPr>
          <w:rFonts w:ascii="Arial" w:cs="Arial" w:eastAsia="Arial" w:hAnsi="Arial"/>
          <w:sz w:val="12"/>
          <w:szCs w:val="12"/>
          <w:color w:val="auto"/>
        </w:rPr>
        <w:t>For 2014, we have established similar pre-determined and measurable objectives, including objectives focused on cost savings achieved and net debt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-67945</wp:posOffset>
            </wp:positionV>
            <wp:extent cx="48895" cy="488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spacing w:after="0" w:line="53" w:lineRule="exact"/>
        <w:rPr>
          <w:sz w:val="20"/>
          <w:szCs w:val="20"/>
          <w:color w:val="auto"/>
        </w:rPr>
      </w:pPr>
    </w:p>
    <w:p>
      <w:pPr>
        <w:ind w:left="701"/>
        <w:spacing w:after="0"/>
        <w:rPr>
          <w:sz w:val="20"/>
          <w:szCs w:val="20"/>
          <w:color w:val="auto"/>
        </w:rPr>
      </w:pPr>
      <w:r>
        <w:rPr>
          <w:rFonts w:ascii="Arial" w:cs="Arial" w:eastAsia="Arial" w:hAnsi="Arial"/>
          <w:sz w:val="12"/>
          <w:szCs w:val="12"/>
          <w:color w:val="auto"/>
        </w:rPr>
        <w:t>The primary retirement benefit available to our CEO is denominated in shares such that the value of that benefit correlates directly with shareholder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-67945</wp:posOffset>
            </wp:positionV>
            <wp:extent cx="48895" cy="488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spacing w:after="0" w:line="65" w:lineRule="exact"/>
        <w:rPr>
          <w:sz w:val="20"/>
          <w:szCs w:val="20"/>
          <w:color w:val="auto"/>
        </w:rPr>
      </w:pPr>
    </w:p>
    <w:p>
      <w:pPr>
        <w:ind w:left="701"/>
        <w:spacing w:after="0"/>
        <w:rPr>
          <w:sz w:val="20"/>
          <w:szCs w:val="20"/>
          <w:color w:val="auto"/>
        </w:rPr>
      </w:pPr>
      <w:r>
        <w:rPr>
          <w:rFonts w:ascii="Arial" w:cs="Arial" w:eastAsia="Arial" w:hAnsi="Arial"/>
          <w:sz w:val="12"/>
          <w:szCs w:val="12"/>
          <w:color w:val="auto"/>
        </w:rPr>
        <w:t>We prohibit our executives, as well as directors, from engaging in hedging or derivative transactions involving 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-67945</wp:posOffset>
            </wp:positionV>
            <wp:extent cx="48895" cy="488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spacing w:after="0" w:line="77" w:lineRule="exact"/>
        <w:rPr>
          <w:sz w:val="20"/>
          <w:szCs w:val="20"/>
          <w:color w:val="auto"/>
        </w:rPr>
      </w:pPr>
    </w:p>
    <w:p>
      <w:pPr>
        <w:ind w:left="701"/>
        <w:spacing w:after="0"/>
        <w:rPr>
          <w:sz w:val="20"/>
          <w:szCs w:val="20"/>
          <w:color w:val="auto"/>
        </w:rPr>
      </w:pPr>
      <w:r>
        <w:rPr>
          <w:rFonts w:ascii="Arial" w:cs="Arial" w:eastAsia="Arial" w:hAnsi="Arial"/>
          <w:sz w:val="12"/>
          <w:szCs w:val="12"/>
          <w:color w:val="auto"/>
        </w:rPr>
        <w:t>We have an Executive Compensation Clawback Policy, a copy of which has been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-67945</wp:posOffset>
            </wp:positionV>
            <wp:extent cx="48895" cy="488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spacing w:after="0" w:line="77" w:lineRule="exact"/>
        <w:rPr>
          <w:sz w:val="20"/>
          <w:szCs w:val="20"/>
          <w:color w:val="auto"/>
        </w:rPr>
      </w:pPr>
    </w:p>
    <w:p>
      <w:pPr>
        <w:ind w:left="701"/>
        <w:spacing w:after="0"/>
        <w:rPr>
          <w:sz w:val="20"/>
          <w:szCs w:val="20"/>
          <w:color w:val="auto"/>
        </w:rPr>
      </w:pPr>
      <w:r>
        <w:rPr>
          <w:rFonts w:ascii="Arial" w:cs="Arial" w:eastAsia="Arial" w:hAnsi="Arial"/>
          <w:sz w:val="12"/>
          <w:szCs w:val="12"/>
          <w:color w:val="auto"/>
        </w:rPr>
        <w:t>We maintain share ownership guidelines, requiring executive officers to hold equity equivalent in value to three times (or six times in the case of the CEO) their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-67945</wp:posOffset>
            </wp:positionV>
            <wp:extent cx="48895" cy="488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spacing w:after="0" w:line="65" w:lineRule="exact"/>
        <w:rPr>
          <w:sz w:val="20"/>
          <w:szCs w:val="20"/>
          <w:color w:val="auto"/>
        </w:rPr>
      </w:pPr>
    </w:p>
    <w:p>
      <w:pPr>
        <w:ind w:left="701"/>
        <w:spacing w:after="0"/>
        <w:rPr>
          <w:sz w:val="20"/>
          <w:szCs w:val="20"/>
          <w:color w:val="auto"/>
        </w:rPr>
      </w:pPr>
      <w:r>
        <w:rPr>
          <w:rFonts w:ascii="Arial" w:cs="Arial" w:eastAsia="Arial" w:hAnsi="Arial"/>
          <w:sz w:val="12"/>
          <w:szCs w:val="12"/>
          <w:color w:val="auto"/>
        </w:rPr>
        <w:t>The severance benefits under our executive employment agreements are not augmented by a change of control and are “double-trigger”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-67945</wp:posOffset>
            </wp:positionV>
            <wp:extent cx="48895" cy="488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spacing w:after="0" w:line="8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We avoid objectionable pay practices in our executive compensation program.</w:t>
      </w:r>
    </w:p>
    <w:p>
      <w:pPr>
        <w:spacing w:after="0" w:line="93" w:lineRule="exact"/>
        <w:rPr>
          <w:sz w:val="20"/>
          <w:szCs w:val="20"/>
          <w:color w:val="auto"/>
        </w:rPr>
      </w:pPr>
    </w:p>
    <w:p>
      <w:pPr>
        <w:ind w:left="701"/>
        <w:spacing w:after="0"/>
        <w:rPr>
          <w:sz w:val="20"/>
          <w:szCs w:val="20"/>
          <w:color w:val="auto"/>
        </w:rPr>
      </w:pPr>
      <w:r>
        <w:rPr>
          <w:rFonts w:ascii="Arial" w:cs="Arial" w:eastAsia="Arial" w:hAnsi="Arial"/>
          <w:sz w:val="12"/>
          <w:szCs w:val="12"/>
          <w:color w:val="auto"/>
        </w:rPr>
        <w:t>We do not pay discretionary bonuses or multi-year guaranteed bonuses, except in the case of extraordinary achievement or sign-on bonuses.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-67945</wp:posOffset>
            </wp:positionV>
            <wp:extent cx="48895" cy="488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spacing w:after="0" w:line="40" w:lineRule="exact"/>
        <w:rPr>
          <w:sz w:val="20"/>
          <w:szCs w:val="20"/>
          <w:color w:val="auto"/>
        </w:rPr>
      </w:pPr>
    </w:p>
    <w:p>
      <w:pPr>
        <w:ind w:left="701"/>
        <w:spacing w:after="0"/>
        <w:rPr>
          <w:sz w:val="20"/>
          <w:szCs w:val="20"/>
          <w:color w:val="auto"/>
        </w:rPr>
      </w:pPr>
      <w:r>
        <w:rPr>
          <w:rFonts w:ascii="Arial" w:cs="Arial" w:eastAsia="Arial" w:hAnsi="Arial"/>
          <w:sz w:val="12"/>
          <w:szCs w:val="12"/>
          <w:color w:val="auto"/>
        </w:rPr>
        <w:t>We do not provide Section 280G or Section 409A tax gross-ups.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-67945</wp:posOffset>
            </wp:positionV>
            <wp:extent cx="48895" cy="488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spacing w:after="0" w:line="162"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auto"/>
        </w:rPr>
        <w:t>Weatherford International plc - www.WeatherfordAnnualMeeting.com</w:t>
      </w:r>
      <w:r>
        <w:rPr>
          <w:sz w:val="20"/>
          <w:szCs w:val="20"/>
          <w:color w:val="auto"/>
        </w:rPr>
        <w:tab/>
      </w:r>
      <w:r>
        <w:rPr>
          <w:rFonts w:ascii="Arial" w:cs="Arial" w:eastAsia="Arial" w:hAnsi="Arial"/>
          <w:sz w:val="10"/>
          <w:szCs w:val="10"/>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131445</wp:posOffset>
            </wp:positionV>
            <wp:extent cx="7278370" cy="203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sectPr>
      </w:pPr>
    </w:p>
    <w:bookmarkStart w:id="41" w:name="page42"/>
    <w:bookmarkEnd w:id="41"/>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41"/>
        <w:spacing w:after="0"/>
        <w:rPr>
          <w:sz w:val="20"/>
          <w:szCs w:val="20"/>
          <w:color w:val="auto"/>
        </w:rPr>
      </w:pPr>
      <w:r>
        <w:rPr>
          <w:rFonts w:ascii="Arial" w:cs="Arial" w:eastAsia="Arial" w:hAnsi="Arial"/>
          <w:sz w:val="12"/>
          <w:szCs w:val="12"/>
          <w:b w:val="1"/>
          <w:bCs w:val="1"/>
          <w:color w:val="FFFFFF"/>
          <w:shd w:val="clear" w:color="auto" w:fill="BB1131"/>
        </w:rPr>
        <w:t>EXECUTIVE COMPENSATION</w:t>
      </w:r>
    </w:p>
    <w:p>
      <w:pPr>
        <w:spacing w:after="0" w:line="194"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We engage in best governance practices with respect to executive compensation.</w:t>
      </w:r>
    </w:p>
    <w:p>
      <w:pPr>
        <w:spacing w:after="0" w:line="117" w:lineRule="exact"/>
        <w:rPr>
          <w:sz w:val="20"/>
          <w:szCs w:val="20"/>
          <w:color w:val="auto"/>
        </w:rPr>
      </w:pPr>
    </w:p>
    <w:p>
      <w:pPr>
        <w:ind w:left="701"/>
        <w:spacing w:after="0"/>
        <w:rPr>
          <w:sz w:val="20"/>
          <w:szCs w:val="20"/>
          <w:color w:val="auto"/>
        </w:rPr>
      </w:pPr>
      <w:r>
        <w:rPr>
          <w:rFonts w:ascii="Arial" w:cs="Arial" w:eastAsia="Arial" w:hAnsi="Arial"/>
          <w:sz w:val="12"/>
          <w:szCs w:val="12"/>
          <w:color w:val="auto"/>
        </w:rPr>
        <w:t>Our Compensation Committee comprises only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-67945</wp:posOffset>
            </wp:positionV>
            <wp:extent cx="48895" cy="488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spacing w:after="0" w:line="15" w:lineRule="exact"/>
        <w:rPr>
          <w:sz w:val="20"/>
          <w:szCs w:val="20"/>
          <w:color w:val="auto"/>
        </w:rPr>
      </w:pPr>
    </w:p>
    <w:p>
      <w:pPr>
        <w:ind w:left="701"/>
        <w:spacing w:after="0" w:line="254" w:lineRule="auto"/>
        <w:rPr>
          <w:sz w:val="20"/>
          <w:szCs w:val="20"/>
          <w:color w:val="auto"/>
        </w:rPr>
      </w:pPr>
      <w:r>
        <w:rPr>
          <w:rFonts w:ascii="Arial" w:cs="Arial" w:eastAsia="Arial" w:hAnsi="Arial"/>
          <w:sz w:val="12"/>
          <w:szCs w:val="12"/>
          <w:color w:val="auto"/>
        </w:rPr>
        <w:t>The Compensation Committee engaged a compensation consultant that is independent of management and the Company, and the Committee meets with the consultant in executive sessions separate from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-165735</wp:posOffset>
            </wp:positionV>
            <wp:extent cx="48895" cy="488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ind w:left="701"/>
        <w:spacing w:after="0" w:line="254" w:lineRule="auto"/>
        <w:rPr>
          <w:sz w:val="20"/>
          <w:szCs w:val="20"/>
          <w:color w:val="auto"/>
        </w:rPr>
      </w:pPr>
      <w:r>
        <w:rPr>
          <w:rFonts w:ascii="Arial" w:cs="Arial" w:eastAsia="Arial" w:hAnsi="Arial"/>
          <w:sz w:val="12"/>
          <w:szCs w:val="12"/>
          <w:color w:val="auto"/>
        </w:rPr>
        <w:t>We provide detailed, forward-looking disclosure of our current year annual cash incentive metrics and long-term performance metrics. See “—2014 Annual Incentive Goals” on page 28 and “— Grants in 2014” on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-165735</wp:posOffset>
            </wp:positionV>
            <wp:extent cx="48895" cy="488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ind w:left="701"/>
        <w:spacing w:after="0" w:line="254" w:lineRule="auto"/>
        <w:rPr>
          <w:sz w:val="20"/>
          <w:szCs w:val="20"/>
          <w:color w:val="auto"/>
        </w:rPr>
      </w:pPr>
      <w:r>
        <w:rPr>
          <w:rFonts w:ascii="Arial" w:cs="Arial" w:eastAsia="Arial" w:hAnsi="Arial"/>
          <w:sz w:val="12"/>
          <w:szCs w:val="12"/>
          <w:color w:val="auto"/>
        </w:rPr>
        <w:t>We compare our executives’ total compensation to a consistent peer group for market comparable data. We regularly evaluate that peer group to ensure it is appropriate to the Company, but we add or remove peers only where clearly warranted.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-165735</wp:posOffset>
            </wp:positionV>
            <wp:extent cx="48895" cy="488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ind w:left="701"/>
        <w:spacing w:after="0" w:line="254" w:lineRule="auto"/>
        <w:rPr>
          <w:sz w:val="20"/>
          <w:szCs w:val="20"/>
          <w:color w:val="auto"/>
        </w:rPr>
      </w:pPr>
      <w:r>
        <w:rPr>
          <w:rFonts w:ascii="Arial" w:cs="Arial" w:eastAsia="Arial" w:hAnsi="Arial"/>
          <w:sz w:val="12"/>
          <w:szCs w:val="12"/>
          <w:color w:val="auto"/>
        </w:rPr>
        <w:t>We conduct an annual comprehensive risk analysis of our executive compensation program with our independent compensation consultants to ensure that our program does not encourage inappropriate risk-taking.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-165735</wp:posOffset>
            </wp:positionV>
            <wp:extent cx="48895" cy="488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ind w:left="701"/>
        <w:spacing w:after="0"/>
        <w:rPr>
          <w:sz w:val="20"/>
          <w:szCs w:val="20"/>
          <w:color w:val="auto"/>
        </w:rPr>
      </w:pPr>
      <w:r>
        <w:rPr>
          <w:rFonts w:ascii="Arial" w:cs="Arial" w:eastAsia="Arial" w:hAnsi="Arial"/>
          <w:sz w:val="12"/>
          <w:szCs w:val="12"/>
          <w:color w:val="auto"/>
        </w:rPr>
        <w:t>We review annually a calculation of the shareholder value transfer and “burn rate” resulting from equity grants to ensure they are not excessive.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-67945</wp:posOffset>
            </wp:positionV>
            <wp:extent cx="48895" cy="488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spacing w:after="0" w:line="172"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This CD&amp;A Covers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14" w:lineRule="exact"/>
        <w:rPr>
          <w:sz w:val="20"/>
          <w:szCs w:val="20"/>
          <w:color w:val="auto"/>
        </w:rPr>
      </w:pPr>
    </w:p>
    <w:p>
      <w:pPr>
        <w:ind w:left="1"/>
        <w:spacing w:after="0"/>
        <w:rPr>
          <w:sz w:val="20"/>
          <w:szCs w:val="20"/>
          <w:color w:val="auto"/>
        </w:rPr>
      </w:pPr>
      <w:r>
        <w:rPr>
          <w:rFonts w:ascii="Arial" w:cs="Arial" w:eastAsia="Arial" w:hAnsi="Arial"/>
          <w:sz w:val="12"/>
          <w:szCs w:val="12"/>
          <w:color w:val="auto"/>
        </w:rPr>
        <w:t>This CD&amp;A covers the compensation of our NEOs, who are:</w:t>
      </w:r>
    </w:p>
    <w:p>
      <w:pPr>
        <w:spacing w:after="0" w:line="73" w:lineRule="exact"/>
        <w:rPr>
          <w:sz w:val="20"/>
          <w:szCs w:val="20"/>
          <w:color w:val="auto"/>
        </w:rPr>
      </w:pPr>
    </w:p>
    <w:p>
      <w:pPr>
        <w:ind w:left="701"/>
        <w:spacing w:after="0"/>
        <w:rPr>
          <w:sz w:val="20"/>
          <w:szCs w:val="20"/>
          <w:color w:val="auto"/>
        </w:rPr>
      </w:pPr>
      <w:r>
        <w:rPr>
          <w:rFonts w:ascii="Arial" w:cs="Arial" w:eastAsia="Arial" w:hAnsi="Arial"/>
          <w:sz w:val="12"/>
          <w:szCs w:val="12"/>
          <w:color w:val="auto"/>
        </w:rPr>
        <w:t>Dr. Bernard J. Duroc-Danner, 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77" w:lineRule="exact"/>
        <w:rPr>
          <w:sz w:val="20"/>
          <w:szCs w:val="20"/>
          <w:color w:val="auto"/>
        </w:rPr>
      </w:pPr>
    </w:p>
    <w:p>
      <w:pPr>
        <w:ind w:left="701"/>
        <w:spacing w:after="0"/>
        <w:rPr>
          <w:sz w:val="20"/>
          <w:szCs w:val="20"/>
          <w:color w:val="auto"/>
        </w:rPr>
      </w:pPr>
      <w:r>
        <w:rPr>
          <w:rFonts w:ascii="Arial" w:cs="Arial" w:eastAsia="Arial" w:hAnsi="Arial"/>
          <w:sz w:val="12"/>
          <w:szCs w:val="12"/>
          <w:color w:val="auto"/>
        </w:rPr>
        <w:t>Mr. Krishna Shivram, 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65" w:lineRule="exact"/>
        <w:rPr>
          <w:sz w:val="20"/>
          <w:szCs w:val="20"/>
          <w:color w:val="auto"/>
        </w:rPr>
      </w:pPr>
    </w:p>
    <w:p>
      <w:pPr>
        <w:ind w:left="701"/>
        <w:spacing w:after="0"/>
        <w:rPr>
          <w:sz w:val="20"/>
          <w:szCs w:val="20"/>
          <w:color w:val="auto"/>
        </w:rPr>
      </w:pPr>
      <w:r>
        <w:rPr>
          <w:rFonts w:ascii="Arial" w:cs="Arial" w:eastAsia="Arial" w:hAnsi="Arial"/>
          <w:sz w:val="12"/>
          <w:szCs w:val="12"/>
          <w:color w:val="auto"/>
        </w:rPr>
        <w:t>Mr. Dharmesh Mehta, Executive Vice President and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102" w:lineRule="exact"/>
        <w:rPr>
          <w:sz w:val="20"/>
          <w:szCs w:val="20"/>
          <w:color w:val="auto"/>
        </w:rPr>
      </w:pPr>
    </w:p>
    <w:p>
      <w:pPr>
        <w:jc w:val="both"/>
        <w:ind w:left="1"/>
        <w:spacing w:after="0" w:line="241" w:lineRule="auto"/>
        <w:rPr>
          <w:sz w:val="20"/>
          <w:szCs w:val="20"/>
          <w:color w:val="auto"/>
        </w:rPr>
      </w:pPr>
      <w:r>
        <w:rPr>
          <w:rFonts w:ascii="Arial" w:cs="Arial" w:eastAsia="Arial" w:hAnsi="Arial"/>
          <w:sz w:val="12"/>
          <w:szCs w:val="12"/>
          <w:color w:val="auto"/>
        </w:rPr>
        <w:t>We also address historical compensation with respect to: Mr. Peter T. Fontana who retired effective December 13, 2013, but was Executive Vice President and Chief Operating Officer until that date; Mr. John H. Briscoe, who left the Company effective September 11, 2013 but was Senior Vice President and Chief Financial Officer until that date; Mr. Nicholas W. Gee, who left the Company effective February 28, 2014, but was Executive Vice President, Strategy and Development and Chief Safety Officer until that date; Mr. Joseph C. Henry, who left the Company effective June 30, 2013 but was Senior Vice President and Co-General Counsel until that date; and Mr. William B. Jacobson, who left the Company effective July 3, 2014, but who was Senior Vice President, Co-General Counsel and Chief Compliance Officer until that date; as all five are considered NEOs for 2013 pursuant to applicable SEC rules.</w:t>
      </w:r>
    </w:p>
    <w:p>
      <w:pPr>
        <w:spacing w:after="0" w:line="157"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Elements of Our Executive Compensation Package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14" w:lineRule="exact"/>
        <w:rPr>
          <w:sz w:val="20"/>
          <w:szCs w:val="20"/>
          <w:color w:val="auto"/>
        </w:rPr>
      </w:pPr>
    </w:p>
    <w:p>
      <w:pPr>
        <w:jc w:val="both"/>
        <w:ind w:left="1"/>
        <w:spacing w:after="0" w:line="243" w:lineRule="auto"/>
        <w:rPr>
          <w:sz w:val="20"/>
          <w:szCs w:val="20"/>
          <w:color w:val="auto"/>
        </w:rPr>
      </w:pPr>
      <w:r>
        <w:rPr>
          <w:rFonts w:ascii="Arial" w:cs="Arial" w:eastAsia="Arial" w:hAnsi="Arial"/>
          <w:sz w:val="12"/>
          <w:szCs w:val="12"/>
          <w:color w:val="auto"/>
        </w:rPr>
        <w:t>Our compensation program is designed to reward our NEOs for the achievement of strategic and operational goals and the achievement of increased shareholder value, while at the same time avoiding unnecessary or excessive risk-taking. The following table summarizes the objective of each element of our NEOs’ compensation package, the key features of those elements and the extent to which the element is performance-based. This table should be read in conjunction with our Summary Compensation Table on page 35 and the more detailed discussion under “Our Executive Compensation Program” beginning on page 27.</w:t>
      </w:r>
    </w:p>
    <w:p>
      <w:pPr>
        <w:spacing w:after="0" w:line="324" w:lineRule="exact"/>
        <w:rPr>
          <w:sz w:val="20"/>
          <w:szCs w:val="20"/>
          <w:color w:val="auto"/>
        </w:rPr>
      </w:pPr>
    </w:p>
    <w:p>
      <w:pPr>
        <w:ind w:left="301" w:hanging="301"/>
        <w:spacing w:after="0"/>
        <w:tabs>
          <w:tab w:leader="none" w:pos="301" w:val="left"/>
        </w:tabs>
        <w:numPr>
          <w:ilvl w:val="0"/>
          <w:numId w:val="33"/>
        </w:numPr>
        <w:rPr>
          <w:rFonts w:ascii="Arial" w:cs="Arial" w:eastAsia="Arial" w:hAnsi="Arial"/>
          <w:sz w:val="12"/>
          <w:szCs w:val="12"/>
          <w:b w:val="1"/>
          <w:bCs w:val="1"/>
          <w:color w:val="auto"/>
        </w:rPr>
      </w:pPr>
      <w:r>
        <w:rPr>
          <w:rFonts w:ascii="Arial" w:cs="Arial" w:eastAsia="Arial" w:hAnsi="Arial"/>
          <w:sz w:val="12"/>
          <w:szCs w:val="12"/>
          <w:color w:val="auto"/>
        </w:rPr>
        <w:t>Weatherford International plc - 2014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8370" cy="203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4"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6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20" w:type="dxa"/>
            <w:vAlign w:val="bottom"/>
            <w:tcBorders>
              <w:bottom w:val="single" w:sz="8" w:color="BB1131"/>
            </w:tcBorders>
            <w:shd w:val="clear" w:color="auto" w:fill="BB1131"/>
          </w:tcPr>
          <w:p>
            <w:pPr>
              <w:ind w:left="40"/>
              <w:spacing w:after="0"/>
              <w:rPr>
                <w:sz w:val="20"/>
                <w:szCs w:val="20"/>
                <w:color w:val="auto"/>
              </w:rPr>
            </w:pPr>
            <w:r>
              <w:rPr>
                <w:rFonts w:ascii="Arial" w:cs="Arial" w:eastAsia="Arial" w:hAnsi="Arial"/>
                <w:sz w:val="12"/>
                <w:szCs w:val="12"/>
                <w:b w:val="1"/>
                <w:bCs w:val="1"/>
                <w:color w:val="FFFFFF"/>
                <w:shd w:val="clear" w:color="auto" w:fill="BB1131"/>
              </w:rPr>
              <w:t>EXECUTIVE COMPENSATION</w:t>
            </w:r>
          </w:p>
        </w:tc>
      </w:tr>
      <w:tr>
        <w:trPr>
          <w:trHeight w:val="285"/>
        </w:trPr>
        <w:tc>
          <w:tcPr>
            <w:tcW w:w="16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Compensation Element</w:t>
            </w:r>
          </w:p>
        </w:tc>
        <w:tc>
          <w:tcPr>
            <w:tcW w:w="3540" w:type="dxa"/>
            <w:vAlign w:val="bottom"/>
            <w:tcBorders>
              <w:bottom w:val="single" w:sz="8" w:color="auto"/>
            </w:tcBorders>
          </w:tcPr>
          <w:p>
            <w:pPr>
              <w:ind w:left="340"/>
              <w:spacing w:after="0"/>
              <w:rPr>
                <w:sz w:val="20"/>
                <w:szCs w:val="20"/>
                <w:color w:val="auto"/>
              </w:rPr>
            </w:pPr>
            <w:r>
              <w:rPr>
                <w:rFonts w:ascii="Arial" w:cs="Arial" w:eastAsia="Arial" w:hAnsi="Arial"/>
                <w:sz w:val="12"/>
                <w:szCs w:val="12"/>
                <w:color w:val="auto"/>
              </w:rPr>
              <w:t>Objective</w:t>
            </w:r>
          </w:p>
        </w:tc>
        <w:tc>
          <w:tcPr>
            <w:tcW w:w="3720" w:type="dxa"/>
            <w:vAlign w:val="bottom"/>
            <w:tcBorders>
              <w:bottom w:val="single" w:sz="8" w:color="auto"/>
            </w:tcBorders>
          </w:tcPr>
          <w:p>
            <w:pPr>
              <w:ind w:left="200"/>
              <w:spacing w:after="0"/>
              <w:rPr>
                <w:sz w:val="20"/>
                <w:szCs w:val="20"/>
                <w:color w:val="auto"/>
              </w:rPr>
            </w:pPr>
            <w:r>
              <w:rPr>
                <w:rFonts w:ascii="Arial" w:cs="Arial" w:eastAsia="Arial" w:hAnsi="Arial"/>
                <w:sz w:val="12"/>
                <w:szCs w:val="12"/>
                <w:color w:val="auto"/>
              </w:rPr>
              <w:t>Key Features</w:t>
            </w:r>
          </w:p>
        </w:tc>
        <w:tc>
          <w:tcPr>
            <w:tcW w:w="2560" w:type="dxa"/>
            <w:vAlign w:val="bottom"/>
            <w:tcBorders>
              <w:bottom w:val="single" w:sz="8" w:color="auto"/>
            </w:tcBorders>
            <w:gridSpan w:val="2"/>
          </w:tcPr>
          <w:p>
            <w:pPr>
              <w:ind w:left="120"/>
              <w:spacing w:after="0"/>
              <w:rPr>
                <w:sz w:val="20"/>
                <w:szCs w:val="20"/>
                <w:color w:val="auto"/>
              </w:rPr>
            </w:pPr>
            <w:r>
              <w:rPr>
                <w:rFonts w:ascii="Arial" w:cs="Arial" w:eastAsia="Arial" w:hAnsi="Arial"/>
                <w:sz w:val="12"/>
                <w:szCs w:val="12"/>
                <w:color w:val="auto"/>
              </w:rPr>
              <w:t>Performance/At-risk?</w:t>
            </w:r>
          </w:p>
        </w:tc>
      </w:tr>
      <w:tr>
        <w:trPr>
          <w:trHeight w:val="128"/>
        </w:trPr>
        <w:tc>
          <w:tcPr>
            <w:tcW w:w="1600" w:type="dxa"/>
            <w:vAlign w:val="bottom"/>
          </w:tcPr>
          <w:p>
            <w:pPr>
              <w:spacing w:after="0" w:line="128" w:lineRule="exact"/>
              <w:rPr>
                <w:sz w:val="20"/>
                <w:szCs w:val="20"/>
                <w:color w:val="auto"/>
              </w:rPr>
            </w:pPr>
            <w:r>
              <w:rPr>
                <w:rFonts w:ascii="Arial" w:cs="Arial" w:eastAsia="Arial" w:hAnsi="Arial"/>
                <w:sz w:val="12"/>
                <w:szCs w:val="12"/>
                <w:color w:val="auto"/>
              </w:rPr>
              <w:t>Base Salary</w:t>
            </w:r>
          </w:p>
        </w:tc>
        <w:tc>
          <w:tcPr>
            <w:tcW w:w="3540" w:type="dxa"/>
            <w:vAlign w:val="bottom"/>
          </w:tcPr>
          <w:p>
            <w:pPr>
              <w:ind w:left="340"/>
              <w:spacing w:after="0" w:line="128" w:lineRule="exact"/>
              <w:rPr>
                <w:sz w:val="20"/>
                <w:szCs w:val="20"/>
                <w:color w:val="auto"/>
              </w:rPr>
            </w:pPr>
            <w:r>
              <w:rPr>
                <w:rFonts w:ascii="Arial" w:cs="Arial" w:eastAsia="Arial" w:hAnsi="Arial"/>
                <w:sz w:val="12"/>
                <w:szCs w:val="12"/>
                <w:color w:val="auto"/>
              </w:rPr>
              <w:t>To reflect executive responsibilities, job characteristics,</w:t>
            </w:r>
          </w:p>
        </w:tc>
        <w:tc>
          <w:tcPr>
            <w:tcW w:w="3720" w:type="dxa"/>
            <w:vAlign w:val="bottom"/>
          </w:tcPr>
          <w:p>
            <w:pPr>
              <w:ind w:left="200"/>
              <w:spacing w:after="0" w:line="128" w:lineRule="exact"/>
              <w:rPr>
                <w:sz w:val="20"/>
                <w:szCs w:val="20"/>
                <w:color w:val="auto"/>
              </w:rPr>
            </w:pPr>
            <w:r>
              <w:rPr>
                <w:rFonts w:ascii="Arial" w:cs="Arial" w:eastAsia="Arial" w:hAnsi="Arial"/>
                <w:sz w:val="12"/>
                <w:szCs w:val="12"/>
                <w:color w:val="auto"/>
              </w:rPr>
              <w:t>Reviewed annually and subject to upward adjustment based</w:t>
            </w:r>
          </w:p>
        </w:tc>
        <w:tc>
          <w:tcPr>
            <w:tcW w:w="2560" w:type="dxa"/>
            <w:vAlign w:val="bottom"/>
            <w:gridSpan w:val="2"/>
          </w:tcPr>
          <w:p>
            <w:pPr>
              <w:ind w:left="120"/>
              <w:spacing w:after="0" w:line="128" w:lineRule="exact"/>
              <w:rPr>
                <w:sz w:val="20"/>
                <w:szCs w:val="20"/>
                <w:color w:val="auto"/>
              </w:rPr>
            </w:pPr>
            <w:r>
              <w:rPr>
                <w:rFonts w:ascii="Arial" w:cs="Arial" w:eastAsia="Arial" w:hAnsi="Arial"/>
                <w:sz w:val="12"/>
                <w:szCs w:val="12"/>
                <w:color w:val="auto"/>
              </w:rPr>
              <w:t>No.</w:t>
            </w:r>
          </w:p>
        </w:tc>
      </w:tr>
      <w:tr>
        <w:trPr>
          <w:trHeight w:val="136"/>
        </w:trPr>
        <w:tc>
          <w:tcPr>
            <w:tcW w:w="1600" w:type="dxa"/>
            <w:vAlign w:val="bottom"/>
          </w:tcPr>
          <w:p>
            <w:pPr>
              <w:spacing w:after="0"/>
              <w:rPr>
                <w:sz w:val="11"/>
                <w:szCs w:val="11"/>
                <w:color w:val="auto"/>
              </w:rPr>
            </w:pPr>
          </w:p>
        </w:tc>
        <w:tc>
          <w:tcPr>
            <w:tcW w:w="3540" w:type="dxa"/>
            <w:vAlign w:val="bottom"/>
          </w:tcPr>
          <w:p>
            <w:pPr>
              <w:ind w:left="340"/>
              <w:spacing w:after="0" w:line="136" w:lineRule="exact"/>
              <w:rPr>
                <w:sz w:val="20"/>
                <w:szCs w:val="20"/>
                <w:color w:val="auto"/>
              </w:rPr>
            </w:pPr>
            <w:r>
              <w:rPr>
                <w:rFonts w:ascii="Arial" w:cs="Arial" w:eastAsia="Arial" w:hAnsi="Arial"/>
                <w:sz w:val="12"/>
                <w:szCs w:val="12"/>
                <w:color w:val="auto"/>
              </w:rPr>
              <w:t>seniority, experience and skill set.</w:t>
            </w:r>
          </w:p>
        </w:tc>
        <w:tc>
          <w:tcPr>
            <w:tcW w:w="3720" w:type="dxa"/>
            <w:vAlign w:val="bottom"/>
          </w:tcPr>
          <w:p>
            <w:pPr>
              <w:ind w:left="200"/>
              <w:spacing w:after="0" w:line="136" w:lineRule="exact"/>
              <w:rPr>
                <w:sz w:val="20"/>
                <w:szCs w:val="20"/>
                <w:color w:val="auto"/>
              </w:rPr>
            </w:pPr>
            <w:r>
              <w:rPr>
                <w:rFonts w:ascii="Arial" w:cs="Arial" w:eastAsia="Arial" w:hAnsi="Arial"/>
                <w:sz w:val="12"/>
                <w:szCs w:val="12"/>
                <w:color w:val="auto"/>
              </w:rPr>
              <w:t>on individual performance, experience, leadership and market</w:t>
            </w:r>
          </w:p>
        </w:tc>
        <w:tc>
          <w:tcPr>
            <w:tcW w:w="740" w:type="dxa"/>
            <w:vAlign w:val="bottom"/>
          </w:tcPr>
          <w:p>
            <w:pPr>
              <w:spacing w:after="0"/>
              <w:rPr>
                <w:sz w:val="11"/>
                <w:szCs w:val="11"/>
                <w:color w:val="auto"/>
              </w:rPr>
            </w:pPr>
          </w:p>
        </w:tc>
        <w:tc>
          <w:tcPr>
            <w:tcW w:w="1820" w:type="dxa"/>
            <w:vAlign w:val="bottom"/>
          </w:tcPr>
          <w:p>
            <w:pPr>
              <w:spacing w:after="0"/>
              <w:rPr>
                <w:sz w:val="11"/>
                <w:szCs w:val="11"/>
                <w:color w:val="auto"/>
              </w:rPr>
            </w:pPr>
          </w:p>
        </w:tc>
      </w:tr>
      <w:tr>
        <w:trPr>
          <w:trHeight w:val="148"/>
        </w:trPr>
        <w:tc>
          <w:tcPr>
            <w:tcW w:w="1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3720" w:type="dxa"/>
            <w:vAlign w:val="bottom"/>
          </w:tcPr>
          <w:p>
            <w:pPr>
              <w:ind w:left="200"/>
              <w:spacing w:after="0"/>
              <w:rPr>
                <w:sz w:val="20"/>
                <w:szCs w:val="20"/>
                <w:color w:val="auto"/>
              </w:rPr>
            </w:pPr>
            <w:r>
              <w:rPr>
                <w:rFonts w:ascii="Arial" w:cs="Arial" w:eastAsia="Arial" w:hAnsi="Arial"/>
                <w:sz w:val="12"/>
                <w:szCs w:val="12"/>
                <w:color w:val="auto"/>
              </w:rPr>
              <w:t>factors.</w:t>
            </w:r>
          </w:p>
        </w:tc>
        <w:tc>
          <w:tcPr>
            <w:tcW w:w="740" w:type="dxa"/>
            <w:vAlign w:val="bottom"/>
          </w:tcPr>
          <w:p>
            <w:pPr>
              <w:spacing w:after="0"/>
              <w:rPr>
                <w:sz w:val="12"/>
                <w:szCs w:val="12"/>
                <w:color w:val="auto"/>
              </w:rPr>
            </w:pPr>
          </w:p>
        </w:tc>
        <w:tc>
          <w:tcPr>
            <w:tcW w:w="18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7258050"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p>
      <w:pPr>
        <w:spacing w:after="0" w:line="237" w:lineRule="auto"/>
        <w:tabs>
          <w:tab w:leader="none" w:pos="1920" w:val="left"/>
        </w:tabs>
        <w:rPr>
          <w:sz w:val="20"/>
          <w:szCs w:val="20"/>
          <w:color w:val="auto"/>
        </w:rPr>
      </w:pPr>
      <w:r>
        <w:rPr>
          <w:rFonts w:ascii="Arial" w:cs="Arial" w:eastAsia="Arial" w:hAnsi="Arial"/>
          <w:sz w:val="12"/>
          <w:szCs w:val="12"/>
          <w:color w:val="auto"/>
        </w:rPr>
        <w:t>Annual Cash Incentive</w:t>
      </w:r>
      <w:r>
        <w:rPr>
          <w:sz w:val="20"/>
          <w:szCs w:val="20"/>
          <w:color w:val="auto"/>
        </w:rPr>
        <w:tab/>
      </w:r>
      <w:r>
        <w:rPr>
          <w:rFonts w:ascii="Arial" w:cs="Arial" w:eastAsia="Arial" w:hAnsi="Arial"/>
          <w:sz w:val="12"/>
          <w:szCs w:val="12"/>
          <w:color w:val="auto"/>
        </w:rPr>
        <w:t>To reward executives’ contributions to the achievement of</w:t>
      </w:r>
    </w:p>
    <w:p>
      <w:pPr>
        <w:ind w:left="1940"/>
        <w:spacing w:after="0"/>
        <w:rPr>
          <w:sz w:val="20"/>
          <w:szCs w:val="20"/>
          <w:color w:val="auto"/>
        </w:rPr>
      </w:pPr>
      <w:r>
        <w:rPr>
          <w:rFonts w:ascii="Arial" w:cs="Arial" w:eastAsia="Arial" w:hAnsi="Arial"/>
          <w:sz w:val="12"/>
          <w:szCs w:val="12"/>
          <w:color w:val="auto"/>
        </w:rPr>
        <w:t>predetermined financial and operational objectives.</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Arial" w:cs="Arial" w:eastAsia="Arial" w:hAnsi="Arial"/>
          <w:sz w:val="12"/>
          <w:szCs w:val="12"/>
          <w:color w:val="auto"/>
        </w:rPr>
        <w:t>Compensation Committee establishes performance measures to best align performance relevant to meeting financial, operational and safety goals that will ultimately drive shareholder value.</w:t>
      </w:r>
    </w:p>
    <w:p>
      <w:pPr>
        <w:spacing w:after="0" w:line="20" w:lineRule="exact"/>
        <w:rPr>
          <w:sz w:val="20"/>
          <w:szCs w:val="20"/>
          <w:color w:val="auto"/>
        </w:rPr>
      </w:pPr>
      <w:r>
        <w:rPr>
          <w:sz w:val="20"/>
          <w:szCs w:val="20"/>
          <w:color w:val="auto"/>
        </w:rPr>
        <w:br w:type="column"/>
      </w:r>
    </w:p>
    <w:p>
      <w:pPr>
        <w:jc w:val="both"/>
        <w:ind w:right="20"/>
        <w:spacing w:after="0" w:line="245" w:lineRule="auto"/>
        <w:rPr>
          <w:sz w:val="20"/>
          <w:szCs w:val="20"/>
          <w:color w:val="auto"/>
        </w:rPr>
      </w:pPr>
      <w:r>
        <w:rPr>
          <w:rFonts w:ascii="Arial" w:cs="Arial" w:eastAsia="Arial" w:hAnsi="Arial"/>
          <w:sz w:val="12"/>
          <w:szCs w:val="12"/>
          <w:color w:val="auto"/>
        </w:rPr>
        <w:t>Yes, pays out only based on achievement of established measurable goals; may not pay out.</w:t>
      </w:r>
    </w:p>
    <w:p>
      <w:pPr>
        <w:spacing w:after="0" w:line="123" w:lineRule="exact"/>
        <w:rPr>
          <w:sz w:val="20"/>
          <w:szCs w:val="20"/>
          <w:color w:val="auto"/>
        </w:rPr>
      </w:pPr>
    </w:p>
    <w:p>
      <w:pPr>
        <w:sectPr>
          <w:pgSz w:w="11900" w:h="16838" w:orient="portrait"/>
          <w:cols w:equalWidth="0" w:num="3">
            <w:col w:w="5080" w:space="260"/>
            <w:col w:w="3400" w:space="240"/>
            <w:col w:w="2440"/>
          </w:cols>
          <w:pgMar w:left="240" w:top="564" w:right="23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1780" w:type="dxa"/>
            <w:vAlign w:val="bottom"/>
            <w:tcBorders>
              <w:top w:val="single" w:sz="8" w:color="auto"/>
            </w:tcBorders>
            <w:gridSpan w:val="2"/>
          </w:tcPr>
          <w:p>
            <w:pPr>
              <w:spacing w:after="0" w:line="128" w:lineRule="exact"/>
              <w:rPr>
                <w:sz w:val="20"/>
                <w:szCs w:val="20"/>
                <w:color w:val="auto"/>
              </w:rPr>
            </w:pPr>
            <w:r>
              <w:rPr>
                <w:rFonts w:ascii="Arial" w:cs="Arial" w:eastAsia="Arial" w:hAnsi="Arial"/>
                <w:sz w:val="12"/>
                <w:szCs w:val="12"/>
                <w:color w:val="auto"/>
              </w:rPr>
              <w:t>Performance Units (Long-</w:t>
            </w:r>
          </w:p>
        </w:tc>
        <w:tc>
          <w:tcPr>
            <w:tcW w:w="3360" w:type="dxa"/>
            <w:vAlign w:val="bottom"/>
            <w:tcBorders>
              <w:top w:val="single" w:sz="8" w:color="auto"/>
            </w:tcBorders>
          </w:tcPr>
          <w:p>
            <w:pPr>
              <w:ind w:left="160"/>
              <w:spacing w:after="0" w:line="128" w:lineRule="exact"/>
              <w:rPr>
                <w:sz w:val="20"/>
                <w:szCs w:val="20"/>
                <w:color w:val="auto"/>
              </w:rPr>
            </w:pPr>
            <w:r>
              <w:rPr>
                <w:rFonts w:ascii="Arial" w:cs="Arial" w:eastAsia="Arial" w:hAnsi="Arial"/>
                <w:sz w:val="12"/>
                <w:szCs w:val="12"/>
                <w:color w:val="auto"/>
              </w:rPr>
              <w:t>To correlate realized pay with increases in shareholder</w:t>
            </w:r>
          </w:p>
        </w:tc>
        <w:tc>
          <w:tcPr>
            <w:tcW w:w="3700" w:type="dxa"/>
            <w:vAlign w:val="bottom"/>
            <w:tcBorders>
              <w:top w:val="single" w:sz="8" w:color="auto"/>
            </w:tcBorders>
          </w:tcPr>
          <w:p>
            <w:pPr>
              <w:ind w:left="200"/>
              <w:spacing w:after="0" w:line="128" w:lineRule="exact"/>
              <w:rPr>
                <w:sz w:val="20"/>
                <w:szCs w:val="20"/>
                <w:color w:val="auto"/>
              </w:rPr>
            </w:pPr>
            <w:r>
              <w:rPr>
                <w:rFonts w:ascii="Arial" w:cs="Arial" w:eastAsia="Arial" w:hAnsi="Arial"/>
                <w:sz w:val="12"/>
                <w:szCs w:val="12"/>
                <w:color w:val="auto"/>
              </w:rPr>
              <w:t>In periods of low shareholder return, executives realize little</w:t>
            </w:r>
          </w:p>
        </w:tc>
        <w:tc>
          <w:tcPr>
            <w:tcW w:w="2580" w:type="dxa"/>
            <w:vAlign w:val="bottom"/>
            <w:tcBorders>
              <w:top w:val="single" w:sz="8" w:color="auto"/>
            </w:tcBorders>
          </w:tcPr>
          <w:p>
            <w:pPr>
              <w:ind w:left="140"/>
              <w:spacing w:after="0" w:line="128" w:lineRule="exact"/>
              <w:rPr>
                <w:sz w:val="20"/>
                <w:szCs w:val="20"/>
                <w:color w:val="auto"/>
              </w:rPr>
            </w:pPr>
            <w:r>
              <w:rPr>
                <w:rFonts w:ascii="Arial" w:cs="Arial" w:eastAsia="Arial" w:hAnsi="Arial"/>
                <w:sz w:val="12"/>
                <w:szCs w:val="12"/>
                <w:color w:val="auto"/>
              </w:rPr>
              <w:t>Yes, pays out only based on increased</w:t>
            </w:r>
          </w:p>
        </w:tc>
        <w:tc>
          <w:tcPr>
            <w:tcW w:w="0" w:type="dxa"/>
            <w:vAlign w:val="bottom"/>
          </w:tcPr>
          <w:p>
            <w:pPr>
              <w:spacing w:after="0"/>
              <w:rPr>
                <w:sz w:val="1"/>
                <w:szCs w:val="1"/>
                <w:color w:val="auto"/>
              </w:rPr>
            </w:pPr>
          </w:p>
        </w:tc>
      </w:tr>
      <w:tr>
        <w:trPr>
          <w:trHeight w:val="136"/>
        </w:trPr>
        <w:tc>
          <w:tcPr>
            <w:tcW w:w="1780" w:type="dxa"/>
            <w:vAlign w:val="bottom"/>
            <w:gridSpan w:val="2"/>
          </w:tcPr>
          <w:p>
            <w:pPr>
              <w:spacing w:after="0" w:line="136" w:lineRule="exact"/>
              <w:rPr>
                <w:sz w:val="20"/>
                <w:szCs w:val="20"/>
                <w:color w:val="auto"/>
              </w:rPr>
            </w:pPr>
            <w:r>
              <w:rPr>
                <w:rFonts w:ascii="Arial" w:cs="Arial" w:eastAsia="Arial" w:hAnsi="Arial"/>
                <w:sz w:val="12"/>
                <w:szCs w:val="12"/>
                <w:color w:val="auto"/>
              </w:rPr>
              <w:t>Term Equity Awards)</w:t>
            </w:r>
          </w:p>
        </w:tc>
        <w:tc>
          <w:tcPr>
            <w:tcW w:w="3360" w:type="dxa"/>
            <w:vAlign w:val="bottom"/>
          </w:tcPr>
          <w:p>
            <w:pPr>
              <w:ind w:left="160"/>
              <w:spacing w:after="0" w:line="136" w:lineRule="exact"/>
              <w:rPr>
                <w:sz w:val="20"/>
                <w:szCs w:val="20"/>
                <w:color w:val="auto"/>
              </w:rPr>
            </w:pPr>
            <w:r>
              <w:rPr>
                <w:rFonts w:ascii="Arial" w:cs="Arial" w:eastAsia="Arial" w:hAnsi="Arial"/>
                <w:sz w:val="12"/>
                <w:szCs w:val="12"/>
                <w:color w:val="auto"/>
              </w:rPr>
              <w:t>value on absolute terms over a long-term period.</w:t>
            </w:r>
          </w:p>
        </w:tc>
        <w:tc>
          <w:tcPr>
            <w:tcW w:w="3700" w:type="dxa"/>
            <w:vAlign w:val="bottom"/>
          </w:tcPr>
          <w:p>
            <w:pPr>
              <w:ind w:left="200"/>
              <w:spacing w:after="0" w:line="136" w:lineRule="exact"/>
              <w:rPr>
                <w:sz w:val="20"/>
                <w:szCs w:val="20"/>
                <w:color w:val="auto"/>
              </w:rPr>
            </w:pPr>
            <w:r>
              <w:rPr>
                <w:rFonts w:ascii="Arial" w:cs="Arial" w:eastAsia="Arial" w:hAnsi="Arial"/>
                <w:sz w:val="12"/>
                <w:szCs w:val="12"/>
                <w:color w:val="auto"/>
              </w:rPr>
              <w:t>or no value. In periods of high shareholder return, executives</w:t>
            </w:r>
          </w:p>
        </w:tc>
        <w:tc>
          <w:tcPr>
            <w:tcW w:w="2580" w:type="dxa"/>
            <w:vAlign w:val="bottom"/>
          </w:tcPr>
          <w:p>
            <w:pPr>
              <w:ind w:left="140"/>
              <w:spacing w:after="0" w:line="136" w:lineRule="exact"/>
              <w:rPr>
                <w:sz w:val="20"/>
                <w:szCs w:val="20"/>
                <w:color w:val="auto"/>
              </w:rPr>
            </w:pPr>
            <w:r>
              <w:rPr>
                <w:rFonts w:ascii="Arial" w:cs="Arial" w:eastAsia="Arial" w:hAnsi="Arial"/>
                <w:sz w:val="12"/>
                <w:szCs w:val="12"/>
                <w:color w:val="auto"/>
              </w:rPr>
              <w:t>shareholder value; may not vest depending</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3700" w:type="dxa"/>
            <w:vAlign w:val="bottom"/>
            <w:tcBorders>
              <w:bottom w:val="single" w:sz="8" w:color="auto"/>
            </w:tcBorders>
          </w:tcPr>
          <w:p>
            <w:pPr>
              <w:ind w:left="200"/>
              <w:spacing w:after="0" w:line="137" w:lineRule="exact"/>
              <w:rPr>
                <w:sz w:val="20"/>
                <w:szCs w:val="20"/>
                <w:color w:val="auto"/>
              </w:rPr>
            </w:pPr>
            <w:r>
              <w:rPr>
                <w:rFonts w:ascii="Arial" w:cs="Arial" w:eastAsia="Arial" w:hAnsi="Arial"/>
                <w:sz w:val="12"/>
                <w:szCs w:val="12"/>
                <w:color w:val="auto"/>
              </w:rPr>
              <w:t>may realize substantial value.</w:t>
            </w:r>
          </w:p>
        </w:tc>
        <w:tc>
          <w:tcPr>
            <w:tcW w:w="2580" w:type="dxa"/>
            <w:vAlign w:val="bottom"/>
            <w:tcBorders>
              <w:bottom w:val="single" w:sz="8" w:color="auto"/>
            </w:tcBorders>
          </w:tcPr>
          <w:p>
            <w:pPr>
              <w:ind w:left="140"/>
              <w:spacing w:after="0" w:line="137" w:lineRule="exact"/>
              <w:rPr>
                <w:sz w:val="20"/>
                <w:szCs w:val="20"/>
                <w:color w:val="auto"/>
              </w:rPr>
            </w:pPr>
            <w:r>
              <w:rPr>
                <w:rFonts w:ascii="Arial" w:cs="Arial" w:eastAsia="Arial" w:hAnsi="Arial"/>
                <w:sz w:val="12"/>
                <w:szCs w:val="12"/>
                <w:color w:val="auto"/>
              </w:rPr>
              <w:t>upon shareholder return.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760" w:type="dxa"/>
            <w:vAlign w:val="bottom"/>
          </w:tcPr>
          <w:p>
            <w:pPr>
              <w:spacing w:after="0" w:line="128" w:lineRule="exact"/>
              <w:rPr>
                <w:sz w:val="20"/>
                <w:szCs w:val="20"/>
                <w:color w:val="auto"/>
              </w:rPr>
            </w:pPr>
            <w:r>
              <w:rPr>
                <w:rFonts w:ascii="Arial" w:cs="Arial" w:eastAsia="Arial" w:hAnsi="Arial"/>
                <w:sz w:val="12"/>
                <w:szCs w:val="12"/>
                <w:color w:val="auto"/>
              </w:rPr>
              <w:t>Restricted Share Units (Long-</w:t>
            </w:r>
          </w:p>
        </w:tc>
        <w:tc>
          <w:tcPr>
            <w:tcW w:w="3360" w:type="dxa"/>
            <w:vAlign w:val="bottom"/>
          </w:tcPr>
          <w:p>
            <w:pPr>
              <w:ind w:left="160"/>
              <w:spacing w:after="0" w:line="128" w:lineRule="exact"/>
              <w:rPr>
                <w:sz w:val="20"/>
                <w:szCs w:val="20"/>
                <w:color w:val="auto"/>
              </w:rPr>
            </w:pPr>
            <w:r>
              <w:rPr>
                <w:rFonts w:ascii="Arial" w:cs="Arial" w:eastAsia="Arial" w:hAnsi="Arial"/>
                <w:sz w:val="12"/>
                <w:szCs w:val="12"/>
                <w:color w:val="auto"/>
              </w:rPr>
              <w:t>To incentivize management to contribute to long-term</w:t>
            </w:r>
          </w:p>
        </w:tc>
        <w:tc>
          <w:tcPr>
            <w:tcW w:w="3700" w:type="dxa"/>
            <w:vAlign w:val="bottom"/>
          </w:tcPr>
          <w:p>
            <w:pPr>
              <w:ind w:left="200"/>
              <w:spacing w:after="0" w:line="128" w:lineRule="exact"/>
              <w:rPr>
                <w:sz w:val="20"/>
                <w:szCs w:val="20"/>
                <w:color w:val="auto"/>
              </w:rPr>
            </w:pPr>
            <w:r>
              <w:rPr>
                <w:rFonts w:ascii="Arial" w:cs="Arial" w:eastAsia="Arial" w:hAnsi="Arial"/>
                <w:sz w:val="12"/>
                <w:szCs w:val="12"/>
                <w:color w:val="auto"/>
              </w:rPr>
              <w:t>A portion of NEOs’ compensation is paid in equity, and value</w:t>
            </w:r>
          </w:p>
        </w:tc>
        <w:tc>
          <w:tcPr>
            <w:tcW w:w="2580" w:type="dxa"/>
            <w:vAlign w:val="bottom"/>
          </w:tcPr>
          <w:p>
            <w:pPr>
              <w:ind w:left="140"/>
              <w:spacing w:after="0" w:line="128" w:lineRule="exact"/>
              <w:rPr>
                <w:sz w:val="20"/>
                <w:szCs w:val="20"/>
                <w:color w:val="auto"/>
              </w:rPr>
            </w:pPr>
            <w:r>
              <w:rPr>
                <w:rFonts w:ascii="Arial" w:cs="Arial" w:eastAsia="Arial" w:hAnsi="Arial"/>
                <w:sz w:val="12"/>
                <w:szCs w:val="12"/>
                <w:color w:val="auto"/>
              </w:rPr>
              <w:t>Yes, value increases or decreases in</w:t>
            </w:r>
          </w:p>
        </w:tc>
        <w:tc>
          <w:tcPr>
            <w:tcW w:w="0" w:type="dxa"/>
            <w:vAlign w:val="bottom"/>
          </w:tcPr>
          <w:p>
            <w:pPr>
              <w:spacing w:after="0"/>
              <w:rPr>
                <w:sz w:val="1"/>
                <w:szCs w:val="1"/>
                <w:color w:val="auto"/>
              </w:rPr>
            </w:pPr>
          </w:p>
        </w:tc>
      </w:tr>
      <w:tr>
        <w:trPr>
          <w:trHeight w:val="136"/>
        </w:trPr>
        <w:tc>
          <w:tcPr>
            <w:tcW w:w="1780" w:type="dxa"/>
            <w:vAlign w:val="bottom"/>
            <w:gridSpan w:val="2"/>
          </w:tcPr>
          <w:p>
            <w:pPr>
              <w:spacing w:after="0" w:line="136" w:lineRule="exact"/>
              <w:rPr>
                <w:sz w:val="20"/>
                <w:szCs w:val="20"/>
                <w:color w:val="auto"/>
              </w:rPr>
            </w:pPr>
            <w:r>
              <w:rPr>
                <w:rFonts w:ascii="Arial" w:cs="Arial" w:eastAsia="Arial" w:hAnsi="Arial"/>
                <w:sz w:val="12"/>
                <w:szCs w:val="12"/>
                <w:color w:val="auto"/>
              </w:rPr>
              <w:t>Term Equity Awards)</w:t>
            </w:r>
          </w:p>
        </w:tc>
        <w:tc>
          <w:tcPr>
            <w:tcW w:w="3360" w:type="dxa"/>
            <w:vAlign w:val="bottom"/>
          </w:tcPr>
          <w:p>
            <w:pPr>
              <w:ind w:left="160"/>
              <w:spacing w:after="0" w:line="136" w:lineRule="exact"/>
              <w:rPr>
                <w:sz w:val="20"/>
                <w:szCs w:val="20"/>
                <w:color w:val="auto"/>
              </w:rPr>
            </w:pPr>
            <w:r>
              <w:rPr>
                <w:rFonts w:ascii="Arial" w:cs="Arial" w:eastAsia="Arial" w:hAnsi="Arial"/>
                <w:sz w:val="12"/>
                <w:szCs w:val="12"/>
                <w:color w:val="auto"/>
              </w:rPr>
              <w:t>increases in shareholder value.</w:t>
            </w:r>
          </w:p>
        </w:tc>
        <w:tc>
          <w:tcPr>
            <w:tcW w:w="3700" w:type="dxa"/>
            <w:vAlign w:val="bottom"/>
          </w:tcPr>
          <w:p>
            <w:pPr>
              <w:ind w:left="200"/>
              <w:spacing w:after="0" w:line="136" w:lineRule="exact"/>
              <w:rPr>
                <w:sz w:val="20"/>
                <w:szCs w:val="20"/>
                <w:color w:val="auto"/>
              </w:rPr>
            </w:pPr>
            <w:r>
              <w:rPr>
                <w:rFonts w:ascii="Arial" w:cs="Arial" w:eastAsia="Arial" w:hAnsi="Arial"/>
                <w:sz w:val="12"/>
                <w:szCs w:val="12"/>
                <w:color w:val="auto"/>
              </w:rPr>
              <w:t>is realized based on future share price. Provides a direct</w:t>
            </w:r>
          </w:p>
        </w:tc>
        <w:tc>
          <w:tcPr>
            <w:tcW w:w="2580" w:type="dxa"/>
            <w:vAlign w:val="bottom"/>
          </w:tcPr>
          <w:p>
            <w:pPr>
              <w:ind w:left="140"/>
              <w:spacing w:after="0" w:line="136" w:lineRule="exact"/>
              <w:rPr>
                <w:sz w:val="20"/>
                <w:szCs w:val="20"/>
                <w:color w:val="auto"/>
              </w:rPr>
            </w:pPr>
            <w:r>
              <w:rPr>
                <w:rFonts w:ascii="Arial" w:cs="Arial" w:eastAsia="Arial" w:hAnsi="Arial"/>
                <w:sz w:val="12"/>
                <w:szCs w:val="12"/>
                <w:color w:val="auto"/>
              </w:rPr>
              <w:t>correlation to share price.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360" w:type="dxa"/>
            <w:vAlign w:val="bottom"/>
            <w:vMerge w:val="restart"/>
          </w:tcPr>
          <w:p>
            <w:pPr>
              <w:ind w:left="160"/>
              <w:spacing w:after="0"/>
              <w:rPr>
                <w:sz w:val="20"/>
                <w:szCs w:val="20"/>
                <w:color w:val="auto"/>
              </w:rPr>
            </w:pPr>
            <w:r>
              <w:rPr>
                <w:rFonts w:ascii="Arial" w:cs="Arial" w:eastAsia="Arial" w:hAnsi="Arial"/>
                <w:sz w:val="12"/>
                <w:szCs w:val="12"/>
                <w:color w:val="auto"/>
              </w:rPr>
              <w:t>To retain executives in the competitive energy market.</w:t>
            </w:r>
          </w:p>
        </w:tc>
        <w:tc>
          <w:tcPr>
            <w:tcW w:w="3700" w:type="dxa"/>
            <w:vAlign w:val="bottom"/>
          </w:tcPr>
          <w:p>
            <w:pPr>
              <w:ind w:left="200"/>
              <w:spacing w:after="0"/>
              <w:rPr>
                <w:sz w:val="20"/>
                <w:szCs w:val="20"/>
                <w:color w:val="auto"/>
              </w:rPr>
            </w:pPr>
            <w:r>
              <w:rPr>
                <w:rFonts w:ascii="Arial" w:cs="Arial" w:eastAsia="Arial" w:hAnsi="Arial"/>
                <w:sz w:val="12"/>
                <w:szCs w:val="12"/>
                <w:color w:val="auto"/>
              </w:rPr>
              <w:t>correlation of realized pay to changes in shareholder value.</w:t>
            </w: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360" w:type="dxa"/>
            <w:vAlign w:val="bottom"/>
            <w:vMerge w:val="continue"/>
          </w:tcPr>
          <w:p>
            <w:pPr>
              <w:spacing w:after="0"/>
              <w:rPr>
                <w:sz w:val="8"/>
                <w:szCs w:val="8"/>
                <w:color w:val="auto"/>
              </w:rPr>
            </w:pPr>
          </w:p>
        </w:tc>
        <w:tc>
          <w:tcPr>
            <w:tcW w:w="3700" w:type="dxa"/>
            <w:vAlign w:val="bottom"/>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7258050"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type w:val="continuous"/>
        </w:sectPr>
      </w:pPr>
    </w:p>
    <w:p>
      <w:pPr>
        <w:spacing w:after="0" w:line="237" w:lineRule="auto"/>
        <w:tabs>
          <w:tab w:leader="none" w:pos="1920" w:val="left"/>
        </w:tabs>
        <w:rPr>
          <w:sz w:val="20"/>
          <w:szCs w:val="20"/>
          <w:color w:val="auto"/>
        </w:rPr>
      </w:pPr>
      <w:r>
        <w:rPr>
          <w:rFonts w:ascii="Arial" w:cs="Arial" w:eastAsia="Arial" w:hAnsi="Arial"/>
          <w:sz w:val="12"/>
          <w:szCs w:val="12"/>
          <w:color w:val="auto"/>
        </w:rPr>
        <w:t>Severance</w:t>
      </w:r>
      <w:r>
        <w:rPr>
          <w:sz w:val="20"/>
          <w:szCs w:val="20"/>
          <w:color w:val="auto"/>
        </w:rPr>
        <w:tab/>
      </w:r>
      <w:r>
        <w:rPr>
          <w:rFonts w:ascii="Arial" w:cs="Arial" w:eastAsia="Arial" w:hAnsi="Arial"/>
          <w:sz w:val="12"/>
          <w:szCs w:val="12"/>
          <w:color w:val="auto"/>
        </w:rPr>
        <w:t>To provide a measure of financial security in the event an</w:t>
      </w:r>
    </w:p>
    <w:p>
      <w:pPr>
        <w:ind w:left="1940"/>
        <w:spacing w:after="0"/>
        <w:rPr>
          <w:sz w:val="20"/>
          <w:szCs w:val="20"/>
          <w:color w:val="auto"/>
        </w:rPr>
      </w:pPr>
      <w:r>
        <w:rPr>
          <w:rFonts w:ascii="Arial" w:cs="Arial" w:eastAsia="Arial" w:hAnsi="Arial"/>
          <w:sz w:val="12"/>
          <w:szCs w:val="12"/>
          <w:color w:val="auto"/>
        </w:rPr>
        <w:t>executive’s employment is terminated without cause.</w:t>
      </w:r>
    </w:p>
    <w:p>
      <w:pPr>
        <w:spacing w:after="0" w:line="96" w:lineRule="exact"/>
        <w:rPr>
          <w:sz w:val="20"/>
          <w:szCs w:val="20"/>
          <w:color w:val="auto"/>
        </w:rPr>
      </w:pPr>
    </w:p>
    <w:p>
      <w:pPr>
        <w:ind w:left="1940"/>
        <w:spacing w:after="0"/>
        <w:rPr>
          <w:sz w:val="20"/>
          <w:szCs w:val="20"/>
          <w:color w:val="auto"/>
        </w:rPr>
      </w:pPr>
      <w:r>
        <w:rPr>
          <w:rFonts w:ascii="Arial" w:cs="Arial" w:eastAsia="Arial" w:hAnsi="Arial"/>
          <w:sz w:val="12"/>
          <w:szCs w:val="12"/>
          <w:color w:val="auto"/>
        </w:rPr>
        <w:t>To attract and encourage retention and to ensure</w:t>
      </w:r>
    </w:p>
    <w:p>
      <w:pPr>
        <w:ind w:left="1940"/>
        <w:spacing w:after="0"/>
        <w:rPr>
          <w:sz w:val="20"/>
          <w:szCs w:val="20"/>
          <w:color w:val="auto"/>
        </w:rPr>
      </w:pPr>
      <w:r>
        <w:rPr>
          <w:rFonts w:ascii="Arial" w:cs="Arial" w:eastAsia="Arial" w:hAnsi="Arial"/>
          <w:sz w:val="12"/>
          <w:szCs w:val="12"/>
          <w:color w:val="auto"/>
        </w:rPr>
        <w:t>continued dedication by executive officers.</w:t>
      </w:r>
    </w:p>
    <w:p>
      <w:pPr>
        <w:spacing w:after="0" w:line="20" w:lineRule="exact"/>
        <w:rPr>
          <w:sz w:val="20"/>
          <w:szCs w:val="20"/>
          <w:color w:val="auto"/>
        </w:rPr>
      </w:pPr>
      <w:r>
        <w:rPr>
          <w:sz w:val="20"/>
          <w:szCs w:val="20"/>
          <w:color w:val="auto"/>
        </w:rPr>
        <w:br w:type="column"/>
      </w:r>
    </w:p>
    <w:p>
      <w:pPr>
        <w:spacing w:after="0" w:line="245" w:lineRule="auto"/>
        <w:rPr>
          <w:sz w:val="20"/>
          <w:szCs w:val="20"/>
          <w:color w:val="auto"/>
        </w:rPr>
      </w:pPr>
      <w:r>
        <w:rPr>
          <w:rFonts w:ascii="Arial" w:cs="Arial" w:eastAsia="Arial" w:hAnsi="Arial"/>
          <w:sz w:val="12"/>
          <w:szCs w:val="12"/>
          <w:color w:val="auto"/>
        </w:rPr>
        <w:t>Severance benefits are provided pursuant to the executive officers’ employment agreements. Change of control benefits are “double trigger”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140970</wp:posOffset>
            </wp:positionV>
            <wp:extent cx="7258050"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40"/>
        <w:spacing w:after="0" w:line="245" w:lineRule="auto"/>
        <w:rPr>
          <w:sz w:val="20"/>
          <w:szCs w:val="20"/>
          <w:color w:val="auto"/>
        </w:rPr>
      </w:pPr>
      <w:r>
        <w:rPr>
          <w:rFonts w:ascii="Arial" w:cs="Arial" w:eastAsia="Arial" w:hAnsi="Arial"/>
          <w:sz w:val="12"/>
          <w:szCs w:val="12"/>
          <w:color w:val="auto"/>
        </w:rPr>
        <w:t>No, except does not apply in termination for cause or voluntary termination without good reason.</w:t>
      </w:r>
    </w:p>
    <w:p>
      <w:pPr>
        <w:spacing w:after="0" w:line="232" w:lineRule="exact"/>
        <w:rPr>
          <w:sz w:val="20"/>
          <w:szCs w:val="20"/>
          <w:color w:val="auto"/>
        </w:rPr>
      </w:pPr>
    </w:p>
    <w:p>
      <w:pPr>
        <w:sectPr>
          <w:pgSz w:w="11900" w:h="16838" w:orient="portrait"/>
          <w:cols w:equalWidth="0" w:num="3">
            <w:col w:w="5060" w:space="280"/>
            <w:col w:w="3340" w:space="300"/>
            <w:col w:w="2440"/>
          </w:cols>
          <w:pgMar w:left="240" w:top="564" w:right="239" w:bottom="1440" w:gutter="0" w:footer="0" w:header="0"/>
          <w:type w:val="continuous"/>
        </w:sectPr>
      </w:pPr>
    </w:p>
    <w:p>
      <w:pPr>
        <w:spacing w:after="0"/>
        <w:tabs>
          <w:tab w:leader="none" w:pos="1920" w:val="left"/>
        </w:tabs>
        <w:rPr>
          <w:sz w:val="20"/>
          <w:szCs w:val="20"/>
          <w:color w:val="auto"/>
        </w:rPr>
      </w:pPr>
      <w:r>
        <w:rPr>
          <w:rFonts w:ascii="Arial" w:cs="Arial" w:eastAsia="Arial" w:hAnsi="Arial"/>
          <w:sz w:val="12"/>
          <w:szCs w:val="12"/>
          <w:color w:val="auto"/>
        </w:rPr>
        <w:t>Broad-based</w:t>
      </w:r>
      <w:r>
        <w:rPr>
          <w:sz w:val="20"/>
          <w:szCs w:val="20"/>
          <w:color w:val="auto"/>
        </w:rPr>
        <w:tab/>
      </w:r>
      <w:r>
        <w:rPr>
          <w:rFonts w:ascii="Arial" w:cs="Arial" w:eastAsia="Arial" w:hAnsi="Arial"/>
          <w:sz w:val="12"/>
          <w:szCs w:val="12"/>
          <w:color w:val="auto"/>
        </w:rPr>
        <w:t>To provide retirement savings in tax-efficient manner.</w:t>
      </w:r>
    </w:p>
    <w:p>
      <w:pPr>
        <w:spacing w:after="0"/>
        <w:rPr>
          <w:sz w:val="20"/>
          <w:szCs w:val="20"/>
          <w:color w:val="auto"/>
        </w:rPr>
      </w:pPr>
      <w:r>
        <w:rPr>
          <w:rFonts w:ascii="Arial" w:cs="Arial" w:eastAsia="Arial" w:hAnsi="Arial"/>
          <w:sz w:val="12"/>
          <w:szCs w:val="12"/>
          <w:color w:val="auto"/>
        </w:rPr>
        <w:t>Retirement Plans</w:t>
      </w:r>
    </w:p>
    <w:p>
      <w:pPr>
        <w:spacing w:after="0" w:line="20" w:lineRule="exact"/>
        <w:rPr>
          <w:sz w:val="20"/>
          <w:szCs w:val="20"/>
          <w:color w:val="auto"/>
        </w:rPr>
      </w:pPr>
      <w:r>
        <w:rPr>
          <w:sz w:val="20"/>
          <w:szCs w:val="20"/>
          <w:color w:val="auto"/>
        </w:rPr>
        <w:br w:type="column"/>
      </w:r>
    </w:p>
    <w:p>
      <w:pPr>
        <w:spacing w:after="0"/>
        <w:tabs>
          <w:tab w:leader="none" w:pos="3620" w:val="left"/>
        </w:tabs>
        <w:rPr>
          <w:sz w:val="20"/>
          <w:szCs w:val="20"/>
          <w:color w:val="auto"/>
        </w:rPr>
      </w:pPr>
      <w:r>
        <w:rPr>
          <w:rFonts w:ascii="Arial" w:cs="Arial" w:eastAsia="Arial" w:hAnsi="Arial"/>
          <w:sz w:val="12"/>
          <w:szCs w:val="12"/>
          <w:color w:val="auto"/>
        </w:rPr>
        <w:t>Executives participate in retirement plans such as 401(k)</w:t>
      </w:r>
      <w:r>
        <w:rPr>
          <w:sz w:val="20"/>
          <w:szCs w:val="20"/>
          <w:color w:val="auto"/>
        </w:rPr>
        <w:tab/>
      </w:r>
      <w:r>
        <w:rPr>
          <w:rFonts w:ascii="Arial" w:cs="Arial" w:eastAsia="Arial" w:hAnsi="Arial"/>
          <w:sz w:val="12"/>
          <w:szCs w:val="12"/>
          <w:color w:val="auto"/>
        </w:rPr>
        <w:t>No.</w:t>
      </w:r>
    </w:p>
    <w:p>
      <w:pPr>
        <w:spacing w:after="0" w:line="236" w:lineRule="auto"/>
        <w:rPr>
          <w:sz w:val="20"/>
          <w:szCs w:val="20"/>
          <w:color w:val="auto"/>
        </w:rPr>
      </w:pPr>
      <w:r>
        <w:rPr>
          <w:rFonts w:ascii="Arial" w:cs="Arial" w:eastAsia="Arial" w:hAnsi="Arial"/>
          <w:sz w:val="12"/>
          <w:szCs w:val="12"/>
          <w:color w:val="auto"/>
        </w:rPr>
        <w:t>plans that are generally available to all employees, including</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matching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0</wp:posOffset>
            </wp:positionV>
            <wp:extent cx="7258050"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9" w:lineRule="exact"/>
        <w:rPr>
          <w:sz w:val="20"/>
          <w:szCs w:val="20"/>
          <w:color w:val="auto"/>
        </w:rPr>
      </w:pPr>
    </w:p>
    <w:p>
      <w:pPr>
        <w:sectPr>
          <w:pgSz w:w="11900" w:h="16838" w:orient="portrait"/>
          <w:cols w:equalWidth="0" w:num="2">
            <w:col w:w="4820" w:space="520"/>
            <w:col w:w="6080"/>
          </w:cols>
          <w:pgMar w:left="240" w:top="564" w:right="239" w:bottom="1440" w:gutter="0" w:footer="0" w:header="0"/>
          <w:type w:val="continuous"/>
        </w:sectPr>
      </w:pPr>
    </w:p>
    <w:p>
      <w:pPr>
        <w:spacing w:after="0"/>
        <w:tabs>
          <w:tab w:leader="none" w:pos="1920" w:val="left"/>
        </w:tabs>
        <w:rPr>
          <w:sz w:val="20"/>
          <w:szCs w:val="20"/>
          <w:color w:val="auto"/>
        </w:rPr>
      </w:pPr>
      <w:r>
        <w:rPr>
          <w:rFonts w:ascii="Arial" w:cs="Arial" w:eastAsia="Arial" w:hAnsi="Arial"/>
          <w:sz w:val="12"/>
          <w:szCs w:val="12"/>
          <w:color w:val="auto"/>
        </w:rPr>
        <w:t>CEO Retirement Plan</w:t>
      </w:r>
      <w:r>
        <w:rPr>
          <w:sz w:val="20"/>
          <w:szCs w:val="20"/>
          <w:color w:val="auto"/>
        </w:rPr>
        <w:tab/>
      </w:r>
      <w:r>
        <w:rPr>
          <w:rFonts w:ascii="Arial" w:cs="Arial" w:eastAsia="Arial" w:hAnsi="Arial"/>
          <w:sz w:val="12"/>
          <w:szCs w:val="12"/>
          <w:color w:val="auto"/>
        </w:rPr>
        <w:t>To further align our CEO’s long term interests with</w:t>
      </w:r>
    </w:p>
    <w:p>
      <w:pPr>
        <w:ind w:left="1940"/>
        <w:spacing w:after="0"/>
        <w:rPr>
          <w:sz w:val="20"/>
          <w:szCs w:val="20"/>
          <w:color w:val="auto"/>
        </w:rPr>
      </w:pPr>
      <w:r>
        <w:rPr>
          <w:rFonts w:ascii="Arial" w:cs="Arial" w:eastAsia="Arial" w:hAnsi="Arial"/>
          <w:sz w:val="12"/>
          <w:szCs w:val="12"/>
          <w:color w:val="auto"/>
        </w:rPr>
        <w:t>shareholder value.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We previously maintained a Supplemental Executive Retirement Plan (“SERP”). The vested, fixed balance of the CEO’s primary pension benefit is denominated in shares, such that the benefit value is linked directly to share value in a 1:1 correlation. The SERP was frozen in 2010, and no further contributions have been made to any employees. None of our NEOs, other than our CEO, participates in the SERP.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78740</wp:posOffset>
            </wp:positionV>
            <wp:extent cx="7258050"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260"/>
        <w:spacing w:after="0" w:line="245" w:lineRule="auto"/>
        <w:rPr>
          <w:sz w:val="20"/>
          <w:szCs w:val="20"/>
          <w:color w:val="auto"/>
        </w:rPr>
      </w:pPr>
      <w:r>
        <w:rPr>
          <w:rFonts w:ascii="Arial" w:cs="Arial" w:eastAsia="Arial" w:hAnsi="Arial"/>
          <w:sz w:val="12"/>
          <w:szCs w:val="12"/>
          <w:color w:val="auto"/>
        </w:rPr>
        <w:t>Yes, value is based on share price and increases or decreases in correlation to share price.</w:t>
      </w:r>
    </w:p>
    <w:p>
      <w:pPr>
        <w:spacing w:after="0" w:line="677" w:lineRule="exact"/>
        <w:rPr>
          <w:sz w:val="20"/>
          <w:szCs w:val="20"/>
          <w:color w:val="auto"/>
        </w:rPr>
      </w:pPr>
    </w:p>
    <w:p>
      <w:pPr>
        <w:sectPr>
          <w:pgSz w:w="11900" w:h="16838" w:orient="portrait"/>
          <w:cols w:equalWidth="0" w:num="3">
            <w:col w:w="4660" w:space="680"/>
            <w:col w:w="3300" w:space="340"/>
            <w:col w:w="2440"/>
          </w:cols>
          <w:pgMar w:left="240" w:top="564" w:right="239" w:bottom="1440" w:gutter="0" w:footer="0" w:header="0"/>
          <w:type w:val="continuous"/>
        </w:sectPr>
      </w:pPr>
    </w:p>
    <w:p>
      <w:pPr>
        <w:spacing w:after="0"/>
        <w:tabs>
          <w:tab w:leader="none" w:pos="1920" w:val="left"/>
        </w:tabs>
        <w:rPr>
          <w:sz w:val="20"/>
          <w:szCs w:val="20"/>
          <w:color w:val="auto"/>
        </w:rPr>
      </w:pPr>
      <w:r>
        <w:rPr>
          <w:rFonts w:ascii="Arial" w:cs="Arial" w:eastAsia="Arial" w:hAnsi="Arial"/>
          <w:sz w:val="12"/>
          <w:szCs w:val="12"/>
          <w:color w:val="auto"/>
        </w:rPr>
        <w:t>Perquisites</w:t>
      </w:r>
      <w:r>
        <w:rPr>
          <w:sz w:val="20"/>
          <w:szCs w:val="20"/>
          <w:color w:val="auto"/>
        </w:rPr>
        <w:tab/>
      </w:r>
      <w:r>
        <w:rPr>
          <w:rFonts w:ascii="Arial" w:cs="Arial" w:eastAsia="Arial" w:hAnsi="Arial"/>
          <w:sz w:val="12"/>
          <w:szCs w:val="12"/>
          <w:color w:val="auto"/>
        </w:rPr>
        <w:t>We provide limited perquisites to executives to assist</w:t>
      </w:r>
    </w:p>
    <w:p>
      <w:pPr>
        <w:ind w:left="1940" w:right="20"/>
        <w:spacing w:after="0" w:line="254" w:lineRule="auto"/>
        <w:rPr>
          <w:sz w:val="20"/>
          <w:szCs w:val="20"/>
          <w:color w:val="auto"/>
        </w:rPr>
      </w:pPr>
      <w:r>
        <w:rPr>
          <w:rFonts w:ascii="Arial" w:cs="Arial" w:eastAsia="Arial" w:hAnsi="Arial"/>
          <w:sz w:val="12"/>
          <w:szCs w:val="12"/>
          <w:color w:val="auto"/>
        </w:rPr>
        <w:t>executives in carrying out their duties and increasing productivity.</w:t>
      </w:r>
    </w:p>
    <w:p>
      <w:pPr>
        <w:spacing w:after="0" w:line="20" w:lineRule="exact"/>
        <w:rPr>
          <w:sz w:val="20"/>
          <w:szCs w:val="20"/>
          <w:color w:val="auto"/>
        </w:rPr>
      </w:pPr>
      <w:r>
        <w:rPr>
          <w:sz w:val="20"/>
          <w:szCs w:val="20"/>
          <w:color w:val="auto"/>
        </w:rPr>
        <w:br w:type="column"/>
      </w:r>
    </w:p>
    <w:p>
      <w:pPr>
        <w:spacing w:after="0"/>
        <w:tabs>
          <w:tab w:leader="none" w:pos="3620" w:val="left"/>
        </w:tabs>
        <w:rPr>
          <w:sz w:val="20"/>
          <w:szCs w:val="20"/>
          <w:color w:val="auto"/>
        </w:rPr>
      </w:pPr>
      <w:r>
        <w:rPr>
          <w:rFonts w:ascii="Arial" w:cs="Arial" w:eastAsia="Arial" w:hAnsi="Arial"/>
          <w:sz w:val="12"/>
          <w:szCs w:val="12"/>
          <w:color w:val="auto"/>
        </w:rPr>
        <w:t>Perquisites provided to executives include club membership</w:t>
      </w:r>
      <w:r>
        <w:rPr>
          <w:sz w:val="20"/>
          <w:szCs w:val="20"/>
          <w:color w:val="auto"/>
        </w:rPr>
        <w:tab/>
      </w:r>
      <w:r>
        <w:rPr>
          <w:rFonts w:ascii="Arial" w:cs="Arial" w:eastAsia="Arial" w:hAnsi="Arial"/>
          <w:sz w:val="12"/>
          <w:szCs w:val="12"/>
          <w:color w:val="auto"/>
        </w:rPr>
        <w:t>No.</w:t>
      </w:r>
    </w:p>
    <w:p>
      <w:pPr>
        <w:spacing w:after="0" w:line="236" w:lineRule="auto"/>
        <w:rPr>
          <w:sz w:val="20"/>
          <w:szCs w:val="20"/>
          <w:color w:val="auto"/>
        </w:rPr>
      </w:pPr>
      <w:r>
        <w:rPr>
          <w:rFonts w:ascii="Arial" w:cs="Arial" w:eastAsia="Arial" w:hAnsi="Arial"/>
          <w:sz w:val="12"/>
          <w:szCs w:val="12"/>
          <w:color w:val="auto"/>
        </w:rPr>
        <w:t>dues and an auto allowance. Perquisites are industry</w:t>
      </w:r>
    </w:p>
    <w:p>
      <w:pPr>
        <w:spacing w:after="0" w:line="237" w:lineRule="auto"/>
        <w:rPr>
          <w:sz w:val="20"/>
          <w:szCs w:val="20"/>
          <w:color w:val="auto"/>
        </w:rPr>
      </w:pPr>
      <w:r>
        <w:rPr>
          <w:rFonts w:ascii="Arial" w:cs="Arial" w:eastAsia="Arial" w:hAnsi="Arial"/>
          <w:sz w:val="12"/>
          <w:szCs w:val="12"/>
          <w:color w:val="auto"/>
        </w:rPr>
        <w:t>standard, included in many cases for non-executive</w:t>
      </w:r>
    </w:p>
    <w:p>
      <w:pPr>
        <w:spacing w:after="0"/>
        <w:rPr>
          <w:sz w:val="20"/>
          <w:szCs w:val="20"/>
          <w:color w:val="auto"/>
        </w:rPr>
      </w:pPr>
      <w:r>
        <w:rPr>
          <w:rFonts w:ascii="Arial" w:cs="Arial" w:eastAsia="Arial" w:hAnsi="Arial"/>
          <w:sz w:val="12"/>
          <w:szCs w:val="12"/>
          <w:color w:val="auto"/>
        </w:rPr>
        <w:t>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0</wp:posOffset>
            </wp:positionV>
            <wp:extent cx="7258050"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9" w:lineRule="exact"/>
        <w:rPr>
          <w:sz w:val="20"/>
          <w:szCs w:val="20"/>
          <w:color w:val="auto"/>
        </w:rPr>
      </w:pPr>
    </w:p>
    <w:p>
      <w:pPr>
        <w:sectPr>
          <w:pgSz w:w="11900" w:h="16838" w:orient="portrait"/>
          <w:cols w:equalWidth="0" w:num="2">
            <w:col w:w="4820" w:space="520"/>
            <w:col w:w="6080"/>
          </w:cols>
          <w:pgMar w:left="240" w:top="564" w:right="239" w:bottom="1440" w:gutter="0" w:footer="0" w:header="0"/>
          <w:type w:val="continuous"/>
        </w:sectPr>
      </w:pPr>
    </w:p>
    <w:p>
      <w:pPr>
        <w:spacing w:after="0"/>
        <w:tabs>
          <w:tab w:leader="none" w:pos="1920" w:val="left"/>
        </w:tabs>
        <w:rPr>
          <w:sz w:val="20"/>
          <w:szCs w:val="20"/>
          <w:color w:val="auto"/>
        </w:rPr>
      </w:pPr>
      <w:r>
        <w:rPr>
          <w:rFonts w:ascii="Arial" w:cs="Arial" w:eastAsia="Arial" w:hAnsi="Arial"/>
          <w:sz w:val="12"/>
          <w:szCs w:val="12"/>
          <w:color w:val="auto"/>
        </w:rPr>
        <w:t>Expatriate Benefits</w:t>
      </w:r>
      <w:r>
        <w:rPr>
          <w:sz w:val="20"/>
          <w:szCs w:val="20"/>
          <w:color w:val="auto"/>
        </w:rPr>
        <w:tab/>
      </w:r>
      <w:r>
        <w:rPr>
          <w:rFonts w:ascii="Arial" w:cs="Arial" w:eastAsia="Arial" w:hAnsi="Arial"/>
          <w:sz w:val="12"/>
          <w:szCs w:val="12"/>
          <w:color w:val="auto"/>
        </w:rPr>
        <w:t>To assist in absorbing part of the additional burden of an</w:t>
      </w:r>
    </w:p>
    <w:p>
      <w:pPr>
        <w:ind w:left="1940"/>
        <w:spacing w:after="0"/>
        <w:rPr>
          <w:sz w:val="20"/>
          <w:szCs w:val="20"/>
          <w:color w:val="auto"/>
        </w:rPr>
      </w:pPr>
      <w:r>
        <w:rPr>
          <w:rFonts w:ascii="Arial" w:cs="Arial" w:eastAsia="Arial" w:hAnsi="Arial"/>
          <w:sz w:val="12"/>
          <w:szCs w:val="12"/>
          <w:color w:val="auto"/>
        </w:rPr>
        <w:t>overseas assignment.</w:t>
      </w:r>
    </w:p>
    <w:p>
      <w:pPr>
        <w:spacing w:after="0" w:line="20" w:lineRule="exact"/>
        <w:rPr>
          <w:sz w:val="20"/>
          <w:szCs w:val="20"/>
          <w:color w:val="auto"/>
        </w:rPr>
      </w:pPr>
      <w:r>
        <w:rPr>
          <w:sz w:val="20"/>
          <w:szCs w:val="20"/>
          <w:color w:val="auto"/>
        </w:rPr>
        <w:br w:type="column"/>
      </w:r>
    </w:p>
    <w:p>
      <w:pPr>
        <w:ind w:right="2240"/>
        <w:spacing w:after="0" w:line="242" w:lineRule="auto"/>
        <w:rPr>
          <w:sz w:val="20"/>
          <w:szCs w:val="20"/>
          <w:color w:val="auto"/>
        </w:rPr>
      </w:pPr>
      <w:r>
        <w:rPr>
          <w:rFonts w:ascii="Arial" w:cs="Arial" w:eastAsia="Arial" w:hAnsi="Arial"/>
          <w:sz w:val="12"/>
          <w:szCs w:val="12"/>
          <w:color w:val="auto"/>
        </w:rPr>
        <w:t>As a multi-national industry, ex-pat benefits, including housing No. and schooling assistance and tax normalization, are industry standard. Tax benefits provided to executives are less than those provided to non-executive expatriates.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-6350</wp:posOffset>
            </wp:positionV>
            <wp:extent cx="7258050" cy="158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8050" cy="158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00" w:space="340"/>
            <w:col w:w="6080"/>
          </w:cols>
          <w:pgMar w:left="240" w:top="564"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Oversight of our Executive Compensation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14" w:lineRule="exact"/>
        <w:rPr>
          <w:sz w:val="20"/>
          <w:szCs w:val="20"/>
          <w:color w:val="auto"/>
        </w:rPr>
      </w:pPr>
    </w:p>
    <w:p>
      <w:pPr>
        <w:jc w:val="both"/>
        <w:spacing w:after="0" w:line="241" w:lineRule="auto"/>
        <w:rPr>
          <w:sz w:val="20"/>
          <w:szCs w:val="20"/>
          <w:color w:val="auto"/>
        </w:rPr>
      </w:pPr>
      <w:r>
        <w:rPr>
          <w:rFonts w:ascii="Arial" w:cs="Arial" w:eastAsia="Arial" w:hAnsi="Arial"/>
          <w:sz w:val="12"/>
          <w:szCs w:val="12"/>
          <w:color w:val="auto"/>
        </w:rPr>
        <w:t>Our executive compensation program is administered by the Compensation Committee of the Board of Directors. The Committee currently consists of four directors, John D. Gass, William E. Macaulay (Chairman), Robert K. Moses, Jr. and Guillermo Ortiz. At all times in 2013, all of the persons serving on the Committee were independent, as defined by the standards of the NYSE, and satisfied the qualification standards of section 162(m) of the Code and Section 16 of the Exchange Act. The members of the Committee draw upon a combination of their respective business experience, other board service, advice from our independent compensation consultant, and director continuing education through third party service providers in order to keep themselves abreast of current trends and best practices in the area of executive compensation.</w:t>
      </w:r>
    </w:p>
    <w:p>
      <w:pPr>
        <w:spacing w:after="0" w:line="226" w:lineRule="exact"/>
        <w:rPr>
          <w:sz w:val="20"/>
          <w:szCs w:val="20"/>
          <w:color w:val="auto"/>
        </w:rPr>
      </w:pPr>
    </w:p>
    <w:p>
      <w:pPr>
        <w:spacing w:after="0"/>
        <w:rPr>
          <w:sz w:val="20"/>
          <w:szCs w:val="20"/>
          <w:color w:val="auto"/>
        </w:rPr>
      </w:pPr>
      <w:r>
        <w:rPr>
          <w:rFonts w:ascii="Arial" w:cs="Arial" w:eastAsia="Arial" w:hAnsi="Arial"/>
          <w:sz w:val="12"/>
          <w:szCs w:val="12"/>
          <w:color w:val="auto"/>
        </w:rPr>
        <w:t>The Committee is responsible for, among other functions, reviewing and approving the total compensation for our NEOs consistent with the philosophy and objectives described below.</w:t>
      </w:r>
    </w:p>
    <w:p>
      <w:pPr>
        <w:spacing w:after="0" w:line="182"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auto"/>
        </w:rPr>
        <w:t>Weatherford International plc - www.WeatherfordAnnualMeeting.com</w:t>
      </w:r>
      <w:r>
        <w:rPr>
          <w:sz w:val="20"/>
          <w:szCs w:val="20"/>
          <w:color w:val="auto"/>
        </w:rPr>
        <w:tab/>
      </w:r>
      <w:r>
        <w:rPr>
          <w:rFonts w:ascii="Arial" w:cs="Arial" w:eastAsia="Arial" w:hAnsi="Arial"/>
          <w:sz w:val="10"/>
          <w:szCs w:val="10"/>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131445</wp:posOffset>
            </wp:positionV>
            <wp:extent cx="7278370" cy="203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type w:val="continuous"/>
        </w:sectPr>
      </w:pPr>
    </w:p>
    <w:bookmarkStart w:id="43" w:name="page44"/>
    <w:bookmarkEnd w:id="43"/>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41"/>
        <w:spacing w:after="0"/>
        <w:rPr>
          <w:sz w:val="20"/>
          <w:szCs w:val="20"/>
          <w:color w:val="auto"/>
        </w:rPr>
      </w:pPr>
      <w:r>
        <w:rPr>
          <w:rFonts w:ascii="Arial" w:cs="Arial" w:eastAsia="Arial" w:hAnsi="Arial"/>
          <w:sz w:val="12"/>
          <w:szCs w:val="12"/>
          <w:b w:val="1"/>
          <w:bCs w:val="1"/>
          <w:color w:val="FFFFFF"/>
          <w:shd w:val="clear" w:color="auto" w:fill="BB1131"/>
        </w:rPr>
        <w:t>EXECUTIVE COMPENSATION</w:t>
      </w:r>
    </w:p>
    <w:p>
      <w:pPr>
        <w:spacing w:after="0" w:line="181"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Compensation Philosophy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14"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The Committee follows a “pay for performance” philosophy in our executive compensation structure. The Committee’s objective is to provide compensation to our executive officers at a level and in a manner that maximizes shareholder value.</w:t>
      </w:r>
    </w:p>
    <w:p>
      <w:pPr>
        <w:spacing w:after="0" w:line="79"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The Committee believes that our executive compensation program should reward enhanced financial performance of the Company and maximize shareholder value by aligning the short-term and long-term interests of our executive officers with those of our shareholders. Our programs are intended to:</w:t>
      </w:r>
    </w:p>
    <w:p>
      <w:pPr>
        <w:spacing w:after="0" w:line="55" w:lineRule="exact"/>
        <w:rPr>
          <w:sz w:val="20"/>
          <w:szCs w:val="20"/>
          <w:color w:val="auto"/>
        </w:rPr>
      </w:pPr>
    </w:p>
    <w:p>
      <w:pPr>
        <w:ind w:left="701"/>
        <w:spacing w:after="0"/>
        <w:rPr>
          <w:sz w:val="20"/>
          <w:szCs w:val="20"/>
          <w:color w:val="auto"/>
        </w:rPr>
      </w:pPr>
      <w:r>
        <w:rPr>
          <w:rFonts w:ascii="Arial" w:cs="Arial" w:eastAsia="Arial" w:hAnsi="Arial"/>
          <w:sz w:val="12"/>
          <w:szCs w:val="12"/>
          <w:color w:val="auto"/>
        </w:rPr>
        <w:t>Attract, retain and motivate individuals of outstanding ability in key executive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65" w:lineRule="exact"/>
        <w:rPr>
          <w:sz w:val="20"/>
          <w:szCs w:val="20"/>
          <w:color w:val="auto"/>
        </w:rPr>
      </w:pPr>
    </w:p>
    <w:p>
      <w:pPr>
        <w:ind w:left="701"/>
        <w:spacing w:after="0"/>
        <w:rPr>
          <w:sz w:val="20"/>
          <w:szCs w:val="20"/>
          <w:color w:val="auto"/>
        </w:rPr>
      </w:pPr>
      <w:r>
        <w:rPr>
          <w:rFonts w:ascii="Arial" w:cs="Arial" w:eastAsia="Arial" w:hAnsi="Arial"/>
          <w:sz w:val="12"/>
          <w:szCs w:val="12"/>
          <w:color w:val="auto"/>
        </w:rPr>
        <w:t>Drive and reward strong business performance to create superior value for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77" w:lineRule="exact"/>
        <w:rPr>
          <w:sz w:val="20"/>
          <w:szCs w:val="20"/>
          <w:color w:val="auto"/>
        </w:rPr>
      </w:pPr>
    </w:p>
    <w:p>
      <w:pPr>
        <w:ind w:left="701"/>
        <w:spacing w:after="0"/>
        <w:rPr>
          <w:sz w:val="20"/>
          <w:szCs w:val="20"/>
          <w:color w:val="auto"/>
        </w:rPr>
      </w:pPr>
      <w:r>
        <w:rPr>
          <w:rFonts w:ascii="Arial" w:cs="Arial" w:eastAsia="Arial" w:hAnsi="Arial"/>
          <w:sz w:val="12"/>
          <w:szCs w:val="12"/>
          <w:color w:val="auto"/>
        </w:rPr>
        <w:t>Pay for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77" w:lineRule="exact"/>
        <w:rPr>
          <w:sz w:val="20"/>
          <w:szCs w:val="20"/>
          <w:color w:val="auto"/>
        </w:rPr>
      </w:pPr>
    </w:p>
    <w:p>
      <w:pPr>
        <w:ind w:left="701"/>
        <w:spacing w:after="0"/>
        <w:rPr>
          <w:sz w:val="20"/>
          <w:szCs w:val="20"/>
          <w:color w:val="auto"/>
        </w:rPr>
      </w:pPr>
      <w:r>
        <w:rPr>
          <w:rFonts w:ascii="Arial" w:cs="Arial" w:eastAsia="Arial" w:hAnsi="Arial"/>
          <w:sz w:val="12"/>
          <w:szCs w:val="12"/>
          <w:color w:val="auto"/>
        </w:rPr>
        <w:t>Ensure that performance-based compensation does not encourage excessive risk taking;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65" w:lineRule="exact"/>
        <w:rPr>
          <w:sz w:val="20"/>
          <w:szCs w:val="20"/>
          <w:color w:val="auto"/>
        </w:rPr>
      </w:pPr>
    </w:p>
    <w:p>
      <w:pPr>
        <w:ind w:left="701"/>
        <w:spacing w:after="0"/>
        <w:rPr>
          <w:sz w:val="20"/>
          <w:szCs w:val="20"/>
          <w:color w:val="auto"/>
        </w:rPr>
      </w:pPr>
      <w:r>
        <w:rPr>
          <w:rFonts w:ascii="Arial" w:cs="Arial" w:eastAsia="Arial" w:hAnsi="Arial"/>
          <w:sz w:val="12"/>
          <w:szCs w:val="12"/>
          <w:color w:val="auto"/>
        </w:rPr>
        <w:t>Encourage our executives to focus on both the short-term and long-term performance goals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102" w:lineRule="exact"/>
        <w:rPr>
          <w:sz w:val="20"/>
          <w:szCs w:val="20"/>
          <w:color w:val="auto"/>
        </w:rPr>
      </w:pPr>
    </w:p>
    <w:p>
      <w:pPr>
        <w:jc w:val="both"/>
        <w:ind w:left="1"/>
        <w:spacing w:after="0" w:line="242" w:lineRule="auto"/>
        <w:rPr>
          <w:sz w:val="20"/>
          <w:szCs w:val="20"/>
          <w:color w:val="auto"/>
        </w:rPr>
      </w:pPr>
      <w:r>
        <w:rPr>
          <w:rFonts w:ascii="Arial" w:cs="Arial" w:eastAsia="Arial" w:hAnsi="Arial"/>
          <w:sz w:val="12"/>
          <w:szCs w:val="12"/>
          <w:color w:val="auto"/>
        </w:rPr>
        <w:t>Our executive compensation also is intended to be market competitive. For 2013, the Committee approved base salary, annual performance compensation and long-term incentive compensation (together, the “total direct compensation”) for each NEO that was intended to be competitive with our peer group. However, in setting the compensation of our NEOs, the Committee also takes into consideration historical and individual circumstances, including tenure and experience, individual performance, anticipated future contributions, retention factors, including apparent career alternatives for each individual, and the availability of comparable data for certain positions.</w:t>
      </w:r>
    </w:p>
    <w:p>
      <w:pPr>
        <w:spacing w:after="0" w:line="87"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The Committee believes that a majority of executive compensation should be “at risk” — that is, the ultimate, realized value of the compensation is tied to the Company’s financial and equity performance. During periods when our financial performance meets or exceeds established objectives, we believe that NEOs should be rewarded under our incentive compensation programs for their efforts in achieving our goals. Likewise, when our performance does not meet the established goals, incentive compensation may be reduced or eliminated.</w:t>
      </w:r>
    </w:p>
    <w:p>
      <w:pPr>
        <w:spacing w:after="0" w:line="85"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Incentive compensation is designed to balance short-term annual results and long-term multi-year success of the Company. Short-term awards primarily are payable in cash, while long-term awards are equity-based awards.</w:t>
      </w:r>
    </w:p>
    <w:p>
      <w:pPr>
        <w:spacing w:after="0" w:line="79"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To further illustrate our pay-for-performance, below is our CEO’s total compensation for the last three years, as set forth in the Summary Compensation Table of this proxy statement and our past annual proxy statements, compared to the total amount of compensation realized by our CEO for each year. As performance thresholds were not met for certain performance units previously granted to our CEO, his 2013 realized compensation was significantly lower than his total compensation as described in the Summary Compensation Table.</w:t>
      </w:r>
    </w:p>
    <w:p>
      <w:pPr>
        <w:spacing w:after="0" w:line="103" w:lineRule="exact"/>
        <w:rPr>
          <w:sz w:val="20"/>
          <w:szCs w:val="20"/>
          <w:color w:val="auto"/>
        </w:rPr>
      </w:pPr>
    </w:p>
    <w:tbl>
      <w:tblPr>
        <w:tblLayout w:type="fixed"/>
        <w:tblInd w:w="1" w:type="dxa"/>
        <w:tblCellMar>
          <w:top w:w="0" w:type="dxa"/>
          <w:left w:w="0" w:type="dxa"/>
          <w:bottom w:w="0" w:type="dxa"/>
          <w:right w:w="0" w:type="dxa"/>
        </w:tblCellMar>
      </w:tblPr>
      <w:tr>
        <w:trPr>
          <w:trHeight w:val="230"/>
        </w:trPr>
        <w:tc>
          <w:tcPr>
            <w:tcW w:w="2660" w:type="dxa"/>
            <w:vAlign w:val="bottom"/>
            <w:tcBorders>
              <w:bottom w:val="single" w:sz="8" w:color="auto"/>
            </w:tcBorders>
          </w:tcPr>
          <w:p>
            <w:pPr>
              <w:jc w:val="right"/>
              <w:ind w:right="2218"/>
              <w:spacing w:after="0"/>
              <w:rPr>
                <w:sz w:val="20"/>
                <w:szCs w:val="20"/>
                <w:color w:val="auto"/>
              </w:rPr>
            </w:pPr>
            <w:r>
              <w:rPr>
                <w:rFonts w:ascii="Arial" w:cs="Arial" w:eastAsia="Arial" w:hAnsi="Arial"/>
                <w:sz w:val="12"/>
                <w:szCs w:val="12"/>
                <w:color w:val="auto"/>
              </w:rPr>
              <w:t>Years</w:t>
            </w:r>
          </w:p>
        </w:tc>
        <w:tc>
          <w:tcPr>
            <w:tcW w:w="5260" w:type="dxa"/>
            <w:vAlign w:val="bottom"/>
            <w:tcBorders>
              <w:bottom w:val="single" w:sz="8" w:color="auto"/>
            </w:tcBorders>
            <w:gridSpan w:val="2"/>
          </w:tcPr>
          <w:p>
            <w:pPr>
              <w:jc w:val="right"/>
              <w:ind w:right="1698"/>
              <w:spacing w:after="0"/>
              <w:rPr>
                <w:sz w:val="20"/>
                <w:szCs w:val="20"/>
                <w:color w:val="auto"/>
              </w:rPr>
            </w:pPr>
            <w:r>
              <w:rPr>
                <w:rFonts w:ascii="Arial" w:cs="Arial" w:eastAsia="Arial" w:hAnsi="Arial"/>
                <w:sz w:val="12"/>
                <w:szCs w:val="12"/>
                <w:color w:val="auto"/>
              </w:rPr>
              <w:t>Total Compensation</w:t>
            </w:r>
            <w:r>
              <w:rPr>
                <w:rFonts w:ascii="Arial" w:cs="Arial" w:eastAsia="Arial" w:hAnsi="Arial"/>
                <w:sz w:val="20"/>
                <w:szCs w:val="20"/>
                <w:color w:val="auto"/>
                <w:vertAlign w:val="superscript"/>
              </w:rPr>
              <w:t>(a)</w:t>
            </w:r>
          </w:p>
        </w:tc>
        <w:tc>
          <w:tcPr>
            <w:tcW w:w="35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Total Realized Compensation</w:t>
            </w:r>
            <w:r>
              <w:rPr>
                <w:rFonts w:ascii="Arial" w:cs="Arial" w:eastAsia="Arial" w:hAnsi="Arial"/>
                <w:sz w:val="20"/>
                <w:szCs w:val="20"/>
                <w:color w:val="auto"/>
                <w:vertAlign w:val="superscript"/>
              </w:rPr>
              <w:t>(b)</w:t>
            </w:r>
          </w:p>
        </w:tc>
      </w:tr>
      <w:tr>
        <w:trPr>
          <w:trHeight w:val="177"/>
        </w:trPr>
        <w:tc>
          <w:tcPr>
            <w:tcW w:w="2660" w:type="dxa"/>
            <w:vAlign w:val="bottom"/>
          </w:tcPr>
          <w:p>
            <w:pPr>
              <w:jc w:val="right"/>
              <w:ind w:right="2318"/>
              <w:spacing w:after="0"/>
              <w:rPr>
                <w:sz w:val="20"/>
                <w:szCs w:val="20"/>
                <w:color w:val="auto"/>
              </w:rPr>
            </w:pPr>
            <w:r>
              <w:rPr>
                <w:rFonts w:ascii="Arial" w:cs="Arial" w:eastAsia="Arial" w:hAnsi="Arial"/>
                <w:sz w:val="12"/>
                <w:szCs w:val="12"/>
                <w:color w:val="auto"/>
                <w:w w:val="97"/>
              </w:rPr>
              <w:t>2013</w:t>
            </w:r>
          </w:p>
        </w:tc>
        <w:tc>
          <w:tcPr>
            <w:tcW w:w="2740" w:type="dxa"/>
            <w:vAlign w:val="bottom"/>
          </w:tcPr>
          <w:p>
            <w:pPr>
              <w:jc w:val="right"/>
              <w:spacing w:after="0"/>
              <w:rPr>
                <w:sz w:val="20"/>
                <w:szCs w:val="20"/>
                <w:color w:val="auto"/>
              </w:rPr>
            </w:pPr>
            <w:r>
              <w:rPr>
                <w:rFonts w:ascii="Arial" w:cs="Arial" w:eastAsia="Arial" w:hAnsi="Arial"/>
                <w:sz w:val="12"/>
                <w:szCs w:val="12"/>
                <w:color w:val="auto"/>
              </w:rPr>
              <w:t>$</w:t>
            </w:r>
          </w:p>
        </w:tc>
        <w:tc>
          <w:tcPr>
            <w:tcW w:w="2520" w:type="dxa"/>
            <w:vAlign w:val="bottom"/>
          </w:tcPr>
          <w:p>
            <w:pPr>
              <w:jc w:val="right"/>
              <w:ind w:right="1838"/>
              <w:spacing w:after="0"/>
              <w:rPr>
                <w:sz w:val="20"/>
                <w:szCs w:val="20"/>
                <w:color w:val="auto"/>
              </w:rPr>
            </w:pPr>
            <w:r>
              <w:rPr>
                <w:rFonts w:ascii="Arial" w:cs="Arial" w:eastAsia="Arial" w:hAnsi="Arial"/>
                <w:sz w:val="12"/>
                <w:szCs w:val="12"/>
                <w:color w:val="auto"/>
                <w:w w:val="99"/>
              </w:rPr>
              <w:t>13,157,887</w:t>
            </w:r>
          </w:p>
        </w:tc>
        <w:tc>
          <w:tcPr>
            <w:tcW w:w="274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58"/>
              <w:spacing w:after="0"/>
              <w:rPr>
                <w:sz w:val="20"/>
                <w:szCs w:val="20"/>
                <w:color w:val="auto"/>
              </w:rPr>
            </w:pPr>
            <w:r>
              <w:rPr>
                <w:rFonts w:ascii="Arial" w:cs="Arial" w:eastAsia="Arial" w:hAnsi="Arial"/>
                <w:sz w:val="12"/>
                <w:szCs w:val="12"/>
                <w:color w:val="auto"/>
              </w:rPr>
              <w:t>5,721,947</w:t>
            </w:r>
          </w:p>
        </w:tc>
      </w:tr>
      <w:tr>
        <w:trPr>
          <w:trHeight w:val="223"/>
        </w:trPr>
        <w:tc>
          <w:tcPr>
            <w:tcW w:w="2660" w:type="dxa"/>
            <w:vAlign w:val="bottom"/>
          </w:tcPr>
          <w:p>
            <w:pPr>
              <w:jc w:val="right"/>
              <w:ind w:right="2318"/>
              <w:spacing w:after="0"/>
              <w:rPr>
                <w:sz w:val="20"/>
                <w:szCs w:val="20"/>
                <w:color w:val="auto"/>
              </w:rPr>
            </w:pPr>
            <w:r>
              <w:rPr>
                <w:rFonts w:ascii="Arial" w:cs="Arial" w:eastAsia="Arial" w:hAnsi="Arial"/>
                <w:sz w:val="12"/>
                <w:szCs w:val="12"/>
                <w:color w:val="auto"/>
                <w:w w:val="97"/>
              </w:rPr>
              <w:t>2012</w:t>
            </w:r>
          </w:p>
        </w:tc>
        <w:tc>
          <w:tcPr>
            <w:tcW w:w="2740" w:type="dxa"/>
            <w:vAlign w:val="bottom"/>
          </w:tcPr>
          <w:p>
            <w:pPr>
              <w:jc w:val="right"/>
              <w:spacing w:after="0"/>
              <w:rPr>
                <w:sz w:val="20"/>
                <w:szCs w:val="20"/>
                <w:color w:val="auto"/>
              </w:rPr>
            </w:pPr>
            <w:r>
              <w:rPr>
                <w:rFonts w:ascii="Arial" w:cs="Arial" w:eastAsia="Arial" w:hAnsi="Arial"/>
                <w:sz w:val="12"/>
                <w:szCs w:val="12"/>
                <w:color w:val="auto"/>
              </w:rPr>
              <w:t>$</w:t>
            </w:r>
          </w:p>
        </w:tc>
        <w:tc>
          <w:tcPr>
            <w:tcW w:w="2520" w:type="dxa"/>
            <w:vAlign w:val="bottom"/>
          </w:tcPr>
          <w:p>
            <w:pPr>
              <w:jc w:val="right"/>
              <w:ind w:right="1838"/>
              <w:spacing w:after="0"/>
              <w:rPr>
                <w:sz w:val="20"/>
                <w:szCs w:val="20"/>
                <w:color w:val="auto"/>
              </w:rPr>
            </w:pPr>
            <w:r>
              <w:rPr>
                <w:rFonts w:ascii="Arial" w:cs="Arial" w:eastAsia="Arial" w:hAnsi="Arial"/>
                <w:sz w:val="12"/>
                <w:szCs w:val="12"/>
                <w:color w:val="auto"/>
              </w:rPr>
              <w:t>7,177,376</w:t>
            </w:r>
          </w:p>
        </w:tc>
        <w:tc>
          <w:tcPr>
            <w:tcW w:w="274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58"/>
              <w:spacing w:after="0"/>
              <w:rPr>
                <w:sz w:val="20"/>
                <w:szCs w:val="20"/>
                <w:color w:val="auto"/>
              </w:rPr>
            </w:pPr>
            <w:r>
              <w:rPr>
                <w:rFonts w:ascii="Arial" w:cs="Arial" w:eastAsia="Arial" w:hAnsi="Arial"/>
                <w:sz w:val="12"/>
                <w:szCs w:val="12"/>
                <w:color w:val="auto"/>
              </w:rPr>
              <w:t>7,898,312</w:t>
            </w:r>
          </w:p>
        </w:tc>
      </w:tr>
      <w:tr>
        <w:trPr>
          <w:trHeight w:val="223"/>
        </w:trPr>
        <w:tc>
          <w:tcPr>
            <w:tcW w:w="2660" w:type="dxa"/>
            <w:vAlign w:val="bottom"/>
          </w:tcPr>
          <w:p>
            <w:pPr>
              <w:jc w:val="right"/>
              <w:ind w:right="2318"/>
              <w:spacing w:after="0"/>
              <w:rPr>
                <w:sz w:val="20"/>
                <w:szCs w:val="20"/>
                <w:color w:val="auto"/>
              </w:rPr>
            </w:pPr>
            <w:r>
              <w:rPr>
                <w:rFonts w:ascii="Arial" w:cs="Arial" w:eastAsia="Arial" w:hAnsi="Arial"/>
                <w:sz w:val="12"/>
                <w:szCs w:val="12"/>
                <w:color w:val="auto"/>
                <w:w w:val="97"/>
              </w:rPr>
              <w:t>2011</w:t>
            </w:r>
          </w:p>
        </w:tc>
        <w:tc>
          <w:tcPr>
            <w:tcW w:w="2740" w:type="dxa"/>
            <w:vAlign w:val="bottom"/>
          </w:tcPr>
          <w:p>
            <w:pPr>
              <w:jc w:val="right"/>
              <w:spacing w:after="0"/>
              <w:rPr>
                <w:sz w:val="20"/>
                <w:szCs w:val="20"/>
                <w:color w:val="auto"/>
              </w:rPr>
            </w:pPr>
            <w:r>
              <w:rPr>
                <w:rFonts w:ascii="Arial" w:cs="Arial" w:eastAsia="Arial" w:hAnsi="Arial"/>
                <w:sz w:val="12"/>
                <w:szCs w:val="12"/>
                <w:color w:val="auto"/>
              </w:rPr>
              <w:t>$</w:t>
            </w:r>
          </w:p>
        </w:tc>
        <w:tc>
          <w:tcPr>
            <w:tcW w:w="2520" w:type="dxa"/>
            <w:vAlign w:val="bottom"/>
          </w:tcPr>
          <w:p>
            <w:pPr>
              <w:jc w:val="right"/>
              <w:ind w:right="1838"/>
              <w:spacing w:after="0"/>
              <w:rPr>
                <w:sz w:val="20"/>
                <w:szCs w:val="20"/>
                <w:color w:val="auto"/>
              </w:rPr>
            </w:pPr>
            <w:r>
              <w:rPr>
                <w:rFonts w:ascii="Arial" w:cs="Arial" w:eastAsia="Arial" w:hAnsi="Arial"/>
                <w:sz w:val="12"/>
                <w:szCs w:val="12"/>
                <w:color w:val="auto"/>
                <w:w w:val="99"/>
              </w:rPr>
              <w:t>17,317,221</w:t>
            </w:r>
          </w:p>
        </w:tc>
        <w:tc>
          <w:tcPr>
            <w:tcW w:w="274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58"/>
              <w:spacing w:after="0"/>
              <w:rPr>
                <w:sz w:val="20"/>
                <w:szCs w:val="20"/>
                <w:color w:val="auto"/>
              </w:rPr>
            </w:pPr>
            <w:r>
              <w:rPr>
                <w:rFonts w:ascii="Arial" w:cs="Arial" w:eastAsia="Arial" w:hAnsi="Arial"/>
                <w:sz w:val="12"/>
                <w:szCs w:val="12"/>
                <w:color w:val="auto"/>
              </w:rPr>
              <w:t>11,931,255</w:t>
            </w:r>
          </w:p>
        </w:tc>
      </w:tr>
      <w:tr>
        <w:trPr>
          <w:trHeight w:val="43"/>
        </w:trPr>
        <w:tc>
          <w:tcPr>
            <w:tcW w:w="2660" w:type="dxa"/>
            <w:vAlign w:val="bottom"/>
            <w:tcBorders>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bl>
    <w:p>
      <w:pPr>
        <w:spacing w:after="0" w:line="98" w:lineRule="exact"/>
        <w:rPr>
          <w:sz w:val="20"/>
          <w:szCs w:val="20"/>
          <w:color w:val="auto"/>
        </w:rPr>
      </w:pPr>
    </w:p>
    <w:p>
      <w:pPr>
        <w:ind w:left="181" w:hanging="181"/>
        <w:spacing w:after="0" w:line="254" w:lineRule="auto"/>
        <w:tabs>
          <w:tab w:leader="none" w:pos="181" w:val="left"/>
        </w:tabs>
        <w:numPr>
          <w:ilvl w:val="0"/>
          <w:numId w:val="34"/>
        </w:numPr>
        <w:rPr>
          <w:rFonts w:ascii="Arial" w:cs="Arial" w:eastAsia="Arial" w:hAnsi="Arial"/>
          <w:sz w:val="12"/>
          <w:szCs w:val="12"/>
          <w:color w:val="auto"/>
        </w:rPr>
      </w:pPr>
      <w:r>
        <w:rPr>
          <w:rFonts w:ascii="Arial" w:cs="Arial" w:eastAsia="Arial" w:hAnsi="Arial"/>
          <w:sz w:val="12"/>
          <w:szCs w:val="12"/>
          <w:color w:val="auto"/>
        </w:rPr>
        <w:t>As set forth in the Summary Compensation Table, and includes salary, non-equity incentives, bonus, long term incentive awards (granted during the year and valued as of the grant date), change in actuarial value of pension benefit and all other compensation, as described therein.</w:t>
      </w:r>
    </w:p>
    <w:p>
      <w:pPr>
        <w:spacing w:after="0" w:line="79" w:lineRule="exact"/>
        <w:rPr>
          <w:rFonts w:ascii="Arial" w:cs="Arial" w:eastAsia="Arial" w:hAnsi="Arial"/>
          <w:sz w:val="12"/>
          <w:szCs w:val="12"/>
          <w:color w:val="auto"/>
        </w:rPr>
      </w:pPr>
    </w:p>
    <w:p>
      <w:pPr>
        <w:jc w:val="both"/>
        <w:ind w:left="181" w:hanging="181"/>
        <w:spacing w:after="0" w:line="245" w:lineRule="auto"/>
        <w:tabs>
          <w:tab w:leader="none" w:pos="181" w:val="left"/>
        </w:tabs>
        <w:numPr>
          <w:ilvl w:val="0"/>
          <w:numId w:val="34"/>
        </w:numPr>
        <w:rPr>
          <w:rFonts w:ascii="Arial" w:cs="Arial" w:eastAsia="Arial" w:hAnsi="Arial"/>
          <w:sz w:val="12"/>
          <w:szCs w:val="12"/>
          <w:color w:val="auto"/>
        </w:rPr>
      </w:pPr>
      <w:r>
        <w:rPr>
          <w:rFonts w:ascii="Arial" w:cs="Arial" w:eastAsia="Arial" w:hAnsi="Arial"/>
          <w:sz w:val="12"/>
          <w:szCs w:val="12"/>
          <w:color w:val="auto"/>
        </w:rPr>
        <w:t>Includes all compensation set forth in the Summary Compensation Table and described in the preceding footnote with the following exceptions: (i) the actuarial value of pension benefit is excluded as it does not reflect actual compensation received, but rather reflects an increase in the year-over-year present value of the actuarial future benefit, and (ii) long term incentive awards (e.g. RSUs and PUs), are included only to the extent they were “realized”, i.e. to the extent they vested (or restrictions lapsed) during the years set forth above.</w:t>
      </w:r>
    </w:p>
    <w:p>
      <w:pPr>
        <w:spacing w:after="0" w:line="180"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Compensation Consultants and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14" w:lineRule="exact"/>
        <w:rPr>
          <w:sz w:val="20"/>
          <w:szCs w:val="20"/>
          <w:color w:val="auto"/>
        </w:rPr>
      </w:pPr>
    </w:p>
    <w:p>
      <w:pPr>
        <w:jc w:val="both"/>
        <w:ind w:left="1"/>
        <w:spacing w:after="0" w:line="242" w:lineRule="auto"/>
        <w:rPr>
          <w:sz w:val="20"/>
          <w:szCs w:val="20"/>
          <w:color w:val="auto"/>
        </w:rPr>
      </w:pPr>
      <w:r>
        <w:rPr>
          <w:rFonts w:ascii="Arial" w:cs="Arial" w:eastAsia="Arial" w:hAnsi="Arial"/>
          <w:sz w:val="12"/>
          <w:szCs w:val="12"/>
          <w:color w:val="auto"/>
        </w:rPr>
        <w:t>As set forth in its charter, which can be found on our website, the Committee has the authority to retain and terminate compensation consultants to provide advice to the Committee. The Committee retained Longnecker &amp; Associates in 2013 to provide information, analyses and advice regarding executive compensation. The NYSE has adopted guidelines for Compensation Committees to consider when identifying Committee advisor independence. The Committee reviewed these guidelines and determined that L&amp;A is an independent consultant, and L&amp;A performs no services for the Company other than those related to executive and non-employee director compensation.</w:t>
      </w:r>
    </w:p>
    <w:p>
      <w:pPr>
        <w:spacing w:after="0" w:line="87"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Our management communicates with L&amp;A and provides data to L&amp;A regarding our executive officers, but does not direct L&amp;A’s activities. L&amp;A has not performed or provided compensation services in the past to our management.</w:t>
      </w:r>
    </w:p>
    <w:p>
      <w:pPr>
        <w:spacing w:after="0" w:line="149"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Market Analysis and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14" w:lineRule="exact"/>
        <w:rPr>
          <w:sz w:val="20"/>
          <w:szCs w:val="20"/>
          <w:color w:val="auto"/>
        </w:rPr>
      </w:pPr>
    </w:p>
    <w:p>
      <w:pPr>
        <w:jc w:val="both"/>
        <w:ind w:left="1"/>
        <w:spacing w:after="0"/>
        <w:rPr>
          <w:sz w:val="20"/>
          <w:szCs w:val="20"/>
          <w:color w:val="auto"/>
        </w:rPr>
      </w:pPr>
      <w:r>
        <w:rPr>
          <w:rFonts w:ascii="Arial" w:cs="Arial" w:eastAsia="Arial" w:hAnsi="Arial"/>
          <w:sz w:val="12"/>
          <w:szCs w:val="12"/>
          <w:color w:val="auto"/>
        </w:rPr>
        <w:t>When considering our compensation practices and levels, the Committee reviews the compensation practices and levels of a peer group of publicly-traded energy service and exploration and production companies to determine market levels. There are a limited number of companies and potential peers for us to determine an appropriate peer group. The Committee periodically reviews the composition of our peer group to ensure that the companies in the group are relevant for comparative purposes and have executive positions with responsibilities similar to ours and that compete with us for executive talent. The Committee and L&amp;A review data for potential peers relating to enterprise value, revenue and market capitalization. Based on these factors and directly comparable business lines, the Committee determined that the following companies would comprise our peer group for 2013. The Company’s revenues were in the 50th percentile of this peer group. This is the same peer group we used in 2012, and we used the same peer group in early 2014 to establish executive compensation for 2014:</w:t>
      </w:r>
    </w:p>
    <w:p>
      <w:pPr>
        <w:sectPr>
          <w:pgSz w:w="11900" w:h="16838" w:orient="portrait"/>
          <w:cols w:equalWidth="0" w:num="1">
            <w:col w:w="11421"/>
          </w:cols>
          <w:pgMar w:left="239" w:top="563" w:right="239" w:bottom="1440" w:gutter="0" w:footer="0" w:header="0"/>
        </w:sectPr>
      </w:pPr>
    </w:p>
    <w:p>
      <w:pPr>
        <w:spacing w:after="0" w:line="126" w:lineRule="exact"/>
        <w:rPr>
          <w:sz w:val="20"/>
          <w:szCs w:val="20"/>
          <w:color w:val="auto"/>
        </w:rPr>
      </w:pPr>
    </w:p>
    <w:p>
      <w:pPr>
        <w:ind w:left="701"/>
        <w:spacing w:after="0"/>
        <w:rPr>
          <w:sz w:val="20"/>
          <w:szCs w:val="20"/>
          <w:color w:val="auto"/>
        </w:rPr>
      </w:pPr>
      <w:r>
        <w:rPr>
          <w:rFonts w:ascii="Arial" w:cs="Arial" w:eastAsia="Arial" w:hAnsi="Arial"/>
          <w:sz w:val="12"/>
          <w:szCs w:val="12"/>
          <w:color w:val="auto"/>
        </w:rPr>
        <w:t>Baker Hughes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color w:val="auto"/>
        </w:rPr>
        <w:t>National Oilwell Varco, Inc.</w:t>
      </w:r>
    </w:p>
    <w:p>
      <w:pPr>
        <w:spacing w:after="0" w:line="97" w:lineRule="exact"/>
        <w:rPr>
          <w:sz w:val="20"/>
          <w:szCs w:val="20"/>
          <w:color w:val="auto"/>
        </w:rPr>
      </w:pPr>
    </w:p>
    <w:p>
      <w:pPr>
        <w:sectPr>
          <w:pgSz w:w="11900" w:h="16838" w:orient="portrait"/>
          <w:cols w:equalWidth="0" w:num="2">
            <w:col w:w="2881" w:space="720"/>
            <w:col w:w="7820"/>
          </w:cols>
          <w:pgMar w:left="239" w:top="563" w:right="239" w:bottom="1440" w:gutter="0" w:footer="0" w:header="0"/>
          <w:type w:val="continuous"/>
        </w:sectPr>
      </w:pPr>
    </w:p>
    <w:p>
      <w:pPr>
        <w:ind w:left="701"/>
        <w:spacing w:after="0"/>
        <w:rPr>
          <w:sz w:val="20"/>
          <w:szCs w:val="20"/>
          <w:color w:val="auto"/>
        </w:rPr>
      </w:pPr>
      <w:r>
        <w:rPr>
          <w:rFonts w:ascii="Arial" w:cs="Arial" w:eastAsia="Arial" w:hAnsi="Arial"/>
          <w:sz w:val="12"/>
          <w:szCs w:val="12"/>
          <w:color w:val="auto"/>
        </w:rPr>
        <w:t>Cameron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Noble Energy Inc.</w:t>
      </w:r>
    </w:p>
    <w:p>
      <w:pPr>
        <w:spacing w:after="0" w:line="97" w:lineRule="exact"/>
        <w:rPr>
          <w:sz w:val="20"/>
          <w:szCs w:val="20"/>
          <w:color w:val="auto"/>
        </w:rPr>
      </w:pPr>
    </w:p>
    <w:p>
      <w:pPr>
        <w:sectPr>
          <w:pgSz w:w="11900" w:h="16838" w:orient="portrait"/>
          <w:cols w:equalWidth="0" w:num="2">
            <w:col w:w="2881" w:space="720"/>
            <w:col w:w="7820"/>
          </w:cols>
          <w:pgMar w:left="239" w:top="563" w:right="239" w:bottom="1440" w:gutter="0" w:footer="0" w:header="0"/>
          <w:type w:val="continuous"/>
        </w:sectPr>
      </w:pPr>
    </w:p>
    <w:p>
      <w:pPr>
        <w:ind w:left="701"/>
        <w:spacing w:after="0"/>
        <w:rPr>
          <w:sz w:val="20"/>
          <w:szCs w:val="20"/>
          <w:color w:val="auto"/>
        </w:rPr>
      </w:pPr>
      <w:r>
        <w:rPr>
          <w:rFonts w:ascii="Arial" w:cs="Arial" w:eastAsia="Arial" w:hAnsi="Arial"/>
          <w:sz w:val="12"/>
          <w:szCs w:val="12"/>
          <w:color w:val="auto"/>
        </w:rPr>
        <w:t>Halliburton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Schlumberger Limited</w:t>
      </w:r>
    </w:p>
    <w:p>
      <w:pPr>
        <w:spacing w:after="0" w:line="85" w:lineRule="exact"/>
        <w:rPr>
          <w:sz w:val="20"/>
          <w:szCs w:val="20"/>
          <w:color w:val="auto"/>
        </w:rPr>
      </w:pPr>
    </w:p>
    <w:p>
      <w:pPr>
        <w:sectPr>
          <w:pgSz w:w="11900" w:h="16838" w:orient="portrait"/>
          <w:cols w:equalWidth="0" w:num="2">
            <w:col w:w="2881" w:space="720"/>
            <w:col w:w="7820"/>
          </w:cols>
          <w:pgMar w:left="239" w:top="563" w:right="239" w:bottom="1440" w:gutter="0" w:footer="0" w:header="0"/>
          <w:type w:val="continuous"/>
        </w:sectPr>
      </w:pPr>
    </w:p>
    <w:p>
      <w:pPr>
        <w:ind w:left="701"/>
        <w:spacing w:after="0"/>
        <w:rPr>
          <w:sz w:val="20"/>
          <w:szCs w:val="20"/>
          <w:color w:val="auto"/>
        </w:rPr>
      </w:pPr>
      <w:r>
        <w:rPr>
          <w:rFonts w:ascii="Arial" w:cs="Arial" w:eastAsia="Arial" w:hAnsi="Arial"/>
          <w:sz w:val="12"/>
          <w:szCs w:val="12"/>
          <w:color w:val="auto"/>
        </w:rPr>
        <w:t>Nabors Industries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Transocean Ltd.</w:t>
      </w:r>
    </w:p>
    <w:p>
      <w:pPr>
        <w:spacing w:after="0" w:line="200" w:lineRule="exact"/>
        <w:rPr>
          <w:sz w:val="20"/>
          <w:szCs w:val="20"/>
          <w:color w:val="auto"/>
        </w:rPr>
      </w:pPr>
    </w:p>
    <w:p>
      <w:pPr>
        <w:sectPr>
          <w:pgSz w:w="11900" w:h="16838" w:orient="portrait"/>
          <w:cols w:equalWidth="0" w:num="2">
            <w:col w:w="2881" w:space="720"/>
            <w:col w:w="7820"/>
          </w:cols>
          <w:pgMar w:left="239" w:top="563" w:right="239" w:bottom="1440" w:gutter="0" w:footer="0" w:header="0"/>
          <w:type w:val="continuous"/>
        </w:sectPr>
      </w:pPr>
    </w:p>
    <w:p>
      <w:pPr>
        <w:spacing w:after="0" w:line="58" w:lineRule="exact"/>
        <w:rPr>
          <w:sz w:val="20"/>
          <w:szCs w:val="20"/>
          <w:color w:val="auto"/>
        </w:rPr>
      </w:pPr>
    </w:p>
    <w:p>
      <w:pPr>
        <w:ind w:left="301" w:hanging="301"/>
        <w:spacing w:after="0"/>
        <w:tabs>
          <w:tab w:leader="none" w:pos="301" w:val="left"/>
        </w:tabs>
        <w:numPr>
          <w:ilvl w:val="0"/>
          <w:numId w:val="35"/>
        </w:numPr>
        <w:rPr>
          <w:rFonts w:ascii="Arial" w:cs="Arial" w:eastAsia="Arial" w:hAnsi="Arial"/>
          <w:sz w:val="12"/>
          <w:szCs w:val="12"/>
          <w:b w:val="1"/>
          <w:bCs w:val="1"/>
          <w:color w:val="auto"/>
        </w:rPr>
      </w:pPr>
      <w:r>
        <w:rPr>
          <w:rFonts w:ascii="Arial" w:cs="Arial" w:eastAsia="Arial" w:hAnsi="Arial"/>
          <w:sz w:val="12"/>
          <w:szCs w:val="12"/>
          <w:color w:val="auto"/>
        </w:rPr>
        <w:t>Weatherford International plc - 2014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8370" cy="203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type w:val="continuous"/>
        </w:sectPr>
      </w:pPr>
    </w:p>
    <w:bookmarkStart w:id="44" w:name="page45"/>
    <w:bookmarkEnd w:id="44"/>
    <w:p>
      <w:pPr>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9640"/>
        <w:spacing w:after="0"/>
        <w:rPr>
          <w:sz w:val="20"/>
          <w:szCs w:val="20"/>
          <w:color w:val="auto"/>
        </w:rPr>
      </w:pPr>
      <w:r>
        <w:rPr>
          <w:rFonts w:ascii="Arial" w:cs="Arial" w:eastAsia="Arial" w:hAnsi="Arial"/>
          <w:sz w:val="12"/>
          <w:szCs w:val="12"/>
          <w:b w:val="1"/>
          <w:bCs w:val="1"/>
          <w:color w:val="FFFFFF"/>
          <w:shd w:val="clear" w:color="auto" w:fill="BB1131"/>
        </w:rPr>
        <w:t>EXECUTIVE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 Analysis of our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14"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The Committee reviews our compensation plans and policies to ensure that they do not encourage unnecessary risk taking and instead encourage behaviors that support sustainable value creation. In 2013, the Committee, with the assistance of L&amp;A, reviewed the Company’s compensation policies and practices for executive officers, and believes that our compensation programs are not reasonably likely to have a material adverse effect on the Company. We believe the following factors reduce the likelihood of excessive risk-taking:</w:t>
      </w:r>
    </w:p>
    <w:p>
      <w:pPr>
        <w:spacing w:after="0" w:line="122" w:lineRule="exact"/>
        <w:rPr>
          <w:sz w:val="20"/>
          <w:szCs w:val="20"/>
          <w:color w:val="auto"/>
        </w:rPr>
      </w:pPr>
    </w:p>
    <w:p>
      <w:pPr>
        <w:ind w:left="700"/>
        <w:spacing w:after="0"/>
        <w:rPr>
          <w:sz w:val="20"/>
          <w:szCs w:val="20"/>
          <w:color w:val="auto"/>
        </w:rPr>
      </w:pPr>
      <w:r>
        <w:rPr>
          <w:rFonts w:ascii="Arial" w:cs="Arial" w:eastAsia="Arial" w:hAnsi="Arial"/>
          <w:sz w:val="12"/>
          <w:szCs w:val="12"/>
          <w:color w:val="auto"/>
        </w:rPr>
        <w:t>The program design provides a balanced mix of cash and equity, annual and long-term incentives, fixed and variable pay, and performance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-75565</wp:posOffset>
            </wp:positionV>
            <wp:extent cx="57150" cy="571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2"/>
          <w:szCs w:val="12"/>
          <w:color w:val="auto"/>
        </w:rPr>
        <w:t>Maximum payout levels for bonuses are capped;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-75565</wp:posOffset>
            </wp:positionV>
            <wp:extent cx="57150" cy="571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65" w:lineRule="exact"/>
        <w:rPr>
          <w:sz w:val="20"/>
          <w:szCs w:val="20"/>
          <w:color w:val="auto"/>
        </w:rPr>
      </w:pPr>
    </w:p>
    <w:p>
      <w:pPr>
        <w:ind w:left="700"/>
        <w:spacing w:after="0"/>
        <w:rPr>
          <w:sz w:val="20"/>
          <w:szCs w:val="20"/>
          <w:color w:val="auto"/>
        </w:rPr>
      </w:pPr>
      <w:r>
        <w:rPr>
          <w:rFonts w:ascii="Arial" w:cs="Arial" w:eastAsia="Arial" w:hAnsi="Arial"/>
          <w:sz w:val="12"/>
          <w:szCs w:val="12"/>
          <w:color w:val="auto"/>
        </w:rPr>
        <w:t>The Committee has downward discretion over incentive program payouts;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-75565</wp:posOffset>
            </wp:positionV>
            <wp:extent cx="57150" cy="571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2"/>
          <w:szCs w:val="12"/>
          <w:color w:val="auto"/>
        </w:rPr>
        <w:t>Executive officers are subject to share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-75565</wp:posOffset>
            </wp:positionV>
            <wp:extent cx="57150" cy="571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2"/>
          <w:szCs w:val="12"/>
          <w:color w:val="auto"/>
        </w:rPr>
        <w:t>Compliance and ethical behaviors are integral factors considered in all performance assessments;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-75565</wp:posOffset>
            </wp:positionV>
            <wp:extent cx="57150" cy="571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65" w:lineRule="exact"/>
        <w:rPr>
          <w:sz w:val="20"/>
          <w:szCs w:val="20"/>
          <w:color w:val="auto"/>
        </w:rPr>
      </w:pPr>
    </w:p>
    <w:p>
      <w:pPr>
        <w:ind w:left="700"/>
        <w:spacing w:after="0"/>
        <w:rPr>
          <w:sz w:val="20"/>
          <w:szCs w:val="20"/>
          <w:color w:val="auto"/>
        </w:rPr>
      </w:pPr>
      <w:r>
        <w:rPr>
          <w:rFonts w:ascii="Arial" w:cs="Arial" w:eastAsia="Arial" w:hAnsi="Arial"/>
          <w:sz w:val="12"/>
          <w:szCs w:val="12"/>
          <w:color w:val="auto"/>
        </w:rPr>
        <w:t>The Company has a 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-75565</wp:posOffset>
            </wp:positionV>
            <wp:extent cx="57150" cy="571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Below is a detailed discussion and analysis of each component of our executive compensation as applied to each of our NEOs for 2013 and 2014.</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BB1131"/>
        </w:rPr>
        <w:t>Base salary</w:t>
      </w:r>
    </w:p>
    <w:p>
      <w:pPr>
        <w:spacing w:after="0" w:line="97" w:lineRule="exact"/>
        <w:rPr>
          <w:sz w:val="20"/>
          <w:szCs w:val="20"/>
          <w:color w:val="auto"/>
        </w:rPr>
      </w:pPr>
    </w:p>
    <w:p>
      <w:pPr>
        <w:jc w:val="both"/>
        <w:spacing w:after="0" w:line="242" w:lineRule="auto"/>
        <w:rPr>
          <w:sz w:val="20"/>
          <w:szCs w:val="20"/>
          <w:color w:val="auto"/>
        </w:rPr>
      </w:pPr>
      <w:r>
        <w:rPr>
          <w:rFonts w:ascii="Arial" w:cs="Arial" w:eastAsia="Arial" w:hAnsi="Arial"/>
          <w:sz w:val="12"/>
          <w:szCs w:val="12"/>
          <w:color w:val="auto"/>
        </w:rPr>
        <w:t>Base salary provides a fixed level of compensation to the executive, representative of his skills, responsibilities and experience. Base salaries for our executive officers are reviewed annually. Proposed increases to base salaries are reviewed by the Committee following recommendations from Dr. Duroc-Danner (other than for his own base salary). The Committee does not rely on predetermined formulas or criteria when evaluating executive base salaries, but considers comparable market data provided by L&amp;A. The Committee also considers individual contributions, retention and succession planning concerns in setting base salaries.</w:t>
      </w:r>
    </w:p>
    <w:p>
      <w:pPr>
        <w:spacing w:after="0" w:line="87"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Dr. Duroc-Danner’s salary has not increased in over five years. His salary is higher than the average salary of CEOs of our peers. However, the Committee believes his salary is appropriate in light of his unique experience and in-depth understanding of our industry—having led the Company for 27 years—and considering alternative career opportunities that could be available to him. None of the CEOs of our peers has this level of experience or tenure.</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Mr. Shivram joined the Company and became an NEO in 2013. His salary was determined based on market factors and value he was giving up at his previous employer when he was hired as Chief Financial Officer in November 2013. In light of his recent hire, he received no increase in base salary for 2014.</w:t>
      </w:r>
    </w:p>
    <w:p>
      <w:pPr>
        <w:spacing w:after="0" w:line="79"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Mr. Mehta became an NEO in 2012. His salary was set based on market factors and the personal contribution he has made to the Company. For 2014, he received a 5% increase in base salary as a market adjustment, considering his promotion from Chief Administrative Officer to Chief Operating Officer and the significant contribution he made in 2013 in helping direct and coordinate internal organizational and systems improvements.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The table below shows the annual base salaries of the NEOs currently serving the Company effective after adjustments for the applicable year. Where adjustments were made during the year, these annualized amounts may be higher than the actual amount paid for the entire year. See the Summary Compensation Table on page 35 for the actual amounts paid.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6700" w:type="dxa"/>
            <w:vAlign w:val="bottom"/>
          </w:tcPr>
          <w:p>
            <w:pPr>
              <w:spacing w:after="0"/>
              <w:rPr>
                <w:sz w:val="20"/>
                <w:szCs w:val="20"/>
                <w:color w:val="auto"/>
              </w:rPr>
            </w:pPr>
            <w:r>
              <w:rPr>
                <w:rFonts w:ascii="Arial" w:cs="Arial" w:eastAsia="Arial" w:hAnsi="Arial"/>
                <w:sz w:val="12"/>
                <w:szCs w:val="12"/>
                <w:color w:val="auto"/>
              </w:rPr>
              <w:t>Executive</w:t>
            </w:r>
          </w:p>
        </w:tc>
        <w:tc>
          <w:tcPr>
            <w:tcW w:w="2700" w:type="dxa"/>
            <w:vAlign w:val="bottom"/>
          </w:tcPr>
          <w:p>
            <w:pPr>
              <w:jc w:val="right"/>
              <w:ind w:right="98"/>
              <w:spacing w:after="0"/>
              <w:rPr>
                <w:sz w:val="20"/>
                <w:szCs w:val="20"/>
                <w:color w:val="auto"/>
              </w:rPr>
            </w:pPr>
            <w:r>
              <w:rPr>
                <w:rFonts w:ascii="Arial" w:cs="Arial" w:eastAsia="Arial" w:hAnsi="Arial"/>
                <w:sz w:val="12"/>
                <w:szCs w:val="12"/>
                <w:color w:val="auto"/>
              </w:rPr>
              <w:t>2012 Salary</w:t>
            </w:r>
          </w:p>
        </w:tc>
        <w:tc>
          <w:tcPr>
            <w:tcW w:w="1080" w:type="dxa"/>
            <w:vAlign w:val="bottom"/>
          </w:tcPr>
          <w:p>
            <w:pPr>
              <w:jc w:val="right"/>
              <w:ind w:right="78"/>
              <w:spacing w:after="0"/>
              <w:rPr>
                <w:sz w:val="20"/>
                <w:szCs w:val="20"/>
                <w:color w:val="auto"/>
              </w:rPr>
            </w:pPr>
            <w:r>
              <w:rPr>
                <w:rFonts w:ascii="Arial" w:cs="Arial" w:eastAsia="Arial" w:hAnsi="Arial"/>
                <w:sz w:val="12"/>
                <w:szCs w:val="12"/>
                <w:color w:val="auto"/>
              </w:rPr>
              <w:t>2013 Salary</w:t>
            </w:r>
          </w:p>
        </w:tc>
        <w:tc>
          <w:tcPr>
            <w:tcW w:w="940" w:type="dxa"/>
            <w:vAlign w:val="bottom"/>
          </w:tcPr>
          <w:p>
            <w:pPr>
              <w:jc w:val="right"/>
              <w:spacing w:after="0"/>
              <w:rPr>
                <w:sz w:val="20"/>
                <w:szCs w:val="20"/>
                <w:color w:val="auto"/>
              </w:rPr>
            </w:pPr>
            <w:r>
              <w:rPr>
                <w:rFonts w:ascii="Arial" w:cs="Arial" w:eastAsia="Arial" w:hAnsi="Arial"/>
                <w:sz w:val="12"/>
                <w:szCs w:val="12"/>
                <w:color w:val="auto"/>
              </w:rPr>
              <w:t>2014 Salary</w:t>
            </w:r>
          </w:p>
        </w:tc>
      </w:tr>
      <w:tr>
        <w:trPr>
          <w:trHeight w:val="38"/>
        </w:trPr>
        <w:tc>
          <w:tcPr>
            <w:tcW w:w="670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77"/>
        </w:trPr>
        <w:tc>
          <w:tcPr>
            <w:tcW w:w="6700" w:type="dxa"/>
            <w:vAlign w:val="bottom"/>
          </w:tcPr>
          <w:p>
            <w:pPr>
              <w:spacing w:after="0"/>
              <w:rPr>
                <w:sz w:val="20"/>
                <w:szCs w:val="20"/>
                <w:color w:val="auto"/>
              </w:rPr>
            </w:pPr>
            <w:r>
              <w:rPr>
                <w:rFonts w:ascii="Arial" w:cs="Arial" w:eastAsia="Arial" w:hAnsi="Arial"/>
                <w:sz w:val="12"/>
                <w:szCs w:val="12"/>
                <w:color w:val="auto"/>
              </w:rPr>
              <w:t>Dr. Duroc-Danner</w:t>
            </w:r>
          </w:p>
        </w:tc>
        <w:tc>
          <w:tcPr>
            <w:tcW w:w="2700" w:type="dxa"/>
            <w:vAlign w:val="bottom"/>
          </w:tcPr>
          <w:p>
            <w:pPr>
              <w:jc w:val="right"/>
              <w:ind w:right="98"/>
              <w:spacing w:after="0"/>
              <w:rPr>
                <w:sz w:val="20"/>
                <w:szCs w:val="20"/>
                <w:color w:val="auto"/>
              </w:rPr>
            </w:pPr>
            <w:r>
              <w:rPr>
                <w:rFonts w:ascii="Arial" w:cs="Arial" w:eastAsia="Arial" w:hAnsi="Arial"/>
                <w:sz w:val="12"/>
                <w:szCs w:val="12"/>
                <w:color w:val="auto"/>
              </w:rPr>
              <w:t>CHF1,760,000</w:t>
            </w:r>
          </w:p>
        </w:tc>
        <w:tc>
          <w:tcPr>
            <w:tcW w:w="1080" w:type="dxa"/>
            <w:vAlign w:val="bottom"/>
          </w:tcPr>
          <w:p>
            <w:pPr>
              <w:jc w:val="right"/>
              <w:ind w:right="78"/>
              <w:spacing w:after="0"/>
              <w:rPr>
                <w:sz w:val="20"/>
                <w:szCs w:val="20"/>
                <w:color w:val="auto"/>
              </w:rPr>
            </w:pPr>
            <w:r>
              <w:rPr>
                <w:rFonts w:ascii="Arial" w:cs="Arial" w:eastAsia="Arial" w:hAnsi="Arial"/>
                <w:sz w:val="12"/>
                <w:szCs w:val="12"/>
                <w:color w:val="auto"/>
              </w:rPr>
              <w:t>CHF1,760,000</w:t>
            </w:r>
          </w:p>
        </w:tc>
        <w:tc>
          <w:tcPr>
            <w:tcW w:w="940" w:type="dxa"/>
            <w:vAlign w:val="bottom"/>
          </w:tcPr>
          <w:p>
            <w:pPr>
              <w:jc w:val="right"/>
              <w:spacing w:after="0"/>
              <w:rPr>
                <w:sz w:val="20"/>
                <w:szCs w:val="20"/>
                <w:color w:val="auto"/>
              </w:rPr>
            </w:pPr>
            <w:r>
              <w:rPr>
                <w:rFonts w:ascii="Arial" w:cs="Arial" w:eastAsia="Arial" w:hAnsi="Arial"/>
                <w:sz w:val="12"/>
                <w:szCs w:val="12"/>
                <w:color w:val="auto"/>
              </w:rPr>
              <w:t>CHF1,760,000</w:t>
            </w:r>
          </w:p>
        </w:tc>
      </w:tr>
      <w:tr>
        <w:trPr>
          <w:trHeight w:val="347"/>
        </w:trPr>
        <w:tc>
          <w:tcPr>
            <w:tcW w:w="6700" w:type="dxa"/>
            <w:vAlign w:val="bottom"/>
          </w:tcPr>
          <w:p>
            <w:pPr>
              <w:spacing w:after="0"/>
              <w:rPr>
                <w:sz w:val="20"/>
                <w:szCs w:val="20"/>
                <w:color w:val="auto"/>
              </w:rPr>
            </w:pPr>
            <w:r>
              <w:rPr>
                <w:rFonts w:ascii="Arial" w:cs="Arial" w:eastAsia="Arial" w:hAnsi="Arial"/>
                <w:sz w:val="12"/>
                <w:szCs w:val="12"/>
                <w:color w:val="auto"/>
              </w:rPr>
              <w:t>Mr. Shivram</w:t>
            </w:r>
            <w:r>
              <w:rPr>
                <w:rFonts w:ascii="Arial" w:cs="Arial" w:eastAsia="Arial" w:hAnsi="Arial"/>
                <w:sz w:val="20"/>
                <w:szCs w:val="20"/>
                <w:color w:val="auto"/>
                <w:vertAlign w:val="superscript"/>
              </w:rPr>
              <w:t>(a)</w:t>
            </w:r>
          </w:p>
        </w:tc>
        <w:tc>
          <w:tcPr>
            <w:tcW w:w="2700" w:type="dxa"/>
            <w:vAlign w:val="bottom"/>
          </w:tcPr>
          <w:p>
            <w:pPr>
              <w:jc w:val="right"/>
              <w:ind w:right="98"/>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78"/>
              <w:spacing w:after="0"/>
              <w:rPr>
                <w:sz w:val="20"/>
                <w:szCs w:val="20"/>
                <w:color w:val="auto"/>
              </w:rPr>
            </w:pPr>
            <w:r>
              <w:rPr>
                <w:rFonts w:ascii="Arial" w:cs="Arial" w:eastAsia="Arial" w:hAnsi="Arial"/>
                <w:sz w:val="12"/>
                <w:szCs w:val="12"/>
                <w:color w:val="auto"/>
              </w:rPr>
              <w:t>$750,000</w:t>
            </w:r>
          </w:p>
        </w:tc>
        <w:tc>
          <w:tcPr>
            <w:tcW w:w="940" w:type="dxa"/>
            <w:vAlign w:val="bottom"/>
          </w:tcPr>
          <w:p>
            <w:pPr>
              <w:jc w:val="right"/>
              <w:spacing w:after="0"/>
              <w:rPr>
                <w:sz w:val="20"/>
                <w:szCs w:val="20"/>
                <w:color w:val="auto"/>
              </w:rPr>
            </w:pPr>
            <w:r>
              <w:rPr>
                <w:rFonts w:ascii="Arial" w:cs="Arial" w:eastAsia="Arial" w:hAnsi="Arial"/>
                <w:sz w:val="12"/>
                <w:szCs w:val="12"/>
                <w:color w:val="auto"/>
              </w:rPr>
              <w:t>$750,000</w:t>
            </w:r>
          </w:p>
        </w:tc>
      </w:tr>
      <w:tr>
        <w:trPr>
          <w:trHeight w:val="148"/>
        </w:trPr>
        <w:tc>
          <w:tcPr>
            <w:tcW w:w="6700" w:type="dxa"/>
            <w:vAlign w:val="bottom"/>
          </w:tcPr>
          <w:p>
            <w:pPr>
              <w:spacing w:after="0"/>
              <w:rPr>
                <w:sz w:val="20"/>
                <w:szCs w:val="20"/>
                <w:color w:val="auto"/>
              </w:rPr>
            </w:pPr>
            <w:r>
              <w:rPr>
                <w:rFonts w:ascii="Arial" w:cs="Arial" w:eastAsia="Arial" w:hAnsi="Arial"/>
                <w:sz w:val="12"/>
                <w:szCs w:val="12"/>
                <w:color w:val="auto"/>
              </w:rPr>
              <w:t>Mr. Mehta</w:t>
            </w:r>
          </w:p>
        </w:tc>
        <w:tc>
          <w:tcPr>
            <w:tcW w:w="2700" w:type="dxa"/>
            <w:vAlign w:val="bottom"/>
          </w:tcPr>
          <w:p>
            <w:pPr>
              <w:jc w:val="right"/>
              <w:ind w:right="98"/>
              <w:spacing w:after="0"/>
              <w:rPr>
                <w:sz w:val="20"/>
                <w:szCs w:val="20"/>
                <w:color w:val="auto"/>
              </w:rPr>
            </w:pPr>
            <w:r>
              <w:rPr>
                <w:rFonts w:ascii="Arial" w:cs="Arial" w:eastAsia="Arial" w:hAnsi="Arial"/>
                <w:sz w:val="12"/>
                <w:szCs w:val="12"/>
                <w:color w:val="auto"/>
              </w:rPr>
              <w:t>$620,000</w:t>
            </w:r>
          </w:p>
        </w:tc>
        <w:tc>
          <w:tcPr>
            <w:tcW w:w="1080" w:type="dxa"/>
            <w:vAlign w:val="bottom"/>
          </w:tcPr>
          <w:p>
            <w:pPr>
              <w:jc w:val="right"/>
              <w:ind w:right="78"/>
              <w:spacing w:after="0"/>
              <w:rPr>
                <w:sz w:val="20"/>
                <w:szCs w:val="20"/>
                <w:color w:val="auto"/>
              </w:rPr>
            </w:pPr>
            <w:r>
              <w:rPr>
                <w:rFonts w:ascii="Arial" w:cs="Arial" w:eastAsia="Arial" w:hAnsi="Arial"/>
                <w:sz w:val="12"/>
                <w:szCs w:val="12"/>
                <w:color w:val="auto"/>
              </w:rPr>
              <w:t>$715,000</w:t>
            </w:r>
          </w:p>
        </w:tc>
        <w:tc>
          <w:tcPr>
            <w:tcW w:w="940" w:type="dxa"/>
            <w:vAlign w:val="bottom"/>
          </w:tcPr>
          <w:p>
            <w:pPr>
              <w:jc w:val="right"/>
              <w:spacing w:after="0"/>
              <w:rPr>
                <w:sz w:val="20"/>
                <w:szCs w:val="20"/>
                <w:color w:val="auto"/>
              </w:rPr>
            </w:pPr>
            <w:r>
              <w:rPr>
                <w:rFonts w:ascii="Arial" w:cs="Arial" w:eastAsia="Arial" w:hAnsi="Arial"/>
                <w:sz w:val="12"/>
                <w:szCs w:val="12"/>
                <w:color w:val="auto"/>
              </w:rPr>
              <w:t>$750,000</w:t>
            </w:r>
          </w:p>
        </w:tc>
      </w:tr>
      <w:tr>
        <w:trPr>
          <w:trHeight w:val="43"/>
        </w:trPr>
        <w:tc>
          <w:tcPr>
            <w:tcW w:w="670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22"/>
        </w:trPr>
        <w:tc>
          <w:tcPr>
            <w:tcW w:w="6700" w:type="dxa"/>
            <w:vAlign w:val="bottom"/>
          </w:tcPr>
          <w:p>
            <w:pPr>
              <w:spacing w:after="0"/>
              <w:rPr>
                <w:sz w:val="20"/>
                <w:szCs w:val="20"/>
                <w:color w:val="auto"/>
              </w:rPr>
            </w:pPr>
            <w:r>
              <w:rPr>
                <w:rFonts w:ascii="Arial" w:cs="Arial" w:eastAsia="Arial" w:hAnsi="Arial"/>
                <w:sz w:val="12"/>
                <w:szCs w:val="12"/>
                <w:color w:val="auto"/>
              </w:rPr>
              <w:t>(a) Information for 2012 is not presented for Mr. Shivram as he joined Weatherford in 2013.</w:t>
            </w:r>
          </w:p>
        </w:tc>
        <w:tc>
          <w:tcPr>
            <w:tcW w:w="2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40" w:type="dxa"/>
            <w:vAlign w:val="bottom"/>
          </w:tcPr>
          <w:p>
            <w:pPr>
              <w:spacing w:after="0"/>
              <w:rPr>
                <w:sz w:val="19"/>
                <w:szCs w:val="19"/>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BB1131"/>
        </w:rPr>
        <w:t>Annual incentive compensation</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Our annual incentive compensation is generally structured to deliver cash payouts in line with market multiples when performance targets are achieved or exceeded. The Committee annually establishes the terms of any awards under our Non-Equity Incentive Compensation Plan (the “ICP”), including the financial metrics and goals for each award, during the first quarter.</w:t>
      </w:r>
    </w:p>
    <w:p>
      <w:pPr>
        <w:spacing w:after="0" w:line="79"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For each award under the ICP, the Committee establishes goals at three levels: threshold, target and superior. Target represents a strong but achievable level of performance that will increase shareholder value. Superior represents an extraordinary level of performance that will substantially increase shareholder value. Threshold is the entry-level of performance under the ICP, established so that smaller awards will be earned for satisfactory performance short of target.</w:t>
      </w:r>
    </w:p>
    <w:p>
      <w:pPr>
        <w:spacing w:after="0" w:line="85"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The Committee establishes potential award payments as a percentage of the executive’s annual base salary in effect at the end of the plan year, with a percentage determined for achievement of threshold, target or superior level. If our financial results fall between the threshold and target goal levels or between the target and superior goal levels, the award payment will be determined by linear interpolation to derive the percentage of salary.</w:t>
      </w:r>
    </w:p>
    <w:p>
      <w:pPr>
        <w:spacing w:after="0" w:line="170"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auto"/>
        </w:rPr>
        <w:t>Weatherford International plc - www.WeatherfordAnnualMeeting.com</w:t>
      </w:r>
      <w:r>
        <w:rPr>
          <w:sz w:val="20"/>
          <w:szCs w:val="20"/>
          <w:color w:val="auto"/>
        </w:rPr>
        <w:tab/>
      </w:r>
      <w:r>
        <w:rPr>
          <w:rFonts w:ascii="Arial" w:cs="Arial" w:eastAsia="Arial" w:hAnsi="Arial"/>
          <w:sz w:val="10"/>
          <w:szCs w:val="10"/>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131445</wp:posOffset>
            </wp:positionV>
            <wp:extent cx="7278370" cy="203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5" w:name="page46"/>
    <w:bookmarkEnd w:id="45"/>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41"/>
        <w:spacing w:after="0"/>
        <w:rPr>
          <w:sz w:val="20"/>
          <w:szCs w:val="20"/>
          <w:color w:val="auto"/>
        </w:rPr>
      </w:pPr>
      <w:r>
        <w:rPr>
          <w:rFonts w:ascii="Arial" w:cs="Arial" w:eastAsia="Arial" w:hAnsi="Arial"/>
          <w:sz w:val="12"/>
          <w:szCs w:val="12"/>
          <w:b w:val="1"/>
          <w:bCs w:val="1"/>
          <w:color w:val="FFFFFF"/>
          <w:shd w:val="clear" w:color="auto" w:fill="BB1131"/>
        </w:rPr>
        <w:t>EXECUTIVE COMPENSATION</w:t>
      </w:r>
    </w:p>
    <w:p>
      <w:pPr>
        <w:spacing w:after="0" w:line="196" w:lineRule="exact"/>
        <w:rPr>
          <w:sz w:val="20"/>
          <w:szCs w:val="20"/>
          <w:color w:val="auto"/>
        </w:rPr>
      </w:pPr>
    </w:p>
    <w:p>
      <w:pPr>
        <w:ind w:left="1"/>
        <w:spacing w:after="0"/>
        <w:rPr>
          <w:sz w:val="20"/>
          <w:szCs w:val="20"/>
          <w:color w:val="auto"/>
        </w:rPr>
      </w:pPr>
      <w:r>
        <w:rPr>
          <w:rFonts w:ascii="Arial" w:cs="Arial" w:eastAsia="Arial" w:hAnsi="Arial"/>
          <w:sz w:val="12"/>
          <w:szCs w:val="12"/>
          <w:b w:val="1"/>
          <w:bCs w:val="1"/>
          <w:color w:val="auto"/>
        </w:rPr>
        <w:t>2013 Annual incentive results</w:t>
      </w:r>
    </w:p>
    <w:p>
      <w:pPr>
        <w:spacing w:after="0" w:line="111" w:lineRule="exact"/>
        <w:rPr>
          <w:sz w:val="20"/>
          <w:szCs w:val="20"/>
          <w:color w:val="auto"/>
        </w:rPr>
      </w:pPr>
    </w:p>
    <w:p>
      <w:pPr>
        <w:ind w:left="1"/>
        <w:spacing w:after="0" w:line="254" w:lineRule="auto"/>
        <w:rPr>
          <w:sz w:val="20"/>
          <w:szCs w:val="20"/>
          <w:color w:val="auto"/>
        </w:rPr>
      </w:pPr>
      <w:r>
        <w:rPr>
          <w:rFonts w:ascii="Arial" w:cs="Arial" w:eastAsia="Arial" w:hAnsi="Arial"/>
          <w:sz w:val="12"/>
          <w:szCs w:val="12"/>
          <w:color w:val="auto"/>
        </w:rPr>
        <w:t>For 2013, the Committee adopted multiple metrics to determine the short-term incentive payouts that include goals based on profitability, capital efficiency and safety as set forth in the following table, which also shows the actual results of these metrics.</w:t>
      </w:r>
    </w:p>
    <w:p>
      <w:pPr>
        <w:spacing w:after="0" w:line="67" w:lineRule="exact"/>
        <w:rPr>
          <w:sz w:val="20"/>
          <w:szCs w:val="20"/>
          <w:color w:val="auto"/>
        </w:rPr>
      </w:pPr>
    </w:p>
    <w:tbl>
      <w:tblPr>
        <w:tblLayout w:type="fixed"/>
        <w:tblInd w:w="1" w:type="dxa"/>
        <w:tblCellMar>
          <w:top w:w="0" w:type="dxa"/>
          <w:left w:w="0" w:type="dxa"/>
          <w:bottom w:w="0" w:type="dxa"/>
          <w:right w:w="0" w:type="dxa"/>
        </w:tblCellMar>
      </w:tblPr>
      <w:tr>
        <w:trPr>
          <w:trHeight w:val="148"/>
        </w:trPr>
        <w:tc>
          <w:tcPr>
            <w:tcW w:w="6880" w:type="dxa"/>
            <w:vAlign w:val="bottom"/>
            <w:gridSpan w:val="3"/>
          </w:tcPr>
          <w:p>
            <w:pPr>
              <w:spacing w:after="0"/>
              <w:rPr>
                <w:sz w:val="20"/>
                <w:szCs w:val="20"/>
                <w:color w:val="auto"/>
              </w:rPr>
            </w:pPr>
            <w:r>
              <w:rPr>
                <w:rFonts w:ascii="Arial" w:cs="Arial" w:eastAsia="Arial" w:hAnsi="Arial"/>
                <w:sz w:val="12"/>
                <w:szCs w:val="12"/>
                <w:i w:val="1"/>
                <w:iCs w:val="1"/>
                <w:color w:val="auto"/>
              </w:rPr>
              <w:t>($ in millions)</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880" w:type="dxa"/>
            <w:vAlign w:val="bottom"/>
            <w:gridSpan w:val="3"/>
          </w:tcPr>
          <w:p>
            <w:pPr>
              <w:spacing w:after="0" w:line="137" w:lineRule="exact"/>
              <w:rPr>
                <w:sz w:val="20"/>
                <w:szCs w:val="20"/>
                <w:color w:val="auto"/>
              </w:rPr>
            </w:pPr>
            <w:r>
              <w:rPr>
                <w:rFonts w:ascii="Arial" w:cs="Arial" w:eastAsia="Arial" w:hAnsi="Arial"/>
                <w:sz w:val="12"/>
                <w:szCs w:val="12"/>
                <w:color w:val="auto"/>
              </w:rPr>
              <w:t>Objective</w:t>
            </w:r>
          </w:p>
        </w:tc>
        <w:tc>
          <w:tcPr>
            <w:tcW w:w="960" w:type="dxa"/>
            <w:vAlign w:val="bottom"/>
            <w:gridSpan w:val="2"/>
          </w:tcPr>
          <w:p>
            <w:pPr>
              <w:jc w:val="right"/>
              <w:ind w:right="360"/>
              <w:spacing w:after="0" w:line="137" w:lineRule="exact"/>
              <w:rPr>
                <w:sz w:val="20"/>
                <w:szCs w:val="20"/>
                <w:color w:val="auto"/>
              </w:rPr>
            </w:pPr>
            <w:r>
              <w:rPr>
                <w:rFonts w:ascii="Arial" w:cs="Arial" w:eastAsia="Arial" w:hAnsi="Arial"/>
                <w:sz w:val="12"/>
                <w:szCs w:val="12"/>
                <w:color w:val="auto"/>
                <w:w w:val="98"/>
              </w:rPr>
              <w:t>Profitability</w:t>
            </w:r>
          </w:p>
        </w:tc>
        <w:tc>
          <w:tcPr>
            <w:tcW w:w="1480" w:type="dxa"/>
            <w:vAlign w:val="bottom"/>
            <w:gridSpan w:val="2"/>
          </w:tcPr>
          <w:p>
            <w:pPr>
              <w:jc w:val="right"/>
              <w:ind w:right="360"/>
              <w:spacing w:after="0" w:line="137" w:lineRule="exact"/>
              <w:rPr>
                <w:sz w:val="20"/>
                <w:szCs w:val="20"/>
                <w:color w:val="auto"/>
              </w:rPr>
            </w:pPr>
            <w:r>
              <w:rPr>
                <w:rFonts w:ascii="Arial" w:cs="Arial" w:eastAsia="Arial" w:hAnsi="Arial"/>
                <w:sz w:val="12"/>
                <w:szCs w:val="12"/>
                <w:color w:val="auto"/>
              </w:rPr>
              <w:t>Capital Efficiency</w:t>
            </w:r>
          </w:p>
        </w:tc>
        <w:tc>
          <w:tcPr>
            <w:tcW w:w="1220" w:type="dxa"/>
            <w:vAlign w:val="bottom"/>
          </w:tcPr>
          <w:p>
            <w:pPr>
              <w:jc w:val="right"/>
              <w:spacing w:after="0" w:line="137" w:lineRule="exact"/>
              <w:rPr>
                <w:sz w:val="20"/>
                <w:szCs w:val="20"/>
                <w:color w:val="auto"/>
              </w:rPr>
            </w:pPr>
            <w:r>
              <w:rPr>
                <w:rFonts w:ascii="Arial" w:cs="Arial" w:eastAsia="Arial" w:hAnsi="Arial"/>
                <w:sz w:val="12"/>
                <w:szCs w:val="12"/>
                <w:color w:val="auto"/>
              </w:rPr>
              <w:t>Safety</w:t>
            </w: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 w:type="dxa"/>
            <w:vAlign w:val="bottom"/>
            <w:tcBorders>
              <w:top w:val="single" w:sz="8" w:color="auto"/>
            </w:tcBorders>
          </w:tcPr>
          <w:p>
            <w:pPr>
              <w:spacing w:after="0"/>
              <w:rPr>
                <w:sz w:val="11"/>
                <w:szCs w:val="11"/>
                <w:color w:val="auto"/>
              </w:rPr>
            </w:pPr>
          </w:p>
        </w:tc>
        <w:tc>
          <w:tcPr>
            <w:tcW w:w="63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Borders>
              <w:top w:val="single" w:sz="8" w:color="auto"/>
            </w:tcBorders>
          </w:tcPr>
          <w:p>
            <w:pPr>
              <w:jc w:val="right"/>
              <w:ind w:right="58"/>
              <w:spacing w:after="0" w:line="128" w:lineRule="exact"/>
              <w:rPr>
                <w:sz w:val="20"/>
                <w:szCs w:val="20"/>
                <w:color w:val="auto"/>
              </w:rPr>
            </w:pPr>
            <w:r>
              <w:rPr>
                <w:rFonts w:ascii="Arial" w:cs="Arial" w:eastAsia="Arial" w:hAnsi="Arial"/>
                <w:sz w:val="12"/>
                <w:szCs w:val="12"/>
                <w:color w:val="auto"/>
              </w:rPr>
              <w:t>Reduction in</w:t>
            </w:r>
          </w:p>
        </w:tc>
        <w:tc>
          <w:tcPr>
            <w:tcW w:w="24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38"/>
              <w:spacing w:after="0"/>
              <w:rPr>
                <w:sz w:val="20"/>
                <w:szCs w:val="20"/>
                <w:color w:val="auto"/>
              </w:rPr>
            </w:pPr>
            <w:r>
              <w:rPr>
                <w:rFonts w:ascii="Arial" w:cs="Arial" w:eastAsia="Arial" w:hAnsi="Arial"/>
                <w:sz w:val="12"/>
                <w:szCs w:val="12"/>
                <w:color w:val="auto"/>
              </w:rPr>
              <w:t>Preventable</w:t>
            </w:r>
          </w:p>
        </w:tc>
        <w:tc>
          <w:tcPr>
            <w:tcW w:w="0" w:type="dxa"/>
            <w:vAlign w:val="bottom"/>
          </w:tcPr>
          <w:p>
            <w:pPr>
              <w:spacing w:after="0"/>
              <w:rPr>
                <w:sz w:val="1"/>
                <w:szCs w:val="1"/>
                <w:color w:val="auto"/>
              </w:rPr>
            </w:pPr>
          </w:p>
        </w:tc>
      </w:tr>
      <w:tr>
        <w:trPr>
          <w:trHeight w:val="37"/>
        </w:trPr>
        <w:tc>
          <w:tcPr>
            <w:tcW w:w="300" w:type="dxa"/>
            <w:vAlign w:val="bottom"/>
          </w:tcPr>
          <w:p>
            <w:pPr>
              <w:spacing w:after="0"/>
              <w:rPr>
                <w:sz w:val="3"/>
                <w:szCs w:val="3"/>
                <w:color w:val="auto"/>
              </w:rPr>
            </w:pPr>
          </w:p>
        </w:tc>
        <w:tc>
          <w:tcPr>
            <w:tcW w:w="6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gridSpan w:val="2"/>
            <w:vMerge w:val="restart"/>
          </w:tcPr>
          <w:p>
            <w:pPr>
              <w:jc w:val="right"/>
              <w:ind w:right="360"/>
              <w:spacing w:after="0"/>
              <w:rPr>
                <w:sz w:val="20"/>
                <w:szCs w:val="20"/>
                <w:color w:val="auto"/>
              </w:rPr>
            </w:pPr>
            <w:r>
              <w:rPr>
                <w:rFonts w:ascii="Arial" w:cs="Arial" w:eastAsia="Arial" w:hAnsi="Arial"/>
                <w:sz w:val="12"/>
                <w:szCs w:val="12"/>
                <w:color w:val="auto"/>
              </w:rPr>
              <w:t>Operating</w:t>
            </w:r>
          </w:p>
        </w:tc>
        <w:tc>
          <w:tcPr>
            <w:tcW w:w="1480" w:type="dxa"/>
            <w:vAlign w:val="bottom"/>
            <w:gridSpan w:val="2"/>
            <w:vMerge w:val="restart"/>
          </w:tcPr>
          <w:p>
            <w:pPr>
              <w:jc w:val="right"/>
              <w:ind w:right="360"/>
              <w:spacing w:after="0"/>
              <w:rPr>
                <w:sz w:val="20"/>
                <w:szCs w:val="20"/>
                <w:color w:val="auto"/>
              </w:rPr>
            </w:pPr>
            <w:r>
              <w:rPr>
                <w:rFonts w:ascii="Arial" w:cs="Arial" w:eastAsia="Arial" w:hAnsi="Arial"/>
                <w:sz w:val="12"/>
                <w:szCs w:val="12"/>
                <w:color w:val="auto"/>
              </w:rPr>
              <w:t>Days Working</w:t>
            </w:r>
          </w:p>
        </w:tc>
        <w:tc>
          <w:tcPr>
            <w:tcW w:w="12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5"/>
        </w:trPr>
        <w:tc>
          <w:tcPr>
            <w:tcW w:w="300" w:type="dxa"/>
            <w:vAlign w:val="bottom"/>
          </w:tcPr>
          <w:p>
            <w:pPr>
              <w:spacing w:after="0"/>
              <w:rPr>
                <w:sz w:val="9"/>
                <w:szCs w:val="9"/>
                <w:color w:val="auto"/>
              </w:rPr>
            </w:pPr>
          </w:p>
        </w:tc>
        <w:tc>
          <w:tcPr>
            <w:tcW w:w="6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220" w:type="dxa"/>
            <w:vAlign w:val="bottom"/>
            <w:vMerge w:val="restart"/>
          </w:tcPr>
          <w:p>
            <w:pPr>
              <w:jc w:val="right"/>
              <w:ind w:right="258"/>
              <w:spacing w:after="0" w:line="136" w:lineRule="exact"/>
              <w:rPr>
                <w:sz w:val="20"/>
                <w:szCs w:val="20"/>
                <w:color w:val="auto"/>
              </w:rPr>
            </w:pPr>
            <w:r>
              <w:rPr>
                <w:rFonts w:ascii="Arial" w:cs="Arial" w:eastAsia="Arial" w:hAnsi="Arial"/>
                <w:sz w:val="12"/>
                <w:szCs w:val="12"/>
                <w:color w:val="auto"/>
              </w:rPr>
              <w:t>Lost-Time</w:t>
            </w:r>
          </w:p>
        </w:tc>
        <w:tc>
          <w:tcPr>
            <w:tcW w:w="880" w:type="dxa"/>
            <w:vAlign w:val="bottom"/>
            <w:vMerge w:val="restart"/>
          </w:tcPr>
          <w:p>
            <w:pPr>
              <w:jc w:val="right"/>
              <w:ind w:right="38"/>
              <w:spacing w:after="0" w:line="136" w:lineRule="exact"/>
              <w:rPr>
                <w:sz w:val="20"/>
                <w:szCs w:val="20"/>
                <w:color w:val="auto"/>
              </w:rPr>
            </w:pPr>
            <w:r>
              <w:rPr>
                <w:rFonts w:ascii="Arial" w:cs="Arial" w:eastAsia="Arial" w:hAnsi="Arial"/>
                <w:sz w:val="12"/>
                <w:szCs w:val="12"/>
                <w:color w:val="auto"/>
              </w:rPr>
              <w:t>Vehicle</w:t>
            </w:r>
          </w:p>
        </w:tc>
        <w:tc>
          <w:tcPr>
            <w:tcW w:w="0" w:type="dxa"/>
            <w:vAlign w:val="bottom"/>
          </w:tcPr>
          <w:p>
            <w:pPr>
              <w:spacing w:after="0"/>
              <w:rPr>
                <w:sz w:val="1"/>
                <w:szCs w:val="1"/>
                <w:color w:val="auto"/>
              </w:rPr>
            </w:pPr>
          </w:p>
        </w:tc>
      </w:tr>
      <w:tr>
        <w:trPr>
          <w:trHeight w:val="31"/>
        </w:trPr>
        <w:tc>
          <w:tcPr>
            <w:tcW w:w="300" w:type="dxa"/>
            <w:vAlign w:val="bottom"/>
          </w:tcPr>
          <w:p>
            <w:pPr>
              <w:spacing w:after="0"/>
              <w:rPr>
                <w:sz w:val="2"/>
                <w:szCs w:val="2"/>
                <w:color w:val="auto"/>
              </w:rPr>
            </w:pPr>
          </w:p>
        </w:tc>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gridSpan w:val="2"/>
            <w:vMerge w:val="restart"/>
          </w:tcPr>
          <w:p>
            <w:pPr>
              <w:jc w:val="right"/>
              <w:ind w:right="360"/>
              <w:spacing w:after="0" w:line="168" w:lineRule="exact"/>
              <w:rPr>
                <w:sz w:val="20"/>
                <w:szCs w:val="20"/>
                <w:color w:val="auto"/>
              </w:rPr>
            </w:pPr>
            <w:r>
              <w:rPr>
                <w:rFonts w:ascii="Arial" w:cs="Arial" w:eastAsia="Arial" w:hAnsi="Arial"/>
                <w:sz w:val="12"/>
                <w:szCs w:val="12"/>
                <w:color w:val="auto"/>
              </w:rPr>
              <w:t>Income</w:t>
            </w:r>
            <w:r>
              <w:rPr>
                <w:rFonts w:ascii="Arial" w:cs="Arial" w:eastAsia="Arial" w:hAnsi="Arial"/>
                <w:sz w:val="19"/>
                <w:szCs w:val="19"/>
                <w:color w:val="auto"/>
                <w:vertAlign w:val="superscript"/>
              </w:rPr>
              <w:t>(a)</w:t>
            </w:r>
          </w:p>
        </w:tc>
        <w:tc>
          <w:tcPr>
            <w:tcW w:w="1480" w:type="dxa"/>
            <w:vAlign w:val="bottom"/>
            <w:gridSpan w:val="2"/>
            <w:vMerge w:val="restart"/>
          </w:tcPr>
          <w:p>
            <w:pPr>
              <w:jc w:val="right"/>
              <w:ind w:right="360"/>
              <w:spacing w:after="0" w:line="168" w:lineRule="exact"/>
              <w:rPr>
                <w:sz w:val="20"/>
                <w:szCs w:val="20"/>
                <w:color w:val="auto"/>
              </w:rPr>
            </w:pPr>
            <w:r>
              <w:rPr>
                <w:rFonts w:ascii="Arial" w:cs="Arial" w:eastAsia="Arial" w:hAnsi="Arial"/>
                <w:sz w:val="12"/>
                <w:szCs w:val="12"/>
                <w:color w:val="auto"/>
              </w:rPr>
              <w:t>Capital</w:t>
            </w:r>
            <w:r>
              <w:rPr>
                <w:rFonts w:ascii="Arial" w:cs="Arial" w:eastAsia="Arial" w:hAnsi="Arial"/>
                <w:sz w:val="19"/>
                <w:szCs w:val="19"/>
                <w:color w:val="auto"/>
                <w:vertAlign w:val="superscript"/>
              </w:rPr>
              <w:t>(b)</w:t>
            </w:r>
          </w:p>
        </w:tc>
        <w:tc>
          <w:tcPr>
            <w:tcW w:w="1220" w:type="dxa"/>
            <w:vAlign w:val="bottom"/>
            <w:vMerge w:val="continue"/>
          </w:tcPr>
          <w:p>
            <w:pPr>
              <w:spacing w:after="0"/>
              <w:rPr>
                <w:sz w:val="2"/>
                <w:szCs w:val="2"/>
                <w:color w:val="auto"/>
              </w:rPr>
            </w:pPr>
          </w:p>
        </w:tc>
        <w:tc>
          <w:tcPr>
            <w:tcW w:w="8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7"/>
        </w:trPr>
        <w:tc>
          <w:tcPr>
            <w:tcW w:w="6880" w:type="dxa"/>
            <w:vAlign w:val="bottom"/>
            <w:tcBorders>
              <w:bottom w:val="single" w:sz="8" w:color="auto"/>
            </w:tcBorders>
            <w:gridSpan w:val="3"/>
          </w:tcPr>
          <w:p>
            <w:pPr>
              <w:spacing w:after="0" w:line="137" w:lineRule="exact"/>
              <w:rPr>
                <w:sz w:val="20"/>
                <w:szCs w:val="20"/>
                <w:color w:val="auto"/>
              </w:rPr>
            </w:pPr>
            <w:r>
              <w:rPr>
                <w:rFonts w:ascii="Arial" w:cs="Arial" w:eastAsia="Arial" w:hAnsi="Arial"/>
                <w:sz w:val="12"/>
                <w:szCs w:val="12"/>
                <w:color w:val="auto"/>
              </w:rPr>
              <w:t>Performance Metric</w:t>
            </w:r>
          </w:p>
        </w:tc>
        <w:tc>
          <w:tcPr>
            <w:tcW w:w="960" w:type="dxa"/>
            <w:vAlign w:val="bottom"/>
            <w:tcBorders>
              <w:bottom w:val="single" w:sz="8" w:color="auto"/>
            </w:tcBorders>
            <w:gridSpan w:val="2"/>
            <w:vMerge w:val="continue"/>
          </w:tcPr>
          <w:p>
            <w:pPr>
              <w:spacing w:after="0"/>
              <w:rPr>
                <w:sz w:val="11"/>
                <w:szCs w:val="11"/>
                <w:color w:val="auto"/>
              </w:rPr>
            </w:pPr>
          </w:p>
        </w:tc>
        <w:tc>
          <w:tcPr>
            <w:tcW w:w="1480" w:type="dxa"/>
            <w:vAlign w:val="bottom"/>
            <w:tcBorders>
              <w:bottom w:val="single" w:sz="8" w:color="auto"/>
            </w:tcBorders>
            <w:gridSpan w:val="2"/>
            <w:vMerge w:val="continue"/>
          </w:tcPr>
          <w:p>
            <w:pPr>
              <w:spacing w:after="0"/>
              <w:rPr>
                <w:sz w:val="11"/>
                <w:szCs w:val="11"/>
                <w:color w:val="auto"/>
              </w:rPr>
            </w:pPr>
          </w:p>
        </w:tc>
        <w:tc>
          <w:tcPr>
            <w:tcW w:w="1220" w:type="dxa"/>
            <w:vAlign w:val="bottom"/>
            <w:tcBorders>
              <w:bottom w:val="single" w:sz="8" w:color="auto"/>
            </w:tcBorders>
          </w:tcPr>
          <w:p>
            <w:pPr>
              <w:jc w:val="right"/>
              <w:ind w:right="258"/>
              <w:spacing w:after="0" w:line="137" w:lineRule="exact"/>
              <w:rPr>
                <w:sz w:val="20"/>
                <w:szCs w:val="20"/>
                <w:color w:val="auto"/>
              </w:rPr>
            </w:pPr>
            <w:r>
              <w:rPr>
                <w:rFonts w:ascii="Arial" w:cs="Arial" w:eastAsia="Arial" w:hAnsi="Arial"/>
                <w:sz w:val="12"/>
                <w:szCs w:val="12"/>
                <w:color w:val="auto"/>
              </w:rPr>
              <w:t>Incident Rate</w:t>
            </w:r>
          </w:p>
        </w:tc>
        <w:tc>
          <w:tcPr>
            <w:tcW w:w="880" w:type="dxa"/>
            <w:vAlign w:val="bottom"/>
            <w:tcBorders>
              <w:bottom w:val="single" w:sz="8" w:color="auto"/>
            </w:tcBorders>
          </w:tcPr>
          <w:p>
            <w:pPr>
              <w:jc w:val="right"/>
              <w:ind w:right="38"/>
              <w:spacing w:after="0" w:line="137" w:lineRule="exact"/>
              <w:rPr>
                <w:sz w:val="20"/>
                <w:szCs w:val="20"/>
                <w:color w:val="auto"/>
              </w:rPr>
            </w:pPr>
            <w:r>
              <w:rPr>
                <w:rFonts w:ascii="Arial" w:cs="Arial" w:eastAsia="Arial" w:hAnsi="Arial"/>
                <w:sz w:val="12"/>
                <w:szCs w:val="12"/>
                <w:color w:val="auto"/>
              </w:rPr>
              <w:t>Incident Rate</w:t>
            </w:r>
          </w:p>
        </w:tc>
        <w:tc>
          <w:tcPr>
            <w:tcW w:w="0" w:type="dxa"/>
            <w:vAlign w:val="bottom"/>
          </w:tcPr>
          <w:p>
            <w:pPr>
              <w:spacing w:after="0"/>
              <w:rPr>
                <w:sz w:val="1"/>
                <w:szCs w:val="1"/>
                <w:color w:val="auto"/>
              </w:rPr>
            </w:pPr>
          </w:p>
        </w:tc>
      </w:tr>
      <w:tr>
        <w:trPr>
          <w:trHeight w:val="177"/>
        </w:trPr>
        <w:tc>
          <w:tcPr>
            <w:tcW w:w="6880" w:type="dxa"/>
            <w:vAlign w:val="bottom"/>
            <w:gridSpan w:val="3"/>
          </w:tcPr>
          <w:p>
            <w:pPr>
              <w:spacing w:after="0"/>
              <w:rPr>
                <w:sz w:val="20"/>
                <w:szCs w:val="20"/>
                <w:color w:val="auto"/>
              </w:rPr>
            </w:pPr>
            <w:r>
              <w:rPr>
                <w:rFonts w:ascii="Arial" w:cs="Arial" w:eastAsia="Arial" w:hAnsi="Arial"/>
                <w:sz w:val="12"/>
                <w:szCs w:val="12"/>
                <w:color w:val="auto"/>
              </w:rPr>
              <w:t>Metric Weight</w:t>
            </w:r>
          </w:p>
        </w:tc>
        <w:tc>
          <w:tcPr>
            <w:tcW w:w="720" w:type="dxa"/>
            <w:vAlign w:val="bottom"/>
          </w:tcPr>
          <w:p>
            <w:pPr>
              <w:jc w:val="right"/>
              <w:spacing w:after="0"/>
              <w:rPr>
                <w:sz w:val="20"/>
                <w:szCs w:val="20"/>
                <w:color w:val="auto"/>
              </w:rPr>
            </w:pPr>
            <w:r>
              <w:rPr>
                <w:rFonts w:ascii="Arial" w:cs="Arial" w:eastAsia="Arial" w:hAnsi="Arial"/>
                <w:sz w:val="12"/>
                <w:szCs w:val="12"/>
                <w:color w:val="auto"/>
              </w:rPr>
              <w:t>45%</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45%</w:t>
            </w:r>
          </w:p>
        </w:tc>
        <w:tc>
          <w:tcPr>
            <w:tcW w:w="240" w:type="dxa"/>
            <w:vAlign w:val="bottom"/>
          </w:tcPr>
          <w:p>
            <w:pPr>
              <w:spacing w:after="0"/>
              <w:rPr>
                <w:sz w:val="15"/>
                <w:szCs w:val="15"/>
                <w:color w:val="auto"/>
              </w:rPr>
            </w:pPr>
          </w:p>
        </w:tc>
        <w:tc>
          <w:tcPr>
            <w:tcW w:w="1220" w:type="dxa"/>
            <w:vAlign w:val="bottom"/>
          </w:tcPr>
          <w:p>
            <w:pPr>
              <w:jc w:val="right"/>
              <w:ind w:right="138"/>
              <w:spacing w:after="0"/>
              <w:rPr>
                <w:sz w:val="20"/>
                <w:szCs w:val="20"/>
                <w:color w:val="auto"/>
              </w:rPr>
            </w:pPr>
            <w:r>
              <w:rPr>
                <w:rFonts w:ascii="Arial" w:cs="Arial" w:eastAsia="Arial" w:hAnsi="Arial"/>
                <w:sz w:val="12"/>
                <w:szCs w:val="12"/>
                <w:color w:val="auto"/>
              </w:rPr>
              <w:t>5%</w:t>
            </w:r>
          </w:p>
        </w:tc>
        <w:tc>
          <w:tcPr>
            <w:tcW w:w="880" w:type="dxa"/>
            <w:vAlign w:val="bottom"/>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20"/>
                <w:szCs w:val="20"/>
                <w:color w:val="auto"/>
              </w:rPr>
            </w:pPr>
            <w:r>
              <w:rPr>
                <w:rFonts w:ascii="Arial" w:cs="Arial" w:eastAsia="Arial" w:hAnsi="Arial"/>
                <w:sz w:val="12"/>
                <w:szCs w:val="12"/>
                <w:color w:val="auto"/>
              </w:rPr>
              <w:t>2013</w:t>
            </w:r>
          </w:p>
        </w:tc>
        <w:tc>
          <w:tcPr>
            <w:tcW w:w="6580" w:type="dxa"/>
            <w:vAlign w:val="bottom"/>
            <w:gridSpan w:val="2"/>
          </w:tcPr>
          <w:p>
            <w:pPr>
              <w:spacing w:after="0"/>
              <w:rPr>
                <w:sz w:val="20"/>
                <w:szCs w:val="20"/>
                <w:color w:val="auto"/>
              </w:rPr>
            </w:pPr>
            <w:r>
              <w:rPr>
                <w:rFonts w:ascii="Arial" w:cs="Arial" w:eastAsia="Arial" w:hAnsi="Arial"/>
                <w:sz w:val="12"/>
                <w:szCs w:val="12"/>
                <w:color w:val="auto"/>
              </w:rPr>
              <w:t>Superior</w:t>
            </w:r>
          </w:p>
        </w:tc>
        <w:tc>
          <w:tcPr>
            <w:tcW w:w="720" w:type="dxa"/>
            <w:vAlign w:val="bottom"/>
          </w:tcPr>
          <w:p>
            <w:pPr>
              <w:jc w:val="right"/>
              <w:ind w:right="58"/>
              <w:spacing w:after="0"/>
              <w:rPr>
                <w:sz w:val="20"/>
                <w:szCs w:val="20"/>
                <w:color w:val="auto"/>
              </w:rPr>
            </w:pPr>
            <w:r>
              <w:rPr>
                <w:rFonts w:ascii="Arial" w:cs="Arial" w:eastAsia="Arial" w:hAnsi="Arial"/>
                <w:sz w:val="12"/>
                <w:szCs w:val="12"/>
                <w:color w:val="auto"/>
              </w:rPr>
              <w:t>$2,757</w:t>
            </w:r>
          </w:p>
        </w:tc>
        <w:tc>
          <w:tcPr>
            <w:tcW w:w="240" w:type="dxa"/>
            <w:vAlign w:val="bottom"/>
          </w:tcPr>
          <w:p>
            <w:pPr>
              <w:spacing w:after="0"/>
              <w:rPr>
                <w:sz w:val="19"/>
                <w:szCs w:val="19"/>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2"/>
                <w:szCs w:val="12"/>
                <w:color w:val="auto"/>
              </w:rPr>
              <w:t>12 days</w:t>
            </w:r>
          </w:p>
        </w:tc>
        <w:tc>
          <w:tcPr>
            <w:tcW w:w="1220" w:type="dxa"/>
            <w:vAlign w:val="bottom"/>
          </w:tcPr>
          <w:p>
            <w:pPr>
              <w:jc w:val="right"/>
              <w:ind w:right="258"/>
              <w:spacing w:after="0"/>
              <w:rPr>
                <w:sz w:val="20"/>
                <w:szCs w:val="20"/>
                <w:color w:val="auto"/>
              </w:rPr>
            </w:pPr>
            <w:r>
              <w:rPr>
                <w:rFonts w:ascii="Arial" w:cs="Arial" w:eastAsia="Arial" w:hAnsi="Arial"/>
                <w:sz w:val="12"/>
                <w:szCs w:val="12"/>
                <w:color w:val="auto"/>
              </w:rPr>
              <w:t>0.14</w:t>
            </w: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0.69</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20"/>
                <w:szCs w:val="20"/>
                <w:color w:val="auto"/>
              </w:rPr>
            </w:pPr>
            <w:r>
              <w:rPr>
                <w:rFonts w:ascii="Arial" w:cs="Arial" w:eastAsia="Arial" w:hAnsi="Arial"/>
                <w:sz w:val="12"/>
                <w:szCs w:val="12"/>
                <w:color w:val="auto"/>
              </w:rPr>
              <w:t>2013</w:t>
            </w:r>
          </w:p>
        </w:tc>
        <w:tc>
          <w:tcPr>
            <w:tcW w:w="6580" w:type="dxa"/>
            <w:vAlign w:val="bottom"/>
            <w:gridSpan w:val="2"/>
          </w:tcPr>
          <w:p>
            <w:pPr>
              <w:spacing w:after="0"/>
              <w:rPr>
                <w:sz w:val="20"/>
                <w:szCs w:val="20"/>
                <w:color w:val="auto"/>
              </w:rPr>
            </w:pPr>
            <w:r>
              <w:rPr>
                <w:rFonts w:ascii="Arial" w:cs="Arial" w:eastAsia="Arial" w:hAnsi="Arial"/>
                <w:sz w:val="12"/>
                <w:szCs w:val="12"/>
                <w:color w:val="auto"/>
              </w:rPr>
              <w:t>Target</w:t>
            </w:r>
          </w:p>
        </w:tc>
        <w:tc>
          <w:tcPr>
            <w:tcW w:w="720" w:type="dxa"/>
            <w:vAlign w:val="bottom"/>
          </w:tcPr>
          <w:p>
            <w:pPr>
              <w:jc w:val="right"/>
              <w:ind w:right="58"/>
              <w:spacing w:after="0"/>
              <w:rPr>
                <w:sz w:val="20"/>
                <w:szCs w:val="20"/>
                <w:color w:val="auto"/>
              </w:rPr>
            </w:pPr>
            <w:r>
              <w:rPr>
                <w:rFonts w:ascii="Arial" w:cs="Arial" w:eastAsia="Arial" w:hAnsi="Arial"/>
                <w:sz w:val="12"/>
                <w:szCs w:val="12"/>
                <w:color w:val="auto"/>
              </w:rPr>
              <w:t>$2,282</w:t>
            </w:r>
          </w:p>
        </w:tc>
        <w:tc>
          <w:tcPr>
            <w:tcW w:w="240" w:type="dxa"/>
            <w:vAlign w:val="bottom"/>
          </w:tcPr>
          <w:p>
            <w:pPr>
              <w:spacing w:after="0"/>
              <w:rPr>
                <w:sz w:val="19"/>
                <w:szCs w:val="19"/>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2"/>
                <w:szCs w:val="12"/>
                <w:color w:val="auto"/>
              </w:rPr>
              <w:t>10 days</w:t>
            </w:r>
          </w:p>
        </w:tc>
        <w:tc>
          <w:tcPr>
            <w:tcW w:w="1220" w:type="dxa"/>
            <w:vAlign w:val="bottom"/>
          </w:tcPr>
          <w:p>
            <w:pPr>
              <w:jc w:val="right"/>
              <w:ind w:right="258"/>
              <w:spacing w:after="0"/>
              <w:rPr>
                <w:sz w:val="20"/>
                <w:szCs w:val="20"/>
                <w:color w:val="auto"/>
              </w:rPr>
            </w:pPr>
            <w:r>
              <w:rPr>
                <w:rFonts w:ascii="Arial" w:cs="Arial" w:eastAsia="Arial" w:hAnsi="Arial"/>
                <w:sz w:val="12"/>
                <w:szCs w:val="12"/>
                <w:color w:val="auto"/>
              </w:rPr>
              <w:t>0.15</w:t>
            </w: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0.73</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20"/>
                <w:szCs w:val="20"/>
                <w:color w:val="auto"/>
              </w:rPr>
            </w:pPr>
            <w:r>
              <w:rPr>
                <w:rFonts w:ascii="Arial" w:cs="Arial" w:eastAsia="Arial" w:hAnsi="Arial"/>
                <w:sz w:val="12"/>
                <w:szCs w:val="12"/>
                <w:color w:val="auto"/>
              </w:rPr>
              <w:t>2013</w:t>
            </w:r>
          </w:p>
        </w:tc>
        <w:tc>
          <w:tcPr>
            <w:tcW w:w="6580" w:type="dxa"/>
            <w:vAlign w:val="bottom"/>
            <w:gridSpan w:val="2"/>
          </w:tcPr>
          <w:p>
            <w:pPr>
              <w:spacing w:after="0"/>
              <w:rPr>
                <w:sz w:val="20"/>
                <w:szCs w:val="20"/>
                <w:color w:val="auto"/>
              </w:rPr>
            </w:pPr>
            <w:r>
              <w:rPr>
                <w:rFonts w:ascii="Arial" w:cs="Arial" w:eastAsia="Arial" w:hAnsi="Arial"/>
                <w:sz w:val="12"/>
                <w:szCs w:val="12"/>
                <w:color w:val="auto"/>
              </w:rPr>
              <w:t>Threshold</w:t>
            </w:r>
          </w:p>
        </w:tc>
        <w:tc>
          <w:tcPr>
            <w:tcW w:w="720" w:type="dxa"/>
            <w:vAlign w:val="bottom"/>
          </w:tcPr>
          <w:p>
            <w:pPr>
              <w:jc w:val="right"/>
              <w:ind w:right="58"/>
              <w:spacing w:after="0"/>
              <w:rPr>
                <w:sz w:val="20"/>
                <w:szCs w:val="20"/>
                <w:color w:val="auto"/>
              </w:rPr>
            </w:pPr>
            <w:r>
              <w:rPr>
                <w:rFonts w:ascii="Arial" w:cs="Arial" w:eastAsia="Arial" w:hAnsi="Arial"/>
                <w:sz w:val="12"/>
                <w:szCs w:val="12"/>
                <w:color w:val="auto"/>
              </w:rPr>
              <w:t>$2,007</w:t>
            </w:r>
          </w:p>
        </w:tc>
        <w:tc>
          <w:tcPr>
            <w:tcW w:w="240" w:type="dxa"/>
            <w:vAlign w:val="bottom"/>
          </w:tcPr>
          <w:p>
            <w:pPr>
              <w:spacing w:after="0"/>
              <w:rPr>
                <w:sz w:val="19"/>
                <w:szCs w:val="19"/>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2"/>
                <w:szCs w:val="12"/>
                <w:color w:val="auto"/>
              </w:rPr>
              <w:t>8 days</w:t>
            </w:r>
          </w:p>
        </w:tc>
        <w:tc>
          <w:tcPr>
            <w:tcW w:w="1220" w:type="dxa"/>
            <w:vAlign w:val="bottom"/>
          </w:tcPr>
          <w:p>
            <w:pPr>
              <w:jc w:val="right"/>
              <w:ind w:right="258"/>
              <w:spacing w:after="0"/>
              <w:rPr>
                <w:sz w:val="20"/>
                <w:szCs w:val="20"/>
                <w:color w:val="auto"/>
              </w:rPr>
            </w:pPr>
            <w:r>
              <w:rPr>
                <w:rFonts w:ascii="Arial" w:cs="Arial" w:eastAsia="Arial" w:hAnsi="Arial"/>
                <w:sz w:val="12"/>
                <w:szCs w:val="12"/>
                <w:color w:val="auto"/>
              </w:rPr>
              <w:t>0.17</w:t>
            </w: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0.81</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20"/>
                <w:szCs w:val="20"/>
                <w:color w:val="auto"/>
              </w:rPr>
            </w:pPr>
            <w:r>
              <w:rPr>
                <w:rFonts w:ascii="Arial" w:cs="Arial" w:eastAsia="Arial" w:hAnsi="Arial"/>
                <w:sz w:val="12"/>
                <w:szCs w:val="12"/>
                <w:color w:val="auto"/>
              </w:rPr>
              <w:t>2013</w:t>
            </w:r>
          </w:p>
        </w:tc>
        <w:tc>
          <w:tcPr>
            <w:tcW w:w="6580" w:type="dxa"/>
            <w:vAlign w:val="bottom"/>
            <w:gridSpan w:val="2"/>
          </w:tcPr>
          <w:p>
            <w:pPr>
              <w:spacing w:after="0"/>
              <w:rPr>
                <w:sz w:val="20"/>
                <w:szCs w:val="20"/>
                <w:color w:val="auto"/>
              </w:rPr>
            </w:pPr>
            <w:r>
              <w:rPr>
                <w:rFonts w:ascii="Arial" w:cs="Arial" w:eastAsia="Arial" w:hAnsi="Arial"/>
                <w:sz w:val="12"/>
                <w:szCs w:val="12"/>
                <w:color w:val="auto"/>
              </w:rPr>
              <w:t>Actual</w:t>
            </w:r>
          </w:p>
        </w:tc>
        <w:tc>
          <w:tcPr>
            <w:tcW w:w="720" w:type="dxa"/>
            <w:vAlign w:val="bottom"/>
          </w:tcPr>
          <w:p>
            <w:pPr>
              <w:jc w:val="right"/>
              <w:ind w:right="58"/>
              <w:spacing w:after="0"/>
              <w:rPr>
                <w:sz w:val="20"/>
                <w:szCs w:val="20"/>
                <w:color w:val="auto"/>
              </w:rPr>
            </w:pPr>
            <w:r>
              <w:rPr>
                <w:rFonts w:ascii="Arial" w:cs="Arial" w:eastAsia="Arial" w:hAnsi="Arial"/>
                <w:sz w:val="12"/>
                <w:szCs w:val="12"/>
                <w:color w:val="auto"/>
              </w:rPr>
              <w:t>$1,715</w:t>
            </w:r>
          </w:p>
        </w:tc>
        <w:tc>
          <w:tcPr>
            <w:tcW w:w="240" w:type="dxa"/>
            <w:vAlign w:val="bottom"/>
          </w:tcPr>
          <w:p>
            <w:pPr>
              <w:spacing w:after="0"/>
              <w:rPr>
                <w:sz w:val="19"/>
                <w:szCs w:val="19"/>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2"/>
                <w:szCs w:val="12"/>
                <w:color w:val="auto"/>
              </w:rPr>
              <w:t>14 days</w:t>
            </w:r>
          </w:p>
        </w:tc>
        <w:tc>
          <w:tcPr>
            <w:tcW w:w="1220" w:type="dxa"/>
            <w:vAlign w:val="bottom"/>
          </w:tcPr>
          <w:p>
            <w:pPr>
              <w:jc w:val="right"/>
              <w:ind w:right="258"/>
              <w:spacing w:after="0"/>
              <w:rPr>
                <w:sz w:val="20"/>
                <w:szCs w:val="20"/>
                <w:color w:val="auto"/>
              </w:rPr>
            </w:pPr>
            <w:r>
              <w:rPr>
                <w:rFonts w:ascii="Arial" w:cs="Arial" w:eastAsia="Arial" w:hAnsi="Arial"/>
                <w:sz w:val="12"/>
                <w:szCs w:val="12"/>
                <w:color w:val="auto"/>
              </w:rPr>
              <w:t>0.15</w:t>
            </w: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0.62</w:t>
            </w:r>
          </w:p>
        </w:tc>
        <w:tc>
          <w:tcPr>
            <w:tcW w:w="0" w:type="dxa"/>
            <w:vAlign w:val="bottom"/>
          </w:tcPr>
          <w:p>
            <w:pPr>
              <w:spacing w:after="0"/>
              <w:rPr>
                <w:sz w:val="1"/>
                <w:szCs w:val="1"/>
                <w:color w:val="auto"/>
              </w:rPr>
            </w:pPr>
          </w:p>
        </w:tc>
      </w:tr>
      <w:tr>
        <w:trPr>
          <w:trHeight w:val="43"/>
        </w:trPr>
        <w:tc>
          <w:tcPr>
            <w:tcW w:w="300" w:type="dxa"/>
            <w:vAlign w:val="bottom"/>
            <w:tcBorders>
              <w:bottom w:val="single" w:sz="8" w:color="auto"/>
            </w:tcBorders>
          </w:tcPr>
          <w:p>
            <w:pPr>
              <w:spacing w:after="0"/>
              <w:rPr>
                <w:sz w:val="3"/>
                <w:szCs w:val="3"/>
                <w:color w:val="auto"/>
              </w:rPr>
            </w:pPr>
          </w:p>
        </w:tc>
        <w:tc>
          <w:tcPr>
            <w:tcW w:w="63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181" w:hanging="181"/>
        <w:spacing w:after="0"/>
        <w:tabs>
          <w:tab w:leader="none" w:pos="181" w:val="left"/>
        </w:tabs>
        <w:numPr>
          <w:ilvl w:val="0"/>
          <w:numId w:val="36"/>
        </w:numPr>
        <w:rPr>
          <w:rFonts w:ascii="Arial" w:cs="Arial" w:eastAsia="Arial" w:hAnsi="Arial"/>
          <w:sz w:val="12"/>
          <w:szCs w:val="12"/>
          <w:color w:val="auto"/>
        </w:rPr>
      </w:pPr>
      <w:r>
        <w:rPr>
          <w:rFonts w:ascii="Arial" w:cs="Arial" w:eastAsia="Arial" w:hAnsi="Arial"/>
          <w:sz w:val="12"/>
          <w:szCs w:val="12"/>
          <w:color w:val="auto"/>
        </w:rPr>
        <w:t>Operating Income is regional operating income before corporate, R&amp;D and items.</w:t>
      </w:r>
    </w:p>
    <w:p>
      <w:pPr>
        <w:spacing w:after="0" w:line="97" w:lineRule="exact"/>
        <w:rPr>
          <w:rFonts w:ascii="Arial" w:cs="Arial" w:eastAsia="Arial" w:hAnsi="Arial"/>
          <w:sz w:val="12"/>
          <w:szCs w:val="12"/>
          <w:color w:val="auto"/>
        </w:rPr>
      </w:pPr>
    </w:p>
    <w:p>
      <w:pPr>
        <w:ind w:left="181" w:hanging="181"/>
        <w:spacing w:after="0"/>
        <w:tabs>
          <w:tab w:leader="none" w:pos="181" w:val="left"/>
        </w:tabs>
        <w:numPr>
          <w:ilvl w:val="0"/>
          <w:numId w:val="36"/>
        </w:numPr>
        <w:rPr>
          <w:rFonts w:ascii="Arial" w:cs="Arial" w:eastAsia="Arial" w:hAnsi="Arial"/>
          <w:sz w:val="12"/>
          <w:szCs w:val="12"/>
          <w:color w:val="auto"/>
        </w:rPr>
      </w:pPr>
      <w:r>
        <w:rPr>
          <w:rFonts w:ascii="Arial" w:cs="Arial" w:eastAsia="Arial" w:hAnsi="Arial"/>
          <w:sz w:val="12"/>
          <w:szCs w:val="12"/>
          <w:color w:val="auto"/>
        </w:rPr>
        <w:t>Days Working Capital is calculated as [(Receivables + Inventory – Payables)/Annual Revenue] * 365 and the reduction is based on the change from December 31, 2012 to December 31, 2013.</w:t>
      </w:r>
    </w:p>
    <w:p>
      <w:pPr>
        <w:spacing w:after="0" w:line="97"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The Company did not achieve the threshold level for profitability in 2013. However, the Company achieved substantial improvements in its capital efficiency, and met or surpassed targets in its safety metrics, which resulted in the non-equity incentive payments reflected in our Summary Compensation Table on page 35. These payouts are calculated based on the program as described above and do not include any discretionary additional payouts. Our CEO’s target annual incentive potential for 2013 was CHF 2,112,000. His maximum potential was CHF 4,224,000, but his achieved and paid incentive was CHF 2,217,600.</w:t>
      </w:r>
    </w:p>
    <w:p>
      <w:pPr>
        <w:spacing w:after="0" w:line="170" w:lineRule="exact"/>
        <w:rPr>
          <w:sz w:val="20"/>
          <w:szCs w:val="20"/>
          <w:color w:val="auto"/>
        </w:rPr>
      </w:pPr>
    </w:p>
    <w:p>
      <w:pPr>
        <w:ind w:left="1"/>
        <w:spacing w:after="0"/>
        <w:rPr>
          <w:sz w:val="20"/>
          <w:szCs w:val="20"/>
          <w:color w:val="auto"/>
        </w:rPr>
      </w:pPr>
      <w:r>
        <w:rPr>
          <w:rFonts w:ascii="Arial" w:cs="Arial" w:eastAsia="Arial" w:hAnsi="Arial"/>
          <w:sz w:val="12"/>
          <w:szCs w:val="12"/>
          <w:b w:val="1"/>
          <w:bCs w:val="1"/>
          <w:color w:val="auto"/>
        </w:rPr>
        <w:t>2014 Annual incentive goals</w:t>
      </w:r>
    </w:p>
    <w:p>
      <w:pPr>
        <w:spacing w:after="0" w:line="111"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For 2014, the Committee’s approach has evolved slightly. The Committee adopted a plan to ensure that all of the Company’s key focus areas are covered by its officer group. The goal for 2014 is to incentivize the officers to transform the Company, with these key strategies:</w:t>
      </w:r>
    </w:p>
    <w:p>
      <w:pPr>
        <w:spacing w:after="0" w:line="55" w:lineRule="exact"/>
        <w:rPr>
          <w:sz w:val="20"/>
          <w:szCs w:val="20"/>
          <w:color w:val="auto"/>
        </w:rPr>
      </w:pPr>
    </w:p>
    <w:p>
      <w:pPr>
        <w:ind w:left="701"/>
        <w:spacing w:after="0"/>
        <w:rPr>
          <w:sz w:val="20"/>
          <w:szCs w:val="20"/>
          <w:color w:val="auto"/>
        </w:rPr>
      </w:pPr>
      <w:r>
        <w:rPr>
          <w:rFonts w:ascii="Arial" w:cs="Arial" w:eastAsia="Arial" w:hAnsi="Arial"/>
          <w:sz w:val="12"/>
          <w:szCs w:val="12"/>
          <w:color w:val="auto"/>
        </w:rPr>
        <w:t>focus on and grow the core of the Company’s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40" w:lineRule="exact"/>
        <w:rPr>
          <w:sz w:val="20"/>
          <w:szCs w:val="20"/>
          <w:color w:val="auto"/>
        </w:rPr>
      </w:pPr>
    </w:p>
    <w:p>
      <w:pPr>
        <w:ind w:left="701"/>
        <w:spacing w:after="0"/>
        <w:rPr>
          <w:sz w:val="20"/>
          <w:szCs w:val="20"/>
          <w:color w:val="auto"/>
        </w:rPr>
      </w:pPr>
      <w:r>
        <w:rPr>
          <w:rFonts w:ascii="Arial" w:cs="Arial" w:eastAsia="Arial" w:hAnsi="Arial"/>
          <w:sz w:val="12"/>
          <w:szCs w:val="12"/>
          <w:color w:val="auto"/>
        </w:rPr>
        <w:t>reduce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40" w:lineRule="exact"/>
        <w:rPr>
          <w:sz w:val="20"/>
          <w:szCs w:val="20"/>
          <w:color w:val="auto"/>
        </w:rPr>
      </w:pPr>
    </w:p>
    <w:p>
      <w:pPr>
        <w:ind w:left="701"/>
        <w:spacing w:after="0"/>
        <w:rPr>
          <w:sz w:val="20"/>
          <w:szCs w:val="20"/>
          <w:color w:val="auto"/>
        </w:rPr>
      </w:pPr>
      <w:r>
        <w:rPr>
          <w:rFonts w:ascii="Arial" w:cs="Arial" w:eastAsia="Arial" w:hAnsi="Arial"/>
          <w:sz w:val="12"/>
          <w:szCs w:val="12"/>
          <w:color w:val="auto"/>
        </w:rPr>
        <w:t>divest non-core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40" w:lineRule="exact"/>
        <w:rPr>
          <w:sz w:val="20"/>
          <w:szCs w:val="20"/>
          <w:color w:val="auto"/>
        </w:rPr>
      </w:pPr>
    </w:p>
    <w:p>
      <w:pPr>
        <w:ind w:left="701"/>
        <w:spacing w:after="0"/>
        <w:rPr>
          <w:sz w:val="20"/>
          <w:szCs w:val="20"/>
          <w:color w:val="auto"/>
        </w:rPr>
      </w:pPr>
      <w:r>
        <w:rPr>
          <w:rFonts w:ascii="Arial" w:cs="Arial" w:eastAsia="Arial" w:hAnsi="Arial"/>
          <w:sz w:val="12"/>
          <w:szCs w:val="12"/>
          <w:color w:val="auto"/>
        </w:rPr>
        <w:t>reduce net debt;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40" w:lineRule="exact"/>
        <w:rPr>
          <w:sz w:val="20"/>
          <w:szCs w:val="20"/>
          <w:color w:val="auto"/>
        </w:rPr>
      </w:pPr>
    </w:p>
    <w:p>
      <w:pPr>
        <w:ind w:left="701"/>
        <w:spacing w:after="0"/>
        <w:rPr>
          <w:sz w:val="20"/>
          <w:szCs w:val="20"/>
          <w:color w:val="auto"/>
        </w:rPr>
      </w:pPr>
      <w:r>
        <w:rPr>
          <w:rFonts w:ascii="Arial" w:cs="Arial" w:eastAsia="Arial" w:hAnsi="Arial"/>
          <w:sz w:val="12"/>
          <w:szCs w:val="12"/>
          <w:color w:val="auto"/>
        </w:rPr>
        <w:t>continue to improve our safety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102" w:lineRule="exact"/>
        <w:rPr>
          <w:sz w:val="20"/>
          <w:szCs w:val="20"/>
          <w:color w:val="auto"/>
        </w:rPr>
      </w:pPr>
    </w:p>
    <w:p>
      <w:pPr>
        <w:jc w:val="both"/>
        <w:ind w:left="1"/>
        <w:spacing w:after="0" w:line="239" w:lineRule="auto"/>
        <w:rPr>
          <w:sz w:val="20"/>
          <w:szCs w:val="20"/>
          <w:color w:val="auto"/>
        </w:rPr>
      </w:pPr>
      <w:r>
        <w:rPr>
          <w:rFonts w:ascii="Arial" w:cs="Arial" w:eastAsia="Arial" w:hAnsi="Arial"/>
          <w:sz w:val="12"/>
          <w:szCs w:val="12"/>
          <w:color w:val="auto"/>
        </w:rPr>
        <w:t>The objectives for Dr. Duroc-Danner and Messrs. Shivram and Mehta, i.e. the current NEOs who received objectives and who are collectively referred to as the “Executive Management,” are 25% related to profitability (defined by non-GAAP earnings per share instead of operating income), 25% related to cost reduction (defined by annualized cost savings), 20% related to free cash flow generation, 20% related to net debt reduction, and 10% for achievement of safety objectives. “Earnings per share” (“EPS”) means earnings per share from continuing operations before charges and credits and includes both core and non-core businesses and will be adjusted as and when non-core businesses are divested. “Annualized cost savings” means reductions in costs during the year, including but not limited to headcount reduction, closure of uneconomic or marginal locations, savings in foreign-exchange and hedging costs, and savings from manufacturing consolidations and variances; however annualized savings do not include any reductions in our cost base as a result of divesting any businesses from our previously announced divestiture program. “Free cash flow” (“FCF”) means net income from continuing operations before charges and credits and including both core and non-core businesses, plus depreciation and amortization, plus or minus movement in working capital accounts (accounts receivable, inventories and accounts payable), minus capital expenditures. The safety objective includes lost-time injury rate (“LTIR”) and preventable vehicle injury rate (“PVIR”) and the safety incentive is split equally between these two measures.</w:t>
      </w:r>
    </w:p>
    <w:p>
      <w:pPr>
        <w:spacing w:after="0" w:line="89"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The Committee determined that, given these executives’ senior roles at the Company, and the fundamental importance of these objectives in creating value for our shareholders, all of our Executive Management, and most of our other officers, should have these common objectives. In lieu of these objectives, certain non-Executive Management officers were given other goals with particular focus on their business or corporate responsibilities.</w:t>
      </w:r>
    </w:p>
    <w:p>
      <w:pPr>
        <w:spacing w:after="0" w:line="85" w:lineRule="exact"/>
        <w:rPr>
          <w:sz w:val="20"/>
          <w:szCs w:val="20"/>
          <w:color w:val="auto"/>
        </w:rPr>
      </w:pPr>
    </w:p>
    <w:p>
      <w:pPr>
        <w:ind w:left="1"/>
        <w:spacing w:after="0"/>
        <w:rPr>
          <w:sz w:val="20"/>
          <w:szCs w:val="20"/>
          <w:color w:val="auto"/>
        </w:rPr>
      </w:pPr>
      <w:r>
        <w:rPr>
          <w:rFonts w:ascii="Arial" w:cs="Arial" w:eastAsia="Arial" w:hAnsi="Arial"/>
          <w:sz w:val="12"/>
          <w:szCs w:val="12"/>
          <w:color w:val="auto"/>
        </w:rPr>
        <w:t>The table below shows the threshold, target and superior objectives for our Executive Management for 2014:</w:t>
      </w:r>
    </w:p>
    <w:p>
      <w:pPr>
        <w:spacing w:after="0" w:line="172" w:lineRule="exact"/>
        <w:rPr>
          <w:sz w:val="20"/>
          <w:szCs w:val="20"/>
          <w:color w:val="auto"/>
        </w:rPr>
      </w:pPr>
    </w:p>
    <w:p>
      <w:pPr>
        <w:ind w:left="1"/>
        <w:spacing w:after="0"/>
        <w:rPr>
          <w:sz w:val="20"/>
          <w:szCs w:val="20"/>
          <w:color w:val="auto"/>
        </w:rPr>
      </w:pPr>
      <w:r>
        <w:rPr>
          <w:rFonts w:ascii="Arial" w:cs="Arial" w:eastAsia="Arial" w:hAnsi="Arial"/>
          <w:sz w:val="12"/>
          <w:szCs w:val="12"/>
          <w:i w:val="1"/>
          <w:iCs w:val="1"/>
          <w:color w:val="auto"/>
        </w:rPr>
        <w:t>($ in millions, except per share amounts)</w:t>
      </w:r>
    </w:p>
    <w:p>
      <w:pPr>
        <w:spacing w:after="0" w:line="11" w:lineRule="exact"/>
        <w:rPr>
          <w:sz w:val="20"/>
          <w:szCs w:val="20"/>
          <w:color w:val="auto"/>
        </w:rPr>
      </w:pPr>
    </w:p>
    <w:tbl>
      <w:tblPr>
        <w:tblLayout w:type="fixed"/>
        <w:tblInd w:w="1" w:type="dxa"/>
        <w:tblCellMar>
          <w:top w:w="0" w:type="dxa"/>
          <w:left w:w="0" w:type="dxa"/>
          <w:bottom w:w="0" w:type="dxa"/>
          <w:right w:w="0" w:type="dxa"/>
        </w:tblCellMar>
      </w:tblPr>
      <w:tr>
        <w:trPr>
          <w:trHeight w:val="128"/>
        </w:trPr>
        <w:tc>
          <w:tcPr>
            <w:tcW w:w="300" w:type="dxa"/>
            <w:vAlign w:val="bottom"/>
            <w:tcBorders>
              <w:top w:val="single" w:sz="8" w:color="auto"/>
            </w:tcBorders>
          </w:tcPr>
          <w:p>
            <w:pPr>
              <w:spacing w:after="0"/>
              <w:rPr>
                <w:sz w:val="11"/>
                <w:szCs w:val="11"/>
                <w:color w:val="auto"/>
              </w:rPr>
            </w:pPr>
          </w:p>
        </w:tc>
        <w:tc>
          <w:tcPr>
            <w:tcW w:w="60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right"/>
              <w:ind w:right="360"/>
              <w:spacing w:after="0" w:line="128" w:lineRule="exact"/>
              <w:rPr>
                <w:sz w:val="20"/>
                <w:szCs w:val="20"/>
                <w:color w:val="auto"/>
              </w:rPr>
            </w:pPr>
            <w:r>
              <w:rPr>
                <w:rFonts w:ascii="Arial" w:cs="Arial" w:eastAsia="Arial" w:hAnsi="Arial"/>
                <w:sz w:val="12"/>
                <w:szCs w:val="12"/>
                <w:color w:val="auto"/>
              </w:rPr>
              <w:t>Free</w:t>
            </w:r>
          </w:p>
        </w:tc>
        <w:tc>
          <w:tcPr>
            <w:tcW w:w="920" w:type="dxa"/>
            <w:vAlign w:val="bottom"/>
            <w:tcBorders>
              <w:top w:val="single" w:sz="8" w:color="auto"/>
            </w:tcBorders>
            <w:gridSpan w:val="2"/>
          </w:tcPr>
          <w:p>
            <w:pPr>
              <w:jc w:val="right"/>
              <w:ind w:right="360"/>
              <w:spacing w:after="0" w:line="128" w:lineRule="exact"/>
              <w:rPr>
                <w:sz w:val="20"/>
                <w:szCs w:val="20"/>
                <w:color w:val="auto"/>
              </w:rPr>
            </w:pPr>
            <w:r>
              <w:rPr>
                <w:rFonts w:ascii="Arial" w:cs="Arial" w:eastAsia="Arial" w:hAnsi="Arial"/>
                <w:sz w:val="12"/>
                <w:szCs w:val="12"/>
                <w:color w:val="auto"/>
              </w:rPr>
              <w:t>Net Debt</w:t>
            </w:r>
          </w:p>
        </w:tc>
        <w:tc>
          <w:tcPr>
            <w:tcW w:w="700" w:type="dxa"/>
            <w:vAlign w:val="bottom"/>
            <w:tcBorders>
              <w:top w:val="single" w:sz="8" w:color="auto"/>
            </w:tcBorders>
          </w:tcPr>
          <w:p>
            <w:pPr>
              <w:spacing w:after="0"/>
              <w:rPr>
                <w:sz w:val="11"/>
                <w:szCs w:val="11"/>
                <w:color w:val="auto"/>
              </w:rPr>
            </w:pPr>
          </w:p>
        </w:tc>
      </w:tr>
      <w:tr>
        <w:trPr>
          <w:trHeight w:val="137"/>
        </w:trPr>
        <w:tc>
          <w:tcPr>
            <w:tcW w:w="6540" w:type="dxa"/>
            <w:vAlign w:val="bottom"/>
            <w:gridSpan w:val="3"/>
          </w:tcPr>
          <w:p>
            <w:pPr>
              <w:spacing w:after="0" w:line="137" w:lineRule="exact"/>
              <w:rPr>
                <w:sz w:val="20"/>
                <w:szCs w:val="20"/>
                <w:color w:val="auto"/>
              </w:rPr>
            </w:pPr>
            <w:r>
              <w:rPr>
                <w:rFonts w:ascii="Arial" w:cs="Arial" w:eastAsia="Arial" w:hAnsi="Arial"/>
                <w:sz w:val="12"/>
                <w:szCs w:val="12"/>
                <w:color w:val="auto"/>
              </w:rPr>
              <w:t>Objective</w:t>
            </w:r>
          </w:p>
        </w:tc>
        <w:tc>
          <w:tcPr>
            <w:tcW w:w="1080" w:type="dxa"/>
            <w:vAlign w:val="bottom"/>
            <w:gridSpan w:val="2"/>
          </w:tcPr>
          <w:p>
            <w:pPr>
              <w:jc w:val="right"/>
              <w:ind w:right="360"/>
              <w:spacing w:after="0" w:line="137" w:lineRule="exact"/>
              <w:rPr>
                <w:sz w:val="20"/>
                <w:szCs w:val="20"/>
                <w:color w:val="auto"/>
              </w:rPr>
            </w:pPr>
            <w:r>
              <w:rPr>
                <w:rFonts w:ascii="Arial" w:cs="Arial" w:eastAsia="Arial" w:hAnsi="Arial"/>
                <w:sz w:val="12"/>
                <w:szCs w:val="12"/>
                <w:color w:val="auto"/>
              </w:rPr>
              <w:t>Profitability</w:t>
            </w:r>
          </w:p>
        </w:tc>
        <w:tc>
          <w:tcPr>
            <w:tcW w:w="1220" w:type="dxa"/>
            <w:vAlign w:val="bottom"/>
            <w:gridSpan w:val="2"/>
          </w:tcPr>
          <w:p>
            <w:pPr>
              <w:jc w:val="right"/>
              <w:ind w:right="360"/>
              <w:spacing w:after="0" w:line="137" w:lineRule="exact"/>
              <w:rPr>
                <w:sz w:val="20"/>
                <w:szCs w:val="20"/>
                <w:color w:val="auto"/>
              </w:rPr>
            </w:pPr>
            <w:r>
              <w:rPr>
                <w:rFonts w:ascii="Arial" w:cs="Arial" w:eastAsia="Arial" w:hAnsi="Arial"/>
                <w:sz w:val="12"/>
                <w:szCs w:val="12"/>
                <w:color w:val="auto"/>
              </w:rPr>
              <w:t>Cost Reduction</w:t>
            </w:r>
          </w:p>
        </w:tc>
        <w:tc>
          <w:tcPr>
            <w:tcW w:w="960" w:type="dxa"/>
            <w:vAlign w:val="bottom"/>
            <w:gridSpan w:val="2"/>
          </w:tcPr>
          <w:p>
            <w:pPr>
              <w:jc w:val="right"/>
              <w:ind w:right="360"/>
              <w:spacing w:after="0" w:line="137" w:lineRule="exact"/>
              <w:rPr>
                <w:sz w:val="20"/>
                <w:szCs w:val="20"/>
                <w:color w:val="auto"/>
              </w:rPr>
            </w:pPr>
            <w:r>
              <w:rPr>
                <w:rFonts w:ascii="Arial" w:cs="Arial" w:eastAsia="Arial" w:hAnsi="Arial"/>
                <w:sz w:val="12"/>
                <w:szCs w:val="12"/>
                <w:color w:val="auto"/>
              </w:rPr>
              <w:t>Cash Flow</w:t>
            </w:r>
          </w:p>
        </w:tc>
        <w:tc>
          <w:tcPr>
            <w:tcW w:w="920" w:type="dxa"/>
            <w:vAlign w:val="bottom"/>
            <w:gridSpan w:val="2"/>
          </w:tcPr>
          <w:p>
            <w:pPr>
              <w:jc w:val="right"/>
              <w:ind w:right="360"/>
              <w:spacing w:after="0" w:line="137" w:lineRule="exact"/>
              <w:rPr>
                <w:sz w:val="20"/>
                <w:szCs w:val="20"/>
                <w:color w:val="auto"/>
              </w:rPr>
            </w:pPr>
            <w:r>
              <w:rPr>
                <w:rFonts w:ascii="Arial" w:cs="Arial" w:eastAsia="Arial" w:hAnsi="Arial"/>
                <w:sz w:val="12"/>
                <w:szCs w:val="12"/>
                <w:color w:val="auto"/>
                <w:w w:val="99"/>
              </w:rPr>
              <w:t>Reduction</w:t>
            </w:r>
          </w:p>
        </w:tc>
        <w:tc>
          <w:tcPr>
            <w:tcW w:w="700" w:type="dxa"/>
            <w:vAlign w:val="bottom"/>
          </w:tcPr>
          <w:p>
            <w:pPr>
              <w:jc w:val="right"/>
              <w:ind w:right="38"/>
              <w:spacing w:after="0" w:line="137" w:lineRule="exact"/>
              <w:rPr>
                <w:sz w:val="20"/>
                <w:szCs w:val="20"/>
                <w:color w:val="auto"/>
              </w:rPr>
            </w:pPr>
            <w:r>
              <w:rPr>
                <w:rFonts w:ascii="Arial" w:cs="Arial" w:eastAsia="Arial" w:hAnsi="Arial"/>
                <w:sz w:val="12"/>
                <w:szCs w:val="12"/>
                <w:color w:val="auto"/>
              </w:rPr>
              <w:t>Safety</w:t>
            </w:r>
          </w:p>
        </w:tc>
      </w:tr>
      <w:tr>
        <w:trPr>
          <w:trHeight w:val="128"/>
        </w:trPr>
        <w:tc>
          <w:tcPr>
            <w:tcW w:w="300" w:type="dxa"/>
            <w:vAlign w:val="bottom"/>
            <w:tcBorders>
              <w:top w:val="single" w:sz="8" w:color="auto"/>
            </w:tcBorders>
          </w:tcPr>
          <w:p>
            <w:pPr>
              <w:spacing w:after="0"/>
              <w:rPr>
                <w:sz w:val="11"/>
                <w:szCs w:val="11"/>
                <w:color w:val="auto"/>
              </w:rPr>
            </w:pPr>
          </w:p>
        </w:tc>
        <w:tc>
          <w:tcPr>
            <w:tcW w:w="60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Borders>
              <w:top w:val="single" w:sz="8" w:color="auto"/>
            </w:tcBorders>
          </w:tcPr>
          <w:p>
            <w:pPr>
              <w:jc w:val="right"/>
              <w:ind w:right="58"/>
              <w:spacing w:after="0" w:line="128" w:lineRule="exact"/>
              <w:rPr>
                <w:sz w:val="20"/>
                <w:szCs w:val="20"/>
                <w:color w:val="auto"/>
              </w:rPr>
            </w:pPr>
            <w:r>
              <w:rPr>
                <w:rFonts w:ascii="Arial" w:cs="Arial" w:eastAsia="Arial" w:hAnsi="Arial"/>
                <w:sz w:val="12"/>
                <w:szCs w:val="12"/>
                <w:color w:val="auto"/>
              </w:rPr>
              <w:t>Earnings</w:t>
            </w:r>
          </w:p>
        </w:tc>
        <w:tc>
          <w:tcPr>
            <w:tcW w:w="240" w:type="dxa"/>
            <w:vAlign w:val="bottom"/>
          </w:tcPr>
          <w:p>
            <w:pPr>
              <w:spacing w:after="0"/>
              <w:rPr>
                <w:sz w:val="11"/>
                <w:szCs w:val="11"/>
                <w:color w:val="auto"/>
              </w:rPr>
            </w:pPr>
          </w:p>
        </w:tc>
        <w:tc>
          <w:tcPr>
            <w:tcW w:w="980" w:type="dxa"/>
            <w:vAlign w:val="bottom"/>
            <w:tcBorders>
              <w:top w:val="single" w:sz="8" w:color="auto"/>
            </w:tcBorders>
          </w:tcPr>
          <w:p>
            <w:pPr>
              <w:jc w:val="right"/>
              <w:ind w:right="58"/>
              <w:spacing w:after="0" w:line="128" w:lineRule="exact"/>
              <w:rPr>
                <w:sz w:val="20"/>
                <w:szCs w:val="20"/>
                <w:color w:val="auto"/>
              </w:rPr>
            </w:pPr>
            <w:r>
              <w:rPr>
                <w:rFonts w:ascii="Arial" w:cs="Arial" w:eastAsia="Arial" w:hAnsi="Arial"/>
                <w:sz w:val="12"/>
                <w:szCs w:val="12"/>
                <w:color w:val="auto"/>
              </w:rPr>
              <w:t>Annualized</w:t>
            </w:r>
          </w:p>
        </w:tc>
        <w:tc>
          <w:tcPr>
            <w:tcW w:w="2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Borders>
              <w:top w:val="single" w:sz="8" w:color="auto"/>
            </w:tcBorders>
          </w:tcPr>
          <w:p>
            <w:pPr>
              <w:jc w:val="right"/>
              <w:ind w:right="58"/>
              <w:spacing w:after="0" w:line="128" w:lineRule="exact"/>
              <w:rPr>
                <w:sz w:val="20"/>
                <w:szCs w:val="20"/>
                <w:color w:val="auto"/>
              </w:rPr>
            </w:pPr>
            <w:r>
              <w:rPr>
                <w:rFonts w:ascii="Arial" w:cs="Arial" w:eastAsia="Arial" w:hAnsi="Arial"/>
                <w:sz w:val="12"/>
                <w:szCs w:val="12"/>
                <w:color w:val="auto"/>
                <w:w w:val="98"/>
              </w:rPr>
              <w:t>Amount of</w:t>
            </w:r>
          </w:p>
        </w:tc>
        <w:tc>
          <w:tcPr>
            <w:tcW w:w="2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r>
      <w:tr>
        <w:trPr>
          <w:trHeight w:val="137"/>
        </w:trPr>
        <w:tc>
          <w:tcPr>
            <w:tcW w:w="6540" w:type="dxa"/>
            <w:vAlign w:val="bottom"/>
            <w:tcBorders>
              <w:bottom w:val="single" w:sz="8" w:color="auto"/>
            </w:tcBorders>
            <w:gridSpan w:val="3"/>
          </w:tcPr>
          <w:p>
            <w:pPr>
              <w:spacing w:after="0" w:line="137" w:lineRule="exact"/>
              <w:rPr>
                <w:sz w:val="20"/>
                <w:szCs w:val="20"/>
                <w:color w:val="auto"/>
              </w:rPr>
            </w:pPr>
            <w:r>
              <w:rPr>
                <w:rFonts w:ascii="Arial" w:cs="Arial" w:eastAsia="Arial" w:hAnsi="Arial"/>
                <w:sz w:val="12"/>
                <w:szCs w:val="12"/>
                <w:color w:val="auto"/>
              </w:rPr>
              <w:t>Performance Metric</w:t>
            </w:r>
          </w:p>
        </w:tc>
        <w:tc>
          <w:tcPr>
            <w:tcW w:w="1080" w:type="dxa"/>
            <w:vAlign w:val="bottom"/>
            <w:tcBorders>
              <w:bottom w:val="single" w:sz="8" w:color="auto"/>
            </w:tcBorders>
            <w:gridSpan w:val="2"/>
          </w:tcPr>
          <w:p>
            <w:pPr>
              <w:jc w:val="right"/>
              <w:ind w:right="360"/>
              <w:spacing w:after="0" w:line="137" w:lineRule="exact"/>
              <w:rPr>
                <w:sz w:val="20"/>
                <w:szCs w:val="20"/>
                <w:color w:val="auto"/>
              </w:rPr>
            </w:pPr>
            <w:r>
              <w:rPr>
                <w:rFonts w:ascii="Arial" w:cs="Arial" w:eastAsia="Arial" w:hAnsi="Arial"/>
                <w:sz w:val="12"/>
                <w:szCs w:val="12"/>
                <w:color w:val="auto"/>
              </w:rPr>
              <w:t>per Share</w:t>
            </w:r>
          </w:p>
        </w:tc>
        <w:tc>
          <w:tcPr>
            <w:tcW w:w="1220" w:type="dxa"/>
            <w:vAlign w:val="bottom"/>
            <w:tcBorders>
              <w:bottom w:val="single" w:sz="8" w:color="auto"/>
            </w:tcBorders>
            <w:gridSpan w:val="2"/>
          </w:tcPr>
          <w:p>
            <w:pPr>
              <w:jc w:val="right"/>
              <w:ind w:right="360"/>
              <w:spacing w:after="0" w:line="137" w:lineRule="exact"/>
              <w:rPr>
                <w:sz w:val="20"/>
                <w:szCs w:val="20"/>
                <w:color w:val="auto"/>
              </w:rPr>
            </w:pPr>
            <w:r>
              <w:rPr>
                <w:rFonts w:ascii="Arial" w:cs="Arial" w:eastAsia="Arial" w:hAnsi="Arial"/>
                <w:sz w:val="12"/>
                <w:szCs w:val="12"/>
                <w:color w:val="auto"/>
              </w:rPr>
              <w:t>Cost Savings</w:t>
            </w:r>
          </w:p>
        </w:tc>
        <w:tc>
          <w:tcPr>
            <w:tcW w:w="960" w:type="dxa"/>
            <w:vAlign w:val="bottom"/>
            <w:tcBorders>
              <w:bottom w:val="single" w:sz="8" w:color="auto"/>
            </w:tcBorders>
            <w:gridSpan w:val="2"/>
          </w:tcPr>
          <w:p>
            <w:pPr>
              <w:jc w:val="right"/>
              <w:ind w:right="360"/>
              <w:spacing w:after="0" w:line="137" w:lineRule="exact"/>
              <w:rPr>
                <w:sz w:val="20"/>
                <w:szCs w:val="20"/>
                <w:color w:val="auto"/>
              </w:rPr>
            </w:pPr>
            <w:r>
              <w:rPr>
                <w:rFonts w:ascii="Arial" w:cs="Arial" w:eastAsia="Arial" w:hAnsi="Arial"/>
                <w:sz w:val="12"/>
                <w:szCs w:val="12"/>
                <w:color w:val="auto"/>
              </w:rPr>
              <w:t>FCF</w:t>
            </w:r>
          </w:p>
        </w:tc>
        <w:tc>
          <w:tcPr>
            <w:tcW w:w="920" w:type="dxa"/>
            <w:vAlign w:val="bottom"/>
            <w:tcBorders>
              <w:bottom w:val="single" w:sz="8" w:color="auto"/>
            </w:tcBorders>
            <w:gridSpan w:val="2"/>
          </w:tcPr>
          <w:p>
            <w:pPr>
              <w:jc w:val="right"/>
              <w:ind w:right="360"/>
              <w:spacing w:after="0" w:line="137" w:lineRule="exact"/>
              <w:rPr>
                <w:sz w:val="20"/>
                <w:szCs w:val="20"/>
                <w:color w:val="auto"/>
              </w:rPr>
            </w:pPr>
            <w:r>
              <w:rPr>
                <w:rFonts w:ascii="Arial" w:cs="Arial" w:eastAsia="Arial" w:hAnsi="Arial"/>
                <w:sz w:val="12"/>
                <w:szCs w:val="12"/>
                <w:color w:val="auto"/>
                <w:w w:val="99"/>
              </w:rPr>
              <w:t>Reduction</w:t>
            </w:r>
          </w:p>
        </w:tc>
        <w:tc>
          <w:tcPr>
            <w:tcW w:w="700" w:type="dxa"/>
            <w:vAlign w:val="bottom"/>
            <w:tcBorders>
              <w:bottom w:val="single" w:sz="8" w:color="auto"/>
            </w:tcBorders>
          </w:tcPr>
          <w:p>
            <w:pPr>
              <w:jc w:val="right"/>
              <w:ind w:right="38"/>
              <w:spacing w:after="0" w:line="137" w:lineRule="exact"/>
              <w:rPr>
                <w:sz w:val="20"/>
                <w:szCs w:val="20"/>
                <w:color w:val="auto"/>
              </w:rPr>
            </w:pPr>
            <w:r>
              <w:rPr>
                <w:rFonts w:ascii="Arial" w:cs="Arial" w:eastAsia="Arial" w:hAnsi="Arial"/>
                <w:sz w:val="12"/>
                <w:szCs w:val="12"/>
                <w:color w:val="auto"/>
              </w:rPr>
              <w:t>LTIR/PVIR</w:t>
            </w:r>
          </w:p>
        </w:tc>
      </w:tr>
      <w:tr>
        <w:trPr>
          <w:trHeight w:val="177"/>
        </w:trPr>
        <w:tc>
          <w:tcPr>
            <w:tcW w:w="6540" w:type="dxa"/>
            <w:vAlign w:val="bottom"/>
            <w:gridSpan w:val="3"/>
          </w:tcPr>
          <w:p>
            <w:pPr>
              <w:spacing w:after="0"/>
              <w:rPr>
                <w:sz w:val="20"/>
                <w:szCs w:val="20"/>
                <w:color w:val="auto"/>
              </w:rPr>
            </w:pPr>
            <w:r>
              <w:rPr>
                <w:rFonts w:ascii="Arial" w:cs="Arial" w:eastAsia="Arial" w:hAnsi="Arial"/>
                <w:sz w:val="12"/>
                <w:szCs w:val="12"/>
                <w:color w:val="auto"/>
              </w:rPr>
              <w:t>Metric Weight</w:t>
            </w:r>
          </w:p>
        </w:tc>
        <w:tc>
          <w:tcPr>
            <w:tcW w:w="840" w:type="dxa"/>
            <w:vAlign w:val="bottom"/>
          </w:tcPr>
          <w:p>
            <w:pPr>
              <w:jc w:val="right"/>
              <w:spacing w:after="0"/>
              <w:rPr>
                <w:sz w:val="20"/>
                <w:szCs w:val="20"/>
                <w:color w:val="auto"/>
              </w:rPr>
            </w:pPr>
            <w:r>
              <w:rPr>
                <w:rFonts w:ascii="Arial" w:cs="Arial" w:eastAsia="Arial" w:hAnsi="Arial"/>
                <w:sz w:val="12"/>
                <w:szCs w:val="12"/>
                <w:color w:val="auto"/>
              </w:rPr>
              <w:t>25%</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25%</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20%</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20%</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w:t>
            </w:r>
          </w:p>
        </w:tc>
      </w:tr>
      <w:tr>
        <w:trPr>
          <w:trHeight w:val="223"/>
        </w:trPr>
        <w:tc>
          <w:tcPr>
            <w:tcW w:w="300" w:type="dxa"/>
            <w:vAlign w:val="bottom"/>
          </w:tcPr>
          <w:p>
            <w:pPr>
              <w:spacing w:after="0"/>
              <w:rPr>
                <w:sz w:val="20"/>
                <w:szCs w:val="20"/>
                <w:color w:val="auto"/>
              </w:rPr>
            </w:pPr>
            <w:r>
              <w:rPr>
                <w:rFonts w:ascii="Arial" w:cs="Arial" w:eastAsia="Arial" w:hAnsi="Arial"/>
                <w:sz w:val="12"/>
                <w:szCs w:val="12"/>
                <w:color w:val="auto"/>
              </w:rPr>
              <w:t>2014</w:t>
            </w:r>
          </w:p>
        </w:tc>
        <w:tc>
          <w:tcPr>
            <w:tcW w:w="6240" w:type="dxa"/>
            <w:vAlign w:val="bottom"/>
            <w:gridSpan w:val="2"/>
          </w:tcPr>
          <w:p>
            <w:pPr>
              <w:spacing w:after="0"/>
              <w:rPr>
                <w:sz w:val="20"/>
                <w:szCs w:val="20"/>
                <w:color w:val="auto"/>
              </w:rPr>
            </w:pPr>
            <w:r>
              <w:rPr>
                <w:rFonts w:ascii="Arial" w:cs="Arial" w:eastAsia="Arial" w:hAnsi="Arial"/>
                <w:sz w:val="12"/>
                <w:szCs w:val="12"/>
                <w:color w:val="auto"/>
              </w:rPr>
              <w:t>Superior</w:t>
            </w:r>
          </w:p>
        </w:tc>
        <w:tc>
          <w:tcPr>
            <w:tcW w:w="840" w:type="dxa"/>
            <w:vAlign w:val="bottom"/>
          </w:tcPr>
          <w:p>
            <w:pPr>
              <w:jc w:val="right"/>
              <w:ind w:right="58"/>
              <w:spacing w:after="0"/>
              <w:rPr>
                <w:sz w:val="20"/>
                <w:szCs w:val="20"/>
                <w:color w:val="auto"/>
              </w:rPr>
            </w:pPr>
            <w:r>
              <w:rPr>
                <w:rFonts w:ascii="Arial" w:cs="Arial" w:eastAsia="Arial" w:hAnsi="Arial"/>
                <w:sz w:val="12"/>
                <w:szCs w:val="12"/>
                <w:color w:val="auto"/>
              </w:rPr>
              <w:t>$1.30</w:t>
            </w:r>
          </w:p>
        </w:tc>
        <w:tc>
          <w:tcPr>
            <w:tcW w:w="240" w:type="dxa"/>
            <w:vAlign w:val="bottom"/>
          </w:tcPr>
          <w:p>
            <w:pPr>
              <w:spacing w:after="0"/>
              <w:rPr>
                <w:sz w:val="19"/>
                <w:szCs w:val="19"/>
                <w:color w:val="auto"/>
              </w:rPr>
            </w:pPr>
          </w:p>
        </w:tc>
        <w:tc>
          <w:tcPr>
            <w:tcW w:w="980" w:type="dxa"/>
            <w:vAlign w:val="bottom"/>
          </w:tcPr>
          <w:p>
            <w:pPr>
              <w:jc w:val="right"/>
              <w:ind w:right="58"/>
              <w:spacing w:after="0"/>
              <w:rPr>
                <w:sz w:val="20"/>
                <w:szCs w:val="20"/>
                <w:color w:val="auto"/>
              </w:rPr>
            </w:pPr>
            <w:r>
              <w:rPr>
                <w:rFonts w:ascii="Arial" w:cs="Arial" w:eastAsia="Arial" w:hAnsi="Arial"/>
                <w:sz w:val="12"/>
                <w:szCs w:val="12"/>
                <w:color w:val="auto"/>
              </w:rPr>
              <w:t>$600</w:t>
            </w:r>
          </w:p>
        </w:tc>
        <w:tc>
          <w:tcPr>
            <w:tcW w:w="240" w:type="dxa"/>
            <w:vAlign w:val="bottom"/>
          </w:tcPr>
          <w:p>
            <w:pPr>
              <w:spacing w:after="0"/>
              <w:rPr>
                <w:sz w:val="19"/>
                <w:szCs w:val="19"/>
                <w:color w:val="auto"/>
              </w:rPr>
            </w:pPr>
          </w:p>
        </w:tc>
        <w:tc>
          <w:tcPr>
            <w:tcW w:w="700" w:type="dxa"/>
            <w:vAlign w:val="bottom"/>
          </w:tcPr>
          <w:p>
            <w:pPr>
              <w:jc w:val="right"/>
              <w:ind w:right="38"/>
              <w:spacing w:after="0"/>
              <w:rPr>
                <w:sz w:val="20"/>
                <w:szCs w:val="20"/>
                <w:color w:val="auto"/>
              </w:rPr>
            </w:pPr>
            <w:r>
              <w:rPr>
                <w:rFonts w:ascii="Arial" w:cs="Arial" w:eastAsia="Arial" w:hAnsi="Arial"/>
                <w:sz w:val="12"/>
                <w:szCs w:val="12"/>
                <w:color w:val="auto"/>
              </w:rPr>
              <w:t>$700</w:t>
            </w:r>
          </w:p>
        </w:tc>
        <w:tc>
          <w:tcPr>
            <w:tcW w:w="260" w:type="dxa"/>
            <w:vAlign w:val="bottom"/>
          </w:tcPr>
          <w:p>
            <w:pPr>
              <w:spacing w:after="0"/>
              <w:rPr>
                <w:sz w:val="19"/>
                <w:szCs w:val="19"/>
                <w:color w:val="auto"/>
              </w:rPr>
            </w:pPr>
          </w:p>
        </w:tc>
        <w:tc>
          <w:tcPr>
            <w:tcW w:w="680" w:type="dxa"/>
            <w:vAlign w:val="bottom"/>
          </w:tcPr>
          <w:p>
            <w:pPr>
              <w:jc w:val="right"/>
              <w:ind w:right="58"/>
              <w:spacing w:after="0"/>
              <w:rPr>
                <w:sz w:val="20"/>
                <w:szCs w:val="20"/>
                <w:color w:val="auto"/>
              </w:rPr>
            </w:pPr>
            <w:r>
              <w:rPr>
                <w:rFonts w:ascii="Arial" w:cs="Arial" w:eastAsia="Arial" w:hAnsi="Arial"/>
                <w:sz w:val="12"/>
                <w:szCs w:val="12"/>
                <w:color w:val="auto"/>
              </w:rPr>
              <w:t>$1,200</w:t>
            </w:r>
          </w:p>
        </w:tc>
        <w:tc>
          <w:tcPr>
            <w:tcW w:w="240" w:type="dxa"/>
            <w:vAlign w:val="bottom"/>
          </w:tcPr>
          <w:p>
            <w:pPr>
              <w:spacing w:after="0"/>
              <w:rPr>
                <w:sz w:val="19"/>
                <w:szCs w:val="19"/>
                <w:color w:val="auto"/>
              </w:rPr>
            </w:pPr>
          </w:p>
        </w:tc>
        <w:tc>
          <w:tcPr>
            <w:tcW w:w="700" w:type="dxa"/>
            <w:vAlign w:val="bottom"/>
          </w:tcPr>
          <w:p>
            <w:pPr>
              <w:jc w:val="right"/>
              <w:ind w:right="38"/>
              <w:spacing w:after="0"/>
              <w:rPr>
                <w:sz w:val="20"/>
                <w:szCs w:val="20"/>
                <w:color w:val="auto"/>
              </w:rPr>
            </w:pPr>
            <w:r>
              <w:rPr>
                <w:rFonts w:ascii="Arial" w:cs="Arial" w:eastAsia="Arial" w:hAnsi="Arial"/>
                <w:sz w:val="12"/>
                <w:szCs w:val="12"/>
                <w:color w:val="auto"/>
              </w:rPr>
              <w:t>0.13/0.60</w:t>
            </w:r>
          </w:p>
        </w:tc>
      </w:tr>
      <w:tr>
        <w:trPr>
          <w:trHeight w:val="223"/>
        </w:trPr>
        <w:tc>
          <w:tcPr>
            <w:tcW w:w="300" w:type="dxa"/>
            <w:vAlign w:val="bottom"/>
          </w:tcPr>
          <w:p>
            <w:pPr>
              <w:spacing w:after="0"/>
              <w:rPr>
                <w:sz w:val="20"/>
                <w:szCs w:val="20"/>
                <w:color w:val="auto"/>
              </w:rPr>
            </w:pPr>
            <w:r>
              <w:rPr>
                <w:rFonts w:ascii="Arial" w:cs="Arial" w:eastAsia="Arial" w:hAnsi="Arial"/>
                <w:sz w:val="12"/>
                <w:szCs w:val="12"/>
                <w:color w:val="auto"/>
              </w:rPr>
              <w:t>2014</w:t>
            </w:r>
          </w:p>
        </w:tc>
        <w:tc>
          <w:tcPr>
            <w:tcW w:w="6240" w:type="dxa"/>
            <w:vAlign w:val="bottom"/>
            <w:gridSpan w:val="2"/>
          </w:tcPr>
          <w:p>
            <w:pPr>
              <w:spacing w:after="0"/>
              <w:rPr>
                <w:sz w:val="20"/>
                <w:szCs w:val="20"/>
                <w:color w:val="auto"/>
              </w:rPr>
            </w:pPr>
            <w:r>
              <w:rPr>
                <w:rFonts w:ascii="Arial" w:cs="Arial" w:eastAsia="Arial" w:hAnsi="Arial"/>
                <w:sz w:val="12"/>
                <w:szCs w:val="12"/>
                <w:color w:val="auto"/>
              </w:rPr>
              <w:t>Target</w:t>
            </w:r>
          </w:p>
        </w:tc>
        <w:tc>
          <w:tcPr>
            <w:tcW w:w="840" w:type="dxa"/>
            <w:vAlign w:val="bottom"/>
          </w:tcPr>
          <w:p>
            <w:pPr>
              <w:jc w:val="right"/>
              <w:ind w:right="58"/>
              <w:spacing w:after="0"/>
              <w:rPr>
                <w:sz w:val="20"/>
                <w:szCs w:val="20"/>
                <w:color w:val="auto"/>
              </w:rPr>
            </w:pPr>
            <w:r>
              <w:rPr>
                <w:rFonts w:ascii="Arial" w:cs="Arial" w:eastAsia="Arial" w:hAnsi="Arial"/>
                <w:sz w:val="12"/>
                <w:szCs w:val="12"/>
                <w:color w:val="auto"/>
              </w:rPr>
              <w:t>$1.10</w:t>
            </w:r>
          </w:p>
        </w:tc>
        <w:tc>
          <w:tcPr>
            <w:tcW w:w="240" w:type="dxa"/>
            <w:vAlign w:val="bottom"/>
          </w:tcPr>
          <w:p>
            <w:pPr>
              <w:spacing w:after="0"/>
              <w:rPr>
                <w:sz w:val="19"/>
                <w:szCs w:val="19"/>
                <w:color w:val="auto"/>
              </w:rPr>
            </w:pPr>
          </w:p>
        </w:tc>
        <w:tc>
          <w:tcPr>
            <w:tcW w:w="980" w:type="dxa"/>
            <w:vAlign w:val="bottom"/>
          </w:tcPr>
          <w:p>
            <w:pPr>
              <w:jc w:val="right"/>
              <w:ind w:right="58"/>
              <w:spacing w:after="0"/>
              <w:rPr>
                <w:sz w:val="20"/>
                <w:szCs w:val="20"/>
                <w:color w:val="auto"/>
              </w:rPr>
            </w:pPr>
            <w:r>
              <w:rPr>
                <w:rFonts w:ascii="Arial" w:cs="Arial" w:eastAsia="Arial" w:hAnsi="Arial"/>
                <w:sz w:val="12"/>
                <w:szCs w:val="12"/>
                <w:color w:val="auto"/>
              </w:rPr>
              <w:t>$500</w:t>
            </w:r>
          </w:p>
        </w:tc>
        <w:tc>
          <w:tcPr>
            <w:tcW w:w="240" w:type="dxa"/>
            <w:vAlign w:val="bottom"/>
          </w:tcPr>
          <w:p>
            <w:pPr>
              <w:spacing w:after="0"/>
              <w:rPr>
                <w:sz w:val="19"/>
                <w:szCs w:val="19"/>
                <w:color w:val="auto"/>
              </w:rPr>
            </w:pPr>
          </w:p>
        </w:tc>
        <w:tc>
          <w:tcPr>
            <w:tcW w:w="700" w:type="dxa"/>
            <w:vAlign w:val="bottom"/>
          </w:tcPr>
          <w:p>
            <w:pPr>
              <w:jc w:val="right"/>
              <w:ind w:right="38"/>
              <w:spacing w:after="0"/>
              <w:rPr>
                <w:sz w:val="20"/>
                <w:szCs w:val="20"/>
                <w:color w:val="auto"/>
              </w:rPr>
            </w:pPr>
            <w:r>
              <w:rPr>
                <w:rFonts w:ascii="Arial" w:cs="Arial" w:eastAsia="Arial" w:hAnsi="Arial"/>
                <w:sz w:val="12"/>
                <w:szCs w:val="12"/>
                <w:color w:val="auto"/>
              </w:rPr>
              <w:t>$500</w:t>
            </w:r>
          </w:p>
        </w:tc>
        <w:tc>
          <w:tcPr>
            <w:tcW w:w="260" w:type="dxa"/>
            <w:vAlign w:val="bottom"/>
          </w:tcPr>
          <w:p>
            <w:pPr>
              <w:spacing w:after="0"/>
              <w:rPr>
                <w:sz w:val="19"/>
                <w:szCs w:val="19"/>
                <w:color w:val="auto"/>
              </w:rPr>
            </w:pPr>
          </w:p>
        </w:tc>
        <w:tc>
          <w:tcPr>
            <w:tcW w:w="680" w:type="dxa"/>
            <w:vAlign w:val="bottom"/>
          </w:tcPr>
          <w:p>
            <w:pPr>
              <w:jc w:val="right"/>
              <w:ind w:right="58"/>
              <w:spacing w:after="0"/>
              <w:rPr>
                <w:sz w:val="20"/>
                <w:szCs w:val="20"/>
                <w:color w:val="auto"/>
              </w:rPr>
            </w:pPr>
            <w:r>
              <w:rPr>
                <w:rFonts w:ascii="Arial" w:cs="Arial" w:eastAsia="Arial" w:hAnsi="Arial"/>
                <w:sz w:val="12"/>
                <w:szCs w:val="12"/>
                <w:color w:val="auto"/>
              </w:rPr>
              <w:t>$800</w:t>
            </w:r>
          </w:p>
        </w:tc>
        <w:tc>
          <w:tcPr>
            <w:tcW w:w="240" w:type="dxa"/>
            <w:vAlign w:val="bottom"/>
          </w:tcPr>
          <w:p>
            <w:pPr>
              <w:spacing w:after="0"/>
              <w:rPr>
                <w:sz w:val="19"/>
                <w:szCs w:val="19"/>
                <w:color w:val="auto"/>
              </w:rPr>
            </w:pPr>
          </w:p>
        </w:tc>
        <w:tc>
          <w:tcPr>
            <w:tcW w:w="700" w:type="dxa"/>
            <w:vAlign w:val="bottom"/>
          </w:tcPr>
          <w:p>
            <w:pPr>
              <w:jc w:val="right"/>
              <w:ind w:right="38"/>
              <w:spacing w:after="0"/>
              <w:rPr>
                <w:sz w:val="20"/>
                <w:szCs w:val="20"/>
                <w:color w:val="auto"/>
              </w:rPr>
            </w:pPr>
            <w:r>
              <w:rPr>
                <w:rFonts w:ascii="Arial" w:cs="Arial" w:eastAsia="Arial" w:hAnsi="Arial"/>
                <w:sz w:val="12"/>
                <w:szCs w:val="12"/>
                <w:color w:val="auto"/>
              </w:rPr>
              <w:t>0.14/0.61</w:t>
            </w:r>
          </w:p>
        </w:tc>
      </w:tr>
      <w:tr>
        <w:trPr>
          <w:trHeight w:val="223"/>
        </w:trPr>
        <w:tc>
          <w:tcPr>
            <w:tcW w:w="300" w:type="dxa"/>
            <w:vAlign w:val="bottom"/>
          </w:tcPr>
          <w:p>
            <w:pPr>
              <w:spacing w:after="0"/>
              <w:rPr>
                <w:sz w:val="20"/>
                <w:szCs w:val="20"/>
                <w:color w:val="auto"/>
              </w:rPr>
            </w:pPr>
            <w:r>
              <w:rPr>
                <w:rFonts w:ascii="Arial" w:cs="Arial" w:eastAsia="Arial" w:hAnsi="Arial"/>
                <w:sz w:val="12"/>
                <w:szCs w:val="12"/>
                <w:color w:val="auto"/>
              </w:rPr>
              <w:t>2014</w:t>
            </w:r>
          </w:p>
        </w:tc>
        <w:tc>
          <w:tcPr>
            <w:tcW w:w="6240" w:type="dxa"/>
            <w:vAlign w:val="bottom"/>
            <w:gridSpan w:val="2"/>
          </w:tcPr>
          <w:p>
            <w:pPr>
              <w:spacing w:after="0"/>
              <w:rPr>
                <w:sz w:val="20"/>
                <w:szCs w:val="20"/>
                <w:color w:val="auto"/>
              </w:rPr>
            </w:pPr>
            <w:r>
              <w:rPr>
                <w:rFonts w:ascii="Arial" w:cs="Arial" w:eastAsia="Arial" w:hAnsi="Arial"/>
                <w:sz w:val="12"/>
                <w:szCs w:val="12"/>
                <w:color w:val="auto"/>
              </w:rPr>
              <w:t>Threshold</w:t>
            </w:r>
          </w:p>
        </w:tc>
        <w:tc>
          <w:tcPr>
            <w:tcW w:w="840" w:type="dxa"/>
            <w:vAlign w:val="bottom"/>
          </w:tcPr>
          <w:p>
            <w:pPr>
              <w:jc w:val="right"/>
              <w:ind w:right="58"/>
              <w:spacing w:after="0"/>
              <w:rPr>
                <w:sz w:val="20"/>
                <w:szCs w:val="20"/>
                <w:color w:val="auto"/>
              </w:rPr>
            </w:pPr>
            <w:r>
              <w:rPr>
                <w:rFonts w:ascii="Arial" w:cs="Arial" w:eastAsia="Arial" w:hAnsi="Arial"/>
                <w:sz w:val="12"/>
                <w:szCs w:val="12"/>
                <w:color w:val="auto"/>
              </w:rPr>
              <w:t>$0.90</w:t>
            </w:r>
          </w:p>
        </w:tc>
        <w:tc>
          <w:tcPr>
            <w:tcW w:w="240" w:type="dxa"/>
            <w:vAlign w:val="bottom"/>
          </w:tcPr>
          <w:p>
            <w:pPr>
              <w:spacing w:after="0"/>
              <w:rPr>
                <w:sz w:val="19"/>
                <w:szCs w:val="19"/>
                <w:color w:val="auto"/>
              </w:rPr>
            </w:pPr>
          </w:p>
        </w:tc>
        <w:tc>
          <w:tcPr>
            <w:tcW w:w="980" w:type="dxa"/>
            <w:vAlign w:val="bottom"/>
          </w:tcPr>
          <w:p>
            <w:pPr>
              <w:jc w:val="right"/>
              <w:ind w:right="58"/>
              <w:spacing w:after="0"/>
              <w:rPr>
                <w:sz w:val="20"/>
                <w:szCs w:val="20"/>
                <w:color w:val="auto"/>
              </w:rPr>
            </w:pPr>
            <w:r>
              <w:rPr>
                <w:rFonts w:ascii="Arial" w:cs="Arial" w:eastAsia="Arial" w:hAnsi="Arial"/>
                <w:sz w:val="12"/>
                <w:szCs w:val="12"/>
                <w:color w:val="auto"/>
              </w:rPr>
              <w:t>$400</w:t>
            </w:r>
          </w:p>
        </w:tc>
        <w:tc>
          <w:tcPr>
            <w:tcW w:w="240" w:type="dxa"/>
            <w:vAlign w:val="bottom"/>
          </w:tcPr>
          <w:p>
            <w:pPr>
              <w:spacing w:after="0"/>
              <w:rPr>
                <w:sz w:val="19"/>
                <w:szCs w:val="19"/>
                <w:color w:val="auto"/>
              </w:rPr>
            </w:pPr>
          </w:p>
        </w:tc>
        <w:tc>
          <w:tcPr>
            <w:tcW w:w="700" w:type="dxa"/>
            <w:vAlign w:val="bottom"/>
          </w:tcPr>
          <w:p>
            <w:pPr>
              <w:jc w:val="right"/>
              <w:ind w:right="38"/>
              <w:spacing w:after="0"/>
              <w:rPr>
                <w:sz w:val="20"/>
                <w:szCs w:val="20"/>
                <w:color w:val="auto"/>
              </w:rPr>
            </w:pPr>
            <w:r>
              <w:rPr>
                <w:rFonts w:ascii="Arial" w:cs="Arial" w:eastAsia="Arial" w:hAnsi="Arial"/>
                <w:sz w:val="12"/>
                <w:szCs w:val="12"/>
                <w:color w:val="auto"/>
              </w:rPr>
              <w:t>$300</w:t>
            </w:r>
          </w:p>
        </w:tc>
        <w:tc>
          <w:tcPr>
            <w:tcW w:w="260" w:type="dxa"/>
            <w:vAlign w:val="bottom"/>
          </w:tcPr>
          <w:p>
            <w:pPr>
              <w:spacing w:after="0"/>
              <w:rPr>
                <w:sz w:val="19"/>
                <w:szCs w:val="19"/>
                <w:color w:val="auto"/>
              </w:rPr>
            </w:pPr>
          </w:p>
        </w:tc>
        <w:tc>
          <w:tcPr>
            <w:tcW w:w="680" w:type="dxa"/>
            <w:vAlign w:val="bottom"/>
          </w:tcPr>
          <w:p>
            <w:pPr>
              <w:jc w:val="right"/>
              <w:ind w:right="58"/>
              <w:spacing w:after="0"/>
              <w:rPr>
                <w:sz w:val="20"/>
                <w:szCs w:val="20"/>
                <w:color w:val="auto"/>
              </w:rPr>
            </w:pPr>
            <w:r>
              <w:rPr>
                <w:rFonts w:ascii="Arial" w:cs="Arial" w:eastAsia="Arial" w:hAnsi="Arial"/>
                <w:sz w:val="12"/>
                <w:szCs w:val="12"/>
                <w:color w:val="auto"/>
              </w:rPr>
              <w:t>$600</w:t>
            </w:r>
          </w:p>
        </w:tc>
        <w:tc>
          <w:tcPr>
            <w:tcW w:w="240" w:type="dxa"/>
            <w:vAlign w:val="bottom"/>
          </w:tcPr>
          <w:p>
            <w:pPr>
              <w:spacing w:after="0"/>
              <w:rPr>
                <w:sz w:val="19"/>
                <w:szCs w:val="19"/>
                <w:color w:val="auto"/>
              </w:rPr>
            </w:pPr>
          </w:p>
        </w:tc>
        <w:tc>
          <w:tcPr>
            <w:tcW w:w="700" w:type="dxa"/>
            <w:vAlign w:val="bottom"/>
          </w:tcPr>
          <w:p>
            <w:pPr>
              <w:jc w:val="right"/>
              <w:ind w:right="38"/>
              <w:spacing w:after="0"/>
              <w:rPr>
                <w:sz w:val="20"/>
                <w:szCs w:val="20"/>
                <w:color w:val="auto"/>
              </w:rPr>
            </w:pPr>
            <w:r>
              <w:rPr>
                <w:rFonts w:ascii="Arial" w:cs="Arial" w:eastAsia="Arial" w:hAnsi="Arial"/>
                <w:sz w:val="12"/>
                <w:szCs w:val="12"/>
                <w:color w:val="auto"/>
              </w:rPr>
              <w:t>0.15/0.62</w:t>
            </w:r>
          </w:p>
        </w:tc>
      </w:tr>
      <w:tr>
        <w:trPr>
          <w:trHeight w:val="223"/>
        </w:trPr>
        <w:tc>
          <w:tcPr>
            <w:tcW w:w="300" w:type="dxa"/>
            <w:vAlign w:val="bottom"/>
          </w:tcPr>
          <w:p>
            <w:pPr>
              <w:spacing w:after="0"/>
              <w:rPr>
                <w:sz w:val="20"/>
                <w:szCs w:val="20"/>
                <w:color w:val="auto"/>
              </w:rPr>
            </w:pPr>
            <w:r>
              <w:rPr>
                <w:rFonts w:ascii="Arial" w:cs="Arial" w:eastAsia="Arial" w:hAnsi="Arial"/>
                <w:sz w:val="12"/>
                <w:szCs w:val="12"/>
                <w:color w:val="auto"/>
              </w:rPr>
              <w:t>2013</w:t>
            </w:r>
          </w:p>
        </w:tc>
        <w:tc>
          <w:tcPr>
            <w:tcW w:w="6240" w:type="dxa"/>
            <w:vAlign w:val="bottom"/>
            <w:gridSpan w:val="2"/>
          </w:tcPr>
          <w:p>
            <w:pPr>
              <w:spacing w:after="0"/>
              <w:rPr>
                <w:sz w:val="20"/>
                <w:szCs w:val="20"/>
                <w:color w:val="auto"/>
              </w:rPr>
            </w:pPr>
            <w:r>
              <w:rPr>
                <w:rFonts w:ascii="Arial" w:cs="Arial" w:eastAsia="Arial" w:hAnsi="Arial"/>
                <w:sz w:val="12"/>
                <w:szCs w:val="12"/>
                <w:color w:val="auto"/>
              </w:rPr>
              <w:t>Actual</w:t>
            </w:r>
          </w:p>
        </w:tc>
        <w:tc>
          <w:tcPr>
            <w:tcW w:w="840" w:type="dxa"/>
            <w:vAlign w:val="bottom"/>
          </w:tcPr>
          <w:p>
            <w:pPr>
              <w:jc w:val="right"/>
              <w:ind w:right="58"/>
              <w:spacing w:after="0"/>
              <w:rPr>
                <w:sz w:val="20"/>
                <w:szCs w:val="20"/>
                <w:color w:val="auto"/>
              </w:rPr>
            </w:pPr>
            <w:r>
              <w:rPr>
                <w:rFonts w:ascii="Arial" w:cs="Arial" w:eastAsia="Arial" w:hAnsi="Arial"/>
                <w:sz w:val="12"/>
                <w:szCs w:val="12"/>
                <w:color w:val="auto"/>
              </w:rPr>
              <w:t>$0.60</w:t>
            </w:r>
          </w:p>
        </w:tc>
        <w:tc>
          <w:tcPr>
            <w:tcW w:w="24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2"/>
                <w:szCs w:val="12"/>
                <w:color w:val="auto"/>
              </w:rPr>
              <w:t>n/a</w:t>
            </w:r>
          </w:p>
        </w:tc>
        <w:tc>
          <w:tcPr>
            <w:tcW w:w="700" w:type="dxa"/>
            <w:vAlign w:val="bottom"/>
          </w:tcPr>
          <w:p>
            <w:pPr>
              <w:jc w:val="right"/>
              <w:spacing w:after="0"/>
              <w:rPr>
                <w:sz w:val="20"/>
                <w:szCs w:val="20"/>
                <w:color w:val="auto"/>
              </w:rPr>
            </w:pPr>
            <w:r>
              <w:rPr>
                <w:rFonts w:ascii="Arial" w:cs="Arial" w:eastAsia="Arial" w:hAnsi="Arial"/>
                <w:sz w:val="12"/>
                <w:szCs w:val="12"/>
                <w:color w:val="auto"/>
              </w:rPr>
              <w:t>($346)</w:t>
            </w:r>
          </w:p>
        </w:tc>
        <w:tc>
          <w:tcPr>
            <w:tcW w:w="260" w:type="dxa"/>
            <w:vAlign w:val="bottom"/>
          </w:tcPr>
          <w:p>
            <w:pPr>
              <w:spacing w:after="0"/>
              <w:rPr>
                <w:sz w:val="19"/>
                <w:szCs w:val="19"/>
                <w:color w:val="auto"/>
              </w:rPr>
            </w:pPr>
          </w:p>
        </w:tc>
        <w:tc>
          <w:tcPr>
            <w:tcW w:w="680" w:type="dxa"/>
            <w:vAlign w:val="bottom"/>
          </w:tcPr>
          <w:p>
            <w:pPr>
              <w:jc w:val="right"/>
              <w:ind w:right="58"/>
              <w:spacing w:after="0"/>
              <w:rPr>
                <w:sz w:val="20"/>
                <w:szCs w:val="20"/>
                <w:color w:val="auto"/>
              </w:rPr>
            </w:pPr>
            <w:r>
              <w:rPr>
                <w:rFonts w:ascii="Arial" w:cs="Arial" w:eastAsia="Arial" w:hAnsi="Arial"/>
                <w:sz w:val="12"/>
                <w:szCs w:val="12"/>
                <w:color w:val="auto"/>
              </w:rPr>
              <w:t>$42</w:t>
            </w:r>
          </w:p>
        </w:tc>
        <w:tc>
          <w:tcPr>
            <w:tcW w:w="240" w:type="dxa"/>
            <w:vAlign w:val="bottom"/>
          </w:tcPr>
          <w:p>
            <w:pPr>
              <w:spacing w:after="0"/>
              <w:rPr>
                <w:sz w:val="19"/>
                <w:szCs w:val="19"/>
                <w:color w:val="auto"/>
              </w:rPr>
            </w:pPr>
          </w:p>
        </w:tc>
        <w:tc>
          <w:tcPr>
            <w:tcW w:w="700" w:type="dxa"/>
            <w:vAlign w:val="bottom"/>
          </w:tcPr>
          <w:p>
            <w:pPr>
              <w:jc w:val="right"/>
              <w:ind w:right="38"/>
              <w:spacing w:after="0"/>
              <w:rPr>
                <w:sz w:val="20"/>
                <w:szCs w:val="20"/>
                <w:color w:val="auto"/>
              </w:rPr>
            </w:pPr>
            <w:r>
              <w:rPr>
                <w:rFonts w:ascii="Arial" w:cs="Arial" w:eastAsia="Arial" w:hAnsi="Arial"/>
                <w:sz w:val="12"/>
                <w:szCs w:val="12"/>
                <w:color w:val="auto"/>
              </w:rPr>
              <w:t>0.15/0.62</w:t>
            </w:r>
          </w:p>
        </w:tc>
      </w:tr>
      <w:tr>
        <w:trPr>
          <w:trHeight w:val="43"/>
        </w:trPr>
        <w:tc>
          <w:tcPr>
            <w:tcW w:w="300" w:type="dxa"/>
            <w:vAlign w:val="bottom"/>
            <w:tcBorders>
              <w:bottom w:val="single" w:sz="8" w:color="auto"/>
            </w:tcBorders>
          </w:tcPr>
          <w:p>
            <w:pPr>
              <w:spacing w:after="0"/>
              <w:rPr>
                <w:sz w:val="3"/>
                <w:szCs w:val="3"/>
                <w:color w:val="auto"/>
              </w:rPr>
            </w:pPr>
          </w:p>
        </w:tc>
        <w:tc>
          <w:tcPr>
            <w:tcW w:w="60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bl>
    <w:p>
      <w:pPr>
        <w:spacing w:after="0" w:line="98"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The Committee believes that these metrics are appropriate representations of and incentives towards the relevant objectives of profitability, cost reduction, free cash flow generation, net debt reduction and safety, and that the weighting assigned to each is appropriate. The targets also are tied to internal budgets and expectations and require significant improvement over the performance in 2013. The Committee believes these targets are rigorous and are at or above market expectations.</w:t>
      </w:r>
    </w:p>
    <w:p>
      <w:pPr>
        <w:spacing w:after="0" w:line="184" w:lineRule="exact"/>
        <w:rPr>
          <w:sz w:val="20"/>
          <w:szCs w:val="20"/>
          <w:color w:val="auto"/>
        </w:rPr>
      </w:pPr>
    </w:p>
    <w:p>
      <w:pPr>
        <w:ind w:left="301" w:hanging="301"/>
        <w:spacing w:after="0"/>
        <w:tabs>
          <w:tab w:leader="none" w:pos="301" w:val="left"/>
        </w:tabs>
        <w:numPr>
          <w:ilvl w:val="0"/>
          <w:numId w:val="37"/>
        </w:numPr>
        <w:rPr>
          <w:rFonts w:ascii="Arial" w:cs="Arial" w:eastAsia="Arial" w:hAnsi="Arial"/>
          <w:sz w:val="12"/>
          <w:szCs w:val="12"/>
          <w:b w:val="1"/>
          <w:bCs w:val="1"/>
          <w:color w:val="auto"/>
        </w:rPr>
      </w:pPr>
      <w:r>
        <w:rPr>
          <w:rFonts w:ascii="Arial" w:cs="Arial" w:eastAsia="Arial" w:hAnsi="Arial"/>
          <w:sz w:val="12"/>
          <w:szCs w:val="12"/>
          <w:color w:val="auto"/>
        </w:rPr>
        <w:t>Weatherford International plc - 2014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8370" cy="203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9640"/>
        <w:spacing w:after="0"/>
        <w:rPr>
          <w:sz w:val="20"/>
          <w:szCs w:val="20"/>
          <w:color w:val="auto"/>
        </w:rPr>
      </w:pPr>
      <w:r>
        <w:rPr>
          <w:rFonts w:ascii="Arial" w:cs="Arial" w:eastAsia="Arial" w:hAnsi="Arial"/>
          <w:sz w:val="12"/>
          <w:szCs w:val="12"/>
          <w:b w:val="1"/>
          <w:bCs w:val="1"/>
          <w:color w:val="FFFFFF"/>
          <w:shd w:val="clear" w:color="auto" w:fill="BB1131"/>
        </w:rPr>
        <w:t>EXECUTIVE COMPENSATION</w:t>
      </w:r>
    </w:p>
    <w:p>
      <w:pPr>
        <w:spacing w:after="0" w:line="210"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The potential payouts under the 2014 annual bonus structure for our Executive Management, expressed as a percentage of salary based on achievement of various levels, as shown in the table below, are percentages we determined to be within market ranges based on market data from the Company’s peer group and industry. These are the same percentages that were set for 2013 for individuals with similar titles. For each metric, the percentage of salary determined by performance would be multiplied by the weighting percentage for the metric shown above to determine the payout on that metric.</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260" w:type="dxa"/>
            <w:vAlign w:val="bottom"/>
          </w:tcPr>
          <w:p>
            <w:pPr>
              <w:spacing w:after="0"/>
              <w:rPr>
                <w:sz w:val="12"/>
                <w:szCs w:val="12"/>
                <w:color w:val="auto"/>
              </w:rPr>
            </w:pPr>
          </w:p>
        </w:tc>
        <w:tc>
          <w:tcPr>
            <w:tcW w:w="4980" w:type="dxa"/>
            <w:vAlign w:val="bottom"/>
          </w:tcPr>
          <w:p>
            <w:pPr>
              <w:jc w:val="center"/>
              <w:ind w:left="4118"/>
              <w:spacing w:after="0"/>
              <w:rPr>
                <w:sz w:val="20"/>
                <w:szCs w:val="20"/>
                <w:color w:val="auto"/>
              </w:rPr>
            </w:pPr>
            <w:r>
              <w:rPr>
                <w:rFonts w:ascii="Arial" w:cs="Arial" w:eastAsia="Arial" w:hAnsi="Arial"/>
                <w:sz w:val="12"/>
                <w:szCs w:val="12"/>
                <w:color w:val="auto"/>
              </w:rPr>
              <w:t>Threshold</w:t>
            </w:r>
          </w:p>
        </w:tc>
        <w:tc>
          <w:tcPr>
            <w:tcW w:w="600" w:type="dxa"/>
            <w:vAlign w:val="bottom"/>
          </w:tcPr>
          <w:p>
            <w:pPr>
              <w:ind w:left="120"/>
              <w:spacing w:after="0"/>
              <w:rPr>
                <w:sz w:val="20"/>
                <w:szCs w:val="20"/>
                <w:color w:val="auto"/>
              </w:rPr>
            </w:pPr>
            <w:r>
              <w:rPr>
                <w:rFonts w:ascii="Arial" w:cs="Arial" w:eastAsia="Arial" w:hAnsi="Arial"/>
                <w:sz w:val="12"/>
                <w:szCs w:val="12"/>
                <w:color w:val="auto"/>
              </w:rPr>
              <w:t>Target</w:t>
            </w:r>
          </w:p>
        </w:tc>
        <w:tc>
          <w:tcPr>
            <w:tcW w:w="580" w:type="dxa"/>
            <w:vAlign w:val="bottom"/>
          </w:tcPr>
          <w:p>
            <w:pPr>
              <w:jc w:val="center"/>
              <w:ind w:left="58"/>
              <w:spacing w:after="0"/>
              <w:rPr>
                <w:sz w:val="20"/>
                <w:szCs w:val="20"/>
                <w:color w:val="auto"/>
              </w:rPr>
            </w:pPr>
            <w:r>
              <w:rPr>
                <w:rFonts w:ascii="Arial" w:cs="Arial" w:eastAsia="Arial" w:hAnsi="Arial"/>
                <w:sz w:val="12"/>
                <w:szCs w:val="12"/>
                <w:color w:val="auto"/>
              </w:rPr>
              <w:t>Superior</w:t>
            </w:r>
          </w:p>
        </w:tc>
      </w:tr>
      <w:tr>
        <w:trPr>
          <w:trHeight w:val="38"/>
        </w:trPr>
        <w:tc>
          <w:tcPr>
            <w:tcW w:w="5260" w:type="dxa"/>
            <w:vAlign w:val="bottom"/>
            <w:tcBorders>
              <w:bottom w:val="single" w:sz="8" w:color="auto"/>
            </w:tcBorders>
          </w:tcPr>
          <w:p>
            <w:pPr>
              <w:spacing w:after="0"/>
              <w:rPr>
                <w:sz w:val="3"/>
                <w:szCs w:val="3"/>
                <w:color w:val="auto"/>
              </w:rPr>
            </w:pPr>
          </w:p>
        </w:tc>
        <w:tc>
          <w:tcPr>
            <w:tcW w:w="49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77"/>
        </w:trPr>
        <w:tc>
          <w:tcPr>
            <w:tcW w:w="5260" w:type="dxa"/>
            <w:vAlign w:val="bottom"/>
          </w:tcPr>
          <w:p>
            <w:pPr>
              <w:spacing w:after="0"/>
              <w:rPr>
                <w:sz w:val="20"/>
                <w:szCs w:val="20"/>
                <w:color w:val="auto"/>
              </w:rPr>
            </w:pPr>
            <w:r>
              <w:rPr>
                <w:rFonts w:ascii="Arial" w:cs="Arial" w:eastAsia="Arial" w:hAnsi="Arial"/>
                <w:sz w:val="12"/>
                <w:szCs w:val="12"/>
                <w:color w:val="auto"/>
              </w:rPr>
              <w:t>Dr. Duroc-Danner</w:t>
            </w:r>
          </w:p>
        </w:tc>
        <w:tc>
          <w:tcPr>
            <w:tcW w:w="4980" w:type="dxa"/>
            <w:vAlign w:val="bottom"/>
          </w:tcPr>
          <w:p>
            <w:pPr>
              <w:jc w:val="center"/>
              <w:ind w:left="4118"/>
              <w:spacing w:after="0"/>
              <w:rPr>
                <w:sz w:val="20"/>
                <w:szCs w:val="20"/>
                <w:color w:val="auto"/>
              </w:rPr>
            </w:pPr>
            <w:r>
              <w:rPr>
                <w:rFonts w:ascii="Arial" w:cs="Arial" w:eastAsia="Arial" w:hAnsi="Arial"/>
                <w:sz w:val="12"/>
                <w:szCs w:val="12"/>
                <w:color w:val="auto"/>
                <w:w w:val="99"/>
              </w:rPr>
              <w:t>60%</w:t>
            </w:r>
          </w:p>
        </w:tc>
        <w:tc>
          <w:tcPr>
            <w:tcW w:w="600" w:type="dxa"/>
            <w:vAlign w:val="bottom"/>
          </w:tcPr>
          <w:p>
            <w:pPr>
              <w:ind w:left="140"/>
              <w:spacing w:after="0"/>
              <w:rPr>
                <w:sz w:val="20"/>
                <w:szCs w:val="20"/>
                <w:color w:val="auto"/>
              </w:rPr>
            </w:pPr>
            <w:r>
              <w:rPr>
                <w:rFonts w:ascii="Arial" w:cs="Arial" w:eastAsia="Arial" w:hAnsi="Arial"/>
                <w:sz w:val="12"/>
                <w:szCs w:val="12"/>
                <w:color w:val="auto"/>
              </w:rPr>
              <w:t>120%</w:t>
            </w:r>
          </w:p>
        </w:tc>
        <w:tc>
          <w:tcPr>
            <w:tcW w:w="580" w:type="dxa"/>
            <w:vAlign w:val="bottom"/>
          </w:tcPr>
          <w:p>
            <w:pPr>
              <w:jc w:val="center"/>
              <w:ind w:left="78"/>
              <w:spacing w:after="0"/>
              <w:rPr>
                <w:sz w:val="20"/>
                <w:szCs w:val="20"/>
                <w:color w:val="auto"/>
              </w:rPr>
            </w:pPr>
            <w:r>
              <w:rPr>
                <w:rFonts w:ascii="Arial" w:cs="Arial" w:eastAsia="Arial" w:hAnsi="Arial"/>
                <w:sz w:val="12"/>
                <w:szCs w:val="12"/>
                <w:color w:val="auto"/>
              </w:rPr>
              <w:t>240%</w:t>
            </w:r>
          </w:p>
        </w:tc>
      </w:tr>
      <w:tr>
        <w:trPr>
          <w:trHeight w:val="223"/>
        </w:trPr>
        <w:tc>
          <w:tcPr>
            <w:tcW w:w="5260" w:type="dxa"/>
            <w:vAlign w:val="bottom"/>
          </w:tcPr>
          <w:p>
            <w:pPr>
              <w:spacing w:after="0"/>
              <w:rPr>
                <w:sz w:val="20"/>
                <w:szCs w:val="20"/>
                <w:color w:val="auto"/>
              </w:rPr>
            </w:pPr>
            <w:r>
              <w:rPr>
                <w:rFonts w:ascii="Arial" w:cs="Arial" w:eastAsia="Arial" w:hAnsi="Arial"/>
                <w:sz w:val="12"/>
                <w:szCs w:val="12"/>
                <w:color w:val="auto"/>
              </w:rPr>
              <w:t>Mr. Shivram</w:t>
            </w:r>
          </w:p>
        </w:tc>
        <w:tc>
          <w:tcPr>
            <w:tcW w:w="4980" w:type="dxa"/>
            <w:vAlign w:val="bottom"/>
          </w:tcPr>
          <w:p>
            <w:pPr>
              <w:jc w:val="center"/>
              <w:ind w:left="4118"/>
              <w:spacing w:after="0"/>
              <w:rPr>
                <w:sz w:val="20"/>
                <w:szCs w:val="20"/>
                <w:color w:val="auto"/>
              </w:rPr>
            </w:pPr>
            <w:r>
              <w:rPr>
                <w:rFonts w:ascii="Arial" w:cs="Arial" w:eastAsia="Arial" w:hAnsi="Arial"/>
                <w:sz w:val="12"/>
                <w:szCs w:val="12"/>
                <w:color w:val="auto"/>
                <w:w w:val="99"/>
              </w:rPr>
              <w:t>50%</w:t>
            </w:r>
          </w:p>
        </w:tc>
        <w:tc>
          <w:tcPr>
            <w:tcW w:w="600" w:type="dxa"/>
            <w:vAlign w:val="bottom"/>
          </w:tcPr>
          <w:p>
            <w:pPr>
              <w:ind w:left="140"/>
              <w:spacing w:after="0"/>
              <w:rPr>
                <w:sz w:val="20"/>
                <w:szCs w:val="20"/>
                <w:color w:val="auto"/>
              </w:rPr>
            </w:pPr>
            <w:r>
              <w:rPr>
                <w:rFonts w:ascii="Arial" w:cs="Arial" w:eastAsia="Arial" w:hAnsi="Arial"/>
                <w:sz w:val="12"/>
                <w:szCs w:val="12"/>
                <w:color w:val="auto"/>
              </w:rPr>
              <w:t>100%</w:t>
            </w:r>
          </w:p>
        </w:tc>
        <w:tc>
          <w:tcPr>
            <w:tcW w:w="580" w:type="dxa"/>
            <w:vAlign w:val="bottom"/>
          </w:tcPr>
          <w:p>
            <w:pPr>
              <w:jc w:val="center"/>
              <w:ind w:left="78"/>
              <w:spacing w:after="0"/>
              <w:rPr>
                <w:sz w:val="20"/>
                <w:szCs w:val="20"/>
                <w:color w:val="auto"/>
              </w:rPr>
            </w:pPr>
            <w:r>
              <w:rPr>
                <w:rFonts w:ascii="Arial" w:cs="Arial" w:eastAsia="Arial" w:hAnsi="Arial"/>
                <w:sz w:val="12"/>
                <w:szCs w:val="12"/>
                <w:color w:val="auto"/>
              </w:rPr>
              <w:t>200%</w:t>
            </w:r>
          </w:p>
        </w:tc>
      </w:tr>
      <w:tr>
        <w:trPr>
          <w:trHeight w:val="223"/>
        </w:trPr>
        <w:tc>
          <w:tcPr>
            <w:tcW w:w="5260" w:type="dxa"/>
            <w:vAlign w:val="bottom"/>
          </w:tcPr>
          <w:p>
            <w:pPr>
              <w:spacing w:after="0"/>
              <w:rPr>
                <w:sz w:val="20"/>
                <w:szCs w:val="20"/>
                <w:color w:val="auto"/>
              </w:rPr>
            </w:pPr>
            <w:r>
              <w:rPr>
                <w:rFonts w:ascii="Arial" w:cs="Arial" w:eastAsia="Arial" w:hAnsi="Arial"/>
                <w:sz w:val="12"/>
                <w:szCs w:val="12"/>
                <w:color w:val="auto"/>
              </w:rPr>
              <w:t>Mr. Mehta</w:t>
            </w:r>
          </w:p>
        </w:tc>
        <w:tc>
          <w:tcPr>
            <w:tcW w:w="4980" w:type="dxa"/>
            <w:vAlign w:val="bottom"/>
          </w:tcPr>
          <w:p>
            <w:pPr>
              <w:jc w:val="center"/>
              <w:ind w:left="4118"/>
              <w:spacing w:after="0"/>
              <w:rPr>
                <w:sz w:val="20"/>
                <w:szCs w:val="20"/>
                <w:color w:val="auto"/>
              </w:rPr>
            </w:pPr>
            <w:r>
              <w:rPr>
                <w:rFonts w:ascii="Arial" w:cs="Arial" w:eastAsia="Arial" w:hAnsi="Arial"/>
                <w:sz w:val="12"/>
                <w:szCs w:val="12"/>
                <w:color w:val="auto"/>
                <w:w w:val="99"/>
              </w:rPr>
              <w:t>50%</w:t>
            </w:r>
          </w:p>
        </w:tc>
        <w:tc>
          <w:tcPr>
            <w:tcW w:w="600" w:type="dxa"/>
            <w:vAlign w:val="bottom"/>
          </w:tcPr>
          <w:p>
            <w:pPr>
              <w:ind w:left="140"/>
              <w:spacing w:after="0"/>
              <w:rPr>
                <w:sz w:val="20"/>
                <w:szCs w:val="20"/>
                <w:color w:val="auto"/>
              </w:rPr>
            </w:pPr>
            <w:r>
              <w:rPr>
                <w:rFonts w:ascii="Arial" w:cs="Arial" w:eastAsia="Arial" w:hAnsi="Arial"/>
                <w:sz w:val="12"/>
                <w:szCs w:val="12"/>
                <w:color w:val="auto"/>
              </w:rPr>
              <w:t>100%</w:t>
            </w:r>
          </w:p>
        </w:tc>
        <w:tc>
          <w:tcPr>
            <w:tcW w:w="580" w:type="dxa"/>
            <w:vAlign w:val="bottom"/>
          </w:tcPr>
          <w:p>
            <w:pPr>
              <w:jc w:val="center"/>
              <w:ind w:left="78"/>
              <w:spacing w:after="0"/>
              <w:rPr>
                <w:sz w:val="20"/>
                <w:szCs w:val="20"/>
                <w:color w:val="auto"/>
              </w:rPr>
            </w:pPr>
            <w:r>
              <w:rPr>
                <w:rFonts w:ascii="Arial" w:cs="Arial" w:eastAsia="Arial" w:hAnsi="Arial"/>
                <w:sz w:val="12"/>
                <w:szCs w:val="12"/>
                <w:color w:val="auto"/>
              </w:rPr>
              <w:t>200%</w:t>
            </w:r>
          </w:p>
        </w:tc>
      </w:tr>
      <w:tr>
        <w:trPr>
          <w:trHeight w:val="43"/>
        </w:trPr>
        <w:tc>
          <w:tcPr>
            <w:tcW w:w="5260" w:type="dxa"/>
            <w:vAlign w:val="bottom"/>
            <w:tcBorders>
              <w:bottom w:val="single" w:sz="8" w:color="auto"/>
            </w:tcBorders>
          </w:tcPr>
          <w:p>
            <w:pPr>
              <w:spacing w:after="0"/>
              <w:rPr>
                <w:sz w:val="3"/>
                <w:szCs w:val="3"/>
                <w:color w:val="auto"/>
              </w:rPr>
            </w:pPr>
          </w:p>
        </w:tc>
        <w:tc>
          <w:tcPr>
            <w:tcW w:w="49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bl>
    <w:p>
      <w:pPr>
        <w:spacing w:after="0" w:line="98"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Award payments under the ICP are made after the public release of our year-end financial results for the applicable year and after determination of the award payments by the Committee. No award payment is made until the calculation of the payment award is approved by the Committee. Plan awards earned for a year generally are paid in February or March of the following year. Awards are paid in cash in the currency in which the recipient ordinarily is paid.</w:t>
      </w:r>
    </w:p>
    <w:p>
      <w:pPr>
        <w:spacing w:after="0" w:line="85" w:lineRule="exact"/>
        <w:rPr>
          <w:sz w:val="20"/>
          <w:szCs w:val="20"/>
          <w:color w:val="auto"/>
        </w:rPr>
      </w:pPr>
    </w:p>
    <w:p>
      <w:pPr>
        <w:jc w:val="both"/>
        <w:spacing w:after="0"/>
        <w:rPr>
          <w:sz w:val="20"/>
          <w:szCs w:val="20"/>
          <w:color w:val="auto"/>
        </w:rPr>
      </w:pPr>
      <w:r>
        <w:rPr>
          <w:rFonts w:ascii="Arial" w:cs="Arial" w:eastAsia="Arial" w:hAnsi="Arial"/>
          <w:sz w:val="12"/>
          <w:szCs w:val="12"/>
          <w:color w:val="auto"/>
        </w:rPr>
        <w:t>The Committee may determine that modifying the ICP, the goals or the potential award payments would provide more appropriate incentives for executives in the event of unforeseen developments. The Committee does not intend to exercise this discretion except in very unusual circumstances. The Committee reserves the right in its sole discretion to adjust the financial metrics under the ICP to reflect (1) the impact of material acquisitions or dispositions, (2) changes in our industry, (3) changes in macro-economic factors or conditions impacting the Company, (4) changes in market compensation practices and other circumstances, (5) changes in applicable laws, regulations or accounting practices, or (6) other matters that were not anticipated when the financial goals for the plan year were determined. The Committee also retains the discretion to make alternative bonus calculations or to make retention awards or other awards based on alternative or non-financial performance criteria if unexpected circumstances make such changes appropriate. The Committee does not intend to increase the potential payment amounts even if an adjustment to the metrics is warranted.</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Long-term equity incentive compensation</w:t>
      </w:r>
    </w:p>
    <w:p>
      <w:pPr>
        <w:spacing w:after="0" w:line="111" w:lineRule="exact"/>
        <w:rPr>
          <w:sz w:val="20"/>
          <w:szCs w:val="20"/>
          <w:color w:val="auto"/>
        </w:rPr>
      </w:pPr>
    </w:p>
    <w:p>
      <w:pPr>
        <w:jc w:val="both"/>
        <w:spacing w:after="0" w:line="242" w:lineRule="auto"/>
        <w:rPr>
          <w:sz w:val="20"/>
          <w:szCs w:val="20"/>
          <w:color w:val="auto"/>
        </w:rPr>
      </w:pPr>
      <w:r>
        <w:rPr>
          <w:rFonts w:ascii="Arial" w:cs="Arial" w:eastAsia="Arial" w:hAnsi="Arial"/>
          <w:sz w:val="12"/>
          <w:szCs w:val="12"/>
          <w:color w:val="auto"/>
        </w:rPr>
        <w:t>Long-term equity incentives are designed to motivate management to enable the Company to achieve long-term performance improvements and serve to link a significant portion of compensation to shareholder returns. In March 2010, the Committee approved the 2010 Omnibus Incentive Plan (which was approved by our shareholders at our Annual General Meeting on June 23, 2010), under which the Company may issue awards of long-term equity compensation from time to time consistent with the objectives and philosophy of our compensation programs. We generally grant long-term equity awards annually in February or March to incentivize future performance.</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Determination of aggregate value of awards</w:t>
      </w:r>
    </w:p>
    <w:p>
      <w:pPr>
        <w:spacing w:after="0" w:line="111"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In determining the total value of long-term incentive awards to be granted to each NEO, the Committee determines the award value as a nominal dollar amount in accordance with market data and considers, without giving particular weight to any specific factor, the position of the officer (both in terms of function and responsibilities), tenure, anticipated future contributions and the long-term incentive compensation of similarly situated executives in our peer group. In determining the number of restricted or performance share units to award, the Committee looks to the closing share price as of the date of grant.</w:t>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Forms of long-term incentives</w:t>
      </w:r>
    </w:p>
    <w:p>
      <w:pPr>
        <w:spacing w:after="0" w:line="111"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Long-term incentive awards provide our NEOs with a benefit that increases only when the value of our shares increases, which aligns their interests with increasing shareholder value. Long-term incentives are equity-based and include restricted share units (“RSUs”) and performance units (“PUs”). In determining the form or forms of award grants, the Committee considers, among other factors, the seniority of the officer and the ability of the officer to impact our success, as well as the appropriateness of a particular security to the individual executive.</w:t>
      </w:r>
    </w:p>
    <w:p>
      <w:pPr>
        <w:spacing w:after="0" w:line="85"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RSUs motivate our NEOs to strive for share price appreciation, as they are granted at the closing price on the date of grant, and the executive realizes value only when the units vest and the underlying shares are delivered. Except as provided below, RSUs generally vest in three equal annual installments over a period of three years. Upon vesting, the holder of RSUs receives one ordinary share for each unit that vested. Holders of RSUs do not have voting rights or dividend participation rights until the underlying shares are delivered to them.</w:t>
      </w:r>
    </w:p>
    <w:p>
      <w:pPr>
        <w:spacing w:after="0" w:line="85" w:lineRule="exact"/>
        <w:rPr>
          <w:sz w:val="20"/>
          <w:szCs w:val="20"/>
          <w:color w:val="auto"/>
        </w:rPr>
      </w:pPr>
    </w:p>
    <w:p>
      <w:pPr>
        <w:jc w:val="both"/>
        <w:spacing w:after="0"/>
        <w:rPr>
          <w:sz w:val="20"/>
          <w:szCs w:val="20"/>
          <w:color w:val="auto"/>
        </w:rPr>
      </w:pPr>
      <w:r>
        <w:rPr>
          <w:rFonts w:ascii="Arial" w:cs="Arial" w:eastAsia="Arial" w:hAnsi="Arial"/>
          <w:sz w:val="12"/>
          <w:szCs w:val="12"/>
          <w:color w:val="auto"/>
        </w:rPr>
        <w:t>PUs have the higher possible returns and also higher risk of the various forms of awards available to the Committee to grant. PUs also provide an even stronger correlation to shareholder value, as they vest, if at all, into a number of shares depending on achievement of specified performance targets. Except as provided below, PUs vest over a specified period of time, as determined for each award. PUs awarded in 2013 have a single three-year performance period (2013-2015), while the PUs awarded in 2014 vest in three equal installments over a three-year period. The new 2014 vesting schedule was adopted to alleviate drastic movements, or volatility, in stock price affecting abnormal payouts (high or low) based on a single, three-year stock performance measure. The Committee believes this will smooth out the stock price performance metric and any payouts that may occur through the vesting period of the PUs. The new 2014 vesting schedule has a more direct correlation between one, two and three year stock price increases and executive compensation, which provides greater alignment with the long-term incentive plans.</w:t>
      </w:r>
    </w:p>
    <w:p>
      <w:pPr>
        <w:spacing w:after="0" w:line="88" w:lineRule="exact"/>
        <w:rPr>
          <w:sz w:val="20"/>
          <w:szCs w:val="20"/>
          <w:color w:val="auto"/>
        </w:rPr>
      </w:pPr>
    </w:p>
    <w:p>
      <w:pPr>
        <w:jc w:val="both"/>
        <w:spacing w:after="0" w:line="242" w:lineRule="auto"/>
        <w:rPr>
          <w:sz w:val="20"/>
          <w:szCs w:val="20"/>
          <w:color w:val="auto"/>
        </w:rPr>
      </w:pPr>
      <w:r>
        <w:rPr>
          <w:rFonts w:ascii="Arial" w:cs="Arial" w:eastAsia="Arial" w:hAnsi="Arial"/>
          <w:sz w:val="12"/>
          <w:szCs w:val="12"/>
          <w:color w:val="auto"/>
        </w:rPr>
        <w:t>With regard to vesting of RSUs and PUs, if the holder’s employment with the Company terminates prior to the last (or sole) vesting date, in the case of RSUs, for any reason other than the holder’s death or “disability,” or in the case of both types of awards, is terminated by the holder for any reason other than “good reason” or by the Company for “cause,” then any restrictions that have not previously lapsed pursuant to the aforesaid provisions will not lapse, and any units with respect to which the restrictions have not lapsed will be forfeited to the Company. See additional descriptions and definitions in “Executive Employment Agreements” on page 33.</w:t>
      </w:r>
    </w:p>
    <w:p>
      <w:pPr>
        <w:spacing w:after="0" w:line="172"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auto"/>
        </w:rPr>
        <w:t>Weatherford International plc - www.WeatherfordAnnualMeeting.com</w:t>
      </w:r>
      <w:r>
        <w:rPr>
          <w:sz w:val="20"/>
          <w:szCs w:val="20"/>
          <w:color w:val="auto"/>
        </w:rPr>
        <w:tab/>
      </w:r>
      <w:r>
        <w:rPr>
          <w:rFonts w:ascii="Arial" w:cs="Arial" w:eastAsia="Arial" w:hAnsi="Arial"/>
          <w:sz w:val="10"/>
          <w:szCs w:val="10"/>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131445</wp:posOffset>
            </wp:positionV>
            <wp:extent cx="7278370" cy="203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7" w:name="page48"/>
    <w:bookmarkEnd w:id="47"/>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47" w:lineRule="exact"/>
        <w:rPr>
          <w:sz w:val="20"/>
          <w:szCs w:val="20"/>
          <w:color w:val="auto"/>
        </w:rPr>
      </w:pPr>
    </w:p>
    <w:tbl>
      <w:tblPr>
        <w:tblLayout w:type="fixed"/>
        <w:tblInd w:w="1" w:type="dxa"/>
        <w:tblCellMar>
          <w:top w:w="0" w:type="dxa"/>
          <w:left w:w="0" w:type="dxa"/>
          <w:bottom w:w="0" w:type="dxa"/>
          <w:right w:w="0" w:type="dxa"/>
        </w:tblCellMar>
      </w:tblPr>
      <w:tr>
        <w:trPr>
          <w:trHeight w:val="215"/>
        </w:trPr>
        <w:tc>
          <w:tcPr>
            <w:tcW w:w="1840" w:type="dxa"/>
            <w:vAlign w:val="bottom"/>
            <w:tcBorders>
              <w:bottom w:val="single" w:sz="8" w:color="BB1131"/>
            </w:tcBorders>
            <w:shd w:val="clear" w:color="auto" w:fill="BB1131"/>
          </w:tcPr>
          <w:p>
            <w:pPr>
              <w:ind w:left="40"/>
              <w:spacing w:after="0"/>
              <w:rPr>
                <w:sz w:val="20"/>
                <w:szCs w:val="20"/>
                <w:color w:val="auto"/>
              </w:rPr>
            </w:pPr>
            <w:r>
              <w:rPr>
                <w:rFonts w:ascii="Arial" w:cs="Arial" w:eastAsia="Arial" w:hAnsi="Arial"/>
                <w:sz w:val="12"/>
                <w:szCs w:val="12"/>
                <w:b w:val="1"/>
                <w:bCs w:val="1"/>
                <w:color w:val="FFFFFF"/>
                <w:shd w:val="clear" w:color="auto" w:fill="BB1131"/>
              </w:rPr>
              <w:t>EXECUTIVE COMPENSATION</w:t>
            </w:r>
          </w:p>
        </w:tc>
        <w:tc>
          <w:tcPr>
            <w:tcW w:w="640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96"/>
        </w:trPr>
        <w:tc>
          <w:tcPr>
            <w:tcW w:w="8240" w:type="dxa"/>
            <w:vAlign w:val="bottom"/>
            <w:gridSpan w:val="2"/>
          </w:tcPr>
          <w:p>
            <w:pPr>
              <w:spacing w:after="0"/>
              <w:rPr>
                <w:sz w:val="20"/>
                <w:szCs w:val="20"/>
                <w:color w:val="auto"/>
              </w:rPr>
            </w:pPr>
            <w:r>
              <w:rPr>
                <w:rFonts w:ascii="Arial" w:cs="Arial" w:eastAsia="Arial" w:hAnsi="Arial"/>
                <w:sz w:val="12"/>
                <w:szCs w:val="12"/>
                <w:b w:val="1"/>
                <w:bCs w:val="1"/>
                <w:color w:val="auto"/>
              </w:rPr>
              <w:t>Grants in 2013</w:t>
            </w:r>
          </w:p>
        </w:tc>
        <w:tc>
          <w:tcPr>
            <w:tcW w:w="3180" w:type="dxa"/>
            <w:vAlign w:val="bottom"/>
          </w:tcPr>
          <w:p>
            <w:pPr>
              <w:spacing w:after="0"/>
              <w:rPr>
                <w:sz w:val="24"/>
                <w:szCs w:val="24"/>
                <w:color w:val="auto"/>
              </w:rPr>
            </w:pPr>
          </w:p>
        </w:tc>
      </w:tr>
      <w:tr>
        <w:trPr>
          <w:trHeight w:val="235"/>
        </w:trPr>
        <w:tc>
          <w:tcPr>
            <w:tcW w:w="8240" w:type="dxa"/>
            <w:vAlign w:val="bottom"/>
            <w:gridSpan w:val="2"/>
          </w:tcPr>
          <w:p>
            <w:pPr>
              <w:spacing w:after="0"/>
              <w:rPr>
                <w:sz w:val="20"/>
                <w:szCs w:val="20"/>
                <w:color w:val="auto"/>
              </w:rPr>
            </w:pPr>
            <w:r>
              <w:rPr>
                <w:rFonts w:ascii="Arial" w:cs="Arial" w:eastAsia="Arial" w:hAnsi="Arial"/>
                <w:sz w:val="12"/>
                <w:szCs w:val="12"/>
                <w:color w:val="auto"/>
              </w:rPr>
              <w:t>In Ma</w:t>
            </w:r>
            <w:r>
              <w:rPr>
                <w:rFonts w:ascii="Arial" w:cs="Arial" w:eastAsia="Arial" w:hAnsi="Arial"/>
                <w:sz w:val="12"/>
                <w:szCs w:val="12"/>
                <w:b w:val="1"/>
                <w:bCs w:val="1"/>
                <w:color w:val="auto"/>
              </w:rPr>
              <w:t>r</w:t>
            </w:r>
            <w:r>
              <w:rPr>
                <w:rFonts w:ascii="Arial" w:cs="Arial" w:eastAsia="Arial" w:hAnsi="Arial"/>
                <w:sz w:val="12"/>
                <w:szCs w:val="12"/>
                <w:color w:val="auto"/>
              </w:rPr>
              <w:t>ch 2013, the Committee awarded long-term equity incentives of the following values to our NEOs:</w:t>
            </w:r>
          </w:p>
        </w:tc>
        <w:tc>
          <w:tcPr>
            <w:tcW w:w="3180" w:type="dxa"/>
            <w:vAlign w:val="bottom"/>
          </w:tcPr>
          <w:p>
            <w:pPr>
              <w:spacing w:after="0"/>
              <w:rPr>
                <w:sz w:val="20"/>
                <w:szCs w:val="20"/>
                <w:color w:val="auto"/>
              </w:rPr>
            </w:pPr>
          </w:p>
        </w:tc>
      </w:tr>
      <w:tr>
        <w:trPr>
          <w:trHeight w:val="272"/>
        </w:trPr>
        <w:tc>
          <w:tcPr>
            <w:tcW w:w="8240" w:type="dxa"/>
            <w:vAlign w:val="bottom"/>
            <w:gridSpan w:val="2"/>
          </w:tcPr>
          <w:p>
            <w:pPr>
              <w:spacing w:after="0"/>
              <w:rPr>
                <w:sz w:val="20"/>
                <w:szCs w:val="20"/>
                <w:color w:val="auto"/>
              </w:rPr>
            </w:pPr>
            <w:r>
              <w:rPr>
                <w:rFonts w:ascii="Arial" w:cs="Arial" w:eastAsia="Arial" w:hAnsi="Arial"/>
                <w:sz w:val="12"/>
                <w:szCs w:val="12"/>
                <w:color w:val="auto"/>
              </w:rPr>
              <w:t>Executive</w:t>
            </w:r>
          </w:p>
        </w:tc>
        <w:tc>
          <w:tcPr>
            <w:tcW w:w="3180" w:type="dxa"/>
            <w:vAlign w:val="bottom"/>
          </w:tcPr>
          <w:p>
            <w:pPr>
              <w:jc w:val="right"/>
              <w:spacing w:after="0"/>
              <w:rPr>
                <w:sz w:val="20"/>
                <w:szCs w:val="20"/>
                <w:color w:val="auto"/>
              </w:rPr>
            </w:pPr>
            <w:r>
              <w:rPr>
                <w:rFonts w:ascii="Arial" w:cs="Arial" w:eastAsia="Arial" w:hAnsi="Arial"/>
                <w:sz w:val="12"/>
                <w:szCs w:val="12"/>
                <w:color w:val="auto"/>
              </w:rPr>
              <w:t>2013 Award</w:t>
            </w:r>
          </w:p>
        </w:tc>
      </w:tr>
      <w:tr>
        <w:trPr>
          <w:trHeight w:val="38"/>
        </w:trPr>
        <w:tc>
          <w:tcPr>
            <w:tcW w:w="1840" w:type="dxa"/>
            <w:vAlign w:val="bottom"/>
            <w:tcBorders>
              <w:bottom w:val="single" w:sz="8" w:color="auto"/>
            </w:tcBorders>
          </w:tcPr>
          <w:p>
            <w:pPr>
              <w:spacing w:after="0"/>
              <w:rPr>
                <w:sz w:val="3"/>
                <w:szCs w:val="3"/>
                <w:color w:val="auto"/>
              </w:rPr>
            </w:pPr>
          </w:p>
        </w:tc>
        <w:tc>
          <w:tcPr>
            <w:tcW w:w="6400" w:type="dxa"/>
            <w:vAlign w:val="bottom"/>
            <w:tcBorders>
              <w:bottom w:val="single" w:sz="8" w:color="auto"/>
            </w:tcBorders>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r>
      <w:tr>
        <w:trPr>
          <w:trHeight w:val="177"/>
        </w:trPr>
        <w:tc>
          <w:tcPr>
            <w:tcW w:w="8240" w:type="dxa"/>
            <w:vAlign w:val="bottom"/>
            <w:gridSpan w:val="2"/>
          </w:tcPr>
          <w:p>
            <w:pPr>
              <w:spacing w:after="0"/>
              <w:rPr>
                <w:sz w:val="20"/>
                <w:szCs w:val="20"/>
                <w:color w:val="auto"/>
              </w:rPr>
            </w:pPr>
            <w:r>
              <w:rPr>
                <w:rFonts w:ascii="Arial" w:cs="Arial" w:eastAsia="Arial" w:hAnsi="Arial"/>
                <w:sz w:val="12"/>
                <w:szCs w:val="12"/>
                <w:color w:val="auto"/>
              </w:rPr>
              <w:t>Dr. Duroc-Danner</w:t>
            </w:r>
          </w:p>
        </w:tc>
        <w:tc>
          <w:tcPr>
            <w:tcW w:w="3180" w:type="dxa"/>
            <w:vAlign w:val="bottom"/>
          </w:tcPr>
          <w:p>
            <w:pPr>
              <w:jc w:val="right"/>
              <w:spacing w:after="0"/>
              <w:rPr>
                <w:sz w:val="20"/>
                <w:szCs w:val="20"/>
                <w:color w:val="auto"/>
              </w:rPr>
            </w:pPr>
            <w:r>
              <w:rPr>
                <w:rFonts w:ascii="Arial" w:cs="Arial" w:eastAsia="Arial" w:hAnsi="Arial"/>
                <w:sz w:val="12"/>
                <w:szCs w:val="12"/>
                <w:color w:val="auto"/>
              </w:rPr>
              <w:t>$8,000,000</w:t>
            </w:r>
          </w:p>
        </w:tc>
      </w:tr>
      <w:tr>
        <w:trPr>
          <w:trHeight w:val="347"/>
        </w:trPr>
        <w:tc>
          <w:tcPr>
            <w:tcW w:w="8240" w:type="dxa"/>
            <w:vAlign w:val="bottom"/>
            <w:gridSpan w:val="2"/>
          </w:tcPr>
          <w:p>
            <w:pPr>
              <w:spacing w:after="0"/>
              <w:rPr>
                <w:sz w:val="20"/>
                <w:szCs w:val="20"/>
                <w:color w:val="auto"/>
              </w:rPr>
            </w:pPr>
            <w:r>
              <w:rPr>
                <w:rFonts w:ascii="Arial" w:cs="Arial" w:eastAsia="Arial" w:hAnsi="Arial"/>
                <w:sz w:val="12"/>
                <w:szCs w:val="12"/>
                <w:color w:val="auto"/>
              </w:rPr>
              <w:t>Mr. Shivram</w:t>
            </w:r>
            <w:r>
              <w:rPr>
                <w:rFonts w:ascii="Arial" w:cs="Arial" w:eastAsia="Arial" w:hAnsi="Arial"/>
                <w:sz w:val="20"/>
                <w:szCs w:val="20"/>
                <w:color w:val="auto"/>
                <w:vertAlign w:val="superscript"/>
              </w:rPr>
              <w:t>(a)</w:t>
            </w:r>
          </w:p>
        </w:tc>
        <w:tc>
          <w:tcPr>
            <w:tcW w:w="31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8"/>
        </w:trPr>
        <w:tc>
          <w:tcPr>
            <w:tcW w:w="8240" w:type="dxa"/>
            <w:vAlign w:val="bottom"/>
            <w:gridSpan w:val="2"/>
          </w:tcPr>
          <w:p>
            <w:pPr>
              <w:spacing w:after="0"/>
              <w:rPr>
                <w:sz w:val="20"/>
                <w:szCs w:val="20"/>
                <w:color w:val="auto"/>
              </w:rPr>
            </w:pPr>
            <w:r>
              <w:rPr>
                <w:rFonts w:ascii="Arial" w:cs="Arial" w:eastAsia="Arial" w:hAnsi="Arial"/>
                <w:sz w:val="12"/>
                <w:szCs w:val="12"/>
                <w:color w:val="auto"/>
              </w:rPr>
              <w:t>Mr. Mehta</w:t>
            </w:r>
          </w:p>
        </w:tc>
        <w:tc>
          <w:tcPr>
            <w:tcW w:w="3180" w:type="dxa"/>
            <w:vAlign w:val="bottom"/>
          </w:tcPr>
          <w:p>
            <w:pPr>
              <w:jc w:val="right"/>
              <w:spacing w:after="0"/>
              <w:rPr>
                <w:sz w:val="20"/>
                <w:szCs w:val="20"/>
                <w:color w:val="auto"/>
              </w:rPr>
            </w:pPr>
            <w:r>
              <w:rPr>
                <w:rFonts w:ascii="Arial" w:cs="Arial" w:eastAsia="Arial" w:hAnsi="Arial"/>
                <w:sz w:val="12"/>
                <w:szCs w:val="12"/>
                <w:color w:val="auto"/>
              </w:rPr>
              <w:t>$2,900,000</w:t>
            </w:r>
          </w:p>
        </w:tc>
      </w:tr>
      <w:tr>
        <w:trPr>
          <w:trHeight w:val="357"/>
        </w:trPr>
        <w:tc>
          <w:tcPr>
            <w:tcW w:w="8240" w:type="dxa"/>
            <w:vAlign w:val="bottom"/>
            <w:gridSpan w:val="2"/>
          </w:tcPr>
          <w:p>
            <w:pPr>
              <w:spacing w:after="0"/>
              <w:rPr>
                <w:sz w:val="20"/>
                <w:szCs w:val="20"/>
                <w:color w:val="auto"/>
              </w:rPr>
            </w:pPr>
            <w:r>
              <w:rPr>
                <w:rFonts w:ascii="Arial" w:cs="Arial" w:eastAsia="Arial" w:hAnsi="Arial"/>
                <w:sz w:val="12"/>
                <w:szCs w:val="12"/>
                <w:color w:val="auto"/>
              </w:rPr>
              <w:t>Mr. Fontana</w:t>
            </w:r>
            <w:r>
              <w:rPr>
                <w:rFonts w:ascii="Arial" w:cs="Arial" w:eastAsia="Arial" w:hAnsi="Arial"/>
                <w:sz w:val="20"/>
                <w:szCs w:val="20"/>
                <w:color w:val="auto"/>
                <w:vertAlign w:val="superscript"/>
              </w:rPr>
              <w:t>(b)</w:t>
            </w:r>
          </w:p>
        </w:tc>
        <w:tc>
          <w:tcPr>
            <w:tcW w:w="3180" w:type="dxa"/>
            <w:vAlign w:val="bottom"/>
          </w:tcPr>
          <w:p>
            <w:pPr>
              <w:jc w:val="right"/>
              <w:spacing w:after="0"/>
              <w:rPr>
                <w:sz w:val="20"/>
                <w:szCs w:val="20"/>
                <w:color w:val="auto"/>
              </w:rPr>
            </w:pPr>
            <w:r>
              <w:rPr>
                <w:rFonts w:ascii="Arial" w:cs="Arial" w:eastAsia="Arial" w:hAnsi="Arial"/>
                <w:sz w:val="12"/>
                <w:szCs w:val="12"/>
                <w:color w:val="auto"/>
              </w:rPr>
              <w:t>$5,000,000</w:t>
            </w:r>
          </w:p>
        </w:tc>
      </w:tr>
      <w:tr>
        <w:trPr>
          <w:trHeight w:val="272"/>
        </w:trPr>
        <w:tc>
          <w:tcPr>
            <w:tcW w:w="8240" w:type="dxa"/>
            <w:vAlign w:val="bottom"/>
            <w:gridSpan w:val="2"/>
          </w:tcPr>
          <w:p>
            <w:pPr>
              <w:spacing w:after="0"/>
              <w:rPr>
                <w:sz w:val="20"/>
                <w:szCs w:val="20"/>
                <w:color w:val="auto"/>
              </w:rPr>
            </w:pPr>
            <w:r>
              <w:rPr>
                <w:rFonts w:ascii="Arial" w:cs="Arial" w:eastAsia="Arial" w:hAnsi="Arial"/>
                <w:sz w:val="12"/>
                <w:szCs w:val="12"/>
                <w:color w:val="auto"/>
              </w:rPr>
              <w:t>Mr. Briscoe</w:t>
            </w:r>
            <w:r>
              <w:rPr>
                <w:rFonts w:ascii="Arial" w:cs="Arial" w:eastAsia="Arial" w:hAnsi="Arial"/>
                <w:sz w:val="20"/>
                <w:szCs w:val="20"/>
                <w:color w:val="auto"/>
                <w:vertAlign w:val="superscript"/>
              </w:rPr>
              <w:t>(c)</w:t>
            </w:r>
          </w:p>
        </w:tc>
        <w:tc>
          <w:tcPr>
            <w:tcW w:w="3180" w:type="dxa"/>
            <w:vAlign w:val="bottom"/>
          </w:tcPr>
          <w:p>
            <w:pPr>
              <w:jc w:val="right"/>
              <w:spacing w:after="0"/>
              <w:rPr>
                <w:sz w:val="20"/>
                <w:szCs w:val="20"/>
                <w:color w:val="auto"/>
              </w:rPr>
            </w:pPr>
            <w:r>
              <w:rPr>
                <w:rFonts w:ascii="Arial" w:cs="Arial" w:eastAsia="Arial" w:hAnsi="Arial"/>
                <w:sz w:val="12"/>
                <w:szCs w:val="12"/>
                <w:color w:val="auto"/>
              </w:rPr>
              <w:t>$2,750,000</w:t>
            </w:r>
          </w:p>
        </w:tc>
      </w:tr>
      <w:tr>
        <w:trPr>
          <w:trHeight w:val="272"/>
        </w:trPr>
        <w:tc>
          <w:tcPr>
            <w:tcW w:w="8240" w:type="dxa"/>
            <w:vAlign w:val="bottom"/>
            <w:gridSpan w:val="2"/>
          </w:tcPr>
          <w:p>
            <w:pPr>
              <w:spacing w:after="0"/>
              <w:rPr>
                <w:sz w:val="20"/>
                <w:szCs w:val="20"/>
                <w:color w:val="auto"/>
              </w:rPr>
            </w:pPr>
            <w:r>
              <w:rPr>
                <w:rFonts w:ascii="Arial" w:cs="Arial" w:eastAsia="Arial" w:hAnsi="Arial"/>
                <w:sz w:val="12"/>
                <w:szCs w:val="12"/>
                <w:color w:val="auto"/>
              </w:rPr>
              <w:t>Mr. Gee</w:t>
            </w:r>
            <w:r>
              <w:rPr>
                <w:rFonts w:ascii="Arial" w:cs="Arial" w:eastAsia="Arial" w:hAnsi="Arial"/>
                <w:sz w:val="20"/>
                <w:szCs w:val="20"/>
                <w:color w:val="auto"/>
                <w:vertAlign w:val="superscript"/>
              </w:rPr>
              <w:t>(d)</w:t>
            </w:r>
          </w:p>
        </w:tc>
        <w:tc>
          <w:tcPr>
            <w:tcW w:w="3180" w:type="dxa"/>
            <w:vAlign w:val="bottom"/>
          </w:tcPr>
          <w:p>
            <w:pPr>
              <w:jc w:val="right"/>
              <w:spacing w:after="0"/>
              <w:rPr>
                <w:sz w:val="20"/>
                <w:szCs w:val="20"/>
                <w:color w:val="auto"/>
              </w:rPr>
            </w:pPr>
            <w:r>
              <w:rPr>
                <w:rFonts w:ascii="Arial" w:cs="Arial" w:eastAsia="Arial" w:hAnsi="Arial"/>
                <w:sz w:val="12"/>
                <w:szCs w:val="12"/>
                <w:color w:val="auto"/>
              </w:rPr>
              <w:t>$2,850,000</w:t>
            </w:r>
          </w:p>
        </w:tc>
      </w:tr>
      <w:tr>
        <w:trPr>
          <w:trHeight w:val="272"/>
        </w:trPr>
        <w:tc>
          <w:tcPr>
            <w:tcW w:w="8240" w:type="dxa"/>
            <w:vAlign w:val="bottom"/>
            <w:gridSpan w:val="2"/>
          </w:tcPr>
          <w:p>
            <w:pPr>
              <w:spacing w:after="0"/>
              <w:rPr>
                <w:sz w:val="20"/>
                <w:szCs w:val="20"/>
                <w:color w:val="auto"/>
              </w:rPr>
            </w:pPr>
            <w:r>
              <w:rPr>
                <w:rFonts w:ascii="Arial" w:cs="Arial" w:eastAsia="Arial" w:hAnsi="Arial"/>
                <w:sz w:val="12"/>
                <w:szCs w:val="12"/>
                <w:color w:val="auto"/>
              </w:rPr>
              <w:t>Mr. Henry</w:t>
            </w:r>
            <w:r>
              <w:rPr>
                <w:rFonts w:ascii="Arial" w:cs="Arial" w:eastAsia="Arial" w:hAnsi="Arial"/>
                <w:sz w:val="20"/>
                <w:szCs w:val="20"/>
                <w:color w:val="auto"/>
                <w:vertAlign w:val="superscript"/>
              </w:rPr>
              <w:t>(e)</w:t>
            </w:r>
          </w:p>
        </w:tc>
        <w:tc>
          <w:tcPr>
            <w:tcW w:w="3180" w:type="dxa"/>
            <w:vAlign w:val="bottom"/>
          </w:tcPr>
          <w:p>
            <w:pPr>
              <w:jc w:val="right"/>
              <w:spacing w:after="0"/>
              <w:rPr>
                <w:sz w:val="20"/>
                <w:szCs w:val="20"/>
                <w:color w:val="auto"/>
              </w:rPr>
            </w:pPr>
            <w:r>
              <w:rPr>
                <w:rFonts w:ascii="Arial" w:cs="Arial" w:eastAsia="Arial" w:hAnsi="Arial"/>
                <w:sz w:val="12"/>
                <w:szCs w:val="12"/>
                <w:color w:val="auto"/>
              </w:rPr>
              <w:t>$2,000,000</w:t>
            </w:r>
          </w:p>
        </w:tc>
      </w:tr>
      <w:tr>
        <w:trPr>
          <w:trHeight w:val="231"/>
        </w:trPr>
        <w:tc>
          <w:tcPr>
            <w:tcW w:w="8240" w:type="dxa"/>
            <w:vAlign w:val="bottom"/>
            <w:tcBorders>
              <w:bottom w:val="single" w:sz="8" w:color="auto"/>
            </w:tcBorders>
            <w:gridSpan w:val="2"/>
          </w:tcPr>
          <w:p>
            <w:pPr>
              <w:spacing w:after="0" w:line="227" w:lineRule="exact"/>
              <w:rPr>
                <w:sz w:val="20"/>
                <w:szCs w:val="20"/>
                <w:color w:val="auto"/>
              </w:rPr>
            </w:pPr>
            <w:r>
              <w:rPr>
                <w:rFonts w:ascii="Arial" w:cs="Arial" w:eastAsia="Arial" w:hAnsi="Arial"/>
                <w:sz w:val="12"/>
                <w:szCs w:val="12"/>
                <w:color w:val="auto"/>
              </w:rPr>
              <w:t>Mr. Jacobson</w:t>
            </w:r>
            <w:r>
              <w:rPr>
                <w:rFonts w:ascii="Arial" w:cs="Arial" w:eastAsia="Arial" w:hAnsi="Arial"/>
                <w:sz w:val="20"/>
                <w:szCs w:val="20"/>
                <w:color w:val="auto"/>
                <w:vertAlign w:val="superscript"/>
              </w:rPr>
              <w:t>(f)</w:t>
            </w:r>
          </w:p>
        </w:tc>
        <w:tc>
          <w:tcPr>
            <w:tcW w:w="3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$2,000,000</w:t>
            </w:r>
          </w:p>
        </w:tc>
      </w:tr>
    </w:tbl>
    <w:p>
      <w:pPr>
        <w:spacing w:after="0" w:line="98" w:lineRule="exact"/>
        <w:rPr>
          <w:sz w:val="20"/>
          <w:szCs w:val="20"/>
          <w:color w:val="auto"/>
        </w:rPr>
      </w:pPr>
    </w:p>
    <w:p>
      <w:pPr>
        <w:ind w:left="181" w:hanging="181"/>
        <w:spacing w:after="0"/>
        <w:tabs>
          <w:tab w:leader="none" w:pos="181" w:val="left"/>
        </w:tabs>
        <w:numPr>
          <w:ilvl w:val="0"/>
          <w:numId w:val="38"/>
        </w:numPr>
        <w:rPr>
          <w:rFonts w:ascii="Arial" w:cs="Arial" w:eastAsia="Arial" w:hAnsi="Arial"/>
          <w:sz w:val="12"/>
          <w:szCs w:val="12"/>
          <w:color w:val="auto"/>
        </w:rPr>
      </w:pPr>
      <w:r>
        <w:rPr>
          <w:rFonts w:ascii="Arial" w:cs="Arial" w:eastAsia="Arial" w:hAnsi="Arial"/>
          <w:sz w:val="12"/>
          <w:szCs w:val="12"/>
          <w:color w:val="auto"/>
        </w:rPr>
        <w:t>Mr. Shivram did not join the Company until November 2013. At that time he was granted restricted share awards with a value of $3.9 million, based on the closing stock price on the date of grant.</w:t>
      </w:r>
    </w:p>
    <w:p>
      <w:pPr>
        <w:spacing w:after="0" w:line="97" w:lineRule="exact"/>
        <w:rPr>
          <w:rFonts w:ascii="Arial" w:cs="Arial" w:eastAsia="Arial" w:hAnsi="Arial"/>
          <w:sz w:val="12"/>
          <w:szCs w:val="12"/>
          <w:color w:val="auto"/>
        </w:rPr>
      </w:pPr>
    </w:p>
    <w:p>
      <w:pPr>
        <w:ind w:left="181" w:hanging="181"/>
        <w:spacing w:after="0"/>
        <w:tabs>
          <w:tab w:leader="none" w:pos="181" w:val="left"/>
        </w:tabs>
        <w:numPr>
          <w:ilvl w:val="0"/>
          <w:numId w:val="38"/>
        </w:numPr>
        <w:rPr>
          <w:rFonts w:ascii="Arial" w:cs="Arial" w:eastAsia="Arial" w:hAnsi="Arial"/>
          <w:sz w:val="12"/>
          <w:szCs w:val="12"/>
          <w:color w:val="auto"/>
        </w:rPr>
      </w:pPr>
      <w:r>
        <w:rPr>
          <w:rFonts w:ascii="Arial" w:cs="Arial" w:eastAsia="Arial" w:hAnsi="Arial"/>
          <w:sz w:val="12"/>
          <w:szCs w:val="12"/>
          <w:color w:val="auto"/>
        </w:rPr>
        <w:t>Mr. Fontana left the Company effective December 13, 2013.</w:t>
      </w:r>
    </w:p>
    <w:p>
      <w:pPr>
        <w:spacing w:after="0" w:line="97" w:lineRule="exact"/>
        <w:rPr>
          <w:rFonts w:ascii="Arial" w:cs="Arial" w:eastAsia="Arial" w:hAnsi="Arial"/>
          <w:sz w:val="12"/>
          <w:szCs w:val="12"/>
          <w:color w:val="auto"/>
        </w:rPr>
      </w:pPr>
    </w:p>
    <w:p>
      <w:pPr>
        <w:ind w:left="181" w:hanging="181"/>
        <w:spacing w:after="0"/>
        <w:tabs>
          <w:tab w:leader="none" w:pos="181" w:val="left"/>
        </w:tabs>
        <w:numPr>
          <w:ilvl w:val="0"/>
          <w:numId w:val="38"/>
        </w:numPr>
        <w:rPr>
          <w:rFonts w:ascii="Arial" w:cs="Arial" w:eastAsia="Arial" w:hAnsi="Arial"/>
          <w:sz w:val="12"/>
          <w:szCs w:val="12"/>
          <w:color w:val="auto"/>
        </w:rPr>
      </w:pPr>
      <w:r>
        <w:rPr>
          <w:rFonts w:ascii="Arial" w:cs="Arial" w:eastAsia="Arial" w:hAnsi="Arial"/>
          <w:sz w:val="12"/>
          <w:szCs w:val="12"/>
          <w:color w:val="auto"/>
        </w:rPr>
        <w:t>Mr. Briscoe left the Company effective September 11, 2013.</w:t>
      </w:r>
    </w:p>
    <w:p>
      <w:pPr>
        <w:spacing w:after="0" w:line="97" w:lineRule="exact"/>
        <w:rPr>
          <w:rFonts w:ascii="Arial" w:cs="Arial" w:eastAsia="Arial" w:hAnsi="Arial"/>
          <w:sz w:val="12"/>
          <w:szCs w:val="12"/>
          <w:color w:val="auto"/>
        </w:rPr>
      </w:pPr>
    </w:p>
    <w:p>
      <w:pPr>
        <w:ind w:left="181" w:hanging="181"/>
        <w:spacing w:after="0"/>
        <w:tabs>
          <w:tab w:leader="none" w:pos="181" w:val="left"/>
        </w:tabs>
        <w:numPr>
          <w:ilvl w:val="0"/>
          <w:numId w:val="38"/>
        </w:numPr>
        <w:rPr>
          <w:rFonts w:ascii="Arial" w:cs="Arial" w:eastAsia="Arial" w:hAnsi="Arial"/>
          <w:sz w:val="12"/>
          <w:szCs w:val="12"/>
          <w:color w:val="auto"/>
        </w:rPr>
      </w:pPr>
      <w:r>
        <w:rPr>
          <w:rFonts w:ascii="Arial" w:cs="Arial" w:eastAsia="Arial" w:hAnsi="Arial"/>
          <w:sz w:val="12"/>
          <w:szCs w:val="12"/>
          <w:color w:val="auto"/>
        </w:rPr>
        <w:t>Mr. Gee left the Company effective February 28, 2014.</w:t>
      </w:r>
    </w:p>
    <w:p>
      <w:pPr>
        <w:spacing w:after="0" w:line="97" w:lineRule="exact"/>
        <w:rPr>
          <w:rFonts w:ascii="Arial" w:cs="Arial" w:eastAsia="Arial" w:hAnsi="Arial"/>
          <w:sz w:val="12"/>
          <w:szCs w:val="12"/>
          <w:color w:val="auto"/>
        </w:rPr>
      </w:pPr>
    </w:p>
    <w:p>
      <w:pPr>
        <w:ind w:left="181" w:hanging="181"/>
        <w:spacing w:after="0"/>
        <w:tabs>
          <w:tab w:leader="none" w:pos="181" w:val="left"/>
        </w:tabs>
        <w:numPr>
          <w:ilvl w:val="0"/>
          <w:numId w:val="38"/>
        </w:numPr>
        <w:rPr>
          <w:rFonts w:ascii="Arial" w:cs="Arial" w:eastAsia="Arial" w:hAnsi="Arial"/>
          <w:sz w:val="12"/>
          <w:szCs w:val="12"/>
          <w:color w:val="auto"/>
        </w:rPr>
      </w:pPr>
      <w:r>
        <w:rPr>
          <w:rFonts w:ascii="Arial" w:cs="Arial" w:eastAsia="Arial" w:hAnsi="Arial"/>
          <w:sz w:val="12"/>
          <w:szCs w:val="12"/>
          <w:color w:val="auto"/>
        </w:rPr>
        <w:t>Mr. Henry left the Company effective June 30, 2013.</w:t>
      </w:r>
    </w:p>
    <w:p>
      <w:pPr>
        <w:spacing w:after="0" w:line="97" w:lineRule="exact"/>
        <w:rPr>
          <w:rFonts w:ascii="Arial" w:cs="Arial" w:eastAsia="Arial" w:hAnsi="Arial"/>
          <w:sz w:val="12"/>
          <w:szCs w:val="12"/>
          <w:color w:val="auto"/>
        </w:rPr>
      </w:pPr>
    </w:p>
    <w:p>
      <w:pPr>
        <w:ind w:left="181" w:hanging="181"/>
        <w:spacing w:after="0"/>
        <w:tabs>
          <w:tab w:leader="none" w:pos="181" w:val="left"/>
        </w:tabs>
        <w:numPr>
          <w:ilvl w:val="0"/>
          <w:numId w:val="38"/>
        </w:numPr>
        <w:rPr>
          <w:rFonts w:ascii="Arial" w:cs="Arial" w:eastAsia="Arial" w:hAnsi="Arial"/>
          <w:sz w:val="12"/>
          <w:szCs w:val="12"/>
          <w:color w:val="auto"/>
        </w:rPr>
      </w:pPr>
      <w:r>
        <w:rPr>
          <w:rFonts w:ascii="Arial" w:cs="Arial" w:eastAsia="Arial" w:hAnsi="Arial"/>
          <w:sz w:val="12"/>
          <w:szCs w:val="12"/>
          <w:color w:val="auto"/>
        </w:rPr>
        <w:t>Mr. Jacobson left the Company effective July 3, 2014.</w:t>
      </w:r>
    </w:p>
    <w:p>
      <w:pPr>
        <w:spacing w:after="0" w:line="320"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These values were used to calculate a number of units awarded based on the closing share price on the date of grant and may not correlate to the value presented in our Summary Compensation Table on page 35. The values of PUs reflected in that table are based on a statistical option-value pricing model known as “Monte Carlo Valuation,” which is used for accounting purposes. We encourage you to review the Summary Compensation Table on page 35 and the subsequent tables.</w:t>
      </w:r>
    </w:p>
    <w:p>
      <w:pPr>
        <w:spacing w:after="0" w:line="85" w:lineRule="exact"/>
        <w:rPr>
          <w:sz w:val="20"/>
          <w:szCs w:val="20"/>
          <w:color w:val="auto"/>
        </w:rPr>
      </w:pPr>
    </w:p>
    <w:p>
      <w:pPr>
        <w:jc w:val="both"/>
        <w:ind w:left="1"/>
        <w:spacing w:after="0" w:line="242" w:lineRule="auto"/>
        <w:rPr>
          <w:sz w:val="20"/>
          <w:szCs w:val="20"/>
          <w:color w:val="auto"/>
        </w:rPr>
      </w:pPr>
      <w:r>
        <w:rPr>
          <w:rFonts w:ascii="Arial" w:cs="Arial" w:eastAsia="Arial" w:hAnsi="Arial"/>
          <w:sz w:val="12"/>
          <w:szCs w:val="12"/>
          <w:color w:val="auto"/>
        </w:rPr>
        <w:t>Of the above awards, the Committee granted 100% of the award to Dr. Duroc-Danner and Mr. Fontana in the form of PUs. The Committee granted the other NEOs 50% of their awards in PUs and 50% in RSUs. In determining to grant other NEOs a different equity mix, the Committee noted that the Company was alone among its peers in providing all long-term compensation solely in PUs for the CEO. Further, the Committee considered that a grant of entirely PUs may not be the most effective incentive for all NEOs, depending on such factors as the executive’s career tenure, level of responsibility within the Company, job function, and retention concerns.</w:t>
      </w:r>
    </w:p>
    <w:p>
      <w:pPr>
        <w:spacing w:after="0" w:line="87"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The 2013 PUs have a single three-year performance period (2013-2015 combined). The PUs will be settled in ordinary shares issued under our 2010 Omnibus Incentive Plan, with the actual number of shares to be issued based on a multiple of each executive’s targeted number of PUs. The performance multiplier is based on the Company’s absolute increase in share price, measured as compound annual growth rate (“CAGR”). The following table shows the number of shares each unit will vest into based on our three-year CAGR:</w:t>
      </w:r>
    </w:p>
    <w:p>
      <w:pPr>
        <w:spacing w:after="0" w:line="122" w:lineRule="exact"/>
        <w:rPr>
          <w:sz w:val="20"/>
          <w:szCs w:val="20"/>
          <w:color w:val="auto"/>
        </w:rPr>
      </w:pPr>
    </w:p>
    <w:tbl>
      <w:tblPr>
        <w:tblLayout w:type="fixed"/>
        <w:tblInd w:w="1" w:type="dxa"/>
        <w:tblCellMar>
          <w:top w:w="0" w:type="dxa"/>
          <w:left w:w="0" w:type="dxa"/>
          <w:bottom w:w="0" w:type="dxa"/>
          <w:right w:w="0" w:type="dxa"/>
        </w:tblCellMar>
      </w:tblPr>
      <w:tr>
        <w:trPr>
          <w:trHeight w:val="148"/>
        </w:trPr>
        <w:tc>
          <w:tcPr>
            <w:tcW w:w="5280" w:type="dxa"/>
            <w:vAlign w:val="bottom"/>
          </w:tcPr>
          <w:p>
            <w:pPr>
              <w:spacing w:after="0"/>
              <w:rPr>
                <w:sz w:val="20"/>
                <w:szCs w:val="20"/>
                <w:color w:val="auto"/>
              </w:rPr>
            </w:pPr>
            <w:r>
              <w:rPr>
                <w:rFonts w:ascii="Arial" w:cs="Arial" w:eastAsia="Arial" w:hAnsi="Arial"/>
                <w:sz w:val="12"/>
                <w:szCs w:val="12"/>
                <w:color w:val="auto"/>
              </w:rPr>
              <w:t>CAGR</w:t>
            </w:r>
          </w:p>
        </w:tc>
        <w:tc>
          <w:tcPr>
            <w:tcW w:w="6140" w:type="dxa"/>
            <w:vAlign w:val="bottom"/>
          </w:tcPr>
          <w:p>
            <w:pPr>
              <w:jc w:val="right"/>
              <w:spacing w:after="0"/>
              <w:rPr>
                <w:sz w:val="20"/>
                <w:szCs w:val="20"/>
                <w:color w:val="auto"/>
              </w:rPr>
            </w:pPr>
            <w:r>
              <w:rPr>
                <w:rFonts w:ascii="Arial" w:cs="Arial" w:eastAsia="Arial" w:hAnsi="Arial"/>
                <w:sz w:val="12"/>
                <w:szCs w:val="12"/>
                <w:color w:val="auto"/>
              </w:rPr>
              <w:t>Performance Multiplier</w:t>
            </w:r>
          </w:p>
        </w:tc>
      </w:tr>
      <w:tr>
        <w:trPr>
          <w:trHeight w:val="38"/>
        </w:trPr>
        <w:tc>
          <w:tcPr>
            <w:tcW w:w="5280" w:type="dxa"/>
            <w:vAlign w:val="bottom"/>
            <w:tcBorders>
              <w:bottom w:val="single" w:sz="8" w:color="auto"/>
            </w:tcBorders>
          </w:tcPr>
          <w:p>
            <w:pPr>
              <w:spacing w:after="0"/>
              <w:rPr>
                <w:sz w:val="3"/>
                <w:szCs w:val="3"/>
                <w:color w:val="auto"/>
              </w:rPr>
            </w:pPr>
          </w:p>
        </w:tc>
        <w:tc>
          <w:tcPr>
            <w:tcW w:w="6140" w:type="dxa"/>
            <w:vAlign w:val="bottom"/>
            <w:tcBorders>
              <w:bottom w:val="single" w:sz="8" w:color="auto"/>
            </w:tcBorders>
          </w:tcPr>
          <w:p>
            <w:pPr>
              <w:spacing w:after="0"/>
              <w:rPr>
                <w:sz w:val="3"/>
                <w:szCs w:val="3"/>
                <w:color w:val="auto"/>
              </w:rPr>
            </w:pPr>
          </w:p>
        </w:tc>
      </w:tr>
      <w:tr>
        <w:trPr>
          <w:trHeight w:val="177"/>
        </w:trPr>
        <w:tc>
          <w:tcPr>
            <w:tcW w:w="5280" w:type="dxa"/>
            <w:vAlign w:val="bottom"/>
          </w:tcPr>
          <w:p>
            <w:pPr>
              <w:spacing w:after="0"/>
              <w:rPr>
                <w:sz w:val="20"/>
                <w:szCs w:val="20"/>
                <w:color w:val="auto"/>
              </w:rPr>
            </w:pPr>
            <w:r>
              <w:rPr>
                <w:rFonts w:ascii="Arial" w:cs="Arial" w:eastAsia="Arial" w:hAnsi="Arial"/>
                <w:sz w:val="12"/>
                <w:szCs w:val="12"/>
                <w:color w:val="auto"/>
              </w:rPr>
              <w:t>20%+</w:t>
            </w:r>
          </w:p>
        </w:tc>
        <w:tc>
          <w:tcPr>
            <w:tcW w:w="6140" w:type="dxa"/>
            <w:vAlign w:val="bottom"/>
          </w:tcPr>
          <w:p>
            <w:pPr>
              <w:jc w:val="right"/>
              <w:spacing w:after="0"/>
              <w:rPr>
                <w:sz w:val="20"/>
                <w:szCs w:val="20"/>
                <w:color w:val="auto"/>
              </w:rPr>
            </w:pPr>
            <w:r>
              <w:rPr>
                <w:rFonts w:ascii="Arial" w:cs="Arial" w:eastAsia="Arial" w:hAnsi="Arial"/>
                <w:sz w:val="12"/>
                <w:szCs w:val="12"/>
                <w:color w:val="auto"/>
              </w:rPr>
              <w:t>2.0x</w:t>
            </w:r>
          </w:p>
        </w:tc>
      </w:tr>
      <w:tr>
        <w:trPr>
          <w:trHeight w:val="223"/>
        </w:trPr>
        <w:tc>
          <w:tcPr>
            <w:tcW w:w="5280" w:type="dxa"/>
            <w:vAlign w:val="bottom"/>
          </w:tcPr>
          <w:p>
            <w:pPr>
              <w:spacing w:after="0"/>
              <w:rPr>
                <w:sz w:val="20"/>
                <w:szCs w:val="20"/>
                <w:color w:val="auto"/>
              </w:rPr>
            </w:pPr>
            <w:r>
              <w:rPr>
                <w:rFonts w:ascii="Arial" w:cs="Arial" w:eastAsia="Arial" w:hAnsi="Arial"/>
                <w:sz w:val="12"/>
                <w:szCs w:val="12"/>
                <w:color w:val="auto"/>
              </w:rPr>
              <w:t>15%</w:t>
            </w:r>
          </w:p>
        </w:tc>
        <w:tc>
          <w:tcPr>
            <w:tcW w:w="6140" w:type="dxa"/>
            <w:vAlign w:val="bottom"/>
          </w:tcPr>
          <w:p>
            <w:pPr>
              <w:jc w:val="right"/>
              <w:spacing w:after="0"/>
              <w:rPr>
                <w:sz w:val="20"/>
                <w:szCs w:val="20"/>
                <w:color w:val="auto"/>
              </w:rPr>
            </w:pPr>
            <w:r>
              <w:rPr>
                <w:rFonts w:ascii="Arial" w:cs="Arial" w:eastAsia="Arial" w:hAnsi="Arial"/>
                <w:sz w:val="12"/>
                <w:szCs w:val="12"/>
                <w:color w:val="auto"/>
              </w:rPr>
              <w:t>1.0x</w:t>
            </w:r>
          </w:p>
        </w:tc>
      </w:tr>
      <w:tr>
        <w:trPr>
          <w:trHeight w:val="223"/>
        </w:trPr>
        <w:tc>
          <w:tcPr>
            <w:tcW w:w="5280" w:type="dxa"/>
            <w:vAlign w:val="bottom"/>
          </w:tcPr>
          <w:p>
            <w:pPr>
              <w:spacing w:after="0"/>
              <w:rPr>
                <w:sz w:val="20"/>
                <w:szCs w:val="20"/>
                <w:color w:val="auto"/>
              </w:rPr>
            </w:pPr>
            <w:r>
              <w:rPr>
                <w:rFonts w:ascii="Arial" w:cs="Arial" w:eastAsia="Arial" w:hAnsi="Arial"/>
                <w:sz w:val="12"/>
                <w:szCs w:val="12"/>
                <w:color w:val="auto"/>
              </w:rPr>
              <w:t>10%</w:t>
            </w:r>
          </w:p>
        </w:tc>
        <w:tc>
          <w:tcPr>
            <w:tcW w:w="6140" w:type="dxa"/>
            <w:vAlign w:val="bottom"/>
          </w:tcPr>
          <w:p>
            <w:pPr>
              <w:jc w:val="right"/>
              <w:spacing w:after="0"/>
              <w:rPr>
                <w:sz w:val="20"/>
                <w:szCs w:val="20"/>
                <w:color w:val="auto"/>
              </w:rPr>
            </w:pPr>
            <w:r>
              <w:rPr>
                <w:rFonts w:ascii="Arial" w:cs="Arial" w:eastAsia="Arial" w:hAnsi="Arial"/>
                <w:sz w:val="12"/>
                <w:szCs w:val="12"/>
                <w:color w:val="auto"/>
              </w:rPr>
              <w:t>0.5x</w:t>
            </w:r>
          </w:p>
        </w:tc>
      </w:tr>
      <w:tr>
        <w:trPr>
          <w:trHeight w:val="223"/>
        </w:trPr>
        <w:tc>
          <w:tcPr>
            <w:tcW w:w="5280" w:type="dxa"/>
            <w:vAlign w:val="bottom"/>
          </w:tcPr>
          <w:p>
            <w:pPr>
              <w:spacing w:after="0"/>
              <w:rPr>
                <w:sz w:val="20"/>
                <w:szCs w:val="20"/>
                <w:color w:val="auto"/>
              </w:rPr>
            </w:pPr>
            <w:r>
              <w:rPr>
                <w:rFonts w:ascii="Arial" w:cs="Arial" w:eastAsia="Arial" w:hAnsi="Arial"/>
                <w:sz w:val="12"/>
                <w:szCs w:val="12"/>
                <w:color w:val="auto"/>
              </w:rPr>
              <w:t>&lt;10%</w:t>
            </w:r>
          </w:p>
        </w:tc>
        <w:tc>
          <w:tcPr>
            <w:tcW w:w="6140" w:type="dxa"/>
            <w:vAlign w:val="bottom"/>
          </w:tcPr>
          <w:p>
            <w:pPr>
              <w:jc w:val="right"/>
              <w:spacing w:after="0"/>
              <w:rPr>
                <w:sz w:val="20"/>
                <w:szCs w:val="20"/>
                <w:color w:val="auto"/>
              </w:rPr>
            </w:pPr>
            <w:r>
              <w:rPr>
                <w:rFonts w:ascii="Arial" w:cs="Arial" w:eastAsia="Arial" w:hAnsi="Arial"/>
                <w:sz w:val="12"/>
                <w:szCs w:val="12"/>
                <w:color w:val="auto"/>
              </w:rPr>
              <w:t>0.0x</w:t>
            </w:r>
          </w:p>
        </w:tc>
      </w:tr>
      <w:tr>
        <w:trPr>
          <w:trHeight w:val="43"/>
        </w:trPr>
        <w:tc>
          <w:tcPr>
            <w:tcW w:w="5280" w:type="dxa"/>
            <w:vAlign w:val="bottom"/>
            <w:tcBorders>
              <w:bottom w:val="single" w:sz="8" w:color="auto"/>
            </w:tcBorders>
          </w:tcPr>
          <w:p>
            <w:pPr>
              <w:spacing w:after="0"/>
              <w:rPr>
                <w:sz w:val="3"/>
                <w:szCs w:val="3"/>
                <w:color w:val="auto"/>
              </w:rPr>
            </w:pPr>
          </w:p>
        </w:tc>
        <w:tc>
          <w:tcPr>
            <w:tcW w:w="6140" w:type="dxa"/>
            <w:vAlign w:val="bottom"/>
            <w:tcBorders>
              <w:bottom w:val="single" w:sz="8" w:color="auto"/>
            </w:tcBorders>
          </w:tcPr>
          <w:p>
            <w:pPr>
              <w:spacing w:after="0"/>
              <w:rPr>
                <w:sz w:val="3"/>
                <w:szCs w:val="3"/>
                <w:color w:val="auto"/>
              </w:rPr>
            </w:pPr>
          </w:p>
        </w:tc>
      </w:tr>
    </w:tbl>
    <w:p>
      <w:pPr>
        <w:spacing w:after="0" w:line="86" w:lineRule="exact"/>
        <w:rPr>
          <w:sz w:val="20"/>
          <w:szCs w:val="20"/>
          <w:color w:val="auto"/>
        </w:rPr>
      </w:pPr>
    </w:p>
    <w:p>
      <w:pPr>
        <w:ind w:left="1"/>
        <w:spacing w:after="0"/>
        <w:rPr>
          <w:sz w:val="20"/>
          <w:szCs w:val="20"/>
          <w:color w:val="auto"/>
        </w:rPr>
      </w:pPr>
      <w:r>
        <w:rPr>
          <w:rFonts w:ascii="Arial" w:cs="Arial" w:eastAsia="Arial" w:hAnsi="Arial"/>
          <w:sz w:val="12"/>
          <w:szCs w:val="12"/>
          <w:color w:val="auto"/>
        </w:rPr>
        <w:t>CAGR between 10% and 15% or between 15% and 20% would be interpolated (</w:t>
      </w:r>
      <w:r>
        <w:rPr>
          <w:rFonts w:ascii="Arial" w:cs="Arial" w:eastAsia="Arial" w:hAnsi="Arial"/>
          <w:sz w:val="12"/>
          <w:szCs w:val="12"/>
          <w:i w:val="1"/>
          <w:iCs w:val="1"/>
          <w:color w:val="auto"/>
        </w:rPr>
        <w:t>i.e.,</w:t>
      </w:r>
      <w:r>
        <w:rPr>
          <w:rFonts w:ascii="Arial" w:cs="Arial" w:eastAsia="Arial" w:hAnsi="Arial"/>
          <w:sz w:val="12"/>
          <w:szCs w:val="12"/>
          <w:color w:val="auto"/>
        </w:rPr>
        <w:t xml:space="preserve"> CAGR of 18% would yield a multiplier of 1.6x).</w:t>
      </w:r>
    </w:p>
    <w:p>
      <w:pPr>
        <w:spacing w:after="0" w:line="194" w:lineRule="exact"/>
        <w:rPr>
          <w:sz w:val="20"/>
          <w:szCs w:val="20"/>
          <w:color w:val="auto"/>
        </w:rPr>
      </w:pPr>
    </w:p>
    <w:p>
      <w:pPr>
        <w:ind w:left="1"/>
        <w:spacing w:after="0"/>
        <w:rPr>
          <w:sz w:val="20"/>
          <w:szCs w:val="20"/>
          <w:color w:val="auto"/>
        </w:rPr>
      </w:pPr>
      <w:r>
        <w:rPr>
          <w:rFonts w:ascii="Arial" w:cs="Arial" w:eastAsia="Arial" w:hAnsi="Arial"/>
          <w:sz w:val="12"/>
          <w:szCs w:val="12"/>
          <w:b w:val="1"/>
          <w:bCs w:val="1"/>
          <w:color w:val="auto"/>
        </w:rPr>
        <w:t>Rationale for certain grants</w:t>
      </w:r>
    </w:p>
    <w:p>
      <w:pPr>
        <w:spacing w:after="0" w:line="111" w:lineRule="exact"/>
        <w:rPr>
          <w:sz w:val="20"/>
          <w:szCs w:val="20"/>
          <w:color w:val="auto"/>
        </w:rPr>
      </w:pPr>
    </w:p>
    <w:p>
      <w:pPr>
        <w:jc w:val="both"/>
        <w:ind w:left="1"/>
        <w:spacing w:after="0"/>
        <w:rPr>
          <w:sz w:val="20"/>
          <w:szCs w:val="20"/>
          <w:color w:val="auto"/>
        </w:rPr>
      </w:pPr>
      <w:r>
        <w:rPr>
          <w:rFonts w:ascii="Arial" w:cs="Arial" w:eastAsia="Arial" w:hAnsi="Arial"/>
          <w:sz w:val="12"/>
          <w:szCs w:val="12"/>
          <w:color w:val="auto"/>
        </w:rPr>
        <w:t>As mentioned above, in November 2013 the Company granted Mr. Shivram restricted shares valued at $3.9 million in connection with his joining the Company as its new Executive Vice President and Chief Financial Officer. In doing this, the Committee took into account Mr. Shivram’s career of over 25 years in financial and operational management in the oilfield service industry, including his tenure at a major competitor and member of our peer group, as well as his experience in financial accounting, income taxes, corporate finance, and mergers and acquisitions. The Company determined that Mr. Shivram was ideally suited to address the Company’s challenges, including overcoming its past material weaknesses in income tax accounting, and position the Company for long-term improvement and growth of shareholder value, in terms of higher earnings, cost reduction, capital efficiency, net debt reduction, and acquisition and divestiture activity. The Company acknowledged the considerable value that Mr. Shivram would lose by leaving his former employer, and decided that it was in the Company’s best interest to award Mr. Shivram a “make-whole” award that would replace 100% of the value he was forfeiting by leaving his prior employer, as well as be competitive in the marketplace for talented financial professionals and tie Mr. Shivram’s compensation further to the Company’s financial results and align his position with the Company’s shareholders.</w:t>
      </w:r>
    </w:p>
    <w:p>
      <w:pPr>
        <w:spacing w:after="0" w:line="223" w:lineRule="exact"/>
        <w:rPr>
          <w:sz w:val="20"/>
          <w:szCs w:val="20"/>
          <w:color w:val="auto"/>
        </w:rPr>
      </w:pPr>
    </w:p>
    <w:p>
      <w:pPr>
        <w:jc w:val="both"/>
        <w:ind w:left="1"/>
        <w:spacing w:after="0" w:line="239" w:lineRule="auto"/>
        <w:rPr>
          <w:sz w:val="20"/>
          <w:szCs w:val="20"/>
          <w:color w:val="auto"/>
        </w:rPr>
      </w:pPr>
      <w:r>
        <w:rPr>
          <w:rFonts w:ascii="Arial" w:cs="Arial" w:eastAsia="Arial" w:hAnsi="Arial"/>
          <w:sz w:val="12"/>
          <w:szCs w:val="12"/>
          <w:color w:val="auto"/>
        </w:rPr>
        <w:t>While the shares awarded to Mr. Shivram vested immediately on the effective date of grant (November 6, 2013), they are subject to a three-year lock-up period during which, except as provided in the following sentences, they cannot be sold or otherwise disposed of. The transfer restriction lapses in three equal installments on November 6, 2014, 2015, and 2016, so that on each such date, one-third of the total number of shares becomes free of the restriction. If Mr. Shivram's employment with the Company terminates prior to November 6, 2016 (i) due to death or “disability,” (ii) by Mr. Shivram for “good reason”, or (iii) by the Company for any reason other than “cause,” then, in any such event, the transfer restriction lapses as to all the shares. If Mr. Shivram's employment with the Company terminates prior to November 6, 2016 for any reason other than his death or “disability,” or is terminated by him for any reason other than “good reason” (regardless if the Company disputes the basis of such termination), or by the Company for “cause,” then any transfer restriction that has not previously lapsed will not lapse, and any shares with respect to which the transfer restriction has not lapsed will be forfeited and returned to the Company. (For the meanings of the words in quotation marks, see “Executive Employment Agreements” on page 33.) The Committee believes that these arrangements are suitable for an award of this type, and also serve as a retention mechanism, and concluded that all aspects of the award were reasonable and competitive.</w:t>
      </w:r>
    </w:p>
    <w:p>
      <w:pPr>
        <w:spacing w:after="0" w:line="189" w:lineRule="exact"/>
        <w:rPr>
          <w:sz w:val="20"/>
          <w:szCs w:val="20"/>
          <w:color w:val="auto"/>
        </w:rPr>
      </w:pPr>
    </w:p>
    <w:p>
      <w:pPr>
        <w:ind w:left="301" w:hanging="301"/>
        <w:spacing w:after="0"/>
        <w:tabs>
          <w:tab w:leader="none" w:pos="301" w:val="left"/>
        </w:tabs>
        <w:numPr>
          <w:ilvl w:val="0"/>
          <w:numId w:val="39"/>
        </w:numPr>
        <w:rPr>
          <w:rFonts w:ascii="Arial" w:cs="Arial" w:eastAsia="Arial" w:hAnsi="Arial"/>
          <w:sz w:val="12"/>
          <w:szCs w:val="12"/>
          <w:b w:val="1"/>
          <w:bCs w:val="1"/>
          <w:color w:val="auto"/>
        </w:rPr>
      </w:pPr>
      <w:r>
        <w:rPr>
          <w:rFonts w:ascii="Arial" w:cs="Arial" w:eastAsia="Arial" w:hAnsi="Arial"/>
          <w:sz w:val="12"/>
          <w:szCs w:val="12"/>
          <w:color w:val="auto"/>
        </w:rPr>
        <w:t>Weatherford International plc - 2014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8370" cy="203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sectPr>
      </w:pPr>
    </w:p>
    <w:bookmarkStart w:id="48" w:name="page49"/>
    <w:bookmarkEnd w:id="48"/>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47" w:lineRule="exact"/>
        <w:rPr>
          <w:sz w:val="20"/>
          <w:szCs w:val="20"/>
          <w:color w:val="auto"/>
        </w:rPr>
      </w:pPr>
    </w:p>
    <w:tbl>
      <w:tblPr>
        <w:tblLayout w:type="fixed"/>
        <w:tblInd w:w="1" w:type="dxa"/>
        <w:tblCellMar>
          <w:top w:w="0" w:type="dxa"/>
          <w:left w:w="0" w:type="dxa"/>
          <w:bottom w:w="0" w:type="dxa"/>
          <w:right w:w="0" w:type="dxa"/>
        </w:tblCellMar>
      </w:tblPr>
      <w:tr>
        <w:trPr>
          <w:trHeight w:val="215"/>
        </w:trPr>
        <w:tc>
          <w:tcPr>
            <w:tcW w:w="9600" w:type="dxa"/>
            <w:vAlign w:val="bottom"/>
          </w:tcPr>
          <w:p>
            <w:pPr>
              <w:spacing w:after="0"/>
              <w:rPr>
                <w:sz w:val="18"/>
                <w:szCs w:val="18"/>
                <w:color w:val="auto"/>
              </w:rPr>
            </w:pPr>
          </w:p>
        </w:tc>
        <w:tc>
          <w:tcPr>
            <w:tcW w:w="1820" w:type="dxa"/>
            <w:vAlign w:val="bottom"/>
            <w:tcBorders>
              <w:bottom w:val="single" w:sz="8" w:color="BB1131"/>
            </w:tcBorders>
            <w:shd w:val="clear" w:color="auto" w:fill="BB1131"/>
          </w:tcPr>
          <w:p>
            <w:pPr>
              <w:jc w:val="right"/>
              <w:spacing w:after="0"/>
              <w:rPr>
                <w:sz w:val="20"/>
                <w:szCs w:val="20"/>
                <w:color w:val="auto"/>
              </w:rPr>
            </w:pPr>
            <w:r>
              <w:rPr>
                <w:rFonts w:ascii="Arial" w:cs="Arial" w:eastAsia="Arial" w:hAnsi="Arial"/>
                <w:sz w:val="12"/>
                <w:szCs w:val="12"/>
                <w:b w:val="1"/>
                <w:bCs w:val="1"/>
                <w:color w:val="FFFFFF"/>
                <w:shd w:val="clear" w:color="auto" w:fill="BB1131"/>
              </w:rPr>
              <w:t>EXECUTIVE COMPENSATION</w:t>
            </w:r>
          </w:p>
        </w:tc>
      </w:tr>
      <w:tr>
        <w:trPr>
          <w:trHeight w:val="296"/>
        </w:trPr>
        <w:tc>
          <w:tcPr>
            <w:tcW w:w="9600" w:type="dxa"/>
            <w:vAlign w:val="bottom"/>
          </w:tcPr>
          <w:p>
            <w:pPr>
              <w:spacing w:after="0"/>
              <w:rPr>
                <w:sz w:val="20"/>
                <w:szCs w:val="20"/>
                <w:color w:val="auto"/>
              </w:rPr>
            </w:pPr>
            <w:r>
              <w:rPr>
                <w:rFonts w:ascii="Arial" w:cs="Arial" w:eastAsia="Arial" w:hAnsi="Arial"/>
                <w:sz w:val="12"/>
                <w:szCs w:val="12"/>
                <w:b w:val="1"/>
                <w:bCs w:val="1"/>
                <w:color w:val="auto"/>
              </w:rPr>
              <w:t>Grants in 2014</w:t>
            </w:r>
          </w:p>
        </w:tc>
        <w:tc>
          <w:tcPr>
            <w:tcW w:w="1820" w:type="dxa"/>
            <w:vAlign w:val="bottom"/>
          </w:tcPr>
          <w:p>
            <w:pPr>
              <w:spacing w:after="0"/>
              <w:rPr>
                <w:sz w:val="24"/>
                <w:szCs w:val="24"/>
                <w:color w:val="auto"/>
              </w:rPr>
            </w:pPr>
          </w:p>
        </w:tc>
      </w:tr>
      <w:tr>
        <w:trPr>
          <w:trHeight w:val="235"/>
        </w:trPr>
        <w:tc>
          <w:tcPr>
            <w:tcW w:w="9600" w:type="dxa"/>
            <w:vAlign w:val="bottom"/>
          </w:tcPr>
          <w:p>
            <w:pPr>
              <w:spacing w:after="0"/>
              <w:rPr>
                <w:sz w:val="20"/>
                <w:szCs w:val="20"/>
                <w:color w:val="auto"/>
              </w:rPr>
            </w:pPr>
            <w:r>
              <w:rPr>
                <w:rFonts w:ascii="Arial" w:cs="Arial" w:eastAsia="Arial" w:hAnsi="Arial"/>
                <w:sz w:val="12"/>
                <w:szCs w:val="12"/>
                <w:color w:val="auto"/>
              </w:rPr>
              <w:t>In February 2014, the Committee awarded long-term equity incentives of the following values to our NEOs, based on market comparisons:</w:t>
            </w:r>
          </w:p>
        </w:tc>
        <w:tc>
          <w:tcPr>
            <w:tcW w:w="1820" w:type="dxa"/>
            <w:vAlign w:val="bottom"/>
          </w:tcPr>
          <w:p>
            <w:pPr>
              <w:spacing w:after="0"/>
              <w:rPr>
                <w:sz w:val="20"/>
                <w:szCs w:val="20"/>
                <w:color w:val="auto"/>
              </w:rPr>
            </w:pPr>
          </w:p>
        </w:tc>
      </w:tr>
      <w:tr>
        <w:trPr>
          <w:trHeight w:val="272"/>
        </w:trPr>
        <w:tc>
          <w:tcPr>
            <w:tcW w:w="9600" w:type="dxa"/>
            <w:vAlign w:val="bottom"/>
          </w:tcPr>
          <w:p>
            <w:pPr>
              <w:spacing w:after="0"/>
              <w:rPr>
                <w:sz w:val="20"/>
                <w:szCs w:val="20"/>
                <w:color w:val="auto"/>
              </w:rPr>
            </w:pPr>
            <w:r>
              <w:rPr>
                <w:rFonts w:ascii="Arial" w:cs="Arial" w:eastAsia="Arial" w:hAnsi="Arial"/>
                <w:sz w:val="12"/>
                <w:szCs w:val="12"/>
                <w:color w:val="auto"/>
              </w:rPr>
              <w:t>Executive</w:t>
            </w:r>
          </w:p>
        </w:tc>
        <w:tc>
          <w:tcPr>
            <w:tcW w:w="1820" w:type="dxa"/>
            <w:vAlign w:val="bottom"/>
          </w:tcPr>
          <w:p>
            <w:pPr>
              <w:jc w:val="right"/>
              <w:spacing w:after="0"/>
              <w:rPr>
                <w:sz w:val="20"/>
                <w:szCs w:val="20"/>
                <w:color w:val="auto"/>
              </w:rPr>
            </w:pPr>
            <w:r>
              <w:rPr>
                <w:rFonts w:ascii="Arial" w:cs="Arial" w:eastAsia="Arial" w:hAnsi="Arial"/>
                <w:sz w:val="12"/>
                <w:szCs w:val="12"/>
                <w:color w:val="auto"/>
              </w:rPr>
              <w:t>2014 Award</w:t>
            </w:r>
          </w:p>
        </w:tc>
      </w:tr>
      <w:tr>
        <w:trPr>
          <w:trHeight w:val="38"/>
        </w:trPr>
        <w:tc>
          <w:tcPr>
            <w:tcW w:w="960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r>
      <w:tr>
        <w:trPr>
          <w:trHeight w:val="177"/>
        </w:trPr>
        <w:tc>
          <w:tcPr>
            <w:tcW w:w="9600" w:type="dxa"/>
            <w:vAlign w:val="bottom"/>
          </w:tcPr>
          <w:p>
            <w:pPr>
              <w:spacing w:after="0"/>
              <w:rPr>
                <w:sz w:val="20"/>
                <w:szCs w:val="20"/>
                <w:color w:val="auto"/>
              </w:rPr>
            </w:pPr>
            <w:r>
              <w:rPr>
                <w:rFonts w:ascii="Arial" w:cs="Arial" w:eastAsia="Arial" w:hAnsi="Arial"/>
                <w:sz w:val="12"/>
                <w:szCs w:val="12"/>
                <w:color w:val="auto"/>
              </w:rPr>
              <w:t>Dr. Duroc-Danner</w:t>
            </w:r>
          </w:p>
        </w:tc>
        <w:tc>
          <w:tcPr>
            <w:tcW w:w="1820" w:type="dxa"/>
            <w:vAlign w:val="bottom"/>
          </w:tcPr>
          <w:p>
            <w:pPr>
              <w:jc w:val="right"/>
              <w:spacing w:after="0"/>
              <w:rPr>
                <w:sz w:val="20"/>
                <w:szCs w:val="20"/>
                <w:color w:val="auto"/>
              </w:rPr>
            </w:pPr>
            <w:r>
              <w:rPr>
                <w:rFonts w:ascii="Arial" w:cs="Arial" w:eastAsia="Arial" w:hAnsi="Arial"/>
                <w:sz w:val="12"/>
                <w:szCs w:val="12"/>
                <w:color w:val="auto"/>
              </w:rPr>
              <w:t>$8,000,000</w:t>
            </w:r>
          </w:p>
        </w:tc>
      </w:tr>
      <w:tr>
        <w:trPr>
          <w:trHeight w:val="223"/>
        </w:trPr>
        <w:tc>
          <w:tcPr>
            <w:tcW w:w="9600" w:type="dxa"/>
            <w:vAlign w:val="bottom"/>
          </w:tcPr>
          <w:p>
            <w:pPr>
              <w:spacing w:after="0"/>
              <w:rPr>
                <w:sz w:val="20"/>
                <w:szCs w:val="20"/>
                <w:color w:val="auto"/>
              </w:rPr>
            </w:pPr>
            <w:r>
              <w:rPr>
                <w:rFonts w:ascii="Arial" w:cs="Arial" w:eastAsia="Arial" w:hAnsi="Arial"/>
                <w:sz w:val="12"/>
                <w:szCs w:val="12"/>
                <w:color w:val="auto"/>
              </w:rPr>
              <w:t>Mr. Shivram</w:t>
            </w:r>
          </w:p>
        </w:tc>
        <w:tc>
          <w:tcPr>
            <w:tcW w:w="1820" w:type="dxa"/>
            <w:vAlign w:val="bottom"/>
          </w:tcPr>
          <w:p>
            <w:pPr>
              <w:jc w:val="right"/>
              <w:spacing w:after="0"/>
              <w:rPr>
                <w:sz w:val="20"/>
                <w:szCs w:val="20"/>
                <w:color w:val="auto"/>
              </w:rPr>
            </w:pPr>
            <w:r>
              <w:rPr>
                <w:rFonts w:ascii="Arial" w:cs="Arial" w:eastAsia="Arial" w:hAnsi="Arial"/>
                <w:sz w:val="12"/>
                <w:szCs w:val="12"/>
                <w:color w:val="auto"/>
              </w:rPr>
              <w:t>$3,000,000</w:t>
            </w:r>
          </w:p>
        </w:tc>
      </w:tr>
      <w:tr>
        <w:trPr>
          <w:trHeight w:val="223"/>
        </w:trPr>
        <w:tc>
          <w:tcPr>
            <w:tcW w:w="9600" w:type="dxa"/>
            <w:vAlign w:val="bottom"/>
          </w:tcPr>
          <w:p>
            <w:pPr>
              <w:spacing w:after="0"/>
              <w:rPr>
                <w:sz w:val="20"/>
                <w:szCs w:val="20"/>
                <w:color w:val="auto"/>
              </w:rPr>
            </w:pPr>
            <w:r>
              <w:rPr>
                <w:rFonts w:ascii="Arial" w:cs="Arial" w:eastAsia="Arial" w:hAnsi="Arial"/>
                <w:sz w:val="12"/>
                <w:szCs w:val="12"/>
                <w:color w:val="auto"/>
              </w:rPr>
              <w:t>Mr. Mehta</w:t>
            </w:r>
          </w:p>
        </w:tc>
        <w:tc>
          <w:tcPr>
            <w:tcW w:w="1820" w:type="dxa"/>
            <w:vAlign w:val="bottom"/>
          </w:tcPr>
          <w:p>
            <w:pPr>
              <w:jc w:val="right"/>
              <w:spacing w:after="0"/>
              <w:rPr>
                <w:sz w:val="20"/>
                <w:szCs w:val="20"/>
                <w:color w:val="auto"/>
              </w:rPr>
            </w:pPr>
            <w:r>
              <w:rPr>
                <w:rFonts w:ascii="Arial" w:cs="Arial" w:eastAsia="Arial" w:hAnsi="Arial"/>
                <w:sz w:val="12"/>
                <w:szCs w:val="12"/>
                <w:color w:val="auto"/>
              </w:rPr>
              <w:t>$3,000,000</w:t>
            </w:r>
          </w:p>
        </w:tc>
      </w:tr>
      <w:tr>
        <w:trPr>
          <w:trHeight w:val="316"/>
        </w:trPr>
        <w:tc>
          <w:tcPr>
            <w:tcW w:w="96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Mr. Jacobson</w:t>
            </w:r>
            <w:r>
              <w:rPr>
                <w:rFonts w:ascii="Arial" w:cs="Arial" w:eastAsia="Arial" w:hAnsi="Arial"/>
                <w:sz w:val="20"/>
                <w:szCs w:val="20"/>
                <w:color w:val="auto"/>
                <w:vertAlign w:val="superscript"/>
              </w:rPr>
              <w:t>(a)</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w:t>
            </w:r>
          </w:p>
        </w:tc>
      </w:tr>
    </w:tbl>
    <w:p>
      <w:pPr>
        <w:spacing w:after="0" w:line="136" w:lineRule="exact"/>
        <w:rPr>
          <w:sz w:val="20"/>
          <w:szCs w:val="20"/>
          <w:color w:val="auto"/>
        </w:rPr>
      </w:pPr>
    </w:p>
    <w:p>
      <w:pPr>
        <w:ind w:left="1"/>
        <w:spacing w:after="0"/>
        <w:rPr>
          <w:sz w:val="20"/>
          <w:szCs w:val="20"/>
          <w:color w:val="auto"/>
        </w:rPr>
      </w:pPr>
      <w:r>
        <w:rPr>
          <w:rFonts w:ascii="Arial" w:cs="Arial" w:eastAsia="Arial" w:hAnsi="Arial"/>
          <w:sz w:val="12"/>
          <w:szCs w:val="12"/>
          <w:color w:val="auto"/>
        </w:rPr>
        <w:t>(a) Mr. Jacobson left the Company effective July 3, 2014.</w:t>
      </w:r>
    </w:p>
    <w:p>
      <w:pPr>
        <w:spacing w:after="0" w:line="370"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For each of the officers who received awards, the Committee determined to grant 50% of awards in PUs and 50% in RSUs. This differs from the previous year, when the Committee granted 100% of our CEO’s and COO’s award to each of them in PUs and, for the other executives, 50% in the form of PUs and 50% in RSUs. The Committee made this change in order to align the CEO’s and COO’s mix of long-term incentives with that of the remaining executive team and to more closely reflect the mix of stock awards to our peer group.</w:t>
      </w:r>
    </w:p>
    <w:p>
      <w:pPr>
        <w:spacing w:after="0" w:line="85" w:lineRule="exact"/>
        <w:rPr>
          <w:sz w:val="20"/>
          <w:szCs w:val="20"/>
          <w:color w:val="auto"/>
        </w:rPr>
      </w:pPr>
    </w:p>
    <w:p>
      <w:pPr>
        <w:ind w:left="1"/>
        <w:spacing w:after="0"/>
        <w:rPr>
          <w:sz w:val="20"/>
          <w:szCs w:val="20"/>
          <w:color w:val="auto"/>
        </w:rPr>
      </w:pPr>
      <w:r>
        <w:rPr>
          <w:rFonts w:ascii="Arial" w:cs="Arial" w:eastAsia="Arial" w:hAnsi="Arial"/>
          <w:sz w:val="12"/>
          <w:szCs w:val="12"/>
          <w:color w:val="auto"/>
        </w:rPr>
        <w:t>The RSUs vest over three years, with 1/3 of the awarded RSUs vesting each year.</w:t>
      </w:r>
    </w:p>
    <w:p>
      <w:pPr>
        <w:spacing w:after="0" w:line="97" w:lineRule="exact"/>
        <w:rPr>
          <w:sz w:val="20"/>
          <w:szCs w:val="20"/>
          <w:color w:val="auto"/>
        </w:rPr>
      </w:pPr>
    </w:p>
    <w:p>
      <w:pPr>
        <w:jc w:val="both"/>
        <w:ind w:left="1"/>
        <w:spacing w:after="0" w:line="242" w:lineRule="auto"/>
        <w:rPr>
          <w:sz w:val="20"/>
          <w:szCs w:val="20"/>
          <w:color w:val="auto"/>
        </w:rPr>
      </w:pPr>
      <w:r>
        <w:rPr>
          <w:rFonts w:ascii="Arial" w:cs="Arial" w:eastAsia="Arial" w:hAnsi="Arial"/>
          <w:sz w:val="12"/>
          <w:szCs w:val="12"/>
          <w:color w:val="auto"/>
        </w:rPr>
        <w:t>The PUs will vest over three years, with 1/3 of the awarded number of units vesting (or if the baseline performance goal is not met, being forfeited) each year. Each year’s vesting of PUs is calculated independently so that under-performance in any one year is not offset by over-performance in any other year. The PUs will be settled in ordinary shares issued under our 2010 Omnibus Incentive Plan, with the actual number of shares to be issued based on a multiple of each executive’s targeted number of PUs. At each vesting point, the number of shares to be issued will be based on the Company’s stock price at the end of the vesting period, i.e., the stock price as of the last trading day of each calendar year 2014, 2015 and 2016. The following table shows how the level of vesting will be calculated:</w:t>
      </w:r>
    </w:p>
    <w:p>
      <w:pPr>
        <w:spacing w:after="0" w:line="130" w:lineRule="exact"/>
        <w:rPr>
          <w:sz w:val="20"/>
          <w:szCs w:val="20"/>
          <w:color w:val="auto"/>
        </w:rPr>
      </w:pPr>
    </w:p>
    <w:tbl>
      <w:tblPr>
        <w:tblLayout w:type="fixed"/>
        <w:tblInd w:w="1" w:type="dxa"/>
        <w:tblCellMar>
          <w:top w:w="0" w:type="dxa"/>
          <w:left w:w="0" w:type="dxa"/>
          <w:bottom w:w="0" w:type="dxa"/>
          <w:right w:w="0" w:type="dxa"/>
        </w:tblCellMar>
      </w:tblPr>
      <w:tr>
        <w:trPr>
          <w:trHeight w:val="230"/>
        </w:trPr>
        <w:tc>
          <w:tcPr>
            <w:tcW w:w="30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5420" w:type="dxa"/>
            <w:vAlign w:val="bottom"/>
            <w:gridSpan w:val="4"/>
          </w:tcPr>
          <w:p>
            <w:pPr>
              <w:jc w:val="right"/>
              <w:ind w:right="20"/>
              <w:spacing w:after="0"/>
              <w:rPr>
                <w:sz w:val="20"/>
                <w:szCs w:val="20"/>
                <w:color w:val="auto"/>
              </w:rPr>
            </w:pPr>
            <w:r>
              <w:rPr>
                <w:rFonts w:ascii="Arial" w:cs="Arial" w:eastAsia="Arial" w:hAnsi="Arial"/>
                <w:sz w:val="12"/>
                <w:szCs w:val="12"/>
                <w:color w:val="auto"/>
              </w:rPr>
              <w:t>Company Stock Price ($ per share) on the last trading day of the calendar year ending</w:t>
            </w:r>
            <w:r>
              <w:rPr>
                <w:rFonts w:ascii="Arial" w:cs="Arial" w:eastAsia="Arial" w:hAnsi="Arial"/>
                <w:sz w:val="20"/>
                <w:szCs w:val="20"/>
                <w:color w:val="auto"/>
                <w:vertAlign w:val="superscript"/>
              </w:rPr>
              <w:t>(c)</w:t>
            </w: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3"/>
        </w:trPr>
        <w:tc>
          <w:tcPr>
            <w:tcW w:w="3060" w:type="dxa"/>
            <w:vAlign w:val="bottom"/>
          </w:tcPr>
          <w:p>
            <w:pPr>
              <w:spacing w:after="0"/>
              <w:rPr>
                <w:sz w:val="10"/>
                <w:szCs w:val="10"/>
                <w:color w:val="auto"/>
              </w:rPr>
            </w:pPr>
          </w:p>
        </w:tc>
        <w:tc>
          <w:tcPr>
            <w:tcW w:w="2960" w:type="dxa"/>
            <w:vAlign w:val="bottom"/>
          </w:tcPr>
          <w:p>
            <w:pPr>
              <w:jc w:val="right"/>
              <w:ind w:right="179"/>
              <w:spacing w:after="0" w:line="123" w:lineRule="exact"/>
              <w:rPr>
                <w:sz w:val="20"/>
                <w:szCs w:val="20"/>
                <w:color w:val="auto"/>
              </w:rPr>
            </w:pPr>
            <w:r>
              <w:rPr>
                <w:rFonts w:ascii="Arial" w:cs="Arial" w:eastAsia="Arial" w:hAnsi="Arial"/>
                <w:sz w:val="12"/>
                <w:szCs w:val="12"/>
                <w:color w:val="auto"/>
              </w:rPr>
              <w:t>Conversion</w:t>
            </w:r>
          </w:p>
        </w:tc>
        <w:tc>
          <w:tcPr>
            <w:tcW w:w="1780" w:type="dxa"/>
            <w:vAlign w:val="bottom"/>
            <w:tcBorders>
              <w:top w:val="single" w:sz="8" w:color="auto"/>
            </w:tcBorders>
          </w:tcPr>
          <w:p>
            <w:pPr>
              <w:spacing w:after="0"/>
              <w:rPr>
                <w:sz w:val="10"/>
                <w:szCs w:val="10"/>
                <w:color w:val="auto"/>
              </w:rPr>
            </w:pPr>
          </w:p>
        </w:tc>
        <w:tc>
          <w:tcPr>
            <w:tcW w:w="1880" w:type="dxa"/>
            <w:vAlign w:val="bottom"/>
            <w:tcBorders>
              <w:top w:val="single" w:sz="8" w:color="auto"/>
            </w:tcBorders>
          </w:tcPr>
          <w:p>
            <w:pPr>
              <w:spacing w:after="0"/>
              <w:rPr>
                <w:sz w:val="10"/>
                <w:szCs w:val="10"/>
                <w:color w:val="auto"/>
              </w:rPr>
            </w:pPr>
          </w:p>
        </w:tc>
        <w:tc>
          <w:tcPr>
            <w:tcW w:w="17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3060" w:type="dxa"/>
            <w:vAlign w:val="bottom"/>
          </w:tcPr>
          <w:p>
            <w:pPr>
              <w:spacing w:after="0" w:line="168" w:lineRule="exact"/>
              <w:rPr>
                <w:sz w:val="20"/>
                <w:szCs w:val="20"/>
                <w:color w:val="auto"/>
              </w:rPr>
            </w:pPr>
            <w:r>
              <w:rPr>
                <w:rFonts w:ascii="Arial" w:cs="Arial" w:eastAsia="Arial" w:hAnsi="Arial"/>
                <w:sz w:val="12"/>
                <w:szCs w:val="12"/>
                <w:color w:val="auto"/>
              </w:rPr>
              <w:t>Performance Goal</w:t>
            </w:r>
            <w:r>
              <w:rPr>
                <w:rFonts w:ascii="Arial" w:cs="Arial" w:eastAsia="Arial" w:hAnsi="Arial"/>
                <w:sz w:val="19"/>
                <w:szCs w:val="19"/>
                <w:color w:val="auto"/>
                <w:vertAlign w:val="superscript"/>
              </w:rPr>
              <w:t>(a)</w:t>
            </w:r>
          </w:p>
        </w:tc>
        <w:tc>
          <w:tcPr>
            <w:tcW w:w="2960" w:type="dxa"/>
            <w:vAlign w:val="bottom"/>
          </w:tcPr>
          <w:p>
            <w:pPr>
              <w:jc w:val="right"/>
              <w:ind w:right="179"/>
              <w:spacing w:after="0" w:line="168" w:lineRule="exact"/>
              <w:rPr>
                <w:sz w:val="20"/>
                <w:szCs w:val="20"/>
                <w:color w:val="auto"/>
              </w:rPr>
            </w:pPr>
            <w:r>
              <w:rPr>
                <w:rFonts w:ascii="Arial" w:cs="Arial" w:eastAsia="Arial" w:hAnsi="Arial"/>
                <w:sz w:val="12"/>
                <w:szCs w:val="12"/>
                <w:color w:val="auto"/>
              </w:rPr>
              <w:t>Percentage</w:t>
            </w:r>
            <w:r>
              <w:rPr>
                <w:rFonts w:ascii="Arial" w:cs="Arial" w:eastAsia="Arial" w:hAnsi="Arial"/>
                <w:sz w:val="19"/>
                <w:szCs w:val="19"/>
                <w:color w:val="auto"/>
                <w:vertAlign w:val="superscript"/>
              </w:rPr>
              <w:t>(b)</w:t>
            </w:r>
          </w:p>
        </w:tc>
        <w:tc>
          <w:tcPr>
            <w:tcW w:w="1780" w:type="dxa"/>
            <w:vAlign w:val="bottom"/>
          </w:tcPr>
          <w:p>
            <w:pPr>
              <w:jc w:val="right"/>
              <w:ind w:right="78"/>
              <w:spacing w:after="0"/>
              <w:rPr>
                <w:sz w:val="20"/>
                <w:szCs w:val="20"/>
                <w:color w:val="auto"/>
              </w:rPr>
            </w:pPr>
            <w:r>
              <w:rPr>
                <w:rFonts w:ascii="Arial" w:cs="Arial" w:eastAsia="Arial" w:hAnsi="Arial"/>
                <w:sz w:val="12"/>
                <w:szCs w:val="12"/>
                <w:color w:val="auto"/>
              </w:rPr>
              <w:t>December 31, 2014</w:t>
            </w:r>
          </w:p>
        </w:tc>
        <w:tc>
          <w:tcPr>
            <w:tcW w:w="1880" w:type="dxa"/>
            <w:vAlign w:val="bottom"/>
          </w:tcPr>
          <w:p>
            <w:pPr>
              <w:jc w:val="right"/>
              <w:ind w:right="78"/>
              <w:spacing w:after="0"/>
              <w:rPr>
                <w:sz w:val="20"/>
                <w:szCs w:val="20"/>
                <w:color w:val="auto"/>
              </w:rPr>
            </w:pPr>
            <w:r>
              <w:rPr>
                <w:rFonts w:ascii="Arial" w:cs="Arial" w:eastAsia="Arial" w:hAnsi="Arial"/>
                <w:sz w:val="12"/>
                <w:szCs w:val="12"/>
                <w:color w:val="auto"/>
              </w:rPr>
              <w:t>December 31, 2015</w:t>
            </w:r>
          </w:p>
        </w:tc>
        <w:tc>
          <w:tcPr>
            <w:tcW w:w="1760" w:type="dxa"/>
            <w:vAlign w:val="bottom"/>
            <w:gridSpan w:val="2"/>
          </w:tcPr>
          <w:p>
            <w:pPr>
              <w:jc w:val="right"/>
              <w:ind w:right="20"/>
              <w:spacing w:after="0"/>
              <w:rPr>
                <w:sz w:val="20"/>
                <w:szCs w:val="20"/>
                <w:color w:val="auto"/>
              </w:rPr>
            </w:pPr>
            <w:r>
              <w:rPr>
                <w:rFonts w:ascii="Arial" w:cs="Arial" w:eastAsia="Arial" w:hAnsi="Arial"/>
                <w:sz w:val="12"/>
                <w:szCs w:val="12"/>
                <w:color w:val="auto"/>
              </w:rPr>
              <w:t>December 31, 2016</w:t>
            </w:r>
          </w:p>
        </w:tc>
        <w:tc>
          <w:tcPr>
            <w:tcW w:w="0" w:type="dxa"/>
            <w:vAlign w:val="bottom"/>
          </w:tcPr>
          <w:p>
            <w:pPr>
              <w:spacing w:after="0"/>
              <w:rPr>
                <w:sz w:val="1"/>
                <w:szCs w:val="1"/>
                <w:color w:val="auto"/>
              </w:rPr>
            </w:pPr>
          </w:p>
        </w:tc>
      </w:tr>
      <w:tr>
        <w:trPr>
          <w:trHeight w:val="128"/>
        </w:trPr>
        <w:tc>
          <w:tcPr>
            <w:tcW w:w="3060" w:type="dxa"/>
            <w:vAlign w:val="bottom"/>
            <w:tcBorders>
              <w:top w:val="single" w:sz="8" w:color="auto"/>
            </w:tcBorders>
          </w:tcPr>
          <w:p>
            <w:pPr>
              <w:spacing w:after="0" w:line="128" w:lineRule="exact"/>
              <w:rPr>
                <w:sz w:val="20"/>
                <w:szCs w:val="20"/>
                <w:color w:val="auto"/>
              </w:rPr>
            </w:pPr>
            <w:r>
              <w:rPr>
                <w:rFonts w:ascii="Arial" w:cs="Arial" w:eastAsia="Arial" w:hAnsi="Arial"/>
                <w:sz w:val="12"/>
                <w:szCs w:val="12"/>
                <w:color w:val="auto"/>
              </w:rPr>
              <w:t>Less than BSP</w:t>
            </w:r>
          </w:p>
        </w:tc>
        <w:tc>
          <w:tcPr>
            <w:tcW w:w="2960" w:type="dxa"/>
            <w:vAlign w:val="bottom"/>
            <w:tcBorders>
              <w:top w:val="single" w:sz="8" w:color="auto"/>
            </w:tcBorders>
          </w:tcPr>
          <w:p>
            <w:pPr>
              <w:jc w:val="right"/>
              <w:ind w:right="179"/>
              <w:spacing w:after="0" w:line="128" w:lineRule="exact"/>
              <w:rPr>
                <w:sz w:val="20"/>
                <w:szCs w:val="20"/>
                <w:color w:val="auto"/>
              </w:rPr>
            </w:pPr>
            <w:r>
              <w:rPr>
                <w:rFonts w:ascii="Arial" w:cs="Arial" w:eastAsia="Arial" w:hAnsi="Arial"/>
                <w:sz w:val="12"/>
                <w:szCs w:val="12"/>
                <w:color w:val="auto"/>
              </w:rPr>
              <w:t>0%</w:t>
            </w:r>
          </w:p>
        </w:tc>
        <w:tc>
          <w:tcPr>
            <w:tcW w:w="1780" w:type="dxa"/>
            <w:vAlign w:val="bottom"/>
            <w:tcBorders>
              <w:top w:val="single" w:sz="8" w:color="auto"/>
            </w:tcBorders>
          </w:tcPr>
          <w:p>
            <w:pPr>
              <w:jc w:val="right"/>
              <w:ind w:right="78"/>
              <w:spacing w:after="0" w:line="128" w:lineRule="exact"/>
              <w:rPr>
                <w:sz w:val="20"/>
                <w:szCs w:val="20"/>
                <w:color w:val="auto"/>
              </w:rPr>
            </w:pPr>
            <w:r>
              <w:rPr>
                <w:rFonts w:ascii="Arial" w:cs="Arial" w:eastAsia="Arial" w:hAnsi="Arial"/>
                <w:sz w:val="12"/>
                <w:szCs w:val="12"/>
                <w:color w:val="auto"/>
              </w:rPr>
              <w:t>&lt;BSP</w:t>
            </w:r>
          </w:p>
        </w:tc>
        <w:tc>
          <w:tcPr>
            <w:tcW w:w="1880" w:type="dxa"/>
            <w:vAlign w:val="bottom"/>
            <w:tcBorders>
              <w:top w:val="single" w:sz="8" w:color="auto"/>
            </w:tcBorders>
          </w:tcPr>
          <w:p>
            <w:pPr>
              <w:jc w:val="right"/>
              <w:ind w:right="78"/>
              <w:spacing w:after="0" w:line="128" w:lineRule="exact"/>
              <w:rPr>
                <w:sz w:val="20"/>
                <w:szCs w:val="20"/>
                <w:color w:val="auto"/>
              </w:rPr>
            </w:pPr>
            <w:r>
              <w:rPr>
                <w:rFonts w:ascii="Arial" w:cs="Arial" w:eastAsia="Arial" w:hAnsi="Arial"/>
                <w:sz w:val="12"/>
                <w:szCs w:val="12"/>
                <w:color w:val="auto"/>
              </w:rPr>
              <w:t>&lt;BSP</w:t>
            </w:r>
          </w:p>
        </w:tc>
        <w:tc>
          <w:tcPr>
            <w:tcW w:w="174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2"/>
                <w:szCs w:val="12"/>
                <w:color w:val="auto"/>
              </w:rPr>
              <w:t>&lt;BSP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060" w:type="dxa"/>
            <w:vAlign w:val="bottom"/>
          </w:tcPr>
          <w:p>
            <w:pPr>
              <w:spacing w:after="0" w:line="136" w:lineRule="exact"/>
              <w:rPr>
                <w:sz w:val="20"/>
                <w:szCs w:val="20"/>
                <w:color w:val="auto"/>
              </w:rPr>
            </w:pPr>
            <w:r>
              <w:rPr>
                <w:rFonts w:ascii="Arial" w:cs="Arial" w:eastAsia="Arial" w:hAnsi="Arial"/>
                <w:sz w:val="12"/>
                <w:szCs w:val="12"/>
                <w:color w:val="auto"/>
              </w:rPr>
              <w:t>10% increase in</w:t>
            </w:r>
          </w:p>
        </w:tc>
        <w:tc>
          <w:tcPr>
            <w:tcW w:w="2960" w:type="dxa"/>
            <w:vAlign w:val="bottom"/>
            <w:vMerge w:val="restart"/>
          </w:tcPr>
          <w:p>
            <w:pPr>
              <w:jc w:val="right"/>
              <w:ind w:right="179"/>
              <w:spacing w:after="0"/>
              <w:rPr>
                <w:sz w:val="20"/>
                <w:szCs w:val="20"/>
                <w:color w:val="auto"/>
              </w:rPr>
            </w:pPr>
            <w:r>
              <w:rPr>
                <w:rFonts w:ascii="Arial" w:cs="Arial" w:eastAsia="Arial" w:hAnsi="Arial"/>
                <w:sz w:val="12"/>
                <w:szCs w:val="12"/>
                <w:color w:val="auto"/>
              </w:rPr>
              <w:t>0% to 50%</w:t>
            </w:r>
          </w:p>
        </w:tc>
        <w:tc>
          <w:tcPr>
            <w:tcW w:w="1780" w:type="dxa"/>
            <w:vAlign w:val="bottom"/>
            <w:vMerge w:val="restart"/>
          </w:tcPr>
          <w:p>
            <w:pPr>
              <w:jc w:val="right"/>
              <w:ind w:right="78"/>
              <w:spacing w:after="0"/>
              <w:rPr>
                <w:sz w:val="20"/>
                <w:szCs w:val="20"/>
                <w:color w:val="auto"/>
              </w:rPr>
            </w:pPr>
            <w:r>
              <w:rPr>
                <w:rFonts w:ascii="Arial" w:cs="Arial" w:eastAsia="Arial" w:hAnsi="Arial"/>
                <w:sz w:val="12"/>
                <w:szCs w:val="12"/>
                <w:color w:val="auto"/>
              </w:rPr>
              <w:t>≥BSP and &lt;1.10 * BSP</w:t>
            </w:r>
          </w:p>
        </w:tc>
        <w:tc>
          <w:tcPr>
            <w:tcW w:w="1880" w:type="dxa"/>
            <w:vAlign w:val="bottom"/>
            <w:vMerge w:val="restart"/>
          </w:tcPr>
          <w:p>
            <w:pPr>
              <w:jc w:val="right"/>
              <w:ind w:right="78"/>
              <w:spacing w:after="0"/>
              <w:rPr>
                <w:sz w:val="20"/>
                <w:szCs w:val="20"/>
                <w:color w:val="auto"/>
              </w:rPr>
            </w:pPr>
            <w:r>
              <w:rPr>
                <w:rFonts w:ascii="Arial" w:cs="Arial" w:eastAsia="Arial" w:hAnsi="Arial"/>
                <w:sz w:val="12"/>
                <w:szCs w:val="12"/>
                <w:color w:val="auto"/>
              </w:rPr>
              <w:t>≥BSP and &lt;1.21 * BSP</w:t>
            </w:r>
          </w:p>
        </w:tc>
        <w:tc>
          <w:tcPr>
            <w:tcW w:w="1760" w:type="dxa"/>
            <w:vAlign w:val="bottom"/>
            <w:gridSpan w:val="2"/>
            <w:vMerge w:val="restart"/>
          </w:tcPr>
          <w:p>
            <w:pPr>
              <w:jc w:val="right"/>
              <w:ind w:right="20"/>
              <w:spacing w:after="0"/>
              <w:rPr>
                <w:sz w:val="20"/>
                <w:szCs w:val="20"/>
                <w:color w:val="auto"/>
              </w:rPr>
            </w:pPr>
            <w:r>
              <w:rPr>
                <w:rFonts w:ascii="Arial" w:cs="Arial" w:eastAsia="Arial" w:hAnsi="Arial"/>
                <w:sz w:val="12"/>
                <w:szCs w:val="12"/>
                <w:color w:val="auto"/>
              </w:rPr>
              <w:t>≥BSP and &lt;1.33 * BSP</w:t>
            </w:r>
          </w:p>
        </w:tc>
        <w:tc>
          <w:tcPr>
            <w:tcW w:w="0" w:type="dxa"/>
            <w:vAlign w:val="bottom"/>
          </w:tcPr>
          <w:p>
            <w:pPr>
              <w:spacing w:after="0"/>
              <w:rPr>
                <w:sz w:val="1"/>
                <w:szCs w:val="1"/>
                <w:color w:val="auto"/>
              </w:rPr>
            </w:pPr>
          </w:p>
        </w:tc>
      </w:tr>
      <w:tr>
        <w:trPr>
          <w:trHeight w:val="74"/>
        </w:trPr>
        <w:tc>
          <w:tcPr>
            <w:tcW w:w="3060" w:type="dxa"/>
            <w:vAlign w:val="bottom"/>
            <w:vMerge w:val="restart"/>
          </w:tcPr>
          <w:p>
            <w:pPr>
              <w:spacing w:after="0" w:line="136" w:lineRule="exact"/>
              <w:rPr>
                <w:sz w:val="20"/>
                <w:szCs w:val="20"/>
                <w:color w:val="auto"/>
              </w:rPr>
            </w:pPr>
            <w:r>
              <w:rPr>
                <w:rFonts w:ascii="Arial" w:cs="Arial" w:eastAsia="Arial" w:hAnsi="Arial"/>
                <w:sz w:val="12"/>
                <w:szCs w:val="12"/>
                <w:color w:val="auto"/>
              </w:rPr>
              <w:t>Stock Price</w:t>
            </w:r>
          </w:p>
        </w:tc>
        <w:tc>
          <w:tcPr>
            <w:tcW w:w="2960" w:type="dxa"/>
            <w:vAlign w:val="bottom"/>
            <w:vMerge w:val="continue"/>
          </w:tcPr>
          <w:p>
            <w:pPr>
              <w:spacing w:after="0"/>
              <w:rPr>
                <w:sz w:val="6"/>
                <w:szCs w:val="6"/>
                <w:color w:val="auto"/>
              </w:rPr>
            </w:pPr>
          </w:p>
        </w:tc>
        <w:tc>
          <w:tcPr>
            <w:tcW w:w="1780" w:type="dxa"/>
            <w:vAlign w:val="bottom"/>
            <w:vMerge w:val="continue"/>
          </w:tcPr>
          <w:p>
            <w:pPr>
              <w:spacing w:after="0"/>
              <w:rPr>
                <w:sz w:val="6"/>
                <w:szCs w:val="6"/>
                <w:color w:val="auto"/>
              </w:rPr>
            </w:pPr>
          </w:p>
        </w:tc>
        <w:tc>
          <w:tcPr>
            <w:tcW w:w="1880" w:type="dxa"/>
            <w:vAlign w:val="bottom"/>
            <w:vMerge w:val="continue"/>
          </w:tcPr>
          <w:p>
            <w:pPr>
              <w:spacing w:after="0"/>
              <w:rPr>
                <w:sz w:val="6"/>
                <w:szCs w:val="6"/>
                <w:color w:val="auto"/>
              </w:rPr>
            </w:pPr>
          </w:p>
        </w:tc>
        <w:tc>
          <w:tcPr>
            <w:tcW w:w="1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3060" w:type="dxa"/>
            <w:vAlign w:val="bottom"/>
            <w:vMerge w:val="continue"/>
          </w:tcPr>
          <w:p>
            <w:pPr>
              <w:spacing w:after="0"/>
              <w:rPr>
                <w:sz w:val="5"/>
                <w:szCs w:val="5"/>
                <w:color w:val="auto"/>
              </w:rPr>
            </w:pPr>
          </w:p>
        </w:tc>
        <w:tc>
          <w:tcPr>
            <w:tcW w:w="29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3060" w:type="dxa"/>
            <w:vAlign w:val="bottom"/>
          </w:tcPr>
          <w:p>
            <w:pPr>
              <w:spacing w:after="0" w:line="136" w:lineRule="exact"/>
              <w:rPr>
                <w:sz w:val="20"/>
                <w:szCs w:val="20"/>
                <w:color w:val="auto"/>
              </w:rPr>
            </w:pPr>
            <w:r>
              <w:rPr>
                <w:rFonts w:ascii="Arial" w:cs="Arial" w:eastAsia="Arial" w:hAnsi="Arial"/>
                <w:sz w:val="12"/>
                <w:szCs w:val="12"/>
                <w:color w:val="auto"/>
              </w:rPr>
              <w:t>15% increase in</w:t>
            </w:r>
          </w:p>
        </w:tc>
        <w:tc>
          <w:tcPr>
            <w:tcW w:w="2960" w:type="dxa"/>
            <w:vAlign w:val="bottom"/>
            <w:vMerge w:val="restart"/>
          </w:tcPr>
          <w:p>
            <w:pPr>
              <w:jc w:val="right"/>
              <w:ind w:right="179"/>
              <w:spacing w:after="0"/>
              <w:rPr>
                <w:sz w:val="20"/>
                <w:szCs w:val="20"/>
                <w:color w:val="auto"/>
              </w:rPr>
            </w:pPr>
            <w:r>
              <w:rPr>
                <w:rFonts w:ascii="Arial" w:cs="Arial" w:eastAsia="Arial" w:hAnsi="Arial"/>
                <w:sz w:val="12"/>
                <w:szCs w:val="12"/>
                <w:color w:val="auto"/>
              </w:rPr>
              <w:t>50% to 100%</w:t>
            </w:r>
          </w:p>
        </w:tc>
        <w:tc>
          <w:tcPr>
            <w:tcW w:w="1780" w:type="dxa"/>
            <w:vAlign w:val="bottom"/>
            <w:vMerge w:val="restart"/>
          </w:tcPr>
          <w:p>
            <w:pPr>
              <w:jc w:val="right"/>
              <w:ind w:right="78"/>
              <w:spacing w:after="0"/>
              <w:rPr>
                <w:sz w:val="20"/>
                <w:szCs w:val="20"/>
                <w:color w:val="auto"/>
              </w:rPr>
            </w:pPr>
            <w:r>
              <w:rPr>
                <w:rFonts w:ascii="Arial" w:cs="Arial" w:eastAsia="Arial" w:hAnsi="Arial"/>
                <w:sz w:val="12"/>
                <w:szCs w:val="12"/>
                <w:color w:val="auto"/>
              </w:rPr>
              <w:t>≥1.10 * BSP and &lt;1.15 * BSP</w:t>
            </w:r>
          </w:p>
        </w:tc>
        <w:tc>
          <w:tcPr>
            <w:tcW w:w="1880" w:type="dxa"/>
            <w:vAlign w:val="bottom"/>
            <w:vMerge w:val="restart"/>
          </w:tcPr>
          <w:p>
            <w:pPr>
              <w:jc w:val="right"/>
              <w:ind w:right="78"/>
              <w:spacing w:after="0"/>
              <w:rPr>
                <w:sz w:val="20"/>
                <w:szCs w:val="20"/>
                <w:color w:val="auto"/>
              </w:rPr>
            </w:pPr>
            <w:r>
              <w:rPr>
                <w:rFonts w:ascii="Arial" w:cs="Arial" w:eastAsia="Arial" w:hAnsi="Arial"/>
                <w:sz w:val="12"/>
                <w:szCs w:val="12"/>
                <w:color w:val="auto"/>
              </w:rPr>
              <w:t>≥1.21 * BSP and &lt;1.32 * BSP</w:t>
            </w:r>
          </w:p>
        </w:tc>
        <w:tc>
          <w:tcPr>
            <w:tcW w:w="1760" w:type="dxa"/>
            <w:vAlign w:val="bottom"/>
            <w:gridSpan w:val="2"/>
            <w:vMerge w:val="restart"/>
          </w:tcPr>
          <w:p>
            <w:pPr>
              <w:jc w:val="right"/>
              <w:ind w:right="20"/>
              <w:spacing w:after="0"/>
              <w:rPr>
                <w:sz w:val="20"/>
                <w:szCs w:val="20"/>
                <w:color w:val="auto"/>
              </w:rPr>
            </w:pPr>
            <w:r>
              <w:rPr>
                <w:rFonts w:ascii="Arial" w:cs="Arial" w:eastAsia="Arial" w:hAnsi="Arial"/>
                <w:sz w:val="12"/>
                <w:szCs w:val="12"/>
                <w:color w:val="auto"/>
              </w:rPr>
              <w:t>≥1.33 * BSP and &lt;1.52 * BSP</w:t>
            </w:r>
          </w:p>
        </w:tc>
        <w:tc>
          <w:tcPr>
            <w:tcW w:w="0" w:type="dxa"/>
            <w:vAlign w:val="bottom"/>
          </w:tcPr>
          <w:p>
            <w:pPr>
              <w:spacing w:after="0"/>
              <w:rPr>
                <w:sz w:val="1"/>
                <w:szCs w:val="1"/>
                <w:color w:val="auto"/>
              </w:rPr>
            </w:pPr>
          </w:p>
        </w:tc>
      </w:tr>
      <w:tr>
        <w:trPr>
          <w:trHeight w:val="74"/>
        </w:trPr>
        <w:tc>
          <w:tcPr>
            <w:tcW w:w="3060" w:type="dxa"/>
            <w:vAlign w:val="bottom"/>
            <w:vMerge w:val="restart"/>
          </w:tcPr>
          <w:p>
            <w:pPr>
              <w:spacing w:after="0" w:line="136" w:lineRule="exact"/>
              <w:rPr>
                <w:sz w:val="20"/>
                <w:szCs w:val="20"/>
                <w:color w:val="auto"/>
              </w:rPr>
            </w:pPr>
            <w:r>
              <w:rPr>
                <w:rFonts w:ascii="Arial" w:cs="Arial" w:eastAsia="Arial" w:hAnsi="Arial"/>
                <w:sz w:val="12"/>
                <w:szCs w:val="12"/>
                <w:color w:val="auto"/>
              </w:rPr>
              <w:t>Stock Price</w:t>
            </w:r>
          </w:p>
        </w:tc>
        <w:tc>
          <w:tcPr>
            <w:tcW w:w="2960" w:type="dxa"/>
            <w:vAlign w:val="bottom"/>
            <w:vMerge w:val="continue"/>
          </w:tcPr>
          <w:p>
            <w:pPr>
              <w:spacing w:after="0"/>
              <w:rPr>
                <w:sz w:val="6"/>
                <w:szCs w:val="6"/>
                <w:color w:val="auto"/>
              </w:rPr>
            </w:pPr>
          </w:p>
        </w:tc>
        <w:tc>
          <w:tcPr>
            <w:tcW w:w="1780" w:type="dxa"/>
            <w:vAlign w:val="bottom"/>
            <w:vMerge w:val="continue"/>
          </w:tcPr>
          <w:p>
            <w:pPr>
              <w:spacing w:after="0"/>
              <w:rPr>
                <w:sz w:val="6"/>
                <w:szCs w:val="6"/>
                <w:color w:val="auto"/>
              </w:rPr>
            </w:pPr>
          </w:p>
        </w:tc>
        <w:tc>
          <w:tcPr>
            <w:tcW w:w="1880" w:type="dxa"/>
            <w:vAlign w:val="bottom"/>
            <w:vMerge w:val="continue"/>
          </w:tcPr>
          <w:p>
            <w:pPr>
              <w:spacing w:after="0"/>
              <w:rPr>
                <w:sz w:val="6"/>
                <w:szCs w:val="6"/>
                <w:color w:val="auto"/>
              </w:rPr>
            </w:pPr>
          </w:p>
        </w:tc>
        <w:tc>
          <w:tcPr>
            <w:tcW w:w="1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3060" w:type="dxa"/>
            <w:vAlign w:val="bottom"/>
            <w:vMerge w:val="continue"/>
          </w:tcPr>
          <w:p>
            <w:pPr>
              <w:spacing w:after="0"/>
              <w:rPr>
                <w:sz w:val="5"/>
                <w:szCs w:val="5"/>
                <w:color w:val="auto"/>
              </w:rPr>
            </w:pPr>
          </w:p>
        </w:tc>
        <w:tc>
          <w:tcPr>
            <w:tcW w:w="29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3060" w:type="dxa"/>
            <w:vAlign w:val="bottom"/>
          </w:tcPr>
          <w:p>
            <w:pPr>
              <w:spacing w:after="0" w:line="136" w:lineRule="exact"/>
              <w:rPr>
                <w:sz w:val="20"/>
                <w:szCs w:val="20"/>
                <w:color w:val="auto"/>
              </w:rPr>
            </w:pPr>
            <w:r>
              <w:rPr>
                <w:rFonts w:ascii="Arial" w:cs="Arial" w:eastAsia="Arial" w:hAnsi="Arial"/>
                <w:sz w:val="12"/>
                <w:szCs w:val="12"/>
                <w:color w:val="auto"/>
              </w:rPr>
              <w:t>20% increase in</w:t>
            </w:r>
          </w:p>
        </w:tc>
        <w:tc>
          <w:tcPr>
            <w:tcW w:w="2960" w:type="dxa"/>
            <w:vAlign w:val="bottom"/>
            <w:vMerge w:val="restart"/>
          </w:tcPr>
          <w:p>
            <w:pPr>
              <w:jc w:val="right"/>
              <w:ind w:right="179"/>
              <w:spacing w:after="0"/>
              <w:rPr>
                <w:sz w:val="20"/>
                <w:szCs w:val="20"/>
                <w:color w:val="auto"/>
              </w:rPr>
            </w:pPr>
            <w:r>
              <w:rPr>
                <w:rFonts w:ascii="Arial" w:cs="Arial" w:eastAsia="Arial" w:hAnsi="Arial"/>
                <w:sz w:val="12"/>
                <w:szCs w:val="12"/>
                <w:color w:val="auto"/>
              </w:rPr>
              <w:t>100% to 200%</w:t>
            </w:r>
          </w:p>
        </w:tc>
        <w:tc>
          <w:tcPr>
            <w:tcW w:w="1780" w:type="dxa"/>
            <w:vAlign w:val="bottom"/>
            <w:vMerge w:val="restart"/>
          </w:tcPr>
          <w:p>
            <w:pPr>
              <w:jc w:val="right"/>
              <w:ind w:right="78"/>
              <w:spacing w:after="0"/>
              <w:rPr>
                <w:sz w:val="20"/>
                <w:szCs w:val="20"/>
                <w:color w:val="auto"/>
              </w:rPr>
            </w:pPr>
            <w:r>
              <w:rPr>
                <w:rFonts w:ascii="Arial" w:cs="Arial" w:eastAsia="Arial" w:hAnsi="Arial"/>
                <w:sz w:val="12"/>
                <w:szCs w:val="12"/>
                <w:color w:val="auto"/>
              </w:rPr>
              <w:t>≥1.15 * BSP and &lt;1.20 * BSP</w:t>
            </w:r>
          </w:p>
        </w:tc>
        <w:tc>
          <w:tcPr>
            <w:tcW w:w="1880" w:type="dxa"/>
            <w:vAlign w:val="bottom"/>
            <w:vMerge w:val="restart"/>
          </w:tcPr>
          <w:p>
            <w:pPr>
              <w:jc w:val="right"/>
              <w:ind w:right="78"/>
              <w:spacing w:after="0"/>
              <w:rPr>
                <w:sz w:val="20"/>
                <w:szCs w:val="20"/>
                <w:color w:val="auto"/>
              </w:rPr>
            </w:pPr>
            <w:r>
              <w:rPr>
                <w:rFonts w:ascii="Arial" w:cs="Arial" w:eastAsia="Arial" w:hAnsi="Arial"/>
                <w:sz w:val="12"/>
                <w:szCs w:val="12"/>
                <w:color w:val="auto"/>
              </w:rPr>
              <w:t>≥1.32 * BSP and &lt;1.44 * BSP</w:t>
            </w:r>
          </w:p>
        </w:tc>
        <w:tc>
          <w:tcPr>
            <w:tcW w:w="1760" w:type="dxa"/>
            <w:vAlign w:val="bottom"/>
            <w:gridSpan w:val="2"/>
            <w:vMerge w:val="restart"/>
          </w:tcPr>
          <w:p>
            <w:pPr>
              <w:jc w:val="right"/>
              <w:ind w:right="20"/>
              <w:spacing w:after="0"/>
              <w:rPr>
                <w:sz w:val="20"/>
                <w:szCs w:val="20"/>
                <w:color w:val="auto"/>
              </w:rPr>
            </w:pPr>
            <w:r>
              <w:rPr>
                <w:rFonts w:ascii="Arial" w:cs="Arial" w:eastAsia="Arial" w:hAnsi="Arial"/>
                <w:sz w:val="12"/>
                <w:szCs w:val="12"/>
                <w:color w:val="auto"/>
              </w:rPr>
              <w:t>≥1.52 * BSP and &lt;1.73 * BSP</w:t>
            </w:r>
          </w:p>
        </w:tc>
        <w:tc>
          <w:tcPr>
            <w:tcW w:w="0" w:type="dxa"/>
            <w:vAlign w:val="bottom"/>
          </w:tcPr>
          <w:p>
            <w:pPr>
              <w:spacing w:after="0"/>
              <w:rPr>
                <w:sz w:val="1"/>
                <w:szCs w:val="1"/>
                <w:color w:val="auto"/>
              </w:rPr>
            </w:pPr>
          </w:p>
        </w:tc>
      </w:tr>
      <w:tr>
        <w:trPr>
          <w:trHeight w:val="74"/>
        </w:trPr>
        <w:tc>
          <w:tcPr>
            <w:tcW w:w="3060" w:type="dxa"/>
            <w:vAlign w:val="bottom"/>
            <w:vMerge w:val="restart"/>
          </w:tcPr>
          <w:p>
            <w:pPr>
              <w:spacing w:after="0" w:line="137" w:lineRule="exact"/>
              <w:rPr>
                <w:sz w:val="20"/>
                <w:szCs w:val="20"/>
                <w:color w:val="auto"/>
              </w:rPr>
            </w:pPr>
            <w:r>
              <w:rPr>
                <w:rFonts w:ascii="Arial" w:cs="Arial" w:eastAsia="Arial" w:hAnsi="Arial"/>
                <w:sz w:val="12"/>
                <w:szCs w:val="12"/>
                <w:color w:val="auto"/>
              </w:rPr>
              <w:t>Stock Price</w:t>
            </w:r>
          </w:p>
        </w:tc>
        <w:tc>
          <w:tcPr>
            <w:tcW w:w="2960" w:type="dxa"/>
            <w:vAlign w:val="bottom"/>
            <w:vMerge w:val="continue"/>
          </w:tcPr>
          <w:p>
            <w:pPr>
              <w:spacing w:after="0"/>
              <w:rPr>
                <w:sz w:val="6"/>
                <w:szCs w:val="6"/>
                <w:color w:val="auto"/>
              </w:rPr>
            </w:pPr>
          </w:p>
        </w:tc>
        <w:tc>
          <w:tcPr>
            <w:tcW w:w="1780" w:type="dxa"/>
            <w:vAlign w:val="bottom"/>
            <w:vMerge w:val="continue"/>
          </w:tcPr>
          <w:p>
            <w:pPr>
              <w:spacing w:after="0"/>
              <w:rPr>
                <w:sz w:val="6"/>
                <w:szCs w:val="6"/>
                <w:color w:val="auto"/>
              </w:rPr>
            </w:pPr>
          </w:p>
        </w:tc>
        <w:tc>
          <w:tcPr>
            <w:tcW w:w="1880" w:type="dxa"/>
            <w:vAlign w:val="bottom"/>
            <w:vMerge w:val="continue"/>
          </w:tcPr>
          <w:p>
            <w:pPr>
              <w:spacing w:after="0"/>
              <w:rPr>
                <w:sz w:val="6"/>
                <w:szCs w:val="6"/>
                <w:color w:val="auto"/>
              </w:rPr>
            </w:pPr>
          </w:p>
        </w:tc>
        <w:tc>
          <w:tcPr>
            <w:tcW w:w="1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3060" w:type="dxa"/>
            <w:vAlign w:val="bottom"/>
            <w:tcBorders>
              <w:bottom w:val="single" w:sz="8" w:color="auto"/>
            </w:tcBorders>
            <w:vMerge w:val="continue"/>
          </w:tcPr>
          <w:p>
            <w:pPr>
              <w:spacing w:after="0"/>
              <w:rPr>
                <w:sz w:val="5"/>
                <w:szCs w:val="5"/>
                <w:color w:val="auto"/>
              </w:rPr>
            </w:pPr>
          </w:p>
        </w:tc>
        <w:tc>
          <w:tcPr>
            <w:tcW w:w="296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181" w:hanging="181"/>
        <w:spacing w:after="0"/>
        <w:tabs>
          <w:tab w:leader="none" w:pos="181" w:val="left"/>
        </w:tabs>
        <w:numPr>
          <w:ilvl w:val="0"/>
          <w:numId w:val="40"/>
        </w:numPr>
        <w:rPr>
          <w:rFonts w:ascii="Arial" w:cs="Arial" w:eastAsia="Arial" w:hAnsi="Arial"/>
          <w:sz w:val="12"/>
          <w:szCs w:val="12"/>
          <w:color w:val="auto"/>
        </w:rPr>
      </w:pPr>
      <w:r>
        <w:rPr>
          <w:rFonts w:ascii="Arial" w:cs="Arial" w:eastAsia="Arial" w:hAnsi="Arial"/>
          <w:sz w:val="12"/>
          <w:szCs w:val="12"/>
          <w:color w:val="auto"/>
        </w:rPr>
        <w:t>Based on closing, or baseline share price (“BSP”), as of December 31, 2013, of $15.49</w:t>
      </w:r>
    </w:p>
    <w:p>
      <w:pPr>
        <w:spacing w:after="0" w:line="97" w:lineRule="exact"/>
        <w:rPr>
          <w:rFonts w:ascii="Arial" w:cs="Arial" w:eastAsia="Arial" w:hAnsi="Arial"/>
          <w:sz w:val="12"/>
          <w:szCs w:val="12"/>
          <w:color w:val="auto"/>
        </w:rPr>
      </w:pPr>
    </w:p>
    <w:p>
      <w:pPr>
        <w:ind w:left="181" w:hanging="181"/>
        <w:spacing w:after="0"/>
        <w:tabs>
          <w:tab w:leader="none" w:pos="181" w:val="left"/>
        </w:tabs>
        <w:numPr>
          <w:ilvl w:val="0"/>
          <w:numId w:val="40"/>
        </w:numPr>
        <w:rPr>
          <w:rFonts w:ascii="Arial" w:cs="Arial" w:eastAsia="Arial" w:hAnsi="Arial"/>
          <w:sz w:val="12"/>
          <w:szCs w:val="12"/>
          <w:color w:val="auto"/>
        </w:rPr>
      </w:pPr>
      <w:r>
        <w:rPr>
          <w:rFonts w:ascii="Arial" w:cs="Arial" w:eastAsia="Arial" w:hAnsi="Arial"/>
          <w:sz w:val="12"/>
          <w:szCs w:val="12"/>
          <w:color w:val="auto"/>
        </w:rPr>
        <w:t>Will be interpolated for intermediate results within the stock price range shown, up to a maximum of 200%.</w:t>
      </w:r>
    </w:p>
    <w:p>
      <w:pPr>
        <w:spacing w:after="0" w:line="97" w:lineRule="exact"/>
        <w:rPr>
          <w:rFonts w:ascii="Arial" w:cs="Arial" w:eastAsia="Arial" w:hAnsi="Arial"/>
          <w:sz w:val="12"/>
          <w:szCs w:val="12"/>
          <w:color w:val="auto"/>
        </w:rPr>
      </w:pPr>
    </w:p>
    <w:p>
      <w:pPr>
        <w:ind w:left="181" w:hanging="181"/>
        <w:spacing w:after="0"/>
        <w:tabs>
          <w:tab w:leader="none" w:pos="181" w:val="left"/>
        </w:tabs>
        <w:numPr>
          <w:ilvl w:val="0"/>
          <w:numId w:val="40"/>
        </w:numPr>
        <w:rPr>
          <w:rFonts w:ascii="Arial" w:cs="Arial" w:eastAsia="Arial" w:hAnsi="Arial"/>
          <w:sz w:val="12"/>
          <w:szCs w:val="12"/>
          <w:color w:val="auto"/>
        </w:rPr>
      </w:pPr>
      <w:r>
        <w:rPr>
          <w:rFonts w:ascii="Arial" w:cs="Arial" w:eastAsia="Arial" w:hAnsi="Arial"/>
          <w:sz w:val="12"/>
          <w:szCs w:val="12"/>
          <w:color w:val="auto"/>
        </w:rPr>
        <w:t>Multiplier shown to the nearest hundredth, actual Company stock price set forth in the award agreements will govern.</w:t>
      </w:r>
    </w:p>
    <w:p>
      <w:pPr>
        <w:spacing w:after="0" w:line="320" w:lineRule="exact"/>
        <w:rPr>
          <w:sz w:val="20"/>
          <w:szCs w:val="20"/>
          <w:color w:val="auto"/>
        </w:rPr>
      </w:pPr>
    </w:p>
    <w:p>
      <w:pPr>
        <w:jc w:val="both"/>
        <w:ind w:left="1"/>
        <w:spacing w:after="0"/>
        <w:rPr>
          <w:sz w:val="20"/>
          <w:szCs w:val="20"/>
          <w:color w:val="auto"/>
        </w:rPr>
      </w:pPr>
      <w:r>
        <w:rPr>
          <w:rFonts w:ascii="Arial" w:cs="Arial" w:eastAsia="Arial" w:hAnsi="Arial"/>
          <w:sz w:val="12"/>
          <w:szCs w:val="12"/>
          <w:color w:val="auto"/>
        </w:rPr>
        <w:t>The Committee believes that linking the results of these long-term incentive awards to the Company’s stock price is appropriate as this approach aligns the financial interests of the NEOs with those of the Company’s shareholders. The Committee further believes that the stock price is a useful target, since it should reflect in one readily determinable number several of the Company stated objectives, including cost reduction, capital efficiency, net debt reduction, and the disposition of non-core business lines. The Committee believes that the three-year vesting schedule of the RSUs and PUs would require the NEOs to focus on short-term results as well as the Company’s achievements over a longer term. In fact, if the Company’s stock price does not rise and remain above $15.49, the closing price on December 31, 2013, then the PUs provide no value to the NEOs. When setting the applicable stock prices used in the performance goals set forth above, the Committee considered the Company’s one year price targets (as published by various third-party analysts), the cyclical nature of the oil and gas industry, the volatility of the Company’s stock price, and the expected timeline for turnaround of the Company’s financial and operational performance.</w:t>
      </w:r>
    </w:p>
    <w:p>
      <w:pPr>
        <w:spacing w:after="0" w:line="327" w:lineRule="exact"/>
        <w:rPr>
          <w:sz w:val="20"/>
          <w:szCs w:val="20"/>
          <w:color w:val="auto"/>
        </w:rPr>
      </w:pPr>
    </w:p>
    <w:p>
      <w:pPr>
        <w:ind w:left="1"/>
        <w:spacing w:after="0"/>
        <w:rPr>
          <w:sz w:val="20"/>
          <w:szCs w:val="20"/>
          <w:color w:val="auto"/>
        </w:rPr>
      </w:pPr>
      <w:r>
        <w:rPr>
          <w:rFonts w:ascii="Arial" w:cs="Arial" w:eastAsia="Arial" w:hAnsi="Arial"/>
          <w:sz w:val="16"/>
          <w:szCs w:val="16"/>
          <w:color w:val="BB1131"/>
        </w:rPr>
        <w:t>Clawback policy</w:t>
      </w:r>
    </w:p>
    <w:p>
      <w:pPr>
        <w:spacing w:after="0" w:line="97"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Our Weatherford International Executive Compensation Clawback Policy sets out the terms under which we may seek to recover incentive compensation from our officers. The purpose of the policy is to enable the Committee to recoup performance-based compensation that is paid but it is subsequently determined not to have been earned because financial results are restated, including if the Committee determines that an officer has engaged in fraud, willful misconduct or gross negligence that has caused or contributed to a restatement of our financial statements.</w:t>
      </w:r>
    </w:p>
    <w:p>
      <w:pPr>
        <w:spacing w:after="0" w:line="188" w:lineRule="exact"/>
        <w:rPr>
          <w:sz w:val="20"/>
          <w:szCs w:val="20"/>
          <w:color w:val="auto"/>
        </w:rPr>
      </w:pPr>
    </w:p>
    <w:p>
      <w:pPr>
        <w:ind w:left="1"/>
        <w:spacing w:after="0"/>
        <w:rPr>
          <w:sz w:val="20"/>
          <w:szCs w:val="20"/>
          <w:color w:val="auto"/>
        </w:rPr>
      </w:pPr>
      <w:r>
        <w:rPr>
          <w:rFonts w:ascii="Arial" w:cs="Arial" w:eastAsia="Arial" w:hAnsi="Arial"/>
          <w:sz w:val="16"/>
          <w:szCs w:val="16"/>
          <w:color w:val="BB1131"/>
        </w:rPr>
        <w:t>Other share grants</w:t>
      </w:r>
    </w:p>
    <w:p>
      <w:pPr>
        <w:spacing w:after="0" w:line="97" w:lineRule="exact"/>
        <w:rPr>
          <w:sz w:val="20"/>
          <w:szCs w:val="20"/>
          <w:color w:val="auto"/>
        </w:rPr>
      </w:pPr>
    </w:p>
    <w:p>
      <w:pPr>
        <w:jc w:val="both"/>
        <w:ind w:left="1"/>
        <w:spacing w:after="0" w:line="241" w:lineRule="auto"/>
        <w:rPr>
          <w:sz w:val="20"/>
          <w:szCs w:val="20"/>
          <w:color w:val="auto"/>
        </w:rPr>
      </w:pPr>
      <w:r>
        <w:rPr>
          <w:rFonts w:ascii="Arial" w:cs="Arial" w:eastAsia="Arial" w:hAnsi="Arial"/>
          <w:sz w:val="12"/>
          <w:szCs w:val="12"/>
          <w:color w:val="auto"/>
        </w:rPr>
        <w:t>Due to our suspension of the Executive Deferred Compensation Stock Ownership Plan (“EDC”) in 2008 (see “Retirement Plans—Suspended Deferred Compensation Plan” below), and in order to continue to encourage equity ownership as well as to compensate participants for the loss of this benefit, we grant participants in this plan, including our current NEOs (other than Mr. Shivram as this benefit ceased prior to his employment) and approximately 20 other non-executive senior management and key employees, quarterly grants of shares in an amount to approximate the benefits participants would have received had we not suspended the plan. The table entitled “Grants of Plan-Based Awards in 2013” on page 37 reflects these grants to our current NEOs (other than Mr. Shivram), and these grants are included in the Summary Compensation Table on page 35.</w:t>
      </w:r>
    </w:p>
    <w:p>
      <w:pPr>
        <w:spacing w:after="0" w:line="172"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auto"/>
        </w:rPr>
        <w:t>Weatherford International plc - www.WeatherfordAnnualMeeting.com</w:t>
      </w:r>
      <w:r>
        <w:rPr>
          <w:sz w:val="20"/>
          <w:szCs w:val="20"/>
          <w:color w:val="auto"/>
        </w:rPr>
        <w:tab/>
      </w:r>
      <w:r>
        <w:rPr>
          <w:rFonts w:ascii="Arial" w:cs="Arial" w:eastAsia="Arial" w:hAnsi="Arial"/>
          <w:sz w:val="10"/>
          <w:szCs w:val="10"/>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131445</wp:posOffset>
            </wp:positionV>
            <wp:extent cx="7278370" cy="203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sectPr>
      </w:pPr>
    </w:p>
    <w:bookmarkStart w:id="49" w:name="page50"/>
    <w:bookmarkEnd w:id="49"/>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41"/>
        <w:spacing w:after="0"/>
        <w:rPr>
          <w:sz w:val="20"/>
          <w:szCs w:val="20"/>
          <w:color w:val="auto"/>
        </w:rPr>
      </w:pPr>
      <w:r>
        <w:rPr>
          <w:rFonts w:ascii="Arial" w:cs="Arial" w:eastAsia="Arial" w:hAnsi="Arial"/>
          <w:sz w:val="12"/>
          <w:szCs w:val="12"/>
          <w:b w:val="1"/>
          <w:bCs w:val="1"/>
          <w:color w:val="FFFFFF"/>
          <w:shd w:val="clear" w:color="auto" w:fill="BB1131"/>
        </w:rPr>
        <w:t>EXECUTIVE COMPENSATION</w:t>
      </w:r>
    </w:p>
    <w:p>
      <w:pPr>
        <w:spacing w:after="0" w:line="181"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Mandatory Minimum Share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337"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The Committee believes that it is important to align the interests of management with the interests of our shareholders. In furtherance of this philosophy, the Company has adopted the following mandatory minimum share ownership guidelines. Share ownership includes shares owned directly as well as equity-based awards not yet fully vested, deferred compensation plans and retirements plans (including our 401(k) plan and suspended plans). The minimum guidelines are based on a multiple of base salary or, in the case of directors, annual cash retainer. The guidelines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7258050" cy="7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15" w:lineRule="exact"/>
        <w:rPr>
          <w:sz w:val="20"/>
          <w:szCs w:val="20"/>
          <w:color w:val="auto"/>
        </w:rPr>
      </w:pPr>
    </w:p>
    <w:tbl>
      <w:tblPr>
        <w:tblLayout w:type="fixed"/>
        <w:tblInd w:w="1" w:type="dxa"/>
        <w:tblCellMar>
          <w:top w:w="0" w:type="dxa"/>
          <w:left w:w="0" w:type="dxa"/>
          <w:bottom w:w="0" w:type="dxa"/>
          <w:right w:w="0" w:type="dxa"/>
        </w:tblCellMar>
      </w:tblPr>
      <w:tr>
        <w:trPr>
          <w:trHeight w:val="148"/>
        </w:trPr>
        <w:tc>
          <w:tcPr>
            <w:tcW w:w="6280" w:type="dxa"/>
            <w:vAlign w:val="bottom"/>
          </w:tcPr>
          <w:p>
            <w:pPr>
              <w:spacing w:after="0"/>
              <w:rPr>
                <w:sz w:val="20"/>
                <w:szCs w:val="20"/>
                <w:color w:val="auto"/>
              </w:rPr>
            </w:pPr>
            <w:r>
              <w:rPr>
                <w:rFonts w:ascii="Arial" w:cs="Arial" w:eastAsia="Arial" w:hAnsi="Arial"/>
                <w:sz w:val="12"/>
                <w:szCs w:val="12"/>
                <w:color w:val="auto"/>
              </w:rPr>
              <w:t>Chief Executive Officer</w:t>
            </w:r>
          </w:p>
        </w:tc>
        <w:tc>
          <w:tcPr>
            <w:tcW w:w="5140" w:type="dxa"/>
            <w:vAlign w:val="bottom"/>
          </w:tcPr>
          <w:p>
            <w:pPr>
              <w:ind w:left="5020"/>
              <w:spacing w:after="0"/>
              <w:rPr>
                <w:sz w:val="20"/>
                <w:szCs w:val="20"/>
                <w:color w:val="auto"/>
              </w:rPr>
            </w:pPr>
            <w:r>
              <w:rPr>
                <w:rFonts w:ascii="Arial" w:cs="Arial" w:eastAsia="Arial" w:hAnsi="Arial"/>
                <w:sz w:val="12"/>
                <w:szCs w:val="12"/>
                <w:color w:val="auto"/>
                <w:w w:val="78"/>
              </w:rPr>
              <w:t>6x</w:t>
            </w:r>
          </w:p>
        </w:tc>
      </w:tr>
      <w:tr>
        <w:trPr>
          <w:trHeight w:val="223"/>
        </w:trPr>
        <w:tc>
          <w:tcPr>
            <w:tcW w:w="6280" w:type="dxa"/>
            <w:vAlign w:val="bottom"/>
          </w:tcPr>
          <w:p>
            <w:pPr>
              <w:spacing w:after="0"/>
              <w:rPr>
                <w:sz w:val="20"/>
                <w:szCs w:val="20"/>
                <w:color w:val="auto"/>
              </w:rPr>
            </w:pPr>
            <w:r>
              <w:rPr>
                <w:rFonts w:ascii="Arial" w:cs="Arial" w:eastAsia="Arial" w:hAnsi="Arial"/>
                <w:sz w:val="12"/>
                <w:szCs w:val="12"/>
                <w:color w:val="auto"/>
              </w:rPr>
              <w:t>Other executives</w:t>
            </w:r>
          </w:p>
        </w:tc>
        <w:tc>
          <w:tcPr>
            <w:tcW w:w="5140" w:type="dxa"/>
            <w:vAlign w:val="bottom"/>
          </w:tcPr>
          <w:p>
            <w:pPr>
              <w:ind w:left="5020"/>
              <w:spacing w:after="0"/>
              <w:rPr>
                <w:sz w:val="20"/>
                <w:szCs w:val="20"/>
                <w:color w:val="auto"/>
              </w:rPr>
            </w:pPr>
            <w:r>
              <w:rPr>
                <w:rFonts w:ascii="Arial" w:cs="Arial" w:eastAsia="Arial" w:hAnsi="Arial"/>
                <w:sz w:val="12"/>
                <w:szCs w:val="12"/>
                <w:color w:val="auto"/>
                <w:w w:val="78"/>
              </w:rPr>
              <w:t>3x</w:t>
            </w:r>
          </w:p>
        </w:tc>
      </w:tr>
      <w:tr>
        <w:trPr>
          <w:trHeight w:val="223"/>
        </w:trPr>
        <w:tc>
          <w:tcPr>
            <w:tcW w:w="6280" w:type="dxa"/>
            <w:vAlign w:val="bottom"/>
          </w:tcPr>
          <w:p>
            <w:pPr>
              <w:spacing w:after="0"/>
              <w:rPr>
                <w:sz w:val="20"/>
                <w:szCs w:val="20"/>
                <w:color w:val="auto"/>
              </w:rPr>
            </w:pPr>
            <w:r>
              <w:rPr>
                <w:rFonts w:ascii="Arial" w:cs="Arial" w:eastAsia="Arial" w:hAnsi="Arial"/>
                <w:sz w:val="12"/>
                <w:szCs w:val="12"/>
                <w:color w:val="auto"/>
              </w:rPr>
              <w:t>Directors</w:t>
            </w:r>
          </w:p>
        </w:tc>
        <w:tc>
          <w:tcPr>
            <w:tcW w:w="5140" w:type="dxa"/>
            <w:vAlign w:val="bottom"/>
          </w:tcPr>
          <w:p>
            <w:pPr>
              <w:ind w:left="5020"/>
              <w:spacing w:after="0"/>
              <w:rPr>
                <w:sz w:val="20"/>
                <w:szCs w:val="20"/>
                <w:color w:val="auto"/>
              </w:rPr>
            </w:pPr>
            <w:r>
              <w:rPr>
                <w:rFonts w:ascii="Arial" w:cs="Arial" w:eastAsia="Arial" w:hAnsi="Arial"/>
                <w:sz w:val="12"/>
                <w:szCs w:val="12"/>
                <w:color w:val="auto"/>
                <w:w w:val="78"/>
              </w:rPr>
              <w:t>5x</w:t>
            </w:r>
          </w:p>
        </w:tc>
      </w:tr>
      <w:tr>
        <w:trPr>
          <w:trHeight w:val="43"/>
        </w:trPr>
        <w:tc>
          <w:tcPr>
            <w:tcW w:w="6280" w:type="dxa"/>
            <w:vAlign w:val="bottom"/>
            <w:tcBorders>
              <w:bottom w:val="single" w:sz="8" w:color="auto"/>
            </w:tcBorders>
          </w:tcPr>
          <w:p>
            <w:pPr>
              <w:spacing w:after="0"/>
              <w:rPr>
                <w:sz w:val="3"/>
                <w:szCs w:val="3"/>
                <w:color w:val="auto"/>
              </w:rPr>
            </w:pPr>
          </w:p>
        </w:tc>
        <w:tc>
          <w:tcPr>
            <w:tcW w:w="5140" w:type="dxa"/>
            <w:vAlign w:val="bottom"/>
            <w:tcBorders>
              <w:bottom w:val="single" w:sz="8" w:color="auto"/>
            </w:tcBorders>
          </w:tcPr>
          <w:p>
            <w:pPr>
              <w:spacing w:after="0"/>
              <w:rPr>
                <w:sz w:val="3"/>
                <w:szCs w:val="3"/>
                <w:color w:val="auto"/>
              </w:rPr>
            </w:pPr>
          </w:p>
        </w:tc>
      </w:tr>
    </w:tbl>
    <w:p>
      <w:pPr>
        <w:spacing w:after="0" w:line="98" w:lineRule="exact"/>
        <w:rPr>
          <w:sz w:val="20"/>
          <w:szCs w:val="20"/>
          <w:color w:val="auto"/>
        </w:rPr>
      </w:pPr>
    </w:p>
    <w:p>
      <w:pPr>
        <w:ind w:left="1"/>
        <w:spacing w:after="0"/>
        <w:rPr>
          <w:sz w:val="20"/>
          <w:szCs w:val="20"/>
          <w:color w:val="auto"/>
        </w:rPr>
      </w:pPr>
      <w:r>
        <w:rPr>
          <w:rFonts w:ascii="Arial" w:cs="Arial" w:eastAsia="Arial" w:hAnsi="Arial"/>
          <w:sz w:val="12"/>
          <w:szCs w:val="12"/>
          <w:color w:val="auto"/>
        </w:rPr>
        <w:t>A transition period of two years is allowed for new directors to achieve the ownership amount. Executive officers are required to achieve ownership amounts within three years of hire or appointment.</w:t>
      </w:r>
    </w:p>
    <w:p>
      <w:pPr>
        <w:spacing w:after="0" w:line="97"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The Committee has reviewed the share ownership of our executive officers and directors and, subject to the transition periods described above, determined that they meet or exceed these share ownership guidelines.</w:t>
      </w:r>
    </w:p>
    <w:p>
      <w:pPr>
        <w:spacing w:after="0" w:line="182" w:lineRule="exact"/>
        <w:rPr>
          <w:sz w:val="20"/>
          <w:szCs w:val="20"/>
          <w:color w:val="auto"/>
        </w:rPr>
      </w:pPr>
    </w:p>
    <w:p>
      <w:pPr>
        <w:ind w:left="1"/>
        <w:spacing w:after="0"/>
        <w:rPr>
          <w:sz w:val="20"/>
          <w:szCs w:val="20"/>
          <w:color w:val="auto"/>
        </w:rPr>
      </w:pPr>
      <w:r>
        <w:rPr>
          <w:rFonts w:ascii="Arial" w:cs="Arial" w:eastAsia="Arial" w:hAnsi="Arial"/>
          <w:sz w:val="16"/>
          <w:szCs w:val="16"/>
          <w:color w:val="BB1131"/>
        </w:rPr>
        <w:t>Perquisites</w:t>
      </w:r>
    </w:p>
    <w:p>
      <w:pPr>
        <w:spacing w:after="0" w:line="97"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We provide our NEOs with perquisites and other personal benefits that we believe are reasonable and consistent with the practices of our peer group. Perquisites made available to our NEOs include an annual car allowance or the use of a company car and the payment of club dues. The amounts of these perquisites are shown in the Summary Compensation Table on page 35 and the related footnotes.</w:t>
      </w:r>
    </w:p>
    <w:p>
      <w:pPr>
        <w:spacing w:after="0" w:line="182" w:lineRule="exact"/>
        <w:rPr>
          <w:sz w:val="20"/>
          <w:szCs w:val="20"/>
          <w:color w:val="auto"/>
        </w:rPr>
      </w:pPr>
    </w:p>
    <w:p>
      <w:pPr>
        <w:ind w:left="1"/>
        <w:spacing w:after="0"/>
        <w:rPr>
          <w:sz w:val="20"/>
          <w:szCs w:val="20"/>
          <w:color w:val="auto"/>
        </w:rPr>
      </w:pPr>
      <w:r>
        <w:rPr>
          <w:rFonts w:ascii="Arial" w:cs="Arial" w:eastAsia="Arial" w:hAnsi="Arial"/>
          <w:sz w:val="16"/>
          <w:szCs w:val="16"/>
          <w:color w:val="BB1131"/>
        </w:rPr>
        <w:t>Expatriate benefits</w:t>
      </w:r>
    </w:p>
    <w:p>
      <w:pPr>
        <w:spacing w:after="0" w:line="97"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For our NEOs who are assigned to an international location outside their home country, we also provide reasonable and customary expatriate benefits, including relocation expenses, housing allowance and educational expenses for dependent children. The types and values of perquisites for each NEO are shown in the Summary Compensation Table and notes to that table on page 35.</w:t>
      </w:r>
    </w:p>
    <w:p>
      <w:pPr>
        <w:spacing w:after="0" w:line="79" w:lineRule="exact"/>
        <w:rPr>
          <w:sz w:val="20"/>
          <w:szCs w:val="20"/>
          <w:color w:val="auto"/>
        </w:rPr>
      </w:pPr>
    </w:p>
    <w:p>
      <w:pPr>
        <w:ind w:left="1"/>
        <w:spacing w:after="0"/>
        <w:rPr>
          <w:sz w:val="20"/>
          <w:szCs w:val="20"/>
          <w:color w:val="auto"/>
        </w:rPr>
      </w:pPr>
      <w:r>
        <w:rPr>
          <w:rFonts w:ascii="Arial" w:cs="Arial" w:eastAsia="Arial" w:hAnsi="Arial"/>
          <w:sz w:val="12"/>
          <w:szCs w:val="12"/>
          <w:color w:val="auto"/>
        </w:rPr>
        <w:t>Dr. Duroc-Danner has declined to accept a housing allowance or educational expenses in connection with his assignment to Switzerland.</w:t>
      </w:r>
    </w:p>
    <w:p>
      <w:pPr>
        <w:spacing w:after="0" w:line="97"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We also provide officers who are on international assignment a benefit designed to absorb part of the additional tax burden resulting from their assignment. We believe these benefits are standard in our industry and generally apply to non-management expatriate employees as well. We believe the level of tax benefit provided is reasonable and not excessive. Further, we believe the cost to the Company of providing this benefit is reasonable in light of the benefits we receive in having our officers assigned outside their home country.</w:t>
      </w:r>
    </w:p>
    <w:p>
      <w:pPr>
        <w:spacing w:after="0" w:line="85" w:lineRule="exact"/>
        <w:rPr>
          <w:sz w:val="20"/>
          <w:szCs w:val="20"/>
          <w:color w:val="auto"/>
        </w:rPr>
      </w:pPr>
    </w:p>
    <w:p>
      <w:pPr>
        <w:jc w:val="both"/>
        <w:ind w:left="1"/>
        <w:spacing w:after="0" w:line="242" w:lineRule="auto"/>
        <w:rPr>
          <w:sz w:val="20"/>
          <w:szCs w:val="20"/>
          <w:color w:val="auto"/>
        </w:rPr>
      </w:pPr>
      <w:r>
        <w:rPr>
          <w:rFonts w:ascii="Arial" w:cs="Arial" w:eastAsia="Arial" w:hAnsi="Arial"/>
          <w:sz w:val="12"/>
          <w:szCs w:val="12"/>
          <w:color w:val="auto"/>
        </w:rPr>
        <w:t>The level of tax benefit we provide to officers assigned to our Swiss headquarters is significantly less than the benefit we provide to non-executive employees on international assignment in other jurisdictions. We use a “hypothetical tax” model, in which we deduct a fixed amount from the executive’s cash and equity income and then pay taxes on behalf of the executive in his home country and country of assignment. Many companies use a “tax equalization” method, in which the expatriate’s taxes are calculated based on what they would be in his or her home country if he or she were not on an international assignment, and the Company reimburses the expatriate for all taxes above that amount.</w:t>
      </w:r>
    </w:p>
    <w:p>
      <w:pPr>
        <w:spacing w:after="0" w:line="87"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For our officers assigned to Switzerland, we generally deduct a 35% hypothetical tax. The effective result is that these officers pay a 35% flat tax on every dollar of income with no deductions and no exemptions. This often results in a higher tax payment by the executive than they would pay in their home country absent the international assignment, so the tax benefit we provide is less than the full tax equalization method employed by many companies in our industry.</w:t>
      </w:r>
    </w:p>
    <w:p>
      <w:pPr>
        <w:spacing w:after="0" w:line="85" w:lineRule="exact"/>
        <w:rPr>
          <w:sz w:val="20"/>
          <w:szCs w:val="20"/>
          <w:color w:val="auto"/>
        </w:rPr>
      </w:pPr>
    </w:p>
    <w:p>
      <w:pPr>
        <w:ind w:left="1"/>
        <w:spacing w:after="0"/>
        <w:rPr>
          <w:sz w:val="20"/>
          <w:szCs w:val="20"/>
          <w:color w:val="auto"/>
        </w:rPr>
      </w:pPr>
      <w:r>
        <w:rPr>
          <w:rFonts w:ascii="Arial" w:cs="Arial" w:eastAsia="Arial" w:hAnsi="Arial"/>
          <w:sz w:val="12"/>
          <w:szCs w:val="12"/>
          <w:color w:val="auto"/>
        </w:rPr>
        <w:t>Other than Dr. Duroc-Danner, none of our current NEOs receives any expatriate benefits.</w:t>
      </w:r>
    </w:p>
    <w:p>
      <w:pPr>
        <w:spacing w:after="0" w:line="200" w:lineRule="exact"/>
        <w:rPr>
          <w:sz w:val="20"/>
          <w:szCs w:val="20"/>
          <w:color w:val="auto"/>
        </w:rPr>
      </w:pPr>
    </w:p>
    <w:p>
      <w:pPr>
        <w:ind w:left="1"/>
        <w:spacing w:after="0"/>
        <w:rPr>
          <w:sz w:val="20"/>
          <w:szCs w:val="20"/>
          <w:color w:val="auto"/>
        </w:rPr>
      </w:pPr>
      <w:r>
        <w:rPr>
          <w:rFonts w:ascii="Arial" w:cs="Arial" w:eastAsia="Arial" w:hAnsi="Arial"/>
          <w:sz w:val="16"/>
          <w:szCs w:val="16"/>
          <w:color w:val="BB1131"/>
        </w:rPr>
        <w:t>Section 162(m) of the Internal Revenue Code</w:t>
      </w:r>
    </w:p>
    <w:p>
      <w:pPr>
        <w:spacing w:after="0" w:line="97" w:lineRule="exact"/>
        <w:rPr>
          <w:sz w:val="20"/>
          <w:szCs w:val="20"/>
          <w:color w:val="auto"/>
        </w:rPr>
      </w:pPr>
    </w:p>
    <w:p>
      <w:pPr>
        <w:jc w:val="both"/>
        <w:ind w:left="1"/>
        <w:spacing w:after="0" w:line="242" w:lineRule="auto"/>
        <w:rPr>
          <w:sz w:val="20"/>
          <w:szCs w:val="20"/>
          <w:color w:val="auto"/>
        </w:rPr>
      </w:pPr>
      <w:r>
        <w:rPr>
          <w:rFonts w:ascii="Arial" w:cs="Arial" w:eastAsia="Arial" w:hAnsi="Arial"/>
          <w:sz w:val="12"/>
          <w:szCs w:val="12"/>
          <w:color w:val="auto"/>
        </w:rPr>
        <w:t>The Committee considers the tax impact of our executive compensation programs. Section 162(m), as interpreted by U.S. Internal Revenue Service Notice 2007-49, imposes a $1 million limitation on the deductibility of certain compensation paid to certain officers. As a multi-national Irish company, the significant majority of our executive compensation is not a U.S. tax expense, so section 162(m) is not a concern for the Company. The Committee may take into account the potential application of section 162(m) on incentive compensation awards and other compensation decisions, and it may approve compensation that will not meet these requirements in order to ensure competitive levels of compensation for our executive officers.</w:t>
      </w:r>
    </w:p>
    <w:p>
      <w:pPr>
        <w:spacing w:after="0" w:line="190" w:lineRule="exact"/>
        <w:rPr>
          <w:sz w:val="20"/>
          <w:szCs w:val="20"/>
          <w:color w:val="auto"/>
        </w:rPr>
      </w:pPr>
    </w:p>
    <w:p>
      <w:pPr>
        <w:ind w:left="1"/>
        <w:spacing w:after="0"/>
        <w:rPr>
          <w:sz w:val="20"/>
          <w:szCs w:val="20"/>
          <w:color w:val="auto"/>
        </w:rPr>
      </w:pPr>
      <w:r>
        <w:rPr>
          <w:rFonts w:ascii="Arial" w:cs="Arial" w:eastAsia="Arial" w:hAnsi="Arial"/>
          <w:sz w:val="16"/>
          <w:szCs w:val="16"/>
          <w:color w:val="BB1131"/>
        </w:rPr>
        <w:t>Retirement plans</w:t>
      </w:r>
    </w:p>
    <w:p>
      <w:pPr>
        <w:spacing w:after="0" w:line="182" w:lineRule="exact"/>
        <w:rPr>
          <w:sz w:val="20"/>
          <w:szCs w:val="20"/>
          <w:color w:val="auto"/>
        </w:rPr>
      </w:pPr>
    </w:p>
    <w:p>
      <w:pPr>
        <w:ind w:left="1"/>
        <w:spacing w:after="0"/>
        <w:rPr>
          <w:sz w:val="20"/>
          <w:szCs w:val="20"/>
          <w:color w:val="auto"/>
        </w:rPr>
      </w:pPr>
      <w:r>
        <w:rPr>
          <w:rFonts w:ascii="Arial" w:cs="Arial" w:eastAsia="Arial" w:hAnsi="Arial"/>
          <w:sz w:val="12"/>
          <w:szCs w:val="12"/>
          <w:b w:val="1"/>
          <w:bCs w:val="1"/>
          <w:color w:val="auto"/>
        </w:rPr>
        <w:t>Discontinued executive retirement plan</w:t>
      </w:r>
    </w:p>
    <w:p>
      <w:pPr>
        <w:spacing w:after="0" w:line="111"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Historically, we maintained supplemental executive retirement plans. No new participants have been admitted to the plans since 2006. The original plan was frozen in 2008, and the successor plan was frozen in 2010, following which no additional benefits have accrued to the participants, other than de minimis interest accruals on cash balances.</w:t>
      </w:r>
    </w:p>
    <w:p>
      <w:pPr>
        <w:spacing w:after="0" w:line="178"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The only remaining participant in the plan is Dr. Duroc-Danner. In 2010, Dr. Duroc-Danner elected to convert his fully vested cash balance in the plan into approximately 4.4 million notional share units. He will receive these units upon leaving the Company or no later than January 1, 2017 and the value of these units will increase or decrease in direct correlation to the change in our share price. This provides a strong linkage to our share price performance.</w:t>
      </w:r>
    </w:p>
    <w:p>
      <w:pPr>
        <w:spacing w:after="0" w:line="170" w:lineRule="exact"/>
        <w:rPr>
          <w:sz w:val="20"/>
          <w:szCs w:val="20"/>
          <w:color w:val="auto"/>
        </w:rPr>
      </w:pPr>
    </w:p>
    <w:p>
      <w:pPr>
        <w:ind w:left="1"/>
        <w:spacing w:after="0"/>
        <w:rPr>
          <w:sz w:val="20"/>
          <w:szCs w:val="20"/>
          <w:color w:val="auto"/>
        </w:rPr>
      </w:pPr>
      <w:r>
        <w:rPr>
          <w:rFonts w:ascii="Arial" w:cs="Arial" w:eastAsia="Arial" w:hAnsi="Arial"/>
          <w:sz w:val="12"/>
          <w:szCs w:val="12"/>
          <w:b w:val="1"/>
          <w:bCs w:val="1"/>
          <w:color w:val="auto"/>
        </w:rPr>
        <w:t>Suspended deferred compensation plan</w:t>
      </w:r>
    </w:p>
    <w:p>
      <w:pPr>
        <w:spacing w:after="0" w:line="111"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We historically maintained the EDC for our executive officers and certain senior managers and key employees. We suspended the EDC in 2008 such that no new participants may join the plan, participants may not make compensation deferrals to the plan, and we do not make credits under the plan of behalf of participants.</w:t>
      </w:r>
    </w:p>
    <w:p>
      <w:pPr>
        <w:spacing w:after="0" w:line="79" w:lineRule="exact"/>
        <w:rPr>
          <w:sz w:val="20"/>
          <w:szCs w:val="20"/>
          <w:color w:val="auto"/>
        </w:rPr>
      </w:pPr>
    </w:p>
    <w:p>
      <w:pPr>
        <w:jc w:val="both"/>
        <w:ind w:left="1"/>
        <w:spacing w:after="0" w:line="242" w:lineRule="auto"/>
        <w:rPr>
          <w:sz w:val="20"/>
          <w:szCs w:val="20"/>
          <w:color w:val="auto"/>
        </w:rPr>
      </w:pPr>
      <w:r>
        <w:rPr>
          <w:rFonts w:ascii="Arial" w:cs="Arial" w:eastAsia="Arial" w:hAnsi="Arial"/>
          <w:sz w:val="12"/>
          <w:szCs w:val="12"/>
          <w:color w:val="auto"/>
        </w:rPr>
        <w:t>All participants in the plan are fully vested in their plan balances. Shares sufficient to cover all participant accounts are maintained in a trust, and the Company does not expect to incur any further liability on distribution of participant accounts. All amounts under the EDC will be distributed upon the respective participants’ leaving the Company or no later than January 1, 2017. While Weatherford Switzerland, our predecessor company, generally made distributions under this plan in its registered shares, as a result of Weatherford Switzerland’s merger into us in June 2014, we will make distributions in either shares or cash pursuant to an amendment to the EDC made in order to comply with Irish law. The redomestication from Switzerland to Ireland will not, however, affect the timing or amount of distributions.</w:t>
      </w:r>
    </w:p>
    <w:p>
      <w:pPr>
        <w:spacing w:after="0" w:line="186" w:lineRule="exact"/>
        <w:rPr>
          <w:sz w:val="20"/>
          <w:szCs w:val="20"/>
          <w:color w:val="auto"/>
        </w:rPr>
      </w:pPr>
    </w:p>
    <w:p>
      <w:pPr>
        <w:ind w:left="301" w:hanging="301"/>
        <w:spacing w:after="0"/>
        <w:tabs>
          <w:tab w:leader="none" w:pos="301" w:val="left"/>
        </w:tabs>
        <w:numPr>
          <w:ilvl w:val="0"/>
          <w:numId w:val="41"/>
        </w:numPr>
        <w:rPr>
          <w:rFonts w:ascii="Arial" w:cs="Arial" w:eastAsia="Arial" w:hAnsi="Arial"/>
          <w:sz w:val="12"/>
          <w:szCs w:val="12"/>
          <w:b w:val="1"/>
          <w:bCs w:val="1"/>
          <w:color w:val="auto"/>
        </w:rPr>
      </w:pPr>
      <w:r>
        <w:rPr>
          <w:rFonts w:ascii="Arial" w:cs="Arial" w:eastAsia="Arial" w:hAnsi="Arial"/>
          <w:sz w:val="12"/>
          <w:szCs w:val="12"/>
          <w:color w:val="auto"/>
        </w:rPr>
        <w:t>Weatherford International plc - 2014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8370" cy="203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9640"/>
        <w:spacing w:after="0"/>
        <w:rPr>
          <w:sz w:val="20"/>
          <w:szCs w:val="20"/>
          <w:color w:val="auto"/>
        </w:rPr>
      </w:pPr>
      <w:r>
        <w:rPr>
          <w:rFonts w:ascii="Arial" w:cs="Arial" w:eastAsia="Arial" w:hAnsi="Arial"/>
          <w:sz w:val="12"/>
          <w:szCs w:val="12"/>
          <w:b w:val="1"/>
          <w:bCs w:val="1"/>
          <w:color w:val="FFFFFF"/>
          <w:shd w:val="clear" w:color="auto" w:fill="BB1131"/>
        </w:rPr>
        <w:t>EXECUTIVE COMPENSATION</w:t>
      </w:r>
    </w:p>
    <w:p>
      <w:pPr>
        <w:spacing w:after="0" w:line="210"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During 2012, the Committee elected to terminate this plan and make a partial distribution pursuant to it, resulting in the taxable distribution to participants of fully vested balances as of December 31, 2004. The Committee took this action to minimize the ongoing administrative burden of this suspended plan and in anticipation of higher 2013 personal income tax rates for most participants.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The values of the benefits in the EDC and the change in the value of those benefits is set forth under the heading “Nonqualified Deferred Compensation” on page 44.</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BB1131"/>
        </w:rPr>
        <w:t>Other generally available benefits and other compensation</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Our NEOs are eligible for additional Company-wide benefits on the same basis as other full-time employees. These include a 401(k) plan or other pension plan depending on their jurisdiction, as well as health, medical and welfare programs. We also pay life insurance premiums on their behalf.</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BB1131"/>
        </w:rPr>
        <w:t>Employment agreements</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Executive employment agreements</w:t>
      </w:r>
    </w:p>
    <w:p>
      <w:pPr>
        <w:spacing w:after="0" w:line="111"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All of our current NEOs have entered into the same form of employment agreement (the “Executive Employment Agreement”), except that Mr. Shivram’s agreement does not contain a “good reason” termination event for relocation and certain provisions were added to address potential changes in applicable law. Under the terms of the Executive Employment Agreement, if the Company terminates an executive’s employment for any reason other than cause, if the executive terminates his employment for good reason or if the employment is terminated as a result of the executive’s death or disability, the executive will be entitled to receive (i) an amount equal to three (one in the case of death, disability or due to the Company’s non-renewal of the agreement) multiplied by the sum of the annual base salary received by the executive as of the date of termination plus the target level annual bonus that would be payable in the current fiscal year, and (ii) any accrued salary or bonus (pro-rated to the date of termination). In addition, under these circumstances, all dental and health benefits and all other welfare benefits will be maintained for one to three years after termination provided the executive makes his required contribution. We are required to pay legal fees and expenses incurred by the executive in any disputes regarding the Executive Employment Agreement, so long as the executive undertakes to reimburse the Company for such amounts paid if the executive is determined to have acted in bad faith in connection with the dispute.</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color w:val="auto"/>
        </w:rPr>
        <w:t>Benefits potentially payable to our NEOs under the Executive Employment Agreement are described in greater detail under “Potential Payments upon Termination or Change of Control” beginning on page 38.</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BB1131"/>
        </w:rPr>
        <w:t>Severance benefits</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color w:val="auto"/>
        </w:rPr>
        <w:t>The severance benefits under the Executive Employment Agreement are not augmented by a change of control and are “double-trigger” arrangements.</w:t>
      </w:r>
    </w:p>
    <w:p>
      <w:pPr>
        <w:spacing w:after="0" w:line="97" w:lineRule="exact"/>
        <w:rPr>
          <w:sz w:val="20"/>
          <w:szCs w:val="20"/>
          <w:color w:val="auto"/>
        </w:rPr>
      </w:pPr>
    </w:p>
    <w:p>
      <w:pPr>
        <w:jc w:val="both"/>
        <w:spacing w:after="0"/>
        <w:rPr>
          <w:sz w:val="20"/>
          <w:szCs w:val="20"/>
          <w:color w:val="auto"/>
        </w:rPr>
      </w:pPr>
      <w:r>
        <w:rPr>
          <w:rFonts w:ascii="Arial" w:cs="Arial" w:eastAsia="Arial" w:hAnsi="Arial"/>
          <w:sz w:val="12"/>
          <w:szCs w:val="12"/>
          <w:color w:val="auto"/>
        </w:rPr>
        <w:t>The Committee has determined that offering severance benefits (which may be payable in the event of a qualifying termination of employment prior to or following a change of control) is beneficial in recruiting and retaining executives and also encourages the retention of our officers during the pendency of a potential change of control transaction or other organizational changes within the Company. Our severance benefits and protections are intended to provide for the payment of severance benefits to the executive officers in the event their employment with the Company is involuntarily terminated without cause (including in case of death or disability) or they resign for good reason and to encourage the executive officers to continue employment in the event of a potential “change of control.” The Committee believes that these benefits serve to enhance shareholder value and align our officers’ interests with those of our shareholders. While the Executive Employment Agreement provides for severance benefits, the benefits provided by these agreements are generally more limited compared to prior agreements.</w:t>
      </w:r>
    </w:p>
    <w:p>
      <w:pPr>
        <w:spacing w:after="0" w:line="88"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The potential payments that each of our NEOs would have received if a termination of employment had occurred on December 31, 2013 are set forth under the section entitled “Potential Payments Upon Termination or Change of Control” beginning on page 38.</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Termination of employment</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color w:val="auto"/>
        </w:rPr>
        <w:t>The following paragraphs summarize separation compensation made to former NEOs of the Company.</w:t>
      </w:r>
    </w:p>
    <w:p>
      <w:pPr>
        <w:spacing w:after="0" w:line="97" w:lineRule="exact"/>
        <w:rPr>
          <w:sz w:val="20"/>
          <w:szCs w:val="20"/>
          <w:color w:val="auto"/>
        </w:rPr>
      </w:pPr>
    </w:p>
    <w:p>
      <w:pPr>
        <w:jc w:val="both"/>
        <w:spacing w:after="0" w:line="242" w:lineRule="auto"/>
        <w:rPr>
          <w:sz w:val="20"/>
          <w:szCs w:val="20"/>
          <w:color w:val="auto"/>
        </w:rPr>
      </w:pPr>
      <w:r>
        <w:rPr>
          <w:rFonts w:ascii="Arial" w:cs="Arial" w:eastAsia="Arial" w:hAnsi="Arial"/>
          <w:sz w:val="12"/>
          <w:szCs w:val="12"/>
          <w:color w:val="auto"/>
        </w:rPr>
        <w:t>Peter T. Fontana, formerly the Executive Vice President and Chief Operating Officer of the Company, ceased to be an employee on December 13, 2013. In connection with rights under his Executive Employment Agreement, the Company paid Mr. Fontana accrued vacation of £213,869, a pro-rated 2013 bonus calculated at a target level of £609,381, and an additional amount of £1,281,984 (representing one times the sum of base salary plus annual bonus calculated at a target level), plus a lump sum of £356,804. Further, in settlement of long-term equity-based incentive awards, Mr. Fontana received a gross distribution of 1,031,148 shares of Weatherford Switzerland’s stock with respect to RSUs and PUs.</w:t>
      </w:r>
    </w:p>
    <w:p>
      <w:pPr>
        <w:spacing w:after="0" w:line="87" w:lineRule="exact"/>
        <w:rPr>
          <w:sz w:val="20"/>
          <w:szCs w:val="20"/>
          <w:color w:val="auto"/>
        </w:rPr>
      </w:pPr>
    </w:p>
    <w:p>
      <w:pPr>
        <w:jc w:val="both"/>
        <w:spacing w:after="0"/>
        <w:rPr>
          <w:sz w:val="20"/>
          <w:szCs w:val="20"/>
          <w:color w:val="auto"/>
        </w:rPr>
      </w:pPr>
      <w:r>
        <w:rPr>
          <w:rFonts w:ascii="Arial" w:cs="Arial" w:eastAsia="Arial" w:hAnsi="Arial"/>
          <w:sz w:val="12"/>
          <w:szCs w:val="12"/>
          <w:color w:val="auto"/>
        </w:rPr>
        <w:t>John H. Briscoe, formerly the Senior Vice President and Chief Financial Officer of the Company, ceased to be an employee on September 11, 2013. In connection with rights under his Executive Employment Agreement, the Company paid Mr. Briscoe accrued vacation of $104,996, a pro-rated 2013 bonus calculated at a target level of $455,947, and an additional amount of $4,149,600 (representing three times the sum of base salary plus annual bonus calculated at a target level), plus interest on certain deferred portions estimated at $74,840. Further, in settlement of long-term equity-based incentive awards, Mr. Briscoe received a gross distribution of 203,811 shares of Weatherford Switzerland’s stock with respect to RSUs and an additional 288,992 shares with respect to PUs. At the election of Mr. Briscoe, shares were withheld to satisfy the minimum tax withholding requirements. The Company agreed to provide Mr. Briscoe with outplacement services, at a cost of up to $35,000. Mr. Briscoe agreed to provide consulting services to the Company for a period of up to six months after his separation, for which the Company agreed to pay him $11,526 per month.</w:t>
      </w:r>
    </w:p>
    <w:p>
      <w:pPr>
        <w:spacing w:after="0" w:line="88" w:lineRule="exact"/>
        <w:rPr>
          <w:sz w:val="20"/>
          <w:szCs w:val="20"/>
          <w:color w:val="auto"/>
        </w:rPr>
      </w:pPr>
    </w:p>
    <w:p>
      <w:pPr>
        <w:jc w:val="both"/>
        <w:spacing w:after="0"/>
        <w:rPr>
          <w:sz w:val="20"/>
          <w:szCs w:val="20"/>
          <w:color w:val="auto"/>
        </w:rPr>
      </w:pPr>
      <w:r>
        <w:rPr>
          <w:rFonts w:ascii="Arial" w:cs="Arial" w:eastAsia="Arial" w:hAnsi="Arial"/>
          <w:sz w:val="12"/>
          <w:szCs w:val="12"/>
          <w:color w:val="auto"/>
        </w:rPr>
        <w:t>Nicholas W. Gee, formerly the Executive Vice President - Strategy and Development and Chief Safety Officer of the Company, ceased to be an employee on February 28, 2014. In connection with rights under his Executive Employment Agreement, the Company paid Mr. Gee accrued vacation of CHF51,408, CHF21,134 in lieu of certain insurance benefits, a pro-rated 2014 bonus calculated at a target level of CHF95,881 and an additional amount of CHF3,645,336 (representing three times the sum of base salary plus annual bonus calculated at a target level). Further, in settlement of long-term equity-based incentive awards, Mr. Gee received a gross distribution of 440,084 shares of Weatherford Switzerland’s stock with respect to RSUs and PUs. At the election of Mr. Gee, shares were withheld to satisfy his hypothetical tax obligation. In accordance with the Company’s tax procedure for international assignees, the Company will be responsible for Mr. Gee’s tax liability beyond the hypothetical taxes deducted from his cash and equity compensation and will incur the costs related to the preparation of his tax returns. In addition, the Company agreed to provide Mr. Gee with outplacement services, at a cost of up to $35,000.</w:t>
      </w:r>
    </w:p>
    <w:p>
      <w:pPr>
        <w:spacing w:after="0" w:line="310"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auto"/>
        </w:rPr>
        <w:t>Weatherford International plc - www.WeatherfordAnnualMeeting.com</w:t>
      </w:r>
      <w:r>
        <w:rPr>
          <w:sz w:val="20"/>
          <w:szCs w:val="20"/>
          <w:color w:val="auto"/>
        </w:rPr>
        <w:tab/>
      </w:r>
      <w:r>
        <w:rPr>
          <w:rFonts w:ascii="Arial" w:cs="Arial" w:eastAsia="Arial" w:hAnsi="Arial"/>
          <w:sz w:val="10"/>
          <w:szCs w:val="10"/>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131445</wp:posOffset>
            </wp:positionV>
            <wp:extent cx="7278370" cy="203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51" w:name="page52"/>
    <w:bookmarkEnd w:id="51"/>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41"/>
        <w:spacing w:after="0"/>
        <w:rPr>
          <w:sz w:val="20"/>
          <w:szCs w:val="20"/>
          <w:color w:val="auto"/>
        </w:rPr>
      </w:pPr>
      <w:r>
        <w:rPr>
          <w:rFonts w:ascii="Arial" w:cs="Arial" w:eastAsia="Arial" w:hAnsi="Arial"/>
          <w:sz w:val="12"/>
          <w:szCs w:val="12"/>
          <w:b w:val="1"/>
          <w:bCs w:val="1"/>
          <w:color w:val="FFFFFF"/>
          <w:shd w:val="clear" w:color="auto" w:fill="BB1131"/>
        </w:rPr>
        <w:t>EXECUTIVE COMPENSATION</w:t>
      </w:r>
    </w:p>
    <w:p>
      <w:pPr>
        <w:spacing w:after="0" w:line="210" w:lineRule="exact"/>
        <w:rPr>
          <w:sz w:val="20"/>
          <w:szCs w:val="20"/>
          <w:color w:val="auto"/>
        </w:rPr>
      </w:pPr>
    </w:p>
    <w:p>
      <w:pPr>
        <w:jc w:val="both"/>
        <w:ind w:left="1"/>
        <w:spacing w:after="0"/>
        <w:rPr>
          <w:sz w:val="20"/>
          <w:szCs w:val="20"/>
          <w:color w:val="auto"/>
        </w:rPr>
      </w:pPr>
      <w:r>
        <w:rPr>
          <w:rFonts w:ascii="Arial" w:cs="Arial" w:eastAsia="Arial" w:hAnsi="Arial"/>
          <w:sz w:val="12"/>
          <w:szCs w:val="12"/>
          <w:color w:val="auto"/>
        </w:rPr>
        <w:t>Joseph C. Henry, formerly the Senior Vice President and Co-General Counsel of the Company, ceased to be an employee on June 30, 2013. In connection with his separation, the Company paid Mr. Henry accrued vacation of $62,554, a pro-rated 2013 bonus calculated at a target level of $243,360, and an additional amount of $3,082,560 (representing three times the sum of base salary plus annual bonus calculated at a target level), plus interest on certain deferred portions estimated at $108,092. Further, in settlement of long-term equity-based incentive awards, Mr. Henry received a gross distribution of 313,959 shares of the Weatherford Switzerland’s stock with respect to RSUs and PUs. At the election of Mr. Henry, shares were withheld to satisfy the minimum tax withholding requirements. The Company agreed to provide Mr. Henry with outplacement services, at a cost of up to $35,000. Mr. Henry agreed to provide consulting services to the Company after his separation for a period of up to six months at $19,874 a month; these services were terminated by the Company on October 11, 2013.</w:t>
      </w:r>
    </w:p>
    <w:p>
      <w:pPr>
        <w:spacing w:after="0" w:line="88" w:lineRule="exact"/>
        <w:rPr>
          <w:sz w:val="20"/>
          <w:szCs w:val="20"/>
          <w:color w:val="auto"/>
        </w:rPr>
      </w:pPr>
    </w:p>
    <w:p>
      <w:pPr>
        <w:jc w:val="both"/>
        <w:ind w:left="1"/>
        <w:spacing w:after="0" w:line="241" w:lineRule="auto"/>
        <w:rPr>
          <w:sz w:val="20"/>
          <w:szCs w:val="20"/>
          <w:color w:val="auto"/>
        </w:rPr>
      </w:pPr>
      <w:r>
        <w:rPr>
          <w:rFonts w:ascii="Arial" w:cs="Arial" w:eastAsia="Arial" w:hAnsi="Arial"/>
          <w:sz w:val="12"/>
          <w:szCs w:val="12"/>
          <w:color w:val="auto"/>
        </w:rPr>
        <w:t>William B. Jacobson, formerly the Senior Vice President, Co-General Counsel and Chief Compliance Officer of the Company, ceased to be an employee on July 3, 2014. In connection with his separation, the Company paid Mr. Jacobson accrued vacation of $74,519, a pro-rated 2014 bonus calculated at a target level of $252,055, and an additional amount of $4,500,000 (representing three times the sum of base salary plus annual bonus calculated at a target level), plus interest on certain deferred portions estimated at $68,742. Further, in settlement of long-term equity-based incentive awards, Mr. Jacobson received a gross distribution of 330,090 shares of the Company’s stock with respect to RSUs and PUs. At the election of Mr. Jacobson, shares were withheld to satisfy the minimum tax withholding requirements. The Company agreed to provide Mr. Jacobson, upon request, with outplacement services, at a cost of up to $35,000.</w:t>
      </w:r>
    </w:p>
    <w:p>
      <w:pPr>
        <w:spacing w:after="0" w:line="200" w:lineRule="exact"/>
        <w:rPr>
          <w:sz w:val="20"/>
          <w:szCs w:val="20"/>
          <w:color w:val="auto"/>
        </w:rPr>
      </w:pPr>
    </w:p>
    <w:p>
      <w:pPr>
        <w:spacing w:after="0" w:line="213" w:lineRule="exact"/>
        <w:rPr>
          <w:sz w:val="20"/>
          <w:szCs w:val="20"/>
          <w:color w:val="auto"/>
        </w:rPr>
      </w:pPr>
    </w:p>
    <w:p>
      <w:pPr>
        <w:ind w:left="1"/>
        <w:spacing w:after="0"/>
        <w:rPr>
          <w:sz w:val="20"/>
          <w:szCs w:val="20"/>
          <w:color w:val="auto"/>
        </w:rPr>
      </w:pPr>
      <w:r>
        <w:rPr>
          <w:rFonts w:ascii="Arial" w:cs="Arial" w:eastAsia="Arial" w:hAnsi="Arial"/>
          <w:sz w:val="30"/>
          <w:szCs w:val="30"/>
          <w:color w:val="BB1131"/>
        </w:rPr>
        <w:t>Compensation committee report</w:t>
      </w:r>
    </w:p>
    <w:p>
      <w:pPr>
        <w:spacing w:after="0" w:line="97"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We have reviewed and discussed with management the Compensation Discussion and Analysis contained in this proxy statement. Based on such review and discussions, we have recommended to the Board of Directors that the Compensation Discussion and Analysis be included in this proxy statement.</w:t>
      </w:r>
    </w:p>
    <w:p>
      <w:pPr>
        <w:spacing w:after="0" w:line="78" w:lineRule="exact"/>
        <w:rPr>
          <w:sz w:val="20"/>
          <w:szCs w:val="20"/>
          <w:color w:val="auto"/>
        </w:rPr>
      </w:pPr>
    </w:p>
    <w:p>
      <w:pPr>
        <w:ind w:left="1"/>
        <w:spacing w:after="0"/>
        <w:rPr>
          <w:sz w:val="20"/>
          <w:szCs w:val="20"/>
          <w:color w:val="auto"/>
        </w:rPr>
      </w:pPr>
      <w:r>
        <w:rPr>
          <w:rFonts w:ascii="Arial" w:cs="Arial" w:eastAsia="Arial" w:hAnsi="Arial"/>
          <w:sz w:val="12"/>
          <w:szCs w:val="12"/>
          <w:color w:val="auto"/>
        </w:rPr>
        <w:t>John D. Gass</w:t>
      </w:r>
    </w:p>
    <w:p>
      <w:pPr>
        <w:ind w:left="1"/>
        <w:spacing w:after="0" w:line="236" w:lineRule="auto"/>
        <w:rPr>
          <w:sz w:val="20"/>
          <w:szCs w:val="20"/>
          <w:color w:val="auto"/>
        </w:rPr>
      </w:pPr>
      <w:r>
        <w:rPr>
          <w:rFonts w:ascii="Arial" w:cs="Arial" w:eastAsia="Arial" w:hAnsi="Arial"/>
          <w:sz w:val="12"/>
          <w:szCs w:val="12"/>
          <w:color w:val="auto"/>
        </w:rPr>
        <w:t xml:space="preserve">William E. Macaulay </w:t>
      </w:r>
      <w:r>
        <w:rPr>
          <w:rFonts w:ascii="Arial" w:cs="Arial" w:eastAsia="Arial" w:hAnsi="Arial"/>
          <w:sz w:val="12"/>
          <w:szCs w:val="12"/>
          <w:i w:val="1"/>
          <w:iCs w:val="1"/>
          <w:color w:val="auto"/>
        </w:rPr>
        <w:t>(Chairman)</w:t>
      </w:r>
    </w:p>
    <w:p>
      <w:pPr>
        <w:ind w:left="1"/>
        <w:spacing w:after="0" w:line="237" w:lineRule="auto"/>
        <w:rPr>
          <w:sz w:val="20"/>
          <w:szCs w:val="20"/>
          <w:color w:val="auto"/>
        </w:rPr>
      </w:pPr>
      <w:r>
        <w:rPr>
          <w:rFonts w:ascii="Arial" w:cs="Arial" w:eastAsia="Arial" w:hAnsi="Arial"/>
          <w:sz w:val="12"/>
          <w:szCs w:val="12"/>
          <w:color w:val="auto"/>
        </w:rPr>
        <w:t>Robert K. Moses, Jr.</w:t>
      </w:r>
    </w:p>
    <w:p>
      <w:pPr>
        <w:ind w:left="1"/>
        <w:spacing w:after="0"/>
        <w:rPr>
          <w:sz w:val="20"/>
          <w:szCs w:val="20"/>
          <w:color w:val="auto"/>
        </w:rPr>
      </w:pPr>
      <w:r>
        <w:rPr>
          <w:rFonts w:ascii="Arial" w:cs="Arial" w:eastAsia="Arial" w:hAnsi="Arial"/>
          <w:sz w:val="12"/>
          <w:szCs w:val="12"/>
          <w:color w:val="auto"/>
        </w:rPr>
        <w:t>Guillermo Ortiz</w:t>
      </w:r>
    </w:p>
    <w:p>
      <w:pPr>
        <w:spacing w:after="0" w:line="200" w:lineRule="exact"/>
        <w:rPr>
          <w:sz w:val="20"/>
          <w:szCs w:val="20"/>
          <w:color w:val="auto"/>
        </w:rPr>
      </w:pPr>
    </w:p>
    <w:p>
      <w:pPr>
        <w:spacing w:after="0" w:line="223" w:lineRule="exact"/>
        <w:rPr>
          <w:sz w:val="20"/>
          <w:szCs w:val="20"/>
          <w:color w:val="auto"/>
        </w:rPr>
      </w:pPr>
    </w:p>
    <w:p>
      <w:pPr>
        <w:ind w:left="1"/>
        <w:spacing w:after="0"/>
        <w:rPr>
          <w:sz w:val="20"/>
          <w:szCs w:val="20"/>
          <w:color w:val="auto"/>
        </w:rPr>
      </w:pPr>
      <w:r>
        <w:rPr>
          <w:rFonts w:ascii="Arial" w:cs="Arial" w:eastAsia="Arial" w:hAnsi="Arial"/>
          <w:sz w:val="30"/>
          <w:szCs w:val="30"/>
          <w:color w:val="BB1131"/>
        </w:rPr>
        <w:t>Compensation committee interlocks and</w:t>
      </w:r>
    </w:p>
    <w:p>
      <w:pPr>
        <w:spacing w:after="0" w:line="2" w:lineRule="exact"/>
        <w:rPr>
          <w:sz w:val="20"/>
          <w:szCs w:val="20"/>
          <w:color w:val="auto"/>
        </w:rPr>
      </w:pPr>
    </w:p>
    <w:p>
      <w:pPr>
        <w:ind w:left="1"/>
        <w:spacing w:after="0"/>
        <w:rPr>
          <w:sz w:val="20"/>
          <w:szCs w:val="20"/>
          <w:color w:val="auto"/>
        </w:rPr>
      </w:pPr>
      <w:r>
        <w:rPr>
          <w:rFonts w:ascii="Arial" w:cs="Arial" w:eastAsia="Arial" w:hAnsi="Arial"/>
          <w:sz w:val="30"/>
          <w:szCs w:val="30"/>
          <w:color w:val="BB1131"/>
        </w:rPr>
        <w:t>insider participation</w:t>
      </w:r>
    </w:p>
    <w:p>
      <w:pPr>
        <w:spacing w:after="0" w:line="97" w:lineRule="exact"/>
        <w:rPr>
          <w:sz w:val="20"/>
          <w:szCs w:val="20"/>
          <w:color w:val="auto"/>
        </w:rPr>
      </w:pPr>
    </w:p>
    <w:p>
      <w:pPr>
        <w:ind w:left="1"/>
        <w:spacing w:after="0" w:line="254" w:lineRule="auto"/>
        <w:rPr>
          <w:sz w:val="20"/>
          <w:szCs w:val="20"/>
          <w:color w:val="auto"/>
        </w:rPr>
      </w:pPr>
      <w:r>
        <w:rPr>
          <w:rFonts w:ascii="Arial" w:cs="Arial" w:eastAsia="Arial" w:hAnsi="Arial"/>
          <w:sz w:val="12"/>
          <w:szCs w:val="12"/>
          <w:color w:val="auto"/>
        </w:rPr>
        <w:t>The Compensation Committee’s current members are Dr. Ortiz and Messrs. Gass, Macaulay (Chairman) and Moses, all of whom are independent, non-employee directors. None of the current Compensation Committee members has served as an officer or employee of the Company.</w:t>
      </w:r>
    </w:p>
    <w:p>
      <w:pPr>
        <w:spacing w:after="0" w:line="178" w:lineRule="exact"/>
        <w:rPr>
          <w:sz w:val="20"/>
          <w:szCs w:val="20"/>
          <w:color w:val="auto"/>
        </w:rPr>
      </w:pPr>
    </w:p>
    <w:p>
      <w:pPr>
        <w:ind w:left="301" w:hanging="301"/>
        <w:spacing w:after="0"/>
        <w:tabs>
          <w:tab w:leader="none" w:pos="301" w:val="left"/>
        </w:tabs>
        <w:numPr>
          <w:ilvl w:val="0"/>
          <w:numId w:val="42"/>
        </w:numPr>
        <w:rPr>
          <w:rFonts w:ascii="Arial" w:cs="Arial" w:eastAsia="Arial" w:hAnsi="Arial"/>
          <w:sz w:val="12"/>
          <w:szCs w:val="12"/>
          <w:b w:val="1"/>
          <w:bCs w:val="1"/>
          <w:color w:val="auto"/>
        </w:rPr>
      </w:pPr>
      <w:r>
        <w:rPr>
          <w:rFonts w:ascii="Arial" w:cs="Arial" w:eastAsia="Arial" w:hAnsi="Arial"/>
          <w:sz w:val="12"/>
          <w:szCs w:val="12"/>
          <w:color w:val="auto"/>
        </w:rPr>
        <w:t>Weatherford International plc - 2014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8370" cy="203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sectPr>
      </w:pPr>
    </w:p>
    <w:bookmarkStart w:id="52" w:name="page53"/>
    <w:bookmarkEnd w:id="52"/>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9641"/>
        <w:spacing w:after="0"/>
        <w:rPr>
          <w:sz w:val="20"/>
          <w:szCs w:val="20"/>
          <w:color w:val="auto"/>
        </w:rPr>
      </w:pPr>
      <w:r>
        <w:rPr>
          <w:rFonts w:ascii="Arial" w:cs="Arial" w:eastAsia="Arial" w:hAnsi="Arial"/>
          <w:sz w:val="12"/>
          <w:szCs w:val="12"/>
          <w:b w:val="1"/>
          <w:bCs w:val="1"/>
          <w:color w:val="FFFFFF"/>
          <w:shd w:val="clear" w:color="auto" w:fill="BB1131"/>
        </w:rPr>
        <w:t>EXECUTIVE COMPENSATION</w:t>
      </w:r>
    </w:p>
    <w:p>
      <w:pPr>
        <w:spacing w:after="0" w:line="214" w:lineRule="exact"/>
        <w:rPr>
          <w:sz w:val="20"/>
          <w:szCs w:val="20"/>
          <w:color w:val="auto"/>
        </w:rPr>
      </w:pPr>
    </w:p>
    <w:p>
      <w:pPr>
        <w:ind w:left="1"/>
        <w:spacing w:after="0"/>
        <w:rPr>
          <w:sz w:val="20"/>
          <w:szCs w:val="20"/>
          <w:color w:val="auto"/>
        </w:rPr>
      </w:pPr>
      <w:r>
        <w:rPr>
          <w:rFonts w:ascii="Arial" w:cs="Arial" w:eastAsia="Arial" w:hAnsi="Arial"/>
          <w:sz w:val="30"/>
          <w:szCs w:val="30"/>
          <w:color w:val="BB1131"/>
        </w:rPr>
        <w:t>Summary compensation table</w:t>
      </w:r>
    </w:p>
    <w:p>
      <w:pPr>
        <w:spacing w:after="0" w:line="97" w:lineRule="exact"/>
        <w:rPr>
          <w:sz w:val="20"/>
          <w:szCs w:val="20"/>
          <w:color w:val="auto"/>
        </w:rPr>
      </w:pPr>
    </w:p>
    <w:p>
      <w:pPr>
        <w:ind w:left="1"/>
        <w:spacing w:after="0" w:line="254" w:lineRule="auto"/>
        <w:rPr>
          <w:sz w:val="20"/>
          <w:szCs w:val="20"/>
          <w:color w:val="auto"/>
        </w:rPr>
      </w:pPr>
      <w:r>
        <w:rPr>
          <w:rFonts w:ascii="Arial" w:cs="Arial" w:eastAsia="Arial" w:hAnsi="Arial"/>
          <w:sz w:val="12"/>
          <w:szCs w:val="12"/>
          <w:color w:val="auto"/>
        </w:rPr>
        <w:t>This table shows the total compensation paid for the years ended December 31, 2013, 2012 and 2011 to our NEOs. Information is not provided for 2011 for Messrs. Mehta and Briscoe and for 2011 and 2012 for Messrs. Shivram and Henry because they were not NEOs in those years.</w:t>
      </w:r>
    </w:p>
    <w:p>
      <w:pPr>
        <w:spacing w:after="0" w:line="177"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34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Change in</w:t>
            </w:r>
          </w:p>
        </w:tc>
        <w:tc>
          <w:tcPr>
            <w:tcW w:w="12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36"/>
        </w:trPr>
        <w:tc>
          <w:tcPr>
            <w:tcW w:w="34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jc w:val="right"/>
              <w:spacing w:after="0" w:line="136" w:lineRule="exact"/>
              <w:rPr>
                <w:sz w:val="20"/>
                <w:szCs w:val="20"/>
                <w:color w:val="auto"/>
              </w:rPr>
            </w:pPr>
            <w:r>
              <w:rPr>
                <w:rFonts w:ascii="Arial" w:cs="Arial" w:eastAsia="Arial" w:hAnsi="Arial"/>
                <w:sz w:val="12"/>
                <w:szCs w:val="12"/>
                <w:color w:val="auto"/>
              </w:rPr>
              <w:t>Actuarial Value of</w:t>
            </w:r>
          </w:p>
        </w:tc>
        <w:tc>
          <w:tcPr>
            <w:tcW w:w="12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6"/>
        </w:trPr>
        <w:tc>
          <w:tcPr>
            <w:tcW w:w="34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jc w:val="right"/>
              <w:spacing w:after="0" w:line="136" w:lineRule="exact"/>
              <w:rPr>
                <w:sz w:val="20"/>
                <w:szCs w:val="20"/>
                <w:color w:val="auto"/>
              </w:rPr>
            </w:pPr>
            <w:r>
              <w:rPr>
                <w:rFonts w:ascii="Arial" w:cs="Arial" w:eastAsia="Arial" w:hAnsi="Arial"/>
                <w:sz w:val="12"/>
                <w:szCs w:val="12"/>
                <w:color w:val="auto"/>
              </w:rPr>
              <w:t>Pension Benefit</w:t>
            </w:r>
          </w:p>
        </w:tc>
        <w:tc>
          <w:tcPr>
            <w:tcW w:w="12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6"/>
        </w:trPr>
        <w:tc>
          <w:tcPr>
            <w:tcW w:w="34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jc w:val="right"/>
              <w:spacing w:after="0" w:line="136" w:lineRule="exact"/>
              <w:rPr>
                <w:sz w:val="20"/>
                <w:szCs w:val="20"/>
                <w:color w:val="auto"/>
              </w:rPr>
            </w:pPr>
            <w:r>
              <w:rPr>
                <w:rFonts w:ascii="Arial" w:cs="Arial" w:eastAsia="Arial" w:hAnsi="Arial"/>
                <w:sz w:val="12"/>
                <w:szCs w:val="12"/>
                <w:color w:val="auto"/>
              </w:rPr>
              <w:t>and Nonqualified</w:t>
            </w:r>
          </w:p>
        </w:tc>
        <w:tc>
          <w:tcPr>
            <w:tcW w:w="12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6"/>
        </w:trPr>
        <w:tc>
          <w:tcPr>
            <w:tcW w:w="34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jc w:val="right"/>
              <w:spacing w:after="0" w:line="136" w:lineRule="exact"/>
              <w:rPr>
                <w:sz w:val="20"/>
                <w:szCs w:val="20"/>
                <w:color w:val="auto"/>
              </w:rPr>
            </w:pPr>
            <w:r>
              <w:rPr>
                <w:rFonts w:ascii="Arial" w:cs="Arial" w:eastAsia="Arial" w:hAnsi="Arial"/>
                <w:sz w:val="12"/>
                <w:szCs w:val="12"/>
                <w:color w:val="auto"/>
              </w:rPr>
              <w:t>Deferred</w:t>
            </w:r>
          </w:p>
        </w:tc>
        <w:tc>
          <w:tcPr>
            <w:tcW w:w="12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6"/>
        </w:trPr>
        <w:tc>
          <w:tcPr>
            <w:tcW w:w="34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jc w:val="right"/>
              <w:spacing w:after="0" w:line="136" w:lineRule="exact"/>
              <w:rPr>
                <w:sz w:val="20"/>
                <w:szCs w:val="20"/>
                <w:color w:val="auto"/>
              </w:rPr>
            </w:pPr>
            <w:r>
              <w:rPr>
                <w:rFonts w:ascii="Arial" w:cs="Arial" w:eastAsia="Arial" w:hAnsi="Arial"/>
                <w:sz w:val="12"/>
                <w:szCs w:val="12"/>
                <w:color w:val="auto"/>
              </w:rPr>
              <w:t>Non</w:t>
            </w: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jc w:val="right"/>
              <w:spacing w:after="0" w:line="136" w:lineRule="exact"/>
              <w:rPr>
                <w:sz w:val="20"/>
                <w:szCs w:val="20"/>
                <w:color w:val="auto"/>
              </w:rPr>
            </w:pPr>
            <w:r>
              <w:rPr>
                <w:rFonts w:ascii="Arial" w:cs="Arial" w:eastAsia="Arial" w:hAnsi="Arial"/>
                <w:sz w:val="12"/>
                <w:szCs w:val="12"/>
                <w:color w:val="auto"/>
              </w:rPr>
              <w:t>Compensation</w:t>
            </w:r>
          </w:p>
        </w:tc>
        <w:tc>
          <w:tcPr>
            <w:tcW w:w="1220" w:type="dxa"/>
            <w:vAlign w:val="bottom"/>
          </w:tcPr>
          <w:p>
            <w:pPr>
              <w:jc w:val="right"/>
              <w:spacing w:after="0" w:line="136" w:lineRule="exact"/>
              <w:rPr>
                <w:sz w:val="20"/>
                <w:szCs w:val="20"/>
                <w:color w:val="auto"/>
              </w:rPr>
            </w:pPr>
            <w:r>
              <w:rPr>
                <w:rFonts w:ascii="Arial" w:cs="Arial" w:eastAsia="Arial" w:hAnsi="Arial"/>
                <w:sz w:val="12"/>
                <w:szCs w:val="12"/>
                <w:color w:val="auto"/>
              </w:rPr>
              <w:t>All</w:t>
            </w:r>
          </w:p>
        </w:tc>
        <w:tc>
          <w:tcPr>
            <w:tcW w:w="680" w:type="dxa"/>
            <w:vAlign w:val="bottom"/>
          </w:tcPr>
          <w:p>
            <w:pPr>
              <w:spacing w:after="0"/>
              <w:rPr>
                <w:sz w:val="11"/>
                <w:szCs w:val="11"/>
                <w:color w:val="auto"/>
              </w:rPr>
            </w:pPr>
          </w:p>
        </w:tc>
      </w:tr>
      <w:tr>
        <w:trPr>
          <w:trHeight w:val="143"/>
        </w:trPr>
        <w:tc>
          <w:tcPr>
            <w:tcW w:w="34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Equity Incentive</w:t>
            </w:r>
          </w:p>
        </w:tc>
        <w:tc>
          <w:tcPr>
            <w:tcW w:w="6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Stock</w:t>
            </w:r>
          </w:p>
        </w:tc>
        <w:tc>
          <w:tcPr>
            <w:tcW w:w="1080" w:type="dxa"/>
            <w:vAlign w:val="bottom"/>
          </w:tcPr>
          <w:p>
            <w:pPr>
              <w:jc w:val="right"/>
              <w:spacing w:after="0"/>
              <w:rPr>
                <w:sz w:val="20"/>
                <w:szCs w:val="20"/>
                <w:color w:val="auto"/>
              </w:rPr>
            </w:pPr>
            <w:r>
              <w:rPr>
                <w:rFonts w:ascii="Arial" w:cs="Arial" w:eastAsia="Arial" w:hAnsi="Arial"/>
                <w:sz w:val="12"/>
                <w:szCs w:val="12"/>
                <w:color w:val="auto"/>
              </w:rPr>
              <w:t>Earnings</w:t>
            </w:r>
          </w:p>
        </w:tc>
        <w:tc>
          <w:tcPr>
            <w:tcW w:w="1220" w:type="dxa"/>
            <w:vAlign w:val="bottom"/>
          </w:tcPr>
          <w:p>
            <w:pPr>
              <w:jc w:val="right"/>
              <w:spacing w:after="0"/>
              <w:rPr>
                <w:sz w:val="20"/>
                <w:szCs w:val="20"/>
                <w:color w:val="auto"/>
              </w:rPr>
            </w:pPr>
            <w:r>
              <w:rPr>
                <w:rFonts w:ascii="Arial" w:cs="Arial" w:eastAsia="Arial" w:hAnsi="Arial"/>
                <w:sz w:val="12"/>
                <w:szCs w:val="12"/>
                <w:color w:val="auto"/>
              </w:rPr>
              <w:t>Other</w:t>
            </w:r>
          </w:p>
        </w:tc>
        <w:tc>
          <w:tcPr>
            <w:tcW w:w="680" w:type="dxa"/>
            <w:vAlign w:val="bottom"/>
          </w:tcPr>
          <w:p>
            <w:pPr>
              <w:spacing w:after="0"/>
              <w:rPr>
                <w:sz w:val="12"/>
                <w:szCs w:val="12"/>
                <w:color w:val="auto"/>
              </w:rPr>
            </w:pPr>
          </w:p>
        </w:tc>
      </w:tr>
      <w:tr>
        <w:trPr>
          <w:trHeight w:val="168"/>
        </w:trPr>
        <w:tc>
          <w:tcPr>
            <w:tcW w:w="34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Name and Principal Position</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Year</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Salary ($)</w:t>
            </w:r>
          </w:p>
        </w:tc>
        <w:tc>
          <w:tcPr>
            <w:tcW w:w="98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2"/>
                <w:szCs w:val="12"/>
                <w:color w:val="auto"/>
              </w:rPr>
              <w:t>($)</w:t>
            </w:r>
            <w:r>
              <w:rPr>
                <w:rFonts w:ascii="Arial" w:cs="Arial" w:eastAsia="Arial" w:hAnsi="Arial"/>
                <w:sz w:val="19"/>
                <w:szCs w:val="19"/>
                <w:color w:val="auto"/>
                <w:vertAlign w:val="superscript"/>
              </w:rPr>
              <w:t>(h)</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Bonus ($)</w:t>
            </w:r>
          </w:p>
        </w:tc>
        <w:tc>
          <w:tcPr>
            <w:tcW w:w="8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2"/>
                <w:szCs w:val="12"/>
                <w:color w:val="auto"/>
              </w:rPr>
              <w:t>Awards ($)</w:t>
            </w:r>
            <w:r>
              <w:rPr>
                <w:rFonts w:ascii="Arial" w:cs="Arial" w:eastAsia="Arial" w:hAnsi="Arial"/>
                <w:sz w:val="19"/>
                <w:szCs w:val="19"/>
                <w:color w:val="auto"/>
                <w:vertAlign w:val="superscript"/>
              </w:rPr>
              <w:t>(i)</w:t>
            </w:r>
          </w:p>
        </w:tc>
        <w:tc>
          <w:tcPr>
            <w:tcW w:w="108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2"/>
                <w:szCs w:val="12"/>
                <w:color w:val="auto"/>
              </w:rPr>
              <w:t>($)</w:t>
            </w:r>
            <w:r>
              <w:rPr>
                <w:rFonts w:ascii="Arial" w:cs="Arial" w:eastAsia="Arial" w:hAnsi="Arial"/>
                <w:sz w:val="19"/>
                <w:szCs w:val="19"/>
                <w:color w:val="auto"/>
                <w:vertAlign w:val="superscript"/>
              </w:rPr>
              <w:t>(j)</w:t>
            </w:r>
          </w:p>
        </w:tc>
        <w:tc>
          <w:tcPr>
            <w:tcW w:w="122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2"/>
                <w:szCs w:val="12"/>
                <w:color w:val="auto"/>
              </w:rPr>
              <w:t>Compensation ($)</w:t>
            </w:r>
            <w:r>
              <w:rPr>
                <w:rFonts w:ascii="Arial" w:cs="Arial" w:eastAsia="Arial" w:hAnsi="Arial"/>
                <w:sz w:val="19"/>
                <w:szCs w:val="19"/>
                <w:color w:val="auto"/>
                <w:vertAlign w:val="superscript"/>
              </w:rPr>
              <w:t>(k)</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Total ($)</w:t>
            </w:r>
          </w:p>
        </w:tc>
      </w:tr>
      <w:tr>
        <w:trPr>
          <w:trHeight w:val="177"/>
        </w:trPr>
        <w:tc>
          <w:tcPr>
            <w:tcW w:w="3400" w:type="dxa"/>
            <w:vAlign w:val="bottom"/>
          </w:tcPr>
          <w:p>
            <w:pPr>
              <w:spacing w:after="0"/>
              <w:rPr>
                <w:sz w:val="20"/>
                <w:szCs w:val="20"/>
                <w:color w:val="auto"/>
              </w:rPr>
            </w:pPr>
            <w:r>
              <w:rPr>
                <w:rFonts w:ascii="Arial" w:cs="Arial" w:eastAsia="Arial" w:hAnsi="Arial"/>
                <w:sz w:val="12"/>
                <w:szCs w:val="12"/>
                <w:color w:val="auto"/>
              </w:rPr>
              <w:t>Bernard J. Duroc-Danner</w:t>
            </w:r>
          </w:p>
        </w:tc>
        <w:tc>
          <w:tcPr>
            <w:tcW w:w="19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23"/>
        </w:trPr>
        <w:tc>
          <w:tcPr>
            <w:tcW w:w="3400" w:type="dxa"/>
            <w:vAlign w:val="bottom"/>
          </w:tcPr>
          <w:p>
            <w:pPr>
              <w:ind w:left="180"/>
              <w:spacing w:after="0"/>
              <w:rPr>
                <w:sz w:val="20"/>
                <w:szCs w:val="20"/>
                <w:color w:val="auto"/>
              </w:rPr>
            </w:pPr>
            <w:r>
              <w:rPr>
                <w:rFonts w:ascii="Arial" w:cs="Arial" w:eastAsia="Arial" w:hAnsi="Arial"/>
                <w:sz w:val="12"/>
                <w:szCs w:val="12"/>
                <w:color w:val="auto"/>
              </w:rPr>
              <w:t>Chairman of the Board,</w:t>
            </w:r>
          </w:p>
        </w:tc>
        <w:tc>
          <w:tcPr>
            <w:tcW w:w="1900" w:type="dxa"/>
            <w:vAlign w:val="bottom"/>
          </w:tcPr>
          <w:p>
            <w:pPr>
              <w:jc w:val="right"/>
              <w:spacing w:after="0"/>
              <w:rPr>
                <w:sz w:val="20"/>
                <w:szCs w:val="20"/>
                <w:color w:val="auto"/>
              </w:rPr>
            </w:pPr>
            <w:r>
              <w:rPr>
                <w:rFonts w:ascii="Arial" w:cs="Arial" w:eastAsia="Arial" w:hAnsi="Arial"/>
                <w:sz w:val="12"/>
                <w:szCs w:val="12"/>
                <w:color w:val="auto"/>
              </w:rPr>
              <w:t>2013</w:t>
            </w:r>
          </w:p>
        </w:tc>
        <w:tc>
          <w:tcPr>
            <w:tcW w:w="680" w:type="dxa"/>
            <w:vAlign w:val="bottom"/>
          </w:tcPr>
          <w:p>
            <w:pPr>
              <w:jc w:val="right"/>
              <w:spacing w:after="0"/>
              <w:rPr>
                <w:sz w:val="20"/>
                <w:szCs w:val="20"/>
                <w:color w:val="auto"/>
              </w:rPr>
            </w:pPr>
            <w:r>
              <w:rPr>
                <w:rFonts w:ascii="Arial" w:cs="Arial" w:eastAsia="Arial" w:hAnsi="Arial"/>
                <w:sz w:val="12"/>
                <w:szCs w:val="12"/>
                <w:color w:val="auto"/>
              </w:rPr>
              <w:t>1,901,171</w:t>
            </w:r>
          </w:p>
        </w:tc>
        <w:tc>
          <w:tcPr>
            <w:tcW w:w="980" w:type="dxa"/>
            <w:vAlign w:val="bottom"/>
          </w:tcPr>
          <w:p>
            <w:pPr>
              <w:jc w:val="right"/>
              <w:spacing w:after="0"/>
              <w:rPr>
                <w:sz w:val="20"/>
                <w:szCs w:val="20"/>
                <w:color w:val="auto"/>
              </w:rPr>
            </w:pPr>
            <w:r>
              <w:rPr>
                <w:rFonts w:ascii="Arial" w:cs="Arial" w:eastAsia="Arial" w:hAnsi="Arial"/>
                <w:sz w:val="12"/>
                <w:szCs w:val="12"/>
                <w:color w:val="auto"/>
              </w:rPr>
              <w:t>2,506,046</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7,742,425</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1,008,245</w:t>
            </w:r>
          </w:p>
        </w:tc>
        <w:tc>
          <w:tcPr>
            <w:tcW w:w="680" w:type="dxa"/>
            <w:vAlign w:val="bottom"/>
          </w:tcPr>
          <w:p>
            <w:pPr>
              <w:jc w:val="right"/>
              <w:spacing w:after="0"/>
              <w:rPr>
                <w:sz w:val="20"/>
                <w:szCs w:val="20"/>
                <w:color w:val="auto"/>
              </w:rPr>
            </w:pPr>
            <w:r>
              <w:rPr>
                <w:rFonts w:ascii="Arial" w:cs="Arial" w:eastAsia="Arial" w:hAnsi="Arial"/>
                <w:sz w:val="12"/>
                <w:szCs w:val="12"/>
                <w:color w:val="auto"/>
              </w:rPr>
              <w:t>13,157,887</w:t>
            </w:r>
          </w:p>
        </w:tc>
      </w:tr>
      <w:tr>
        <w:trPr>
          <w:trHeight w:val="223"/>
        </w:trPr>
        <w:tc>
          <w:tcPr>
            <w:tcW w:w="3400" w:type="dxa"/>
            <w:vAlign w:val="bottom"/>
          </w:tcPr>
          <w:p>
            <w:pPr>
              <w:ind w:left="180"/>
              <w:spacing w:after="0"/>
              <w:rPr>
                <w:sz w:val="20"/>
                <w:szCs w:val="20"/>
                <w:color w:val="auto"/>
              </w:rPr>
            </w:pPr>
            <w:r>
              <w:rPr>
                <w:rFonts w:ascii="Arial" w:cs="Arial" w:eastAsia="Arial" w:hAnsi="Arial"/>
                <w:sz w:val="12"/>
                <w:szCs w:val="12"/>
                <w:color w:val="auto"/>
              </w:rPr>
              <w:t>President and Chief</w:t>
            </w:r>
          </w:p>
        </w:tc>
        <w:tc>
          <w:tcPr>
            <w:tcW w:w="1900" w:type="dxa"/>
            <w:vAlign w:val="bottom"/>
          </w:tcPr>
          <w:p>
            <w:pPr>
              <w:jc w:val="right"/>
              <w:spacing w:after="0"/>
              <w:rPr>
                <w:sz w:val="20"/>
                <w:szCs w:val="20"/>
                <w:color w:val="auto"/>
              </w:rPr>
            </w:pPr>
            <w:r>
              <w:rPr>
                <w:rFonts w:ascii="Arial" w:cs="Arial" w:eastAsia="Arial" w:hAnsi="Arial"/>
                <w:sz w:val="12"/>
                <w:szCs w:val="12"/>
                <w:color w:val="auto"/>
              </w:rPr>
              <w:t>2012</w:t>
            </w:r>
          </w:p>
        </w:tc>
        <w:tc>
          <w:tcPr>
            <w:tcW w:w="680" w:type="dxa"/>
            <w:vAlign w:val="bottom"/>
          </w:tcPr>
          <w:p>
            <w:pPr>
              <w:jc w:val="right"/>
              <w:spacing w:after="0"/>
              <w:rPr>
                <w:sz w:val="20"/>
                <w:szCs w:val="20"/>
                <w:color w:val="auto"/>
              </w:rPr>
            </w:pPr>
            <w:r>
              <w:rPr>
                <w:rFonts w:ascii="Arial" w:cs="Arial" w:eastAsia="Arial" w:hAnsi="Arial"/>
                <w:sz w:val="12"/>
                <w:szCs w:val="12"/>
                <w:color w:val="auto"/>
              </w:rPr>
              <w:t>1,879,974</w:t>
            </w:r>
          </w:p>
        </w:tc>
        <w:tc>
          <w:tcPr>
            <w:tcW w:w="980" w:type="dxa"/>
            <w:vAlign w:val="bottom"/>
          </w:tcPr>
          <w:p>
            <w:pPr>
              <w:jc w:val="right"/>
              <w:spacing w:after="0"/>
              <w:rPr>
                <w:sz w:val="20"/>
                <w:szCs w:val="20"/>
                <w:color w:val="auto"/>
              </w:rPr>
            </w:pPr>
            <w:r>
              <w:rPr>
                <w:rFonts w:ascii="Arial" w:cs="Arial" w:eastAsia="Arial" w:hAnsi="Arial"/>
                <w:sz w:val="12"/>
                <w:szCs w:val="12"/>
                <w:color w:val="auto"/>
              </w:rPr>
              <w:t>447,552</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235,727</w:t>
            </w:r>
          </w:p>
        </w:tc>
        <w:tc>
          <w:tcPr>
            <w:tcW w:w="1080" w:type="dxa"/>
            <w:vAlign w:val="bottom"/>
          </w:tcPr>
          <w:p>
            <w:pPr>
              <w:jc w:val="right"/>
              <w:spacing w:after="0"/>
              <w:rPr>
                <w:sz w:val="20"/>
                <w:szCs w:val="20"/>
                <w:color w:val="auto"/>
              </w:rPr>
            </w:pPr>
            <w:r>
              <w:rPr>
                <w:rFonts w:ascii="Arial" w:cs="Arial" w:eastAsia="Arial" w:hAnsi="Arial"/>
                <w:sz w:val="12"/>
                <w:szCs w:val="12"/>
                <w:color w:val="auto"/>
              </w:rPr>
              <w:t>1,557,892</w:t>
            </w:r>
          </w:p>
        </w:tc>
        <w:tc>
          <w:tcPr>
            <w:tcW w:w="1220" w:type="dxa"/>
            <w:vAlign w:val="bottom"/>
          </w:tcPr>
          <w:p>
            <w:pPr>
              <w:jc w:val="right"/>
              <w:spacing w:after="0"/>
              <w:rPr>
                <w:sz w:val="20"/>
                <w:szCs w:val="20"/>
                <w:color w:val="auto"/>
              </w:rPr>
            </w:pPr>
            <w:r>
              <w:rPr>
                <w:rFonts w:ascii="Arial" w:cs="Arial" w:eastAsia="Arial" w:hAnsi="Arial"/>
                <w:sz w:val="12"/>
                <w:szCs w:val="12"/>
                <w:color w:val="auto"/>
              </w:rPr>
              <w:t>3,056,231</w:t>
            </w:r>
          </w:p>
        </w:tc>
        <w:tc>
          <w:tcPr>
            <w:tcW w:w="680" w:type="dxa"/>
            <w:vAlign w:val="bottom"/>
          </w:tcPr>
          <w:p>
            <w:pPr>
              <w:jc w:val="right"/>
              <w:spacing w:after="0"/>
              <w:rPr>
                <w:sz w:val="20"/>
                <w:szCs w:val="20"/>
                <w:color w:val="auto"/>
              </w:rPr>
            </w:pPr>
            <w:r>
              <w:rPr>
                <w:rFonts w:ascii="Arial" w:cs="Arial" w:eastAsia="Arial" w:hAnsi="Arial"/>
                <w:sz w:val="12"/>
                <w:szCs w:val="12"/>
                <w:color w:val="auto"/>
              </w:rPr>
              <w:t>7,177,376</w:t>
            </w:r>
          </w:p>
        </w:tc>
      </w:tr>
      <w:tr>
        <w:trPr>
          <w:trHeight w:val="347"/>
        </w:trPr>
        <w:tc>
          <w:tcPr>
            <w:tcW w:w="3400" w:type="dxa"/>
            <w:vAlign w:val="bottom"/>
          </w:tcPr>
          <w:p>
            <w:pPr>
              <w:ind w:left="180"/>
              <w:spacing w:after="0"/>
              <w:rPr>
                <w:sz w:val="20"/>
                <w:szCs w:val="20"/>
                <w:color w:val="auto"/>
              </w:rPr>
            </w:pPr>
            <w:r>
              <w:rPr>
                <w:rFonts w:ascii="Arial" w:cs="Arial" w:eastAsia="Arial" w:hAnsi="Arial"/>
                <w:sz w:val="12"/>
                <w:szCs w:val="12"/>
                <w:color w:val="auto"/>
              </w:rPr>
              <w:t>Executive Officer</w:t>
            </w:r>
            <w:r>
              <w:rPr>
                <w:rFonts w:ascii="Arial" w:cs="Arial" w:eastAsia="Arial" w:hAnsi="Arial"/>
                <w:sz w:val="20"/>
                <w:szCs w:val="20"/>
                <w:color w:val="auto"/>
                <w:vertAlign w:val="superscript"/>
              </w:rPr>
              <w:t>(a)</w:t>
            </w:r>
          </w:p>
        </w:tc>
        <w:tc>
          <w:tcPr>
            <w:tcW w:w="1900" w:type="dxa"/>
            <w:vAlign w:val="bottom"/>
          </w:tcPr>
          <w:p>
            <w:pPr>
              <w:jc w:val="right"/>
              <w:spacing w:after="0"/>
              <w:rPr>
                <w:sz w:val="20"/>
                <w:szCs w:val="20"/>
                <w:color w:val="auto"/>
              </w:rPr>
            </w:pPr>
            <w:r>
              <w:rPr>
                <w:rFonts w:ascii="Arial" w:cs="Arial" w:eastAsia="Arial" w:hAnsi="Arial"/>
                <w:sz w:val="12"/>
                <w:szCs w:val="12"/>
                <w:color w:val="auto"/>
              </w:rPr>
              <w:t>2011</w:t>
            </w:r>
          </w:p>
        </w:tc>
        <w:tc>
          <w:tcPr>
            <w:tcW w:w="680" w:type="dxa"/>
            <w:vAlign w:val="bottom"/>
          </w:tcPr>
          <w:p>
            <w:pPr>
              <w:jc w:val="right"/>
              <w:spacing w:after="0"/>
              <w:rPr>
                <w:sz w:val="20"/>
                <w:szCs w:val="20"/>
                <w:color w:val="auto"/>
              </w:rPr>
            </w:pPr>
            <w:r>
              <w:rPr>
                <w:rFonts w:ascii="Arial" w:cs="Arial" w:eastAsia="Arial" w:hAnsi="Arial"/>
                <w:sz w:val="12"/>
                <w:szCs w:val="12"/>
                <w:color w:val="auto"/>
              </w:rPr>
              <w:t>1,992,275</w:t>
            </w: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1,535,818</w:t>
            </w:r>
          </w:p>
        </w:tc>
        <w:tc>
          <w:tcPr>
            <w:tcW w:w="800" w:type="dxa"/>
            <w:vAlign w:val="bottom"/>
          </w:tcPr>
          <w:p>
            <w:pPr>
              <w:jc w:val="right"/>
              <w:spacing w:after="0"/>
              <w:rPr>
                <w:sz w:val="20"/>
                <w:szCs w:val="20"/>
                <w:color w:val="auto"/>
              </w:rPr>
            </w:pPr>
            <w:r>
              <w:rPr>
                <w:rFonts w:ascii="Arial" w:cs="Arial" w:eastAsia="Arial" w:hAnsi="Arial"/>
                <w:sz w:val="12"/>
                <w:szCs w:val="12"/>
                <w:color w:val="auto"/>
              </w:rPr>
              <w:t>9,890,504</w:t>
            </w:r>
          </w:p>
        </w:tc>
        <w:tc>
          <w:tcPr>
            <w:tcW w:w="1080" w:type="dxa"/>
            <w:vAlign w:val="bottom"/>
          </w:tcPr>
          <w:p>
            <w:pPr>
              <w:jc w:val="right"/>
              <w:spacing w:after="0"/>
              <w:rPr>
                <w:sz w:val="20"/>
                <w:szCs w:val="20"/>
                <w:color w:val="auto"/>
              </w:rPr>
            </w:pPr>
            <w:r>
              <w:rPr>
                <w:rFonts w:ascii="Arial" w:cs="Arial" w:eastAsia="Arial" w:hAnsi="Arial"/>
                <w:sz w:val="12"/>
                <w:szCs w:val="12"/>
                <w:color w:val="auto"/>
              </w:rPr>
              <w:t>2,205,191</w:t>
            </w:r>
          </w:p>
        </w:tc>
        <w:tc>
          <w:tcPr>
            <w:tcW w:w="1220" w:type="dxa"/>
            <w:vAlign w:val="bottom"/>
          </w:tcPr>
          <w:p>
            <w:pPr>
              <w:jc w:val="right"/>
              <w:spacing w:after="0"/>
              <w:rPr>
                <w:sz w:val="20"/>
                <w:szCs w:val="20"/>
                <w:color w:val="auto"/>
              </w:rPr>
            </w:pPr>
            <w:r>
              <w:rPr>
                <w:rFonts w:ascii="Arial" w:cs="Arial" w:eastAsia="Arial" w:hAnsi="Arial"/>
                <w:sz w:val="12"/>
                <w:szCs w:val="12"/>
                <w:color w:val="auto"/>
              </w:rPr>
              <w:t>1,693,433</w:t>
            </w:r>
          </w:p>
        </w:tc>
        <w:tc>
          <w:tcPr>
            <w:tcW w:w="680" w:type="dxa"/>
            <w:vAlign w:val="bottom"/>
          </w:tcPr>
          <w:p>
            <w:pPr>
              <w:jc w:val="right"/>
              <w:spacing w:after="0"/>
              <w:rPr>
                <w:sz w:val="20"/>
                <w:szCs w:val="20"/>
                <w:color w:val="auto"/>
              </w:rPr>
            </w:pPr>
            <w:r>
              <w:rPr>
                <w:rFonts w:ascii="Arial" w:cs="Arial" w:eastAsia="Arial" w:hAnsi="Arial"/>
                <w:sz w:val="12"/>
                <w:szCs w:val="12"/>
                <w:color w:val="auto"/>
              </w:rPr>
              <w:t>17,317,221</w:t>
            </w:r>
          </w:p>
        </w:tc>
      </w:tr>
      <w:tr>
        <w:trPr>
          <w:trHeight w:val="148"/>
        </w:trPr>
        <w:tc>
          <w:tcPr>
            <w:tcW w:w="3400" w:type="dxa"/>
            <w:vAlign w:val="bottom"/>
          </w:tcPr>
          <w:p>
            <w:pPr>
              <w:spacing w:after="0"/>
              <w:rPr>
                <w:sz w:val="20"/>
                <w:szCs w:val="20"/>
                <w:color w:val="auto"/>
              </w:rPr>
            </w:pPr>
            <w:r>
              <w:rPr>
                <w:rFonts w:ascii="Arial" w:cs="Arial" w:eastAsia="Arial" w:hAnsi="Arial"/>
                <w:sz w:val="12"/>
                <w:szCs w:val="12"/>
                <w:color w:val="auto"/>
              </w:rPr>
              <w:t>Krishna Shivram</w:t>
            </w:r>
          </w:p>
        </w:tc>
        <w:tc>
          <w:tcPr>
            <w:tcW w:w="1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223"/>
        </w:trPr>
        <w:tc>
          <w:tcPr>
            <w:tcW w:w="3400" w:type="dxa"/>
            <w:vAlign w:val="bottom"/>
          </w:tcPr>
          <w:p>
            <w:pPr>
              <w:ind w:left="180"/>
              <w:spacing w:after="0"/>
              <w:rPr>
                <w:sz w:val="20"/>
                <w:szCs w:val="20"/>
                <w:color w:val="auto"/>
              </w:rPr>
            </w:pPr>
            <w:r>
              <w:rPr>
                <w:rFonts w:ascii="Arial" w:cs="Arial" w:eastAsia="Arial" w:hAnsi="Arial"/>
                <w:sz w:val="12"/>
                <w:szCs w:val="12"/>
                <w:color w:val="auto"/>
              </w:rPr>
              <w:t>Executive Vice President</w:t>
            </w:r>
          </w:p>
        </w:tc>
        <w:tc>
          <w:tcPr>
            <w:tcW w:w="1900" w:type="dxa"/>
            <w:vAlign w:val="bottom"/>
          </w:tcPr>
          <w:p>
            <w:pPr>
              <w:jc w:val="right"/>
              <w:spacing w:after="0"/>
              <w:rPr>
                <w:sz w:val="20"/>
                <w:szCs w:val="20"/>
                <w:color w:val="auto"/>
              </w:rPr>
            </w:pPr>
            <w:r>
              <w:rPr>
                <w:rFonts w:ascii="Arial" w:cs="Arial" w:eastAsia="Arial" w:hAnsi="Arial"/>
                <w:sz w:val="12"/>
                <w:szCs w:val="12"/>
                <w:color w:val="auto"/>
              </w:rPr>
              <w:t>2013</w:t>
            </w:r>
          </w:p>
        </w:tc>
        <w:tc>
          <w:tcPr>
            <w:tcW w:w="680" w:type="dxa"/>
            <w:vAlign w:val="bottom"/>
          </w:tcPr>
          <w:p>
            <w:pPr>
              <w:jc w:val="right"/>
              <w:spacing w:after="0"/>
              <w:rPr>
                <w:sz w:val="20"/>
                <w:szCs w:val="20"/>
                <w:color w:val="auto"/>
              </w:rPr>
            </w:pPr>
            <w:r>
              <w:rPr>
                <w:rFonts w:ascii="Arial" w:cs="Arial" w:eastAsia="Arial" w:hAnsi="Arial"/>
                <w:sz w:val="12"/>
                <w:szCs w:val="12"/>
                <w:color w:val="auto"/>
              </w:rPr>
              <w:t>116,477</w:t>
            </w:r>
          </w:p>
        </w:tc>
        <w:tc>
          <w:tcPr>
            <w:tcW w:w="980" w:type="dxa"/>
            <w:vAlign w:val="bottom"/>
          </w:tcPr>
          <w:p>
            <w:pPr>
              <w:jc w:val="right"/>
              <w:spacing w:after="0"/>
              <w:rPr>
                <w:sz w:val="20"/>
                <w:szCs w:val="20"/>
                <w:color w:val="auto"/>
              </w:rPr>
            </w:pPr>
            <w:r>
              <w:rPr>
                <w:rFonts w:ascii="Arial" w:cs="Arial" w:eastAsia="Arial" w:hAnsi="Arial"/>
                <w:sz w:val="12"/>
                <w:szCs w:val="12"/>
                <w:color w:val="auto"/>
              </w:rPr>
              <w:t>120,822</w:t>
            </w:r>
          </w:p>
        </w:tc>
        <w:tc>
          <w:tcPr>
            <w:tcW w:w="680" w:type="dxa"/>
            <w:vAlign w:val="bottom"/>
          </w:tcPr>
          <w:p>
            <w:pPr>
              <w:jc w:val="right"/>
              <w:spacing w:after="0"/>
              <w:rPr>
                <w:sz w:val="20"/>
                <w:szCs w:val="20"/>
                <w:color w:val="auto"/>
              </w:rPr>
            </w:pPr>
            <w:r>
              <w:rPr>
                <w:rFonts w:ascii="Arial" w:cs="Arial" w:eastAsia="Arial" w:hAnsi="Arial"/>
                <w:sz w:val="12"/>
                <w:szCs w:val="12"/>
                <w:color w:val="auto"/>
              </w:rPr>
              <w:t>300,000</w:t>
            </w:r>
          </w:p>
        </w:tc>
        <w:tc>
          <w:tcPr>
            <w:tcW w:w="800" w:type="dxa"/>
            <w:vAlign w:val="bottom"/>
          </w:tcPr>
          <w:p>
            <w:pPr>
              <w:jc w:val="right"/>
              <w:spacing w:after="0"/>
              <w:rPr>
                <w:sz w:val="20"/>
                <w:szCs w:val="20"/>
                <w:color w:val="auto"/>
              </w:rPr>
            </w:pPr>
            <w:r>
              <w:rPr>
                <w:rFonts w:ascii="Arial" w:cs="Arial" w:eastAsia="Arial" w:hAnsi="Arial"/>
                <w:sz w:val="12"/>
                <w:szCs w:val="12"/>
                <w:color w:val="auto"/>
              </w:rPr>
              <w:t>3,936,649</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4,327</w:t>
            </w:r>
          </w:p>
        </w:tc>
        <w:tc>
          <w:tcPr>
            <w:tcW w:w="680" w:type="dxa"/>
            <w:vAlign w:val="bottom"/>
          </w:tcPr>
          <w:p>
            <w:pPr>
              <w:jc w:val="right"/>
              <w:spacing w:after="0"/>
              <w:rPr>
                <w:sz w:val="20"/>
                <w:szCs w:val="20"/>
                <w:color w:val="auto"/>
              </w:rPr>
            </w:pPr>
            <w:r>
              <w:rPr>
                <w:rFonts w:ascii="Arial" w:cs="Arial" w:eastAsia="Arial" w:hAnsi="Arial"/>
                <w:sz w:val="12"/>
                <w:szCs w:val="12"/>
                <w:color w:val="auto"/>
              </w:rPr>
              <w:t>4,478,275</w:t>
            </w:r>
          </w:p>
        </w:tc>
      </w:tr>
      <w:tr>
        <w:trPr>
          <w:trHeight w:val="347"/>
        </w:trPr>
        <w:tc>
          <w:tcPr>
            <w:tcW w:w="3400" w:type="dxa"/>
            <w:vAlign w:val="bottom"/>
          </w:tcPr>
          <w:p>
            <w:pPr>
              <w:ind w:left="180"/>
              <w:spacing w:after="0"/>
              <w:rPr>
                <w:sz w:val="20"/>
                <w:szCs w:val="20"/>
                <w:color w:val="auto"/>
              </w:rPr>
            </w:pPr>
            <w:r>
              <w:rPr>
                <w:rFonts w:ascii="Arial" w:cs="Arial" w:eastAsia="Arial" w:hAnsi="Arial"/>
                <w:sz w:val="12"/>
                <w:szCs w:val="12"/>
                <w:color w:val="auto"/>
              </w:rPr>
              <w:t>and Chief Financial Officer</w:t>
            </w:r>
            <w:r>
              <w:rPr>
                <w:rFonts w:ascii="Arial" w:cs="Arial" w:eastAsia="Arial" w:hAnsi="Arial"/>
                <w:sz w:val="20"/>
                <w:szCs w:val="20"/>
                <w:color w:val="auto"/>
                <w:vertAlign w:val="superscript"/>
              </w:rPr>
              <w:t>(b)</w:t>
            </w:r>
          </w:p>
        </w:tc>
        <w:tc>
          <w:tcPr>
            <w:tcW w:w="1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48"/>
        </w:trPr>
        <w:tc>
          <w:tcPr>
            <w:tcW w:w="3400" w:type="dxa"/>
            <w:vAlign w:val="bottom"/>
          </w:tcPr>
          <w:p>
            <w:pPr>
              <w:spacing w:after="0"/>
              <w:rPr>
                <w:sz w:val="20"/>
                <w:szCs w:val="20"/>
                <w:color w:val="auto"/>
              </w:rPr>
            </w:pPr>
            <w:r>
              <w:rPr>
                <w:rFonts w:ascii="Arial" w:cs="Arial" w:eastAsia="Arial" w:hAnsi="Arial"/>
                <w:sz w:val="12"/>
                <w:szCs w:val="12"/>
                <w:color w:val="auto"/>
              </w:rPr>
              <w:t>Dharmesh Mehta</w:t>
            </w:r>
          </w:p>
        </w:tc>
        <w:tc>
          <w:tcPr>
            <w:tcW w:w="1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223"/>
        </w:trPr>
        <w:tc>
          <w:tcPr>
            <w:tcW w:w="3400" w:type="dxa"/>
            <w:vAlign w:val="bottom"/>
          </w:tcPr>
          <w:p>
            <w:pPr>
              <w:ind w:left="180"/>
              <w:spacing w:after="0"/>
              <w:rPr>
                <w:sz w:val="20"/>
                <w:szCs w:val="20"/>
                <w:color w:val="auto"/>
              </w:rPr>
            </w:pPr>
            <w:r>
              <w:rPr>
                <w:rFonts w:ascii="Arial" w:cs="Arial" w:eastAsia="Arial" w:hAnsi="Arial"/>
                <w:sz w:val="12"/>
                <w:szCs w:val="12"/>
                <w:color w:val="auto"/>
              </w:rPr>
              <w:t>Executive Vice President</w:t>
            </w:r>
          </w:p>
        </w:tc>
        <w:tc>
          <w:tcPr>
            <w:tcW w:w="1900" w:type="dxa"/>
            <w:vAlign w:val="bottom"/>
          </w:tcPr>
          <w:p>
            <w:pPr>
              <w:jc w:val="right"/>
              <w:spacing w:after="0"/>
              <w:rPr>
                <w:sz w:val="20"/>
                <w:szCs w:val="20"/>
                <w:color w:val="auto"/>
              </w:rPr>
            </w:pPr>
            <w:r>
              <w:rPr>
                <w:rFonts w:ascii="Arial" w:cs="Arial" w:eastAsia="Arial" w:hAnsi="Arial"/>
                <w:sz w:val="12"/>
                <w:szCs w:val="12"/>
                <w:color w:val="auto"/>
              </w:rPr>
              <w:t>2013</w:t>
            </w:r>
          </w:p>
        </w:tc>
        <w:tc>
          <w:tcPr>
            <w:tcW w:w="680" w:type="dxa"/>
            <w:vAlign w:val="bottom"/>
          </w:tcPr>
          <w:p>
            <w:pPr>
              <w:jc w:val="right"/>
              <w:spacing w:after="0"/>
              <w:rPr>
                <w:sz w:val="20"/>
                <w:szCs w:val="20"/>
                <w:color w:val="auto"/>
              </w:rPr>
            </w:pPr>
            <w:r>
              <w:rPr>
                <w:rFonts w:ascii="Arial" w:cs="Arial" w:eastAsia="Arial" w:hAnsi="Arial"/>
                <w:sz w:val="12"/>
                <w:szCs w:val="12"/>
                <w:color w:val="auto"/>
              </w:rPr>
              <w:t>699,167</w:t>
            </w:r>
          </w:p>
        </w:tc>
        <w:tc>
          <w:tcPr>
            <w:tcW w:w="980" w:type="dxa"/>
            <w:vAlign w:val="bottom"/>
          </w:tcPr>
          <w:p>
            <w:pPr>
              <w:jc w:val="right"/>
              <w:spacing w:after="0"/>
              <w:rPr>
                <w:sz w:val="20"/>
                <w:szCs w:val="20"/>
                <w:color w:val="auto"/>
              </w:rPr>
            </w:pPr>
            <w:r>
              <w:rPr>
                <w:rFonts w:ascii="Arial" w:cs="Arial" w:eastAsia="Arial" w:hAnsi="Arial"/>
                <w:sz w:val="12"/>
                <w:szCs w:val="12"/>
                <w:color w:val="auto"/>
              </w:rPr>
              <w:t>750,750</w:t>
            </w:r>
          </w:p>
        </w:tc>
        <w:tc>
          <w:tcPr>
            <w:tcW w:w="680" w:type="dxa"/>
            <w:vAlign w:val="bottom"/>
          </w:tcPr>
          <w:p>
            <w:pPr>
              <w:jc w:val="right"/>
              <w:spacing w:after="0"/>
              <w:rPr>
                <w:sz w:val="20"/>
                <w:szCs w:val="20"/>
                <w:color w:val="auto"/>
              </w:rPr>
            </w:pPr>
            <w:r>
              <w:rPr>
                <w:rFonts w:ascii="Arial" w:cs="Arial" w:eastAsia="Arial" w:hAnsi="Arial"/>
                <w:sz w:val="12"/>
                <w:szCs w:val="12"/>
                <w:color w:val="auto"/>
              </w:rPr>
              <w:t>250,000</w:t>
            </w:r>
          </w:p>
        </w:tc>
        <w:tc>
          <w:tcPr>
            <w:tcW w:w="800" w:type="dxa"/>
            <w:vAlign w:val="bottom"/>
          </w:tcPr>
          <w:p>
            <w:pPr>
              <w:jc w:val="right"/>
              <w:spacing w:after="0"/>
              <w:rPr>
                <w:sz w:val="20"/>
                <w:szCs w:val="20"/>
                <w:color w:val="auto"/>
              </w:rPr>
            </w:pPr>
            <w:r>
              <w:rPr>
                <w:rFonts w:ascii="Arial" w:cs="Arial" w:eastAsia="Arial" w:hAnsi="Arial"/>
                <w:sz w:val="12"/>
                <w:szCs w:val="12"/>
                <w:color w:val="auto"/>
              </w:rPr>
              <w:t>2,919,787</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23,840</w:t>
            </w:r>
          </w:p>
        </w:tc>
        <w:tc>
          <w:tcPr>
            <w:tcW w:w="680" w:type="dxa"/>
            <w:vAlign w:val="bottom"/>
          </w:tcPr>
          <w:p>
            <w:pPr>
              <w:jc w:val="right"/>
              <w:spacing w:after="0"/>
              <w:rPr>
                <w:sz w:val="20"/>
                <w:szCs w:val="20"/>
                <w:color w:val="auto"/>
              </w:rPr>
            </w:pPr>
            <w:r>
              <w:rPr>
                <w:rFonts w:ascii="Arial" w:cs="Arial" w:eastAsia="Arial" w:hAnsi="Arial"/>
                <w:sz w:val="12"/>
                <w:szCs w:val="12"/>
                <w:color w:val="auto"/>
              </w:rPr>
              <w:t>4,643,544</w:t>
            </w:r>
          </w:p>
        </w:tc>
      </w:tr>
      <w:tr>
        <w:trPr>
          <w:trHeight w:val="223"/>
        </w:trPr>
        <w:tc>
          <w:tcPr>
            <w:tcW w:w="3400" w:type="dxa"/>
            <w:vAlign w:val="bottom"/>
          </w:tcPr>
          <w:p>
            <w:pPr>
              <w:ind w:left="180"/>
              <w:spacing w:after="0"/>
              <w:rPr>
                <w:sz w:val="20"/>
                <w:szCs w:val="20"/>
                <w:color w:val="auto"/>
              </w:rPr>
            </w:pPr>
            <w:r>
              <w:rPr>
                <w:rFonts w:ascii="Arial" w:cs="Arial" w:eastAsia="Arial" w:hAnsi="Arial"/>
                <w:sz w:val="12"/>
                <w:szCs w:val="12"/>
                <w:color w:val="auto"/>
              </w:rPr>
              <w:t>and Chief Operating Officer</w:t>
            </w:r>
          </w:p>
        </w:tc>
        <w:tc>
          <w:tcPr>
            <w:tcW w:w="1900" w:type="dxa"/>
            <w:vAlign w:val="bottom"/>
          </w:tcPr>
          <w:p>
            <w:pPr>
              <w:jc w:val="right"/>
              <w:spacing w:after="0"/>
              <w:rPr>
                <w:sz w:val="20"/>
                <w:szCs w:val="20"/>
                <w:color w:val="auto"/>
              </w:rPr>
            </w:pPr>
            <w:r>
              <w:rPr>
                <w:rFonts w:ascii="Arial" w:cs="Arial" w:eastAsia="Arial" w:hAnsi="Arial"/>
                <w:sz w:val="12"/>
                <w:szCs w:val="12"/>
                <w:color w:val="auto"/>
              </w:rPr>
              <w:t>2012</w:t>
            </w:r>
          </w:p>
        </w:tc>
        <w:tc>
          <w:tcPr>
            <w:tcW w:w="680" w:type="dxa"/>
            <w:vAlign w:val="bottom"/>
          </w:tcPr>
          <w:p>
            <w:pPr>
              <w:jc w:val="right"/>
              <w:spacing w:after="0"/>
              <w:rPr>
                <w:sz w:val="20"/>
                <w:szCs w:val="20"/>
                <w:color w:val="auto"/>
              </w:rPr>
            </w:pPr>
            <w:r>
              <w:rPr>
                <w:rFonts w:ascii="Arial" w:cs="Arial" w:eastAsia="Arial" w:hAnsi="Arial"/>
                <w:sz w:val="12"/>
                <w:szCs w:val="12"/>
                <w:color w:val="auto"/>
              </w:rPr>
              <w:t>620,000</w:t>
            </w:r>
          </w:p>
        </w:tc>
        <w:tc>
          <w:tcPr>
            <w:tcW w:w="980" w:type="dxa"/>
            <w:vAlign w:val="bottom"/>
          </w:tcPr>
          <w:p>
            <w:pPr>
              <w:jc w:val="right"/>
              <w:spacing w:after="0"/>
              <w:rPr>
                <w:sz w:val="20"/>
                <w:szCs w:val="20"/>
                <w:color w:val="auto"/>
              </w:rPr>
            </w:pPr>
            <w:r>
              <w:rPr>
                <w:rFonts w:ascii="Arial" w:cs="Arial" w:eastAsia="Arial" w:hAnsi="Arial"/>
                <w:sz w:val="12"/>
                <w:szCs w:val="12"/>
                <w:color w:val="auto"/>
              </w:rPr>
              <w:t>111,600</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3,614,101</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23,160</w:t>
            </w:r>
          </w:p>
        </w:tc>
        <w:tc>
          <w:tcPr>
            <w:tcW w:w="680" w:type="dxa"/>
            <w:vAlign w:val="bottom"/>
          </w:tcPr>
          <w:p>
            <w:pPr>
              <w:jc w:val="right"/>
              <w:spacing w:after="0"/>
              <w:rPr>
                <w:sz w:val="20"/>
                <w:szCs w:val="20"/>
                <w:color w:val="auto"/>
              </w:rPr>
            </w:pPr>
            <w:r>
              <w:rPr>
                <w:rFonts w:ascii="Arial" w:cs="Arial" w:eastAsia="Arial" w:hAnsi="Arial"/>
                <w:sz w:val="12"/>
                <w:szCs w:val="12"/>
                <w:color w:val="auto"/>
              </w:rPr>
              <w:t>4,368,861</w:t>
            </w:r>
          </w:p>
        </w:tc>
      </w:tr>
      <w:tr>
        <w:trPr>
          <w:trHeight w:val="223"/>
        </w:trPr>
        <w:tc>
          <w:tcPr>
            <w:tcW w:w="3400" w:type="dxa"/>
            <w:vAlign w:val="bottom"/>
          </w:tcPr>
          <w:p>
            <w:pPr>
              <w:spacing w:after="0"/>
              <w:rPr>
                <w:sz w:val="20"/>
                <w:szCs w:val="20"/>
                <w:color w:val="auto"/>
              </w:rPr>
            </w:pPr>
            <w:r>
              <w:rPr>
                <w:rFonts w:ascii="Arial" w:cs="Arial" w:eastAsia="Arial" w:hAnsi="Arial"/>
                <w:sz w:val="12"/>
                <w:szCs w:val="12"/>
                <w:color w:val="auto"/>
              </w:rPr>
              <w:t>Nicholas W. Gee</w:t>
            </w:r>
          </w:p>
        </w:tc>
        <w:tc>
          <w:tcPr>
            <w:tcW w:w="1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3"/>
        </w:trPr>
        <w:tc>
          <w:tcPr>
            <w:tcW w:w="3400" w:type="dxa"/>
            <w:vAlign w:val="bottom"/>
          </w:tcPr>
          <w:p>
            <w:pPr>
              <w:ind w:left="180"/>
              <w:spacing w:after="0"/>
              <w:rPr>
                <w:sz w:val="20"/>
                <w:szCs w:val="20"/>
                <w:color w:val="auto"/>
              </w:rPr>
            </w:pPr>
            <w:r>
              <w:rPr>
                <w:rFonts w:ascii="Arial" w:cs="Arial" w:eastAsia="Arial" w:hAnsi="Arial"/>
                <w:sz w:val="12"/>
                <w:szCs w:val="12"/>
                <w:color w:val="auto"/>
              </w:rPr>
              <w:t>Former Executive Vice</w:t>
            </w:r>
          </w:p>
        </w:tc>
        <w:tc>
          <w:tcPr>
            <w:tcW w:w="1900" w:type="dxa"/>
            <w:vAlign w:val="bottom"/>
          </w:tcPr>
          <w:p>
            <w:pPr>
              <w:jc w:val="right"/>
              <w:spacing w:after="0"/>
              <w:rPr>
                <w:sz w:val="20"/>
                <w:szCs w:val="20"/>
                <w:color w:val="auto"/>
              </w:rPr>
            </w:pPr>
            <w:r>
              <w:rPr>
                <w:rFonts w:ascii="Arial" w:cs="Arial" w:eastAsia="Arial" w:hAnsi="Arial"/>
                <w:sz w:val="12"/>
                <w:szCs w:val="12"/>
                <w:color w:val="auto"/>
              </w:rPr>
              <w:t>2013</w:t>
            </w:r>
          </w:p>
        </w:tc>
        <w:tc>
          <w:tcPr>
            <w:tcW w:w="680" w:type="dxa"/>
            <w:vAlign w:val="bottom"/>
          </w:tcPr>
          <w:p>
            <w:pPr>
              <w:jc w:val="right"/>
              <w:spacing w:after="0"/>
              <w:rPr>
                <w:sz w:val="20"/>
                <w:szCs w:val="20"/>
                <w:color w:val="auto"/>
              </w:rPr>
            </w:pPr>
            <w:r>
              <w:rPr>
                <w:rFonts w:ascii="Arial" w:cs="Arial" w:eastAsia="Arial" w:hAnsi="Arial"/>
                <w:sz w:val="12"/>
                <w:szCs w:val="12"/>
                <w:color w:val="auto"/>
              </w:rPr>
              <w:t>646,352</w:t>
            </w:r>
          </w:p>
        </w:tc>
        <w:tc>
          <w:tcPr>
            <w:tcW w:w="980" w:type="dxa"/>
            <w:vAlign w:val="bottom"/>
          </w:tcPr>
          <w:p>
            <w:pPr>
              <w:jc w:val="right"/>
              <w:spacing w:after="0"/>
              <w:rPr>
                <w:sz w:val="20"/>
                <w:szCs w:val="20"/>
                <w:color w:val="auto"/>
              </w:rPr>
            </w:pPr>
            <w:r>
              <w:rPr>
                <w:rFonts w:ascii="Arial" w:cs="Arial" w:eastAsia="Arial" w:hAnsi="Arial"/>
                <w:sz w:val="12"/>
                <w:szCs w:val="12"/>
                <w:color w:val="auto"/>
              </w:rPr>
              <w:t>649,812</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2,863,476</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1,149,854</w:t>
            </w:r>
          </w:p>
        </w:tc>
        <w:tc>
          <w:tcPr>
            <w:tcW w:w="680" w:type="dxa"/>
            <w:vAlign w:val="bottom"/>
          </w:tcPr>
          <w:p>
            <w:pPr>
              <w:jc w:val="right"/>
              <w:spacing w:after="0"/>
              <w:rPr>
                <w:sz w:val="20"/>
                <w:szCs w:val="20"/>
                <w:color w:val="auto"/>
              </w:rPr>
            </w:pPr>
            <w:r>
              <w:rPr>
                <w:rFonts w:ascii="Arial" w:cs="Arial" w:eastAsia="Arial" w:hAnsi="Arial"/>
                <w:sz w:val="12"/>
                <w:szCs w:val="12"/>
                <w:color w:val="auto"/>
              </w:rPr>
              <w:t>5,309,494</w:t>
            </w:r>
          </w:p>
        </w:tc>
      </w:tr>
      <w:tr>
        <w:trPr>
          <w:trHeight w:val="223"/>
        </w:trPr>
        <w:tc>
          <w:tcPr>
            <w:tcW w:w="3400" w:type="dxa"/>
            <w:vAlign w:val="bottom"/>
          </w:tcPr>
          <w:p>
            <w:pPr>
              <w:ind w:left="180"/>
              <w:spacing w:after="0"/>
              <w:rPr>
                <w:sz w:val="20"/>
                <w:szCs w:val="20"/>
                <w:color w:val="auto"/>
              </w:rPr>
            </w:pPr>
            <w:r>
              <w:rPr>
                <w:rFonts w:ascii="Arial" w:cs="Arial" w:eastAsia="Arial" w:hAnsi="Arial"/>
                <w:sz w:val="12"/>
                <w:szCs w:val="12"/>
                <w:color w:val="auto"/>
              </w:rPr>
              <w:t>President -Strategy and</w:t>
            </w:r>
          </w:p>
        </w:tc>
        <w:tc>
          <w:tcPr>
            <w:tcW w:w="1900" w:type="dxa"/>
            <w:vAlign w:val="bottom"/>
          </w:tcPr>
          <w:p>
            <w:pPr>
              <w:jc w:val="right"/>
              <w:spacing w:after="0"/>
              <w:rPr>
                <w:sz w:val="20"/>
                <w:szCs w:val="20"/>
                <w:color w:val="auto"/>
              </w:rPr>
            </w:pPr>
            <w:r>
              <w:rPr>
                <w:rFonts w:ascii="Arial" w:cs="Arial" w:eastAsia="Arial" w:hAnsi="Arial"/>
                <w:sz w:val="12"/>
                <w:szCs w:val="12"/>
                <w:color w:val="auto"/>
              </w:rPr>
              <w:t>2012</w:t>
            </w:r>
          </w:p>
        </w:tc>
        <w:tc>
          <w:tcPr>
            <w:tcW w:w="680" w:type="dxa"/>
            <w:vAlign w:val="bottom"/>
          </w:tcPr>
          <w:p>
            <w:pPr>
              <w:jc w:val="right"/>
              <w:spacing w:after="0"/>
              <w:rPr>
                <w:sz w:val="20"/>
                <w:szCs w:val="20"/>
                <w:color w:val="auto"/>
              </w:rPr>
            </w:pPr>
            <w:r>
              <w:rPr>
                <w:rFonts w:ascii="Arial" w:cs="Arial" w:eastAsia="Arial" w:hAnsi="Arial"/>
                <w:sz w:val="12"/>
                <w:szCs w:val="12"/>
                <w:color w:val="auto"/>
              </w:rPr>
              <w:t>594,778</w:t>
            </w:r>
          </w:p>
        </w:tc>
        <w:tc>
          <w:tcPr>
            <w:tcW w:w="980" w:type="dxa"/>
            <w:vAlign w:val="bottom"/>
          </w:tcPr>
          <w:p>
            <w:pPr>
              <w:jc w:val="right"/>
              <w:spacing w:after="0"/>
              <w:rPr>
                <w:sz w:val="20"/>
                <w:szCs w:val="20"/>
                <w:color w:val="auto"/>
              </w:rPr>
            </w:pPr>
            <w:r>
              <w:rPr>
                <w:rFonts w:ascii="Arial" w:cs="Arial" w:eastAsia="Arial" w:hAnsi="Arial"/>
                <w:sz w:val="12"/>
                <w:szCs w:val="12"/>
                <w:color w:val="auto"/>
              </w:rPr>
              <w:t>106,440</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3,619,045</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876,689</w:t>
            </w:r>
          </w:p>
        </w:tc>
        <w:tc>
          <w:tcPr>
            <w:tcW w:w="680" w:type="dxa"/>
            <w:vAlign w:val="bottom"/>
          </w:tcPr>
          <w:p>
            <w:pPr>
              <w:jc w:val="right"/>
              <w:spacing w:after="0"/>
              <w:rPr>
                <w:sz w:val="20"/>
                <w:szCs w:val="20"/>
                <w:color w:val="auto"/>
              </w:rPr>
            </w:pPr>
            <w:r>
              <w:rPr>
                <w:rFonts w:ascii="Arial" w:cs="Arial" w:eastAsia="Arial" w:hAnsi="Arial"/>
                <w:sz w:val="12"/>
                <w:szCs w:val="12"/>
                <w:color w:val="auto"/>
              </w:rPr>
              <w:t>5,196,952</w:t>
            </w:r>
          </w:p>
        </w:tc>
      </w:tr>
      <w:tr>
        <w:trPr>
          <w:trHeight w:val="223"/>
        </w:trPr>
        <w:tc>
          <w:tcPr>
            <w:tcW w:w="3400" w:type="dxa"/>
            <w:vAlign w:val="bottom"/>
          </w:tcPr>
          <w:p>
            <w:pPr>
              <w:ind w:left="180"/>
              <w:spacing w:after="0"/>
              <w:rPr>
                <w:sz w:val="20"/>
                <w:szCs w:val="20"/>
                <w:color w:val="auto"/>
              </w:rPr>
            </w:pPr>
            <w:r>
              <w:rPr>
                <w:rFonts w:ascii="Arial" w:cs="Arial" w:eastAsia="Arial" w:hAnsi="Arial"/>
                <w:sz w:val="12"/>
                <w:szCs w:val="12"/>
                <w:color w:val="auto"/>
              </w:rPr>
              <w:t>Development and Chief</w:t>
            </w:r>
          </w:p>
        </w:tc>
        <w:tc>
          <w:tcPr>
            <w:tcW w:w="1900" w:type="dxa"/>
            <w:vAlign w:val="bottom"/>
          </w:tcPr>
          <w:p>
            <w:pPr>
              <w:jc w:val="right"/>
              <w:spacing w:after="0"/>
              <w:rPr>
                <w:sz w:val="20"/>
                <w:szCs w:val="20"/>
                <w:color w:val="auto"/>
              </w:rPr>
            </w:pPr>
            <w:r>
              <w:rPr>
                <w:rFonts w:ascii="Arial" w:cs="Arial" w:eastAsia="Arial" w:hAnsi="Arial"/>
                <w:sz w:val="12"/>
                <w:szCs w:val="12"/>
                <w:color w:val="auto"/>
              </w:rPr>
              <w:t>2011</w:t>
            </w:r>
          </w:p>
        </w:tc>
        <w:tc>
          <w:tcPr>
            <w:tcW w:w="680" w:type="dxa"/>
            <w:vAlign w:val="bottom"/>
          </w:tcPr>
          <w:p>
            <w:pPr>
              <w:jc w:val="right"/>
              <w:spacing w:after="0"/>
              <w:rPr>
                <w:sz w:val="20"/>
                <w:szCs w:val="20"/>
                <w:color w:val="auto"/>
              </w:rPr>
            </w:pPr>
            <w:r>
              <w:rPr>
                <w:rFonts w:ascii="Arial" w:cs="Arial" w:eastAsia="Arial" w:hAnsi="Arial"/>
                <w:sz w:val="12"/>
                <w:szCs w:val="12"/>
                <w:color w:val="auto"/>
              </w:rPr>
              <w:t>548,093</w:t>
            </w: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402,339</w:t>
            </w:r>
          </w:p>
        </w:tc>
        <w:tc>
          <w:tcPr>
            <w:tcW w:w="800" w:type="dxa"/>
            <w:vAlign w:val="bottom"/>
          </w:tcPr>
          <w:p>
            <w:pPr>
              <w:jc w:val="right"/>
              <w:spacing w:after="0"/>
              <w:rPr>
                <w:sz w:val="20"/>
                <w:szCs w:val="20"/>
                <w:color w:val="auto"/>
              </w:rPr>
            </w:pPr>
            <w:r>
              <w:rPr>
                <w:rFonts w:ascii="Arial" w:cs="Arial" w:eastAsia="Arial" w:hAnsi="Arial"/>
                <w:sz w:val="12"/>
                <w:szCs w:val="12"/>
                <w:color w:val="auto"/>
              </w:rPr>
              <w:t>2,110,149</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197,367</w:t>
            </w:r>
          </w:p>
        </w:tc>
        <w:tc>
          <w:tcPr>
            <w:tcW w:w="680" w:type="dxa"/>
            <w:vAlign w:val="bottom"/>
          </w:tcPr>
          <w:p>
            <w:pPr>
              <w:jc w:val="right"/>
              <w:spacing w:after="0"/>
              <w:rPr>
                <w:sz w:val="20"/>
                <w:szCs w:val="20"/>
                <w:color w:val="auto"/>
              </w:rPr>
            </w:pPr>
            <w:r>
              <w:rPr>
                <w:rFonts w:ascii="Arial" w:cs="Arial" w:eastAsia="Arial" w:hAnsi="Arial"/>
                <w:sz w:val="12"/>
                <w:szCs w:val="12"/>
                <w:color w:val="auto"/>
              </w:rPr>
              <w:t>3,257,948</w:t>
            </w:r>
          </w:p>
        </w:tc>
      </w:tr>
      <w:tr>
        <w:trPr>
          <w:trHeight w:val="347"/>
        </w:trPr>
        <w:tc>
          <w:tcPr>
            <w:tcW w:w="3400" w:type="dxa"/>
            <w:vAlign w:val="bottom"/>
          </w:tcPr>
          <w:p>
            <w:pPr>
              <w:ind w:left="180"/>
              <w:spacing w:after="0"/>
              <w:rPr>
                <w:sz w:val="20"/>
                <w:szCs w:val="20"/>
                <w:color w:val="auto"/>
              </w:rPr>
            </w:pPr>
            <w:r>
              <w:rPr>
                <w:rFonts w:ascii="Arial" w:cs="Arial" w:eastAsia="Arial" w:hAnsi="Arial"/>
                <w:sz w:val="12"/>
                <w:szCs w:val="12"/>
                <w:color w:val="auto"/>
              </w:rPr>
              <w:t>Safety Officer</w:t>
            </w:r>
            <w:r>
              <w:rPr>
                <w:rFonts w:ascii="Arial" w:cs="Arial" w:eastAsia="Arial" w:hAnsi="Arial"/>
                <w:sz w:val="20"/>
                <w:szCs w:val="20"/>
                <w:color w:val="auto"/>
                <w:vertAlign w:val="superscript"/>
              </w:rPr>
              <w:t>(c)</w:t>
            </w:r>
          </w:p>
        </w:tc>
        <w:tc>
          <w:tcPr>
            <w:tcW w:w="1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48"/>
        </w:trPr>
        <w:tc>
          <w:tcPr>
            <w:tcW w:w="3400" w:type="dxa"/>
            <w:vAlign w:val="bottom"/>
          </w:tcPr>
          <w:p>
            <w:pPr>
              <w:spacing w:after="0"/>
              <w:rPr>
                <w:sz w:val="20"/>
                <w:szCs w:val="20"/>
                <w:color w:val="auto"/>
              </w:rPr>
            </w:pPr>
            <w:r>
              <w:rPr>
                <w:rFonts w:ascii="Arial" w:cs="Arial" w:eastAsia="Arial" w:hAnsi="Arial"/>
                <w:sz w:val="12"/>
                <w:szCs w:val="12"/>
                <w:color w:val="auto"/>
              </w:rPr>
              <w:t>John H. Briscoe</w:t>
            </w:r>
          </w:p>
        </w:tc>
        <w:tc>
          <w:tcPr>
            <w:tcW w:w="1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223"/>
        </w:trPr>
        <w:tc>
          <w:tcPr>
            <w:tcW w:w="3400" w:type="dxa"/>
            <w:vAlign w:val="bottom"/>
          </w:tcPr>
          <w:p>
            <w:pPr>
              <w:ind w:left="180"/>
              <w:spacing w:after="0"/>
              <w:rPr>
                <w:sz w:val="20"/>
                <w:szCs w:val="20"/>
                <w:color w:val="auto"/>
              </w:rPr>
            </w:pPr>
            <w:r>
              <w:rPr>
                <w:rFonts w:ascii="Arial" w:cs="Arial" w:eastAsia="Arial" w:hAnsi="Arial"/>
                <w:sz w:val="12"/>
                <w:szCs w:val="12"/>
                <w:color w:val="auto"/>
              </w:rPr>
              <w:t>Former Senior Vice</w:t>
            </w:r>
          </w:p>
        </w:tc>
        <w:tc>
          <w:tcPr>
            <w:tcW w:w="1900" w:type="dxa"/>
            <w:vAlign w:val="bottom"/>
          </w:tcPr>
          <w:p>
            <w:pPr>
              <w:jc w:val="right"/>
              <w:spacing w:after="0"/>
              <w:rPr>
                <w:sz w:val="20"/>
                <w:szCs w:val="20"/>
                <w:color w:val="auto"/>
              </w:rPr>
            </w:pPr>
            <w:r>
              <w:rPr>
                <w:rFonts w:ascii="Arial" w:cs="Arial" w:eastAsia="Arial" w:hAnsi="Arial"/>
                <w:sz w:val="12"/>
                <w:szCs w:val="12"/>
                <w:color w:val="auto"/>
              </w:rPr>
              <w:t>2013</w:t>
            </w:r>
          </w:p>
        </w:tc>
        <w:tc>
          <w:tcPr>
            <w:tcW w:w="680" w:type="dxa"/>
            <w:vAlign w:val="bottom"/>
          </w:tcPr>
          <w:p>
            <w:pPr>
              <w:jc w:val="right"/>
              <w:spacing w:after="0"/>
              <w:rPr>
                <w:sz w:val="20"/>
                <w:szCs w:val="20"/>
                <w:color w:val="auto"/>
              </w:rPr>
            </w:pPr>
            <w:r>
              <w:rPr>
                <w:rFonts w:ascii="Arial" w:cs="Arial" w:eastAsia="Arial" w:hAnsi="Arial"/>
                <w:sz w:val="12"/>
                <w:szCs w:val="12"/>
                <w:color w:val="auto"/>
              </w:rPr>
              <w:t>504,933</w:t>
            </w: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2,653,058</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4,846,217</w:t>
            </w:r>
          </w:p>
        </w:tc>
        <w:tc>
          <w:tcPr>
            <w:tcW w:w="680" w:type="dxa"/>
            <w:vAlign w:val="bottom"/>
          </w:tcPr>
          <w:p>
            <w:pPr>
              <w:jc w:val="right"/>
              <w:spacing w:after="0"/>
              <w:rPr>
                <w:sz w:val="20"/>
                <w:szCs w:val="20"/>
                <w:color w:val="auto"/>
              </w:rPr>
            </w:pPr>
            <w:r>
              <w:rPr>
                <w:rFonts w:ascii="Arial" w:cs="Arial" w:eastAsia="Arial" w:hAnsi="Arial"/>
                <w:sz w:val="12"/>
                <w:szCs w:val="12"/>
                <w:color w:val="auto"/>
              </w:rPr>
              <w:t>8,004,208</w:t>
            </w:r>
          </w:p>
        </w:tc>
      </w:tr>
      <w:tr>
        <w:trPr>
          <w:trHeight w:val="223"/>
        </w:trPr>
        <w:tc>
          <w:tcPr>
            <w:tcW w:w="3400" w:type="dxa"/>
            <w:vAlign w:val="bottom"/>
          </w:tcPr>
          <w:p>
            <w:pPr>
              <w:ind w:left="180"/>
              <w:spacing w:after="0"/>
              <w:rPr>
                <w:sz w:val="20"/>
                <w:szCs w:val="20"/>
                <w:color w:val="auto"/>
              </w:rPr>
            </w:pPr>
            <w:r>
              <w:rPr>
                <w:rFonts w:ascii="Arial" w:cs="Arial" w:eastAsia="Arial" w:hAnsi="Arial"/>
                <w:sz w:val="12"/>
                <w:szCs w:val="12"/>
                <w:color w:val="auto"/>
              </w:rPr>
              <w:t>President and Chief</w:t>
            </w:r>
          </w:p>
        </w:tc>
        <w:tc>
          <w:tcPr>
            <w:tcW w:w="1900" w:type="dxa"/>
            <w:vAlign w:val="bottom"/>
          </w:tcPr>
          <w:p>
            <w:pPr>
              <w:jc w:val="right"/>
              <w:spacing w:after="0"/>
              <w:rPr>
                <w:sz w:val="20"/>
                <w:szCs w:val="20"/>
                <w:color w:val="auto"/>
              </w:rPr>
            </w:pPr>
            <w:r>
              <w:rPr>
                <w:rFonts w:ascii="Arial" w:cs="Arial" w:eastAsia="Arial" w:hAnsi="Arial"/>
                <w:sz w:val="12"/>
                <w:szCs w:val="12"/>
                <w:color w:val="auto"/>
              </w:rPr>
              <w:t>2012</w:t>
            </w:r>
          </w:p>
        </w:tc>
        <w:tc>
          <w:tcPr>
            <w:tcW w:w="680" w:type="dxa"/>
            <w:vAlign w:val="bottom"/>
          </w:tcPr>
          <w:p>
            <w:pPr>
              <w:jc w:val="right"/>
              <w:spacing w:after="0"/>
              <w:rPr>
                <w:sz w:val="20"/>
                <w:szCs w:val="20"/>
                <w:color w:val="auto"/>
              </w:rPr>
            </w:pPr>
            <w:r>
              <w:rPr>
                <w:rFonts w:ascii="Arial" w:cs="Arial" w:eastAsia="Arial" w:hAnsi="Arial"/>
                <w:sz w:val="12"/>
                <w:szCs w:val="12"/>
                <w:color w:val="auto"/>
              </w:rPr>
              <w:t>659,091</w:t>
            </w:r>
          </w:p>
        </w:tc>
        <w:tc>
          <w:tcPr>
            <w:tcW w:w="980" w:type="dxa"/>
            <w:vAlign w:val="bottom"/>
          </w:tcPr>
          <w:p>
            <w:pPr>
              <w:jc w:val="right"/>
              <w:spacing w:after="0"/>
              <w:rPr>
                <w:sz w:val="20"/>
                <w:szCs w:val="20"/>
                <w:color w:val="auto"/>
              </w:rPr>
            </w:pPr>
            <w:r>
              <w:rPr>
                <w:rFonts w:ascii="Arial" w:cs="Arial" w:eastAsia="Arial" w:hAnsi="Arial"/>
                <w:sz w:val="12"/>
                <w:szCs w:val="12"/>
                <w:color w:val="auto"/>
              </w:rPr>
              <w:t>126,000</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2,523,801</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25,579</w:t>
            </w:r>
          </w:p>
        </w:tc>
        <w:tc>
          <w:tcPr>
            <w:tcW w:w="680" w:type="dxa"/>
            <w:vAlign w:val="bottom"/>
          </w:tcPr>
          <w:p>
            <w:pPr>
              <w:jc w:val="right"/>
              <w:spacing w:after="0"/>
              <w:rPr>
                <w:sz w:val="20"/>
                <w:szCs w:val="20"/>
                <w:color w:val="auto"/>
              </w:rPr>
            </w:pPr>
            <w:r>
              <w:rPr>
                <w:rFonts w:ascii="Arial" w:cs="Arial" w:eastAsia="Arial" w:hAnsi="Arial"/>
                <w:sz w:val="12"/>
                <w:szCs w:val="12"/>
                <w:color w:val="auto"/>
              </w:rPr>
              <w:t>3,334,471</w:t>
            </w:r>
          </w:p>
        </w:tc>
      </w:tr>
      <w:tr>
        <w:trPr>
          <w:trHeight w:val="347"/>
        </w:trPr>
        <w:tc>
          <w:tcPr>
            <w:tcW w:w="3400" w:type="dxa"/>
            <w:vAlign w:val="bottom"/>
          </w:tcPr>
          <w:p>
            <w:pPr>
              <w:ind w:left="180"/>
              <w:spacing w:after="0"/>
              <w:rPr>
                <w:sz w:val="20"/>
                <w:szCs w:val="20"/>
                <w:color w:val="auto"/>
              </w:rPr>
            </w:pPr>
            <w:r>
              <w:rPr>
                <w:rFonts w:ascii="Arial" w:cs="Arial" w:eastAsia="Arial" w:hAnsi="Arial"/>
                <w:sz w:val="12"/>
                <w:szCs w:val="12"/>
                <w:color w:val="auto"/>
              </w:rPr>
              <w:t>Financial Officer</w:t>
            </w:r>
            <w:r>
              <w:rPr>
                <w:rFonts w:ascii="Arial" w:cs="Arial" w:eastAsia="Arial" w:hAnsi="Arial"/>
                <w:sz w:val="20"/>
                <w:szCs w:val="20"/>
                <w:color w:val="auto"/>
                <w:vertAlign w:val="superscript"/>
              </w:rPr>
              <w:t>(d)</w:t>
            </w:r>
          </w:p>
        </w:tc>
        <w:tc>
          <w:tcPr>
            <w:tcW w:w="1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48"/>
        </w:trPr>
        <w:tc>
          <w:tcPr>
            <w:tcW w:w="3400" w:type="dxa"/>
            <w:vAlign w:val="bottom"/>
          </w:tcPr>
          <w:p>
            <w:pPr>
              <w:spacing w:after="0"/>
              <w:rPr>
                <w:sz w:val="20"/>
                <w:szCs w:val="20"/>
                <w:color w:val="auto"/>
              </w:rPr>
            </w:pPr>
            <w:r>
              <w:rPr>
                <w:rFonts w:ascii="Arial" w:cs="Arial" w:eastAsia="Arial" w:hAnsi="Arial"/>
                <w:sz w:val="12"/>
                <w:szCs w:val="12"/>
                <w:color w:val="auto"/>
              </w:rPr>
              <w:t>Peter T. Fontana</w:t>
            </w:r>
          </w:p>
        </w:tc>
        <w:tc>
          <w:tcPr>
            <w:tcW w:w="1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223"/>
        </w:trPr>
        <w:tc>
          <w:tcPr>
            <w:tcW w:w="3400" w:type="dxa"/>
            <w:vAlign w:val="bottom"/>
          </w:tcPr>
          <w:p>
            <w:pPr>
              <w:ind w:left="180"/>
              <w:spacing w:after="0"/>
              <w:rPr>
                <w:sz w:val="20"/>
                <w:szCs w:val="20"/>
                <w:color w:val="auto"/>
              </w:rPr>
            </w:pPr>
            <w:r>
              <w:rPr>
                <w:rFonts w:ascii="Arial" w:cs="Arial" w:eastAsia="Arial" w:hAnsi="Arial"/>
                <w:sz w:val="12"/>
                <w:szCs w:val="12"/>
                <w:color w:val="auto"/>
              </w:rPr>
              <w:t>Former Executive Vice</w:t>
            </w:r>
          </w:p>
        </w:tc>
        <w:tc>
          <w:tcPr>
            <w:tcW w:w="1900" w:type="dxa"/>
            <w:vAlign w:val="bottom"/>
          </w:tcPr>
          <w:p>
            <w:pPr>
              <w:jc w:val="right"/>
              <w:spacing w:after="0"/>
              <w:rPr>
                <w:sz w:val="20"/>
                <w:szCs w:val="20"/>
                <w:color w:val="auto"/>
              </w:rPr>
            </w:pPr>
            <w:r>
              <w:rPr>
                <w:rFonts w:ascii="Arial" w:cs="Arial" w:eastAsia="Arial" w:hAnsi="Arial"/>
                <w:sz w:val="12"/>
                <w:szCs w:val="12"/>
                <w:color w:val="auto"/>
              </w:rPr>
              <w:t>2013</w:t>
            </w:r>
          </w:p>
        </w:tc>
        <w:tc>
          <w:tcPr>
            <w:tcW w:w="680" w:type="dxa"/>
            <w:vAlign w:val="bottom"/>
          </w:tcPr>
          <w:p>
            <w:pPr>
              <w:jc w:val="right"/>
              <w:spacing w:after="0"/>
              <w:rPr>
                <w:sz w:val="20"/>
                <w:szCs w:val="20"/>
                <w:color w:val="auto"/>
              </w:rPr>
            </w:pPr>
            <w:r>
              <w:rPr>
                <w:rFonts w:ascii="Arial" w:cs="Arial" w:eastAsia="Arial" w:hAnsi="Arial"/>
                <w:sz w:val="12"/>
                <w:szCs w:val="12"/>
                <w:color w:val="auto"/>
              </w:rPr>
              <w:t>945,991</w:t>
            </w: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4,828,588</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4,637,959</w:t>
            </w:r>
          </w:p>
        </w:tc>
        <w:tc>
          <w:tcPr>
            <w:tcW w:w="680" w:type="dxa"/>
            <w:vAlign w:val="bottom"/>
          </w:tcPr>
          <w:p>
            <w:pPr>
              <w:jc w:val="right"/>
              <w:spacing w:after="0"/>
              <w:rPr>
                <w:sz w:val="20"/>
                <w:szCs w:val="20"/>
                <w:color w:val="auto"/>
              </w:rPr>
            </w:pPr>
            <w:r>
              <w:rPr>
                <w:rFonts w:ascii="Arial" w:cs="Arial" w:eastAsia="Arial" w:hAnsi="Arial"/>
                <w:sz w:val="12"/>
                <w:szCs w:val="12"/>
                <w:color w:val="auto"/>
              </w:rPr>
              <w:t>10,412,538</w:t>
            </w:r>
          </w:p>
        </w:tc>
      </w:tr>
      <w:tr>
        <w:trPr>
          <w:trHeight w:val="223"/>
        </w:trPr>
        <w:tc>
          <w:tcPr>
            <w:tcW w:w="3400" w:type="dxa"/>
            <w:vAlign w:val="bottom"/>
          </w:tcPr>
          <w:p>
            <w:pPr>
              <w:ind w:left="180"/>
              <w:spacing w:after="0"/>
              <w:rPr>
                <w:sz w:val="20"/>
                <w:szCs w:val="20"/>
                <w:color w:val="auto"/>
              </w:rPr>
            </w:pPr>
            <w:r>
              <w:rPr>
                <w:rFonts w:ascii="Arial" w:cs="Arial" w:eastAsia="Arial" w:hAnsi="Arial"/>
                <w:sz w:val="12"/>
                <w:szCs w:val="12"/>
                <w:color w:val="auto"/>
              </w:rPr>
              <w:t>President and Chief</w:t>
            </w:r>
          </w:p>
        </w:tc>
        <w:tc>
          <w:tcPr>
            <w:tcW w:w="1900" w:type="dxa"/>
            <w:vAlign w:val="bottom"/>
          </w:tcPr>
          <w:p>
            <w:pPr>
              <w:jc w:val="right"/>
              <w:spacing w:after="0"/>
              <w:rPr>
                <w:sz w:val="20"/>
                <w:szCs w:val="20"/>
                <w:color w:val="auto"/>
              </w:rPr>
            </w:pPr>
            <w:r>
              <w:rPr>
                <w:rFonts w:ascii="Arial" w:cs="Arial" w:eastAsia="Arial" w:hAnsi="Arial"/>
                <w:sz w:val="12"/>
                <w:szCs w:val="12"/>
                <w:color w:val="auto"/>
              </w:rPr>
              <w:t>2012</w:t>
            </w:r>
          </w:p>
        </w:tc>
        <w:tc>
          <w:tcPr>
            <w:tcW w:w="680" w:type="dxa"/>
            <w:vAlign w:val="bottom"/>
          </w:tcPr>
          <w:p>
            <w:pPr>
              <w:jc w:val="right"/>
              <w:spacing w:after="0"/>
              <w:rPr>
                <w:sz w:val="20"/>
                <w:szCs w:val="20"/>
                <w:color w:val="auto"/>
              </w:rPr>
            </w:pPr>
            <w:r>
              <w:rPr>
                <w:rFonts w:ascii="Arial" w:cs="Arial" w:eastAsia="Arial" w:hAnsi="Arial"/>
                <w:sz w:val="12"/>
                <w:szCs w:val="12"/>
                <w:color w:val="auto"/>
              </w:rPr>
              <w:t>976,586</w:t>
            </w:r>
          </w:p>
        </w:tc>
        <w:tc>
          <w:tcPr>
            <w:tcW w:w="980" w:type="dxa"/>
            <w:vAlign w:val="bottom"/>
          </w:tcPr>
          <w:p>
            <w:pPr>
              <w:jc w:val="right"/>
              <w:spacing w:after="0"/>
              <w:rPr>
                <w:sz w:val="20"/>
                <w:szCs w:val="20"/>
                <w:color w:val="auto"/>
              </w:rPr>
            </w:pPr>
            <w:r>
              <w:rPr>
                <w:rFonts w:ascii="Arial" w:cs="Arial" w:eastAsia="Arial" w:hAnsi="Arial"/>
                <w:sz w:val="12"/>
                <w:szCs w:val="12"/>
                <w:color w:val="auto"/>
              </w:rPr>
              <w:t>187,550</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7,785,879</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600,954</w:t>
            </w:r>
          </w:p>
        </w:tc>
        <w:tc>
          <w:tcPr>
            <w:tcW w:w="680" w:type="dxa"/>
            <w:vAlign w:val="bottom"/>
          </w:tcPr>
          <w:p>
            <w:pPr>
              <w:jc w:val="right"/>
              <w:spacing w:after="0"/>
              <w:rPr>
                <w:sz w:val="20"/>
                <w:szCs w:val="20"/>
                <w:color w:val="auto"/>
              </w:rPr>
            </w:pPr>
            <w:r>
              <w:rPr>
                <w:rFonts w:ascii="Arial" w:cs="Arial" w:eastAsia="Arial" w:hAnsi="Arial"/>
                <w:sz w:val="12"/>
                <w:szCs w:val="12"/>
                <w:color w:val="auto"/>
              </w:rPr>
              <w:t>9,550,969</w:t>
            </w:r>
          </w:p>
        </w:tc>
      </w:tr>
      <w:tr>
        <w:trPr>
          <w:trHeight w:val="347"/>
        </w:trPr>
        <w:tc>
          <w:tcPr>
            <w:tcW w:w="3400" w:type="dxa"/>
            <w:vAlign w:val="bottom"/>
          </w:tcPr>
          <w:p>
            <w:pPr>
              <w:ind w:left="180"/>
              <w:spacing w:after="0"/>
              <w:rPr>
                <w:sz w:val="20"/>
                <w:szCs w:val="20"/>
                <w:color w:val="auto"/>
              </w:rPr>
            </w:pPr>
            <w:r>
              <w:rPr>
                <w:rFonts w:ascii="Arial" w:cs="Arial" w:eastAsia="Arial" w:hAnsi="Arial"/>
                <w:sz w:val="12"/>
                <w:szCs w:val="12"/>
                <w:color w:val="auto"/>
              </w:rPr>
              <w:t>Operating Officer</w:t>
            </w:r>
            <w:r>
              <w:rPr>
                <w:rFonts w:ascii="Arial" w:cs="Arial" w:eastAsia="Arial" w:hAnsi="Arial"/>
                <w:sz w:val="20"/>
                <w:szCs w:val="20"/>
                <w:color w:val="auto"/>
                <w:vertAlign w:val="superscript"/>
              </w:rPr>
              <w:t>(e)</w:t>
            </w:r>
          </w:p>
        </w:tc>
        <w:tc>
          <w:tcPr>
            <w:tcW w:w="1900" w:type="dxa"/>
            <w:vAlign w:val="bottom"/>
          </w:tcPr>
          <w:p>
            <w:pPr>
              <w:jc w:val="right"/>
              <w:spacing w:after="0"/>
              <w:rPr>
                <w:sz w:val="20"/>
                <w:szCs w:val="20"/>
                <w:color w:val="auto"/>
              </w:rPr>
            </w:pPr>
            <w:r>
              <w:rPr>
                <w:rFonts w:ascii="Arial" w:cs="Arial" w:eastAsia="Arial" w:hAnsi="Arial"/>
                <w:sz w:val="12"/>
                <w:szCs w:val="12"/>
                <w:color w:val="auto"/>
              </w:rPr>
              <w:t>2011</w:t>
            </w:r>
          </w:p>
        </w:tc>
        <w:tc>
          <w:tcPr>
            <w:tcW w:w="680" w:type="dxa"/>
            <w:vAlign w:val="bottom"/>
          </w:tcPr>
          <w:p>
            <w:pPr>
              <w:jc w:val="right"/>
              <w:spacing w:after="0"/>
              <w:rPr>
                <w:sz w:val="20"/>
                <w:szCs w:val="20"/>
                <w:color w:val="auto"/>
              </w:rPr>
            </w:pPr>
            <w:r>
              <w:rPr>
                <w:rFonts w:ascii="Arial" w:cs="Arial" w:eastAsia="Arial" w:hAnsi="Arial"/>
                <w:sz w:val="12"/>
                <w:szCs w:val="12"/>
                <w:color w:val="auto"/>
              </w:rPr>
              <w:t>895,135</w:t>
            </w: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824,940</w:t>
            </w:r>
          </w:p>
        </w:tc>
        <w:tc>
          <w:tcPr>
            <w:tcW w:w="800" w:type="dxa"/>
            <w:vAlign w:val="bottom"/>
          </w:tcPr>
          <w:p>
            <w:pPr>
              <w:jc w:val="right"/>
              <w:spacing w:after="0"/>
              <w:rPr>
                <w:sz w:val="20"/>
                <w:szCs w:val="20"/>
                <w:color w:val="auto"/>
              </w:rPr>
            </w:pPr>
            <w:r>
              <w:rPr>
                <w:rFonts w:ascii="Arial" w:cs="Arial" w:eastAsia="Arial" w:hAnsi="Arial"/>
                <w:sz w:val="12"/>
                <w:szCs w:val="12"/>
                <w:color w:val="auto"/>
              </w:rPr>
              <w:t>6,496,518</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583,882</w:t>
            </w:r>
          </w:p>
        </w:tc>
        <w:tc>
          <w:tcPr>
            <w:tcW w:w="680" w:type="dxa"/>
            <w:vAlign w:val="bottom"/>
          </w:tcPr>
          <w:p>
            <w:pPr>
              <w:jc w:val="right"/>
              <w:spacing w:after="0"/>
              <w:rPr>
                <w:sz w:val="20"/>
                <w:szCs w:val="20"/>
                <w:color w:val="auto"/>
              </w:rPr>
            </w:pPr>
            <w:r>
              <w:rPr>
                <w:rFonts w:ascii="Arial" w:cs="Arial" w:eastAsia="Arial" w:hAnsi="Arial"/>
                <w:sz w:val="12"/>
                <w:szCs w:val="12"/>
                <w:color w:val="auto"/>
              </w:rPr>
              <w:t>8,800,475</w:t>
            </w:r>
          </w:p>
        </w:tc>
      </w:tr>
      <w:tr>
        <w:trPr>
          <w:trHeight w:val="148"/>
        </w:trPr>
        <w:tc>
          <w:tcPr>
            <w:tcW w:w="3400" w:type="dxa"/>
            <w:vAlign w:val="bottom"/>
          </w:tcPr>
          <w:p>
            <w:pPr>
              <w:spacing w:after="0"/>
              <w:rPr>
                <w:sz w:val="20"/>
                <w:szCs w:val="20"/>
                <w:color w:val="auto"/>
              </w:rPr>
            </w:pPr>
            <w:r>
              <w:rPr>
                <w:rFonts w:ascii="Arial" w:cs="Arial" w:eastAsia="Arial" w:hAnsi="Arial"/>
                <w:sz w:val="12"/>
                <w:szCs w:val="12"/>
                <w:color w:val="auto"/>
              </w:rPr>
              <w:t>Joseph C. Henry</w:t>
            </w:r>
          </w:p>
        </w:tc>
        <w:tc>
          <w:tcPr>
            <w:tcW w:w="1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223"/>
        </w:trPr>
        <w:tc>
          <w:tcPr>
            <w:tcW w:w="3400" w:type="dxa"/>
            <w:vAlign w:val="bottom"/>
          </w:tcPr>
          <w:p>
            <w:pPr>
              <w:ind w:left="180"/>
              <w:spacing w:after="0"/>
              <w:rPr>
                <w:sz w:val="20"/>
                <w:szCs w:val="20"/>
                <w:color w:val="auto"/>
              </w:rPr>
            </w:pPr>
            <w:r>
              <w:rPr>
                <w:rFonts w:ascii="Arial" w:cs="Arial" w:eastAsia="Arial" w:hAnsi="Arial"/>
                <w:sz w:val="12"/>
                <w:szCs w:val="12"/>
                <w:color w:val="auto"/>
              </w:rPr>
              <w:t>Former Senior Vice</w:t>
            </w:r>
          </w:p>
        </w:tc>
        <w:tc>
          <w:tcPr>
            <w:tcW w:w="1900" w:type="dxa"/>
            <w:vAlign w:val="bottom"/>
          </w:tcPr>
          <w:p>
            <w:pPr>
              <w:jc w:val="right"/>
              <w:spacing w:after="0"/>
              <w:rPr>
                <w:sz w:val="20"/>
                <w:szCs w:val="20"/>
                <w:color w:val="auto"/>
              </w:rPr>
            </w:pPr>
            <w:r>
              <w:rPr>
                <w:rFonts w:ascii="Arial" w:cs="Arial" w:eastAsia="Arial" w:hAnsi="Arial"/>
                <w:sz w:val="12"/>
                <w:szCs w:val="12"/>
                <w:color w:val="auto"/>
              </w:rPr>
              <w:t>2013</w:t>
            </w:r>
          </w:p>
        </w:tc>
        <w:tc>
          <w:tcPr>
            <w:tcW w:w="680" w:type="dxa"/>
            <w:vAlign w:val="bottom"/>
          </w:tcPr>
          <w:p>
            <w:pPr>
              <w:jc w:val="right"/>
              <w:spacing w:after="0"/>
              <w:rPr>
                <w:sz w:val="20"/>
                <w:szCs w:val="20"/>
                <w:color w:val="auto"/>
              </w:rPr>
            </w:pPr>
            <w:r>
              <w:rPr>
                <w:rFonts w:ascii="Arial" w:cs="Arial" w:eastAsia="Arial" w:hAnsi="Arial"/>
                <w:sz w:val="12"/>
                <w:szCs w:val="12"/>
                <w:color w:val="auto"/>
              </w:rPr>
              <w:t>266,933</w:t>
            </w: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2,004,295</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3,585,287</w:t>
            </w:r>
          </w:p>
        </w:tc>
        <w:tc>
          <w:tcPr>
            <w:tcW w:w="680" w:type="dxa"/>
            <w:vAlign w:val="bottom"/>
          </w:tcPr>
          <w:p>
            <w:pPr>
              <w:jc w:val="right"/>
              <w:spacing w:after="0"/>
              <w:rPr>
                <w:sz w:val="20"/>
                <w:szCs w:val="20"/>
                <w:color w:val="auto"/>
              </w:rPr>
            </w:pPr>
            <w:r>
              <w:rPr>
                <w:rFonts w:ascii="Arial" w:cs="Arial" w:eastAsia="Arial" w:hAnsi="Arial"/>
                <w:sz w:val="12"/>
                <w:szCs w:val="12"/>
                <w:color w:val="auto"/>
              </w:rPr>
              <w:t>5,856,515</w:t>
            </w:r>
          </w:p>
        </w:tc>
      </w:tr>
      <w:tr>
        <w:trPr>
          <w:trHeight w:val="223"/>
        </w:trPr>
        <w:tc>
          <w:tcPr>
            <w:tcW w:w="3400" w:type="dxa"/>
            <w:vAlign w:val="bottom"/>
          </w:tcPr>
          <w:p>
            <w:pPr>
              <w:ind w:left="180"/>
              <w:spacing w:after="0"/>
              <w:rPr>
                <w:sz w:val="20"/>
                <w:szCs w:val="20"/>
                <w:color w:val="auto"/>
              </w:rPr>
            </w:pPr>
            <w:r>
              <w:rPr>
                <w:rFonts w:ascii="Arial" w:cs="Arial" w:eastAsia="Arial" w:hAnsi="Arial"/>
                <w:sz w:val="12"/>
                <w:szCs w:val="12"/>
                <w:color w:val="auto"/>
              </w:rPr>
              <w:t>President and Co-General</w:t>
            </w:r>
          </w:p>
        </w:tc>
        <w:tc>
          <w:tcPr>
            <w:tcW w:w="1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47"/>
        </w:trPr>
        <w:tc>
          <w:tcPr>
            <w:tcW w:w="3400" w:type="dxa"/>
            <w:vAlign w:val="bottom"/>
          </w:tcPr>
          <w:p>
            <w:pPr>
              <w:ind w:left="180"/>
              <w:spacing w:after="0"/>
              <w:rPr>
                <w:sz w:val="20"/>
                <w:szCs w:val="20"/>
                <w:color w:val="auto"/>
              </w:rPr>
            </w:pPr>
            <w:r>
              <w:rPr>
                <w:rFonts w:ascii="Arial" w:cs="Arial" w:eastAsia="Arial" w:hAnsi="Arial"/>
                <w:sz w:val="12"/>
                <w:szCs w:val="12"/>
                <w:color w:val="auto"/>
              </w:rPr>
              <w:t>Counsel</w:t>
            </w:r>
            <w:r>
              <w:rPr>
                <w:rFonts w:ascii="Arial" w:cs="Arial" w:eastAsia="Arial" w:hAnsi="Arial"/>
                <w:sz w:val="20"/>
                <w:szCs w:val="20"/>
                <w:color w:val="auto"/>
                <w:vertAlign w:val="superscript"/>
              </w:rPr>
              <w:t>(f)</w:t>
            </w:r>
          </w:p>
        </w:tc>
        <w:tc>
          <w:tcPr>
            <w:tcW w:w="1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48"/>
        </w:trPr>
        <w:tc>
          <w:tcPr>
            <w:tcW w:w="3400" w:type="dxa"/>
            <w:vAlign w:val="bottom"/>
          </w:tcPr>
          <w:p>
            <w:pPr>
              <w:spacing w:after="0"/>
              <w:rPr>
                <w:sz w:val="20"/>
                <w:szCs w:val="20"/>
                <w:color w:val="auto"/>
              </w:rPr>
            </w:pPr>
            <w:r>
              <w:rPr>
                <w:rFonts w:ascii="Arial" w:cs="Arial" w:eastAsia="Arial" w:hAnsi="Arial"/>
                <w:sz w:val="12"/>
                <w:szCs w:val="12"/>
                <w:color w:val="auto"/>
              </w:rPr>
              <w:t>William B. Jacobson</w:t>
            </w:r>
          </w:p>
        </w:tc>
        <w:tc>
          <w:tcPr>
            <w:tcW w:w="1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223"/>
        </w:trPr>
        <w:tc>
          <w:tcPr>
            <w:tcW w:w="3400" w:type="dxa"/>
            <w:vAlign w:val="bottom"/>
          </w:tcPr>
          <w:p>
            <w:pPr>
              <w:ind w:left="180"/>
              <w:spacing w:after="0"/>
              <w:rPr>
                <w:sz w:val="20"/>
                <w:szCs w:val="20"/>
                <w:color w:val="auto"/>
              </w:rPr>
            </w:pPr>
            <w:r>
              <w:rPr>
                <w:rFonts w:ascii="Arial" w:cs="Arial" w:eastAsia="Arial" w:hAnsi="Arial"/>
                <w:sz w:val="12"/>
                <w:szCs w:val="12"/>
                <w:color w:val="auto"/>
              </w:rPr>
              <w:t>Former Senior Vice President,</w:t>
            </w:r>
          </w:p>
        </w:tc>
        <w:tc>
          <w:tcPr>
            <w:tcW w:w="1900" w:type="dxa"/>
            <w:vAlign w:val="bottom"/>
          </w:tcPr>
          <w:p>
            <w:pPr>
              <w:jc w:val="right"/>
              <w:spacing w:after="0"/>
              <w:rPr>
                <w:sz w:val="20"/>
                <w:szCs w:val="20"/>
                <w:color w:val="auto"/>
              </w:rPr>
            </w:pPr>
            <w:r>
              <w:rPr>
                <w:rFonts w:ascii="Arial" w:cs="Arial" w:eastAsia="Arial" w:hAnsi="Arial"/>
                <w:sz w:val="12"/>
                <w:szCs w:val="12"/>
                <w:color w:val="auto"/>
              </w:rPr>
              <w:t>2013</w:t>
            </w:r>
          </w:p>
        </w:tc>
        <w:tc>
          <w:tcPr>
            <w:tcW w:w="680" w:type="dxa"/>
            <w:vAlign w:val="bottom"/>
          </w:tcPr>
          <w:p>
            <w:pPr>
              <w:jc w:val="right"/>
              <w:spacing w:after="0"/>
              <w:rPr>
                <w:sz w:val="20"/>
                <w:szCs w:val="20"/>
                <w:color w:val="auto"/>
              </w:rPr>
            </w:pPr>
            <w:r>
              <w:rPr>
                <w:rFonts w:ascii="Arial" w:cs="Arial" w:eastAsia="Arial" w:hAnsi="Arial"/>
                <w:sz w:val="12"/>
                <w:szCs w:val="12"/>
                <w:color w:val="auto"/>
              </w:rPr>
              <w:t>1,000,000</w:t>
            </w:r>
          </w:p>
        </w:tc>
        <w:tc>
          <w:tcPr>
            <w:tcW w:w="980" w:type="dxa"/>
            <w:vAlign w:val="bottom"/>
          </w:tcPr>
          <w:p>
            <w:pPr>
              <w:jc w:val="right"/>
              <w:spacing w:after="0"/>
              <w:rPr>
                <w:sz w:val="20"/>
                <w:szCs w:val="20"/>
                <w:color w:val="auto"/>
              </w:rPr>
            </w:pPr>
            <w:r>
              <w:rPr>
                <w:rFonts w:ascii="Arial" w:cs="Arial" w:eastAsia="Arial" w:hAnsi="Arial"/>
                <w:sz w:val="12"/>
                <w:szCs w:val="12"/>
                <w:color w:val="auto"/>
              </w:rPr>
              <w:t>525,000</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2,099,232</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25,169</w:t>
            </w:r>
          </w:p>
        </w:tc>
        <w:tc>
          <w:tcPr>
            <w:tcW w:w="680" w:type="dxa"/>
            <w:vAlign w:val="bottom"/>
          </w:tcPr>
          <w:p>
            <w:pPr>
              <w:jc w:val="right"/>
              <w:spacing w:after="0"/>
              <w:rPr>
                <w:sz w:val="20"/>
                <w:szCs w:val="20"/>
                <w:color w:val="auto"/>
              </w:rPr>
            </w:pPr>
            <w:r>
              <w:rPr>
                <w:rFonts w:ascii="Arial" w:cs="Arial" w:eastAsia="Arial" w:hAnsi="Arial"/>
                <w:sz w:val="12"/>
                <w:szCs w:val="12"/>
                <w:color w:val="auto"/>
              </w:rPr>
              <w:t>3,649,401</w:t>
            </w:r>
          </w:p>
        </w:tc>
      </w:tr>
      <w:tr>
        <w:trPr>
          <w:trHeight w:val="223"/>
        </w:trPr>
        <w:tc>
          <w:tcPr>
            <w:tcW w:w="3400" w:type="dxa"/>
            <w:vAlign w:val="bottom"/>
          </w:tcPr>
          <w:p>
            <w:pPr>
              <w:ind w:left="180"/>
              <w:spacing w:after="0"/>
              <w:rPr>
                <w:sz w:val="20"/>
                <w:szCs w:val="20"/>
                <w:color w:val="auto"/>
              </w:rPr>
            </w:pPr>
            <w:r>
              <w:rPr>
                <w:rFonts w:ascii="Arial" w:cs="Arial" w:eastAsia="Arial" w:hAnsi="Arial"/>
                <w:sz w:val="12"/>
                <w:szCs w:val="12"/>
                <w:color w:val="auto"/>
              </w:rPr>
              <w:t>Co-General Counsel and</w:t>
            </w:r>
          </w:p>
        </w:tc>
        <w:tc>
          <w:tcPr>
            <w:tcW w:w="1900" w:type="dxa"/>
            <w:vAlign w:val="bottom"/>
          </w:tcPr>
          <w:p>
            <w:pPr>
              <w:jc w:val="right"/>
              <w:spacing w:after="0"/>
              <w:rPr>
                <w:sz w:val="20"/>
                <w:szCs w:val="20"/>
                <w:color w:val="auto"/>
              </w:rPr>
            </w:pPr>
            <w:r>
              <w:rPr>
                <w:rFonts w:ascii="Arial" w:cs="Arial" w:eastAsia="Arial" w:hAnsi="Arial"/>
                <w:sz w:val="12"/>
                <w:szCs w:val="12"/>
                <w:color w:val="auto"/>
              </w:rPr>
              <w:t>2012</w:t>
            </w:r>
          </w:p>
        </w:tc>
        <w:tc>
          <w:tcPr>
            <w:tcW w:w="680" w:type="dxa"/>
            <w:vAlign w:val="bottom"/>
          </w:tcPr>
          <w:p>
            <w:pPr>
              <w:jc w:val="right"/>
              <w:spacing w:after="0"/>
              <w:rPr>
                <w:sz w:val="20"/>
                <w:szCs w:val="20"/>
                <w:color w:val="auto"/>
              </w:rPr>
            </w:pPr>
            <w:r>
              <w:rPr>
                <w:rFonts w:ascii="Arial" w:cs="Arial" w:eastAsia="Arial" w:hAnsi="Arial"/>
                <w:sz w:val="12"/>
                <w:szCs w:val="12"/>
                <w:color w:val="auto"/>
              </w:rPr>
              <w:t>1,000,000</w:t>
            </w:r>
          </w:p>
        </w:tc>
        <w:tc>
          <w:tcPr>
            <w:tcW w:w="980" w:type="dxa"/>
            <w:vAlign w:val="bottom"/>
          </w:tcPr>
          <w:p>
            <w:pPr>
              <w:jc w:val="right"/>
              <w:spacing w:after="0"/>
              <w:rPr>
                <w:sz w:val="20"/>
                <w:szCs w:val="20"/>
                <w:color w:val="auto"/>
              </w:rPr>
            </w:pPr>
            <w:r>
              <w:rPr>
                <w:rFonts w:ascii="Arial" w:cs="Arial" w:eastAsia="Arial" w:hAnsi="Arial"/>
                <w:sz w:val="12"/>
                <w:szCs w:val="12"/>
                <w:color w:val="auto"/>
              </w:rPr>
              <w:t>93,600</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2,786,086</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18,306</w:t>
            </w:r>
          </w:p>
        </w:tc>
        <w:tc>
          <w:tcPr>
            <w:tcW w:w="680" w:type="dxa"/>
            <w:vAlign w:val="bottom"/>
          </w:tcPr>
          <w:p>
            <w:pPr>
              <w:jc w:val="right"/>
              <w:spacing w:after="0"/>
              <w:rPr>
                <w:sz w:val="20"/>
                <w:szCs w:val="20"/>
                <w:color w:val="auto"/>
              </w:rPr>
            </w:pPr>
            <w:r>
              <w:rPr>
                <w:rFonts w:ascii="Arial" w:cs="Arial" w:eastAsia="Arial" w:hAnsi="Arial"/>
                <w:sz w:val="12"/>
                <w:szCs w:val="12"/>
                <w:color w:val="auto"/>
              </w:rPr>
              <w:t>3,897,992</w:t>
            </w:r>
          </w:p>
        </w:tc>
      </w:tr>
      <w:tr>
        <w:trPr>
          <w:trHeight w:val="316"/>
        </w:trPr>
        <w:tc>
          <w:tcPr>
            <w:tcW w:w="3400" w:type="dxa"/>
            <w:vAlign w:val="bottom"/>
            <w:tcBorders>
              <w:bottom w:val="single" w:sz="8" w:color="auto"/>
            </w:tcBorders>
          </w:tcPr>
          <w:p>
            <w:pPr>
              <w:ind w:left="180"/>
              <w:spacing w:after="0"/>
              <w:rPr>
                <w:sz w:val="20"/>
                <w:szCs w:val="20"/>
                <w:color w:val="auto"/>
              </w:rPr>
            </w:pPr>
            <w:r>
              <w:rPr>
                <w:rFonts w:ascii="Arial" w:cs="Arial" w:eastAsia="Arial" w:hAnsi="Arial"/>
                <w:sz w:val="12"/>
                <w:szCs w:val="12"/>
                <w:color w:val="auto"/>
              </w:rPr>
              <w:t>Chief Compliance Officer</w:t>
            </w:r>
            <w:r>
              <w:rPr>
                <w:rFonts w:ascii="Arial" w:cs="Arial" w:eastAsia="Arial" w:hAnsi="Arial"/>
                <w:sz w:val="20"/>
                <w:szCs w:val="20"/>
                <w:color w:val="auto"/>
                <w:vertAlign w:val="superscript"/>
              </w:rPr>
              <w:t>(g)</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2011</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1,000,000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1,783,222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13,606</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2,796,828</w:t>
            </w:r>
          </w:p>
        </w:tc>
      </w:tr>
    </w:tbl>
    <w:p>
      <w:pPr>
        <w:spacing w:after="0" w:line="98" w:lineRule="exact"/>
        <w:rPr>
          <w:sz w:val="20"/>
          <w:szCs w:val="20"/>
          <w:color w:val="auto"/>
        </w:rPr>
      </w:pPr>
    </w:p>
    <w:p>
      <w:pPr>
        <w:ind w:left="181" w:hanging="181"/>
        <w:spacing w:after="0" w:line="254" w:lineRule="auto"/>
        <w:tabs>
          <w:tab w:leader="none" w:pos="181" w:val="left"/>
        </w:tabs>
        <w:numPr>
          <w:ilvl w:val="0"/>
          <w:numId w:val="43"/>
        </w:numPr>
        <w:rPr>
          <w:rFonts w:ascii="Arial" w:cs="Arial" w:eastAsia="Arial" w:hAnsi="Arial"/>
          <w:sz w:val="12"/>
          <w:szCs w:val="12"/>
          <w:color w:val="auto"/>
        </w:rPr>
      </w:pPr>
      <w:r>
        <w:rPr>
          <w:rFonts w:ascii="Arial" w:cs="Arial" w:eastAsia="Arial" w:hAnsi="Arial"/>
          <w:sz w:val="12"/>
          <w:szCs w:val="12"/>
          <w:color w:val="auto"/>
        </w:rPr>
        <w:t>Dr. Duroc-Danner’s salary for 2011, 2012 and 2013 was CHF 1,760,000. The change in value reflected above relates to changes in the USD-CHF exchange rate. Amounts shown in table represent the CHF salary translated to USD at the rate on the respective dates of payment.</w:t>
      </w:r>
    </w:p>
    <w:p>
      <w:pPr>
        <w:spacing w:after="0" w:line="79" w:lineRule="exact"/>
        <w:rPr>
          <w:rFonts w:ascii="Arial" w:cs="Arial" w:eastAsia="Arial" w:hAnsi="Arial"/>
          <w:sz w:val="12"/>
          <w:szCs w:val="12"/>
          <w:color w:val="auto"/>
        </w:rPr>
      </w:pPr>
    </w:p>
    <w:p>
      <w:pPr>
        <w:ind w:left="181" w:hanging="181"/>
        <w:spacing w:after="0"/>
        <w:tabs>
          <w:tab w:leader="none" w:pos="181" w:val="left"/>
        </w:tabs>
        <w:numPr>
          <w:ilvl w:val="0"/>
          <w:numId w:val="43"/>
        </w:numPr>
        <w:rPr>
          <w:rFonts w:ascii="Arial" w:cs="Arial" w:eastAsia="Arial" w:hAnsi="Arial"/>
          <w:sz w:val="12"/>
          <w:szCs w:val="12"/>
          <w:color w:val="auto"/>
        </w:rPr>
      </w:pPr>
      <w:r>
        <w:rPr>
          <w:rFonts w:ascii="Arial" w:cs="Arial" w:eastAsia="Arial" w:hAnsi="Arial"/>
          <w:sz w:val="12"/>
          <w:szCs w:val="12"/>
          <w:color w:val="auto"/>
        </w:rPr>
        <w:t>Mr. Shivram joined the Company in November 2013.</w:t>
      </w:r>
    </w:p>
    <w:p>
      <w:pPr>
        <w:spacing w:after="0" w:line="97" w:lineRule="exact"/>
        <w:rPr>
          <w:rFonts w:ascii="Arial" w:cs="Arial" w:eastAsia="Arial" w:hAnsi="Arial"/>
          <w:sz w:val="12"/>
          <w:szCs w:val="12"/>
          <w:color w:val="auto"/>
        </w:rPr>
      </w:pPr>
    </w:p>
    <w:p>
      <w:pPr>
        <w:ind w:left="181" w:hanging="181"/>
        <w:spacing w:after="0" w:line="254" w:lineRule="auto"/>
        <w:tabs>
          <w:tab w:leader="none" w:pos="181" w:val="left"/>
        </w:tabs>
        <w:numPr>
          <w:ilvl w:val="0"/>
          <w:numId w:val="43"/>
        </w:numPr>
        <w:rPr>
          <w:rFonts w:ascii="Arial" w:cs="Arial" w:eastAsia="Arial" w:hAnsi="Arial"/>
          <w:sz w:val="12"/>
          <w:szCs w:val="12"/>
          <w:color w:val="auto"/>
        </w:rPr>
      </w:pPr>
      <w:r>
        <w:rPr>
          <w:rFonts w:ascii="Arial" w:cs="Arial" w:eastAsia="Arial" w:hAnsi="Arial"/>
          <w:sz w:val="12"/>
          <w:szCs w:val="12"/>
          <w:color w:val="auto"/>
        </w:rPr>
        <w:t>Mr. Gee’s 2012 and 2013 salary was denominated and paid in CHF. Amounts shown in table represent the monthly CHF salary translated to USD at the average exchange rate for each applicable month of the year. Mr. Gee left the Company effective February 28, 2014.</w:t>
      </w:r>
    </w:p>
    <w:p>
      <w:pPr>
        <w:spacing w:after="0" w:line="79" w:lineRule="exact"/>
        <w:rPr>
          <w:rFonts w:ascii="Arial" w:cs="Arial" w:eastAsia="Arial" w:hAnsi="Arial"/>
          <w:sz w:val="12"/>
          <w:szCs w:val="12"/>
          <w:color w:val="auto"/>
        </w:rPr>
      </w:pPr>
    </w:p>
    <w:p>
      <w:pPr>
        <w:ind w:left="181" w:hanging="181"/>
        <w:spacing w:after="0"/>
        <w:tabs>
          <w:tab w:leader="none" w:pos="181" w:val="left"/>
        </w:tabs>
        <w:numPr>
          <w:ilvl w:val="0"/>
          <w:numId w:val="43"/>
        </w:numPr>
        <w:rPr>
          <w:rFonts w:ascii="Arial" w:cs="Arial" w:eastAsia="Arial" w:hAnsi="Arial"/>
          <w:sz w:val="12"/>
          <w:szCs w:val="12"/>
          <w:color w:val="auto"/>
        </w:rPr>
      </w:pPr>
      <w:r>
        <w:rPr>
          <w:rFonts w:ascii="Arial" w:cs="Arial" w:eastAsia="Arial" w:hAnsi="Arial"/>
          <w:sz w:val="12"/>
          <w:szCs w:val="12"/>
          <w:color w:val="auto"/>
        </w:rPr>
        <w:t>Mr. Briscoe left the Company effective September 11, 2013.</w:t>
      </w:r>
    </w:p>
    <w:p>
      <w:pPr>
        <w:spacing w:after="0" w:line="97" w:lineRule="exact"/>
        <w:rPr>
          <w:rFonts w:ascii="Arial" w:cs="Arial" w:eastAsia="Arial" w:hAnsi="Arial"/>
          <w:sz w:val="12"/>
          <w:szCs w:val="12"/>
          <w:color w:val="auto"/>
        </w:rPr>
      </w:pPr>
    </w:p>
    <w:p>
      <w:pPr>
        <w:ind w:left="181" w:hanging="181"/>
        <w:spacing w:after="0" w:line="254" w:lineRule="auto"/>
        <w:tabs>
          <w:tab w:leader="none" w:pos="181" w:val="left"/>
        </w:tabs>
        <w:numPr>
          <w:ilvl w:val="0"/>
          <w:numId w:val="43"/>
        </w:numPr>
        <w:rPr>
          <w:rFonts w:ascii="Arial" w:cs="Arial" w:eastAsia="Arial" w:hAnsi="Arial"/>
          <w:sz w:val="12"/>
          <w:szCs w:val="12"/>
          <w:color w:val="auto"/>
        </w:rPr>
      </w:pPr>
      <w:r>
        <w:rPr>
          <w:rFonts w:ascii="Arial" w:cs="Arial" w:eastAsia="Arial" w:hAnsi="Arial"/>
          <w:sz w:val="12"/>
          <w:szCs w:val="12"/>
          <w:color w:val="auto"/>
        </w:rPr>
        <w:t>Mr. Fontana’s 2012 and 2013 salary was denominated and paid in British Pounds (GBP). Amounts shown in the table represent the monthly GBP salary translated to USD at the average exchange rate for each applicable month of the year. Mr. Fontana retired from the Company effective December 13, 2013.</w:t>
      </w:r>
    </w:p>
    <w:p>
      <w:pPr>
        <w:spacing w:after="0" w:line="79" w:lineRule="exact"/>
        <w:rPr>
          <w:rFonts w:ascii="Arial" w:cs="Arial" w:eastAsia="Arial" w:hAnsi="Arial"/>
          <w:sz w:val="12"/>
          <w:szCs w:val="12"/>
          <w:color w:val="auto"/>
        </w:rPr>
      </w:pPr>
    </w:p>
    <w:p>
      <w:pPr>
        <w:ind w:left="181" w:hanging="181"/>
        <w:spacing w:after="0"/>
        <w:tabs>
          <w:tab w:leader="none" w:pos="181" w:val="left"/>
        </w:tabs>
        <w:numPr>
          <w:ilvl w:val="0"/>
          <w:numId w:val="43"/>
        </w:numPr>
        <w:rPr>
          <w:rFonts w:ascii="Arial" w:cs="Arial" w:eastAsia="Arial" w:hAnsi="Arial"/>
          <w:sz w:val="12"/>
          <w:szCs w:val="12"/>
          <w:color w:val="auto"/>
        </w:rPr>
      </w:pPr>
      <w:r>
        <w:rPr>
          <w:rFonts w:ascii="Arial" w:cs="Arial" w:eastAsia="Arial" w:hAnsi="Arial"/>
          <w:sz w:val="12"/>
          <w:szCs w:val="12"/>
          <w:color w:val="auto"/>
        </w:rPr>
        <w:t>Mr. Henry left the Company effective June 30, 2013.</w:t>
      </w:r>
    </w:p>
    <w:p>
      <w:pPr>
        <w:spacing w:after="0" w:line="97" w:lineRule="exact"/>
        <w:rPr>
          <w:rFonts w:ascii="Arial" w:cs="Arial" w:eastAsia="Arial" w:hAnsi="Arial"/>
          <w:sz w:val="12"/>
          <w:szCs w:val="12"/>
          <w:color w:val="auto"/>
        </w:rPr>
      </w:pPr>
    </w:p>
    <w:p>
      <w:pPr>
        <w:ind w:left="181" w:hanging="181"/>
        <w:spacing w:after="0"/>
        <w:tabs>
          <w:tab w:leader="none" w:pos="181" w:val="left"/>
        </w:tabs>
        <w:numPr>
          <w:ilvl w:val="0"/>
          <w:numId w:val="43"/>
        </w:numPr>
        <w:rPr>
          <w:rFonts w:ascii="Arial" w:cs="Arial" w:eastAsia="Arial" w:hAnsi="Arial"/>
          <w:sz w:val="12"/>
          <w:szCs w:val="12"/>
          <w:color w:val="auto"/>
        </w:rPr>
      </w:pPr>
      <w:r>
        <w:rPr>
          <w:rFonts w:ascii="Arial" w:cs="Arial" w:eastAsia="Arial" w:hAnsi="Arial"/>
          <w:sz w:val="12"/>
          <w:szCs w:val="12"/>
          <w:color w:val="auto"/>
        </w:rPr>
        <w:t>Mr. Jacobson left the Company effective July 3, 2014.</w:t>
      </w:r>
    </w:p>
    <w:p>
      <w:pPr>
        <w:spacing w:after="0" w:line="97" w:lineRule="exact"/>
        <w:rPr>
          <w:rFonts w:ascii="Arial" w:cs="Arial" w:eastAsia="Arial" w:hAnsi="Arial"/>
          <w:sz w:val="12"/>
          <w:szCs w:val="12"/>
          <w:color w:val="auto"/>
        </w:rPr>
      </w:pPr>
    </w:p>
    <w:p>
      <w:pPr>
        <w:jc w:val="both"/>
        <w:ind w:left="181" w:hanging="181"/>
        <w:spacing w:after="0" w:line="242" w:lineRule="auto"/>
        <w:tabs>
          <w:tab w:leader="none" w:pos="181" w:val="left"/>
        </w:tabs>
        <w:numPr>
          <w:ilvl w:val="0"/>
          <w:numId w:val="43"/>
        </w:numPr>
        <w:rPr>
          <w:rFonts w:ascii="Arial" w:cs="Arial" w:eastAsia="Arial" w:hAnsi="Arial"/>
          <w:sz w:val="12"/>
          <w:szCs w:val="12"/>
          <w:color w:val="auto"/>
        </w:rPr>
      </w:pPr>
      <w:r>
        <w:rPr>
          <w:rFonts w:ascii="Arial" w:cs="Arial" w:eastAsia="Arial" w:hAnsi="Arial"/>
          <w:sz w:val="12"/>
          <w:szCs w:val="12"/>
          <w:color w:val="auto"/>
        </w:rPr>
        <w:t>Values for 2012 relate to the Company’s safety performance exceeding the Superior target as prescribed in the 2012 ICP. Values for 2013 relate to the Company’s capital efficiency exceeding the Superior target and its safety performance meeting or surpassing the Target level as prescribed in the 2013 ICP. Amounts showing in this column for 2013 and 2012 were paid in 2014 and 2013, respectively, but relate to the 2013 and 2012 fiscal years, respectively. For amounts paid in a currency other than USD, the payment was converted to USD, for purposes of this disclosure, using the appropriate foreign exchange rate as of the applicable payment dates.</w:t>
      </w:r>
    </w:p>
    <w:p>
      <w:pPr>
        <w:spacing w:after="0" w:line="172"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auto"/>
        </w:rPr>
        <w:t>Weatherford International plc - www.WeatherfordAnnualMeeting.com</w:t>
      </w:r>
      <w:r>
        <w:rPr>
          <w:sz w:val="20"/>
          <w:szCs w:val="20"/>
          <w:color w:val="auto"/>
        </w:rPr>
        <w:tab/>
      </w:r>
      <w:r>
        <w:rPr>
          <w:rFonts w:ascii="Arial" w:cs="Arial" w:eastAsia="Arial" w:hAnsi="Arial"/>
          <w:sz w:val="10"/>
          <w:szCs w:val="10"/>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131445</wp:posOffset>
            </wp:positionV>
            <wp:extent cx="7278370" cy="203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sectPr>
      </w:pPr>
    </w:p>
    <w:bookmarkStart w:id="53" w:name="page54"/>
    <w:bookmarkEnd w:id="53"/>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41"/>
        <w:spacing w:after="0"/>
        <w:rPr>
          <w:sz w:val="20"/>
          <w:szCs w:val="20"/>
          <w:color w:val="auto"/>
        </w:rPr>
      </w:pPr>
      <w:r>
        <w:rPr>
          <w:rFonts w:ascii="Arial" w:cs="Arial" w:eastAsia="Arial" w:hAnsi="Arial"/>
          <w:sz w:val="12"/>
          <w:szCs w:val="12"/>
          <w:b w:val="1"/>
          <w:bCs w:val="1"/>
          <w:color w:val="FFFFFF"/>
          <w:shd w:val="clear" w:color="auto" w:fill="BB1131"/>
        </w:rPr>
        <w:t>EXECUTIVE COMPENSATION</w:t>
      </w:r>
    </w:p>
    <w:p>
      <w:pPr>
        <w:spacing w:after="0" w:line="210" w:lineRule="exact"/>
        <w:rPr>
          <w:sz w:val="20"/>
          <w:szCs w:val="20"/>
          <w:color w:val="auto"/>
        </w:rPr>
      </w:pPr>
    </w:p>
    <w:p>
      <w:pPr>
        <w:ind w:left="141" w:hanging="141"/>
        <w:spacing w:after="0" w:line="254" w:lineRule="auto"/>
        <w:tabs>
          <w:tab w:leader="none" w:pos="141" w:val="left"/>
        </w:tabs>
        <w:numPr>
          <w:ilvl w:val="0"/>
          <w:numId w:val="44"/>
        </w:numPr>
        <w:rPr>
          <w:rFonts w:ascii="Arial" w:cs="Arial" w:eastAsia="Arial" w:hAnsi="Arial"/>
          <w:sz w:val="12"/>
          <w:szCs w:val="12"/>
          <w:color w:val="auto"/>
        </w:rPr>
      </w:pPr>
      <w:r>
        <w:rPr>
          <w:rFonts w:ascii="Arial" w:cs="Arial" w:eastAsia="Arial" w:hAnsi="Arial"/>
          <w:sz w:val="12"/>
          <w:szCs w:val="12"/>
          <w:color w:val="auto"/>
        </w:rPr>
        <w:t>Assumptions used in the calculation of these amounts are included in footnote 15 to the audited financial statements included in Weatherford Switzerland’s Annual Report on Form 10-K for the year ended December 31, 2013. For the PUs granted during 2013, the value of the award at the grant date, assuming that the highest level of performance conditions will be achieved, are as follows:</w:t>
      </w:r>
    </w:p>
    <w:p>
      <w:pPr>
        <w:spacing w:after="0" w:line="117" w:lineRule="exact"/>
        <w:rPr>
          <w:sz w:val="20"/>
          <w:szCs w:val="20"/>
          <w:color w:val="auto"/>
        </w:rPr>
      </w:pPr>
    </w:p>
    <w:tbl>
      <w:tblPr>
        <w:tblLayout w:type="fixed"/>
        <w:tblInd w:w="1141" w:type="dxa"/>
        <w:tblCellMar>
          <w:top w:w="0" w:type="dxa"/>
          <w:left w:w="0" w:type="dxa"/>
          <w:bottom w:w="0" w:type="dxa"/>
          <w:right w:w="0" w:type="dxa"/>
        </w:tblCellMar>
      </w:tblPr>
      <w:tr>
        <w:trPr>
          <w:trHeight w:val="148"/>
        </w:trPr>
        <w:tc>
          <w:tcPr>
            <w:tcW w:w="4700" w:type="dxa"/>
            <w:vAlign w:val="bottom"/>
          </w:tcPr>
          <w:p>
            <w:pPr>
              <w:spacing w:after="0"/>
              <w:rPr>
                <w:sz w:val="20"/>
                <w:szCs w:val="20"/>
                <w:color w:val="auto"/>
              </w:rPr>
            </w:pPr>
            <w:r>
              <w:rPr>
                <w:rFonts w:ascii="Arial" w:cs="Arial" w:eastAsia="Arial" w:hAnsi="Arial"/>
                <w:sz w:val="12"/>
                <w:szCs w:val="12"/>
                <w:color w:val="auto"/>
              </w:rPr>
              <w:t>Executive</w:t>
            </w:r>
          </w:p>
        </w:tc>
        <w:tc>
          <w:tcPr>
            <w:tcW w:w="4440" w:type="dxa"/>
            <w:vAlign w:val="bottom"/>
            <w:gridSpan w:val="2"/>
          </w:tcPr>
          <w:p>
            <w:pPr>
              <w:jc w:val="right"/>
              <w:spacing w:after="0"/>
              <w:rPr>
                <w:sz w:val="20"/>
                <w:szCs w:val="20"/>
                <w:color w:val="auto"/>
              </w:rPr>
            </w:pPr>
            <w:r>
              <w:rPr>
                <w:rFonts w:ascii="Arial" w:cs="Arial" w:eastAsia="Arial" w:hAnsi="Arial"/>
                <w:sz w:val="12"/>
                <w:szCs w:val="12"/>
                <w:color w:val="auto"/>
              </w:rPr>
              <w:t>Maximum Payout ($)</w:t>
            </w:r>
          </w:p>
        </w:tc>
      </w:tr>
      <w:tr>
        <w:trPr>
          <w:trHeight w:val="38"/>
        </w:trPr>
        <w:tc>
          <w:tcPr>
            <w:tcW w:w="4700" w:type="dxa"/>
            <w:vAlign w:val="bottom"/>
            <w:tcBorders>
              <w:bottom w:val="single" w:sz="8" w:color="auto"/>
            </w:tcBorders>
          </w:tcPr>
          <w:p>
            <w:pPr>
              <w:spacing w:after="0"/>
              <w:rPr>
                <w:sz w:val="3"/>
                <w:szCs w:val="3"/>
                <w:color w:val="auto"/>
              </w:rPr>
            </w:pPr>
          </w:p>
        </w:tc>
        <w:tc>
          <w:tcPr>
            <w:tcW w:w="4440" w:type="dxa"/>
            <w:vAlign w:val="bottom"/>
            <w:tcBorders>
              <w:bottom w:val="single" w:sz="8" w:color="auto"/>
            </w:tcBorders>
            <w:gridSpan w:val="2"/>
          </w:tcPr>
          <w:p>
            <w:pPr>
              <w:spacing w:after="0"/>
              <w:rPr>
                <w:sz w:val="3"/>
                <w:szCs w:val="3"/>
                <w:color w:val="auto"/>
              </w:rPr>
            </w:pPr>
          </w:p>
        </w:tc>
      </w:tr>
      <w:tr>
        <w:trPr>
          <w:trHeight w:val="177"/>
        </w:trPr>
        <w:tc>
          <w:tcPr>
            <w:tcW w:w="4700" w:type="dxa"/>
            <w:vAlign w:val="bottom"/>
          </w:tcPr>
          <w:p>
            <w:pPr>
              <w:spacing w:after="0"/>
              <w:rPr>
                <w:sz w:val="20"/>
                <w:szCs w:val="20"/>
                <w:color w:val="auto"/>
              </w:rPr>
            </w:pPr>
            <w:r>
              <w:rPr>
                <w:rFonts w:ascii="Arial" w:cs="Arial" w:eastAsia="Arial" w:hAnsi="Arial"/>
                <w:sz w:val="12"/>
                <w:szCs w:val="12"/>
                <w:color w:val="auto"/>
              </w:rPr>
              <w:t>Bernard J. Duroc-Danner</w:t>
            </w:r>
          </w:p>
        </w:tc>
        <w:tc>
          <w:tcPr>
            <w:tcW w:w="4440" w:type="dxa"/>
            <w:vAlign w:val="bottom"/>
            <w:gridSpan w:val="2"/>
          </w:tcPr>
          <w:p>
            <w:pPr>
              <w:jc w:val="right"/>
              <w:spacing w:after="0"/>
              <w:rPr>
                <w:sz w:val="20"/>
                <w:szCs w:val="20"/>
                <w:color w:val="auto"/>
              </w:rPr>
            </w:pPr>
            <w:r>
              <w:rPr>
                <w:rFonts w:ascii="Arial" w:cs="Arial" w:eastAsia="Arial" w:hAnsi="Arial"/>
                <w:sz w:val="12"/>
                <w:szCs w:val="12"/>
                <w:color w:val="auto"/>
              </w:rPr>
              <w:t>$16,000,000</w:t>
            </w:r>
          </w:p>
        </w:tc>
      </w:tr>
      <w:tr>
        <w:trPr>
          <w:trHeight w:val="223"/>
        </w:trPr>
        <w:tc>
          <w:tcPr>
            <w:tcW w:w="4700" w:type="dxa"/>
            <w:vAlign w:val="bottom"/>
          </w:tcPr>
          <w:p>
            <w:pPr>
              <w:spacing w:after="0"/>
              <w:rPr>
                <w:sz w:val="20"/>
                <w:szCs w:val="20"/>
                <w:color w:val="auto"/>
              </w:rPr>
            </w:pPr>
            <w:r>
              <w:rPr>
                <w:rFonts w:ascii="Arial" w:cs="Arial" w:eastAsia="Arial" w:hAnsi="Arial"/>
                <w:sz w:val="12"/>
                <w:szCs w:val="12"/>
                <w:color w:val="auto"/>
              </w:rPr>
              <w:t>Dharmesh Mehta</w:t>
            </w:r>
          </w:p>
        </w:tc>
        <w:tc>
          <w:tcPr>
            <w:tcW w:w="386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2,900,000</w:t>
            </w:r>
          </w:p>
        </w:tc>
      </w:tr>
      <w:tr>
        <w:trPr>
          <w:trHeight w:val="223"/>
        </w:trPr>
        <w:tc>
          <w:tcPr>
            <w:tcW w:w="4700" w:type="dxa"/>
            <w:vAlign w:val="bottom"/>
          </w:tcPr>
          <w:p>
            <w:pPr>
              <w:spacing w:after="0"/>
              <w:rPr>
                <w:sz w:val="20"/>
                <w:szCs w:val="20"/>
                <w:color w:val="auto"/>
              </w:rPr>
            </w:pPr>
            <w:r>
              <w:rPr>
                <w:rFonts w:ascii="Arial" w:cs="Arial" w:eastAsia="Arial" w:hAnsi="Arial"/>
                <w:sz w:val="12"/>
                <w:szCs w:val="12"/>
                <w:color w:val="auto"/>
              </w:rPr>
              <w:t>William B. Jacobson</w:t>
            </w:r>
          </w:p>
        </w:tc>
        <w:tc>
          <w:tcPr>
            <w:tcW w:w="386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2,000,000</w:t>
            </w:r>
          </w:p>
        </w:tc>
      </w:tr>
      <w:tr>
        <w:trPr>
          <w:trHeight w:val="43"/>
        </w:trPr>
        <w:tc>
          <w:tcPr>
            <w:tcW w:w="4700" w:type="dxa"/>
            <w:vAlign w:val="bottom"/>
            <w:tcBorders>
              <w:bottom w:val="single" w:sz="8" w:color="auto"/>
            </w:tcBorders>
          </w:tcPr>
          <w:p>
            <w:pPr>
              <w:spacing w:after="0"/>
              <w:rPr>
                <w:sz w:val="3"/>
                <w:szCs w:val="3"/>
                <w:color w:val="auto"/>
              </w:rPr>
            </w:pPr>
          </w:p>
        </w:tc>
        <w:tc>
          <w:tcPr>
            <w:tcW w:w="38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bl>
    <w:p>
      <w:pPr>
        <w:spacing w:after="0" w:line="98" w:lineRule="exact"/>
        <w:rPr>
          <w:sz w:val="20"/>
          <w:szCs w:val="20"/>
          <w:color w:val="auto"/>
        </w:rPr>
      </w:pPr>
    </w:p>
    <w:p>
      <w:pPr>
        <w:jc w:val="both"/>
        <w:ind w:left="181" w:hanging="181"/>
        <w:spacing w:after="0" w:line="242" w:lineRule="auto"/>
        <w:tabs>
          <w:tab w:leader="none" w:pos="181" w:val="left"/>
        </w:tabs>
        <w:numPr>
          <w:ilvl w:val="0"/>
          <w:numId w:val="45"/>
        </w:numPr>
        <w:rPr>
          <w:rFonts w:ascii="Arial" w:cs="Arial" w:eastAsia="Arial" w:hAnsi="Arial"/>
          <w:sz w:val="12"/>
          <w:szCs w:val="12"/>
          <w:color w:val="auto"/>
        </w:rPr>
      </w:pPr>
      <w:r>
        <w:rPr>
          <w:rFonts w:ascii="Arial" w:cs="Arial" w:eastAsia="Arial" w:hAnsi="Arial"/>
          <w:sz w:val="12"/>
          <w:szCs w:val="12"/>
          <w:color w:val="auto"/>
        </w:rPr>
        <w:t>This increase in actuarial value does not reflect additional compensation paid, but rather reflects an increase in the year-over-year present value of the actuarial benefit. This increase in actuarial value is presented as required by SEC regulations. No additional benefits accrued under the executive retirement plans for Dr. Duroc-Danner in 2011, 2012 or 2013. For information on the retirement plans and the freezing of these plans, see “Retirement Plans-Discontinued Executive Retirement Plan” in the Compensation Discussion and Analysis section of this proxy statement. For more information on the present value of the pension benefit, see “Pension Benefits” below.</w:t>
      </w:r>
    </w:p>
    <w:p>
      <w:pPr>
        <w:spacing w:after="0" w:line="87" w:lineRule="exact"/>
        <w:rPr>
          <w:rFonts w:ascii="Arial" w:cs="Arial" w:eastAsia="Arial" w:hAnsi="Arial"/>
          <w:sz w:val="12"/>
          <w:szCs w:val="12"/>
          <w:color w:val="auto"/>
        </w:rPr>
      </w:pPr>
    </w:p>
    <w:p>
      <w:pPr>
        <w:ind w:left="181" w:hanging="181"/>
        <w:spacing w:after="0"/>
        <w:tabs>
          <w:tab w:leader="none" w:pos="181" w:val="left"/>
        </w:tabs>
        <w:numPr>
          <w:ilvl w:val="0"/>
          <w:numId w:val="45"/>
        </w:numPr>
        <w:rPr>
          <w:rFonts w:ascii="Arial" w:cs="Arial" w:eastAsia="Arial" w:hAnsi="Arial"/>
          <w:sz w:val="12"/>
          <w:szCs w:val="12"/>
          <w:color w:val="auto"/>
        </w:rPr>
      </w:pPr>
      <w:r>
        <w:rPr>
          <w:rFonts w:ascii="Arial" w:cs="Arial" w:eastAsia="Arial" w:hAnsi="Arial"/>
          <w:sz w:val="12"/>
          <w:szCs w:val="12"/>
          <w:color w:val="auto"/>
        </w:rPr>
        <w:t>All Other Compensation for 2013 consists of the following:</w:t>
      </w:r>
    </w:p>
    <w:p>
      <w:pPr>
        <w:spacing w:after="0" w:line="96"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19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Matching</w:t>
            </w:r>
          </w:p>
        </w:tc>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vMerge w:val="restart"/>
          </w:tcPr>
          <w:p>
            <w:pPr>
              <w:jc w:val="right"/>
              <w:ind w:right="178"/>
              <w:spacing w:after="0"/>
              <w:rPr>
                <w:sz w:val="20"/>
                <w:szCs w:val="20"/>
                <w:color w:val="auto"/>
              </w:rPr>
            </w:pPr>
            <w:r>
              <w:rPr>
                <w:rFonts w:ascii="Arial" w:cs="Arial" w:eastAsia="Arial" w:hAnsi="Arial"/>
                <w:sz w:val="12"/>
                <w:szCs w:val="12"/>
                <w:color w:val="auto"/>
              </w:rPr>
              <w:t>Expatriate</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9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20" w:type="dxa"/>
            <w:vAlign w:val="bottom"/>
            <w:vMerge w:val="restart"/>
          </w:tcPr>
          <w:p>
            <w:pPr>
              <w:jc w:val="right"/>
              <w:spacing w:after="0" w:line="92" w:lineRule="exact"/>
              <w:rPr>
                <w:sz w:val="20"/>
                <w:szCs w:val="20"/>
                <w:color w:val="auto"/>
              </w:rPr>
            </w:pPr>
            <w:r>
              <w:rPr>
                <w:rFonts w:ascii="Arial" w:cs="Arial" w:eastAsia="Arial" w:hAnsi="Arial"/>
                <w:sz w:val="10"/>
                <w:szCs w:val="10"/>
                <w:color w:val="auto"/>
              </w:rPr>
              <w:t>Contributions</w:t>
            </w:r>
          </w:p>
        </w:tc>
        <w:tc>
          <w:tcPr>
            <w:tcW w:w="1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19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112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19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under 401(k) and</w:t>
            </w:r>
          </w:p>
        </w:tc>
        <w:tc>
          <w:tcPr>
            <w:tcW w:w="11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2"/>
                <w:szCs w:val="12"/>
                <w:color w:val="auto"/>
              </w:rPr>
              <w:t>Relocation Pay</w:t>
            </w:r>
          </w:p>
        </w:tc>
        <w:tc>
          <w:tcPr>
            <w:tcW w:w="840" w:type="dxa"/>
            <w:vAlign w:val="bottom"/>
            <w:vMerge w:val="restart"/>
          </w:tcPr>
          <w:p>
            <w:pPr>
              <w:jc w:val="right"/>
              <w:spacing w:after="0"/>
              <w:rPr>
                <w:sz w:val="20"/>
                <w:szCs w:val="20"/>
                <w:color w:val="auto"/>
              </w:rPr>
            </w:pPr>
            <w:r>
              <w:rPr>
                <w:rFonts w:ascii="Arial" w:cs="Arial" w:eastAsia="Arial" w:hAnsi="Arial"/>
                <w:sz w:val="12"/>
                <w:szCs w:val="12"/>
                <w:color w:val="auto"/>
              </w:rPr>
              <w:t>Housing,</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19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120" w:type="dxa"/>
            <w:vAlign w:val="bottom"/>
            <w:vMerge w:val="restart"/>
          </w:tcPr>
          <w:p>
            <w:pPr>
              <w:jc w:val="right"/>
              <w:spacing w:after="0"/>
              <w:rPr>
                <w:sz w:val="20"/>
                <w:szCs w:val="20"/>
                <w:color w:val="auto"/>
              </w:rPr>
            </w:pPr>
            <w:r>
              <w:rPr>
                <w:rFonts w:ascii="Arial" w:cs="Arial" w:eastAsia="Arial" w:hAnsi="Arial"/>
                <w:sz w:val="12"/>
                <w:szCs w:val="12"/>
                <w:color w:val="auto"/>
              </w:rPr>
              <w:t>Other Contribution</w:t>
            </w:r>
          </w:p>
        </w:tc>
        <w:tc>
          <w:tcPr>
            <w:tcW w:w="11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760" w:type="dxa"/>
            <w:vAlign w:val="bottom"/>
            <w:vMerge w:val="restart"/>
          </w:tcPr>
          <w:p>
            <w:pPr>
              <w:jc w:val="right"/>
              <w:ind w:right="78"/>
              <w:spacing w:after="0"/>
              <w:rPr>
                <w:sz w:val="20"/>
                <w:szCs w:val="20"/>
                <w:color w:val="auto"/>
              </w:rPr>
            </w:pPr>
            <w:r>
              <w:rPr>
                <w:rFonts w:ascii="Arial" w:cs="Arial" w:eastAsia="Arial" w:hAnsi="Arial"/>
                <w:sz w:val="12"/>
                <w:szCs w:val="12"/>
                <w:color w:val="auto"/>
              </w:rPr>
              <w:t>Net Taxes</w:t>
            </w: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1960" w:type="dxa"/>
            <w:vAlign w:val="bottom"/>
          </w:tcPr>
          <w:p>
            <w:pPr>
              <w:spacing w:after="0"/>
              <w:rPr>
                <w:sz w:val="9"/>
                <w:szCs w:val="9"/>
                <w:color w:val="auto"/>
              </w:rPr>
            </w:pPr>
          </w:p>
        </w:tc>
        <w:tc>
          <w:tcPr>
            <w:tcW w:w="1780" w:type="dxa"/>
            <w:vAlign w:val="bottom"/>
          </w:tcPr>
          <w:p>
            <w:pPr>
              <w:jc w:val="right"/>
              <w:spacing w:after="0" w:line="112" w:lineRule="exact"/>
              <w:rPr>
                <w:sz w:val="20"/>
                <w:szCs w:val="20"/>
                <w:color w:val="auto"/>
              </w:rPr>
            </w:pPr>
            <w:r>
              <w:rPr>
                <w:rFonts w:ascii="Arial" w:cs="Arial" w:eastAsia="Arial" w:hAnsi="Arial"/>
                <w:sz w:val="12"/>
                <w:szCs w:val="12"/>
                <w:color w:val="auto"/>
              </w:rPr>
              <w:t>Car/Car</w:t>
            </w:r>
          </w:p>
        </w:tc>
        <w:tc>
          <w:tcPr>
            <w:tcW w:w="1100" w:type="dxa"/>
            <w:vAlign w:val="bottom"/>
          </w:tcPr>
          <w:p>
            <w:pPr>
              <w:jc w:val="right"/>
              <w:spacing w:after="0" w:line="112" w:lineRule="exact"/>
              <w:rPr>
                <w:sz w:val="20"/>
                <w:szCs w:val="20"/>
                <w:color w:val="auto"/>
              </w:rPr>
            </w:pPr>
            <w:r>
              <w:rPr>
                <w:rFonts w:ascii="Arial" w:cs="Arial" w:eastAsia="Arial" w:hAnsi="Arial"/>
                <w:sz w:val="12"/>
                <w:szCs w:val="12"/>
                <w:color w:val="auto"/>
              </w:rPr>
              <w:t>Club Membership</w:t>
            </w:r>
          </w:p>
        </w:tc>
        <w:tc>
          <w:tcPr>
            <w:tcW w:w="700" w:type="dxa"/>
            <w:vAlign w:val="bottom"/>
          </w:tcPr>
          <w:p>
            <w:pPr>
              <w:jc w:val="right"/>
              <w:spacing w:after="0" w:line="112" w:lineRule="exact"/>
              <w:rPr>
                <w:sz w:val="20"/>
                <w:szCs w:val="20"/>
                <w:color w:val="auto"/>
              </w:rPr>
            </w:pPr>
            <w:r>
              <w:rPr>
                <w:rFonts w:ascii="Arial" w:cs="Arial" w:eastAsia="Arial" w:hAnsi="Arial"/>
                <w:sz w:val="12"/>
                <w:szCs w:val="12"/>
                <w:color w:val="auto"/>
              </w:rPr>
              <w:t>Consulting</w:t>
            </w:r>
          </w:p>
        </w:tc>
        <w:tc>
          <w:tcPr>
            <w:tcW w:w="1120" w:type="dxa"/>
            <w:vAlign w:val="bottom"/>
            <w:vMerge w:val="continue"/>
          </w:tcPr>
          <w:p>
            <w:pPr>
              <w:spacing w:after="0"/>
              <w:rPr>
                <w:sz w:val="9"/>
                <w:szCs w:val="9"/>
                <w:color w:val="auto"/>
              </w:rPr>
            </w:pPr>
          </w:p>
        </w:tc>
        <w:tc>
          <w:tcPr>
            <w:tcW w:w="1120" w:type="dxa"/>
            <w:vAlign w:val="bottom"/>
          </w:tcPr>
          <w:p>
            <w:pPr>
              <w:jc w:val="right"/>
              <w:ind w:right="218"/>
              <w:spacing w:after="0" w:line="112" w:lineRule="exact"/>
              <w:rPr>
                <w:sz w:val="20"/>
                <w:szCs w:val="20"/>
                <w:color w:val="auto"/>
              </w:rPr>
            </w:pPr>
            <w:r>
              <w:rPr>
                <w:rFonts w:ascii="Arial" w:cs="Arial" w:eastAsia="Arial" w:hAnsi="Arial"/>
                <w:sz w:val="12"/>
                <w:szCs w:val="12"/>
                <w:color w:val="auto"/>
              </w:rPr>
              <w:t>Life Insurance</w:t>
            </w:r>
          </w:p>
        </w:tc>
        <w:tc>
          <w:tcPr>
            <w:tcW w:w="960" w:type="dxa"/>
            <w:vAlign w:val="bottom"/>
          </w:tcPr>
          <w:p>
            <w:pPr>
              <w:jc w:val="right"/>
              <w:spacing w:after="0" w:line="112" w:lineRule="exact"/>
              <w:rPr>
                <w:sz w:val="20"/>
                <w:szCs w:val="20"/>
                <w:color w:val="auto"/>
              </w:rPr>
            </w:pPr>
            <w:r>
              <w:rPr>
                <w:rFonts w:ascii="Arial" w:cs="Arial" w:eastAsia="Arial" w:hAnsi="Arial"/>
                <w:sz w:val="12"/>
                <w:szCs w:val="12"/>
                <w:color w:val="auto"/>
              </w:rPr>
              <w:t>and Geographic</w:t>
            </w:r>
          </w:p>
        </w:tc>
        <w:tc>
          <w:tcPr>
            <w:tcW w:w="840" w:type="dxa"/>
            <w:vAlign w:val="bottom"/>
          </w:tcPr>
          <w:p>
            <w:pPr>
              <w:jc w:val="right"/>
              <w:spacing w:after="0" w:line="112" w:lineRule="exact"/>
              <w:rPr>
                <w:sz w:val="20"/>
                <w:szCs w:val="20"/>
                <w:color w:val="auto"/>
              </w:rPr>
            </w:pPr>
            <w:r>
              <w:rPr>
                <w:rFonts w:ascii="Arial" w:cs="Arial" w:eastAsia="Arial" w:hAnsi="Arial"/>
                <w:sz w:val="12"/>
                <w:szCs w:val="12"/>
                <w:color w:val="auto"/>
              </w:rPr>
              <w:t>Schooling</w:t>
            </w:r>
          </w:p>
        </w:tc>
        <w:tc>
          <w:tcPr>
            <w:tcW w:w="760" w:type="dxa"/>
            <w:vAlign w:val="bottom"/>
            <w:vMerge w:val="continue"/>
          </w:tcPr>
          <w:p>
            <w:pPr>
              <w:spacing w:after="0"/>
              <w:rPr>
                <w:sz w:val="9"/>
                <w:szCs w:val="9"/>
                <w:color w:val="auto"/>
              </w:rPr>
            </w:pPr>
          </w:p>
        </w:tc>
        <w:tc>
          <w:tcPr>
            <w:tcW w:w="1080" w:type="dxa"/>
            <w:vAlign w:val="bottom"/>
            <w:vMerge w:val="restart"/>
          </w:tcPr>
          <w:p>
            <w:pPr>
              <w:jc w:val="right"/>
              <w:ind w:right="18"/>
              <w:spacing w:after="0"/>
              <w:rPr>
                <w:sz w:val="20"/>
                <w:szCs w:val="20"/>
                <w:color w:val="auto"/>
              </w:rPr>
            </w:pPr>
            <w:r>
              <w:rPr>
                <w:rFonts w:ascii="Arial" w:cs="Arial" w:eastAsia="Arial" w:hAnsi="Arial"/>
                <w:sz w:val="12"/>
                <w:szCs w:val="12"/>
                <w:color w:val="auto"/>
              </w:rPr>
              <w:t>Termination Pay</w:t>
            </w:r>
          </w:p>
        </w:tc>
        <w:tc>
          <w:tcPr>
            <w:tcW w:w="0" w:type="dxa"/>
            <w:vAlign w:val="bottom"/>
          </w:tcPr>
          <w:p>
            <w:pPr>
              <w:spacing w:after="0"/>
              <w:rPr>
                <w:sz w:val="1"/>
                <w:szCs w:val="1"/>
                <w:color w:val="auto"/>
              </w:rPr>
            </w:pPr>
          </w:p>
        </w:tc>
      </w:tr>
      <w:tr>
        <w:trPr>
          <w:trHeight w:val="105"/>
        </w:trPr>
        <w:tc>
          <w:tcPr>
            <w:tcW w:w="1960" w:type="dxa"/>
            <w:vAlign w:val="bottom"/>
          </w:tcPr>
          <w:p>
            <w:pPr>
              <w:spacing w:after="0"/>
              <w:rPr>
                <w:sz w:val="9"/>
                <w:szCs w:val="9"/>
                <w:color w:val="auto"/>
              </w:rPr>
            </w:pPr>
          </w:p>
        </w:tc>
        <w:tc>
          <w:tcPr>
            <w:tcW w:w="1780" w:type="dxa"/>
            <w:vAlign w:val="bottom"/>
            <w:vMerge w:val="restart"/>
          </w:tcPr>
          <w:p>
            <w:pPr>
              <w:jc w:val="right"/>
              <w:spacing w:after="0"/>
              <w:rPr>
                <w:sz w:val="20"/>
                <w:szCs w:val="20"/>
                <w:color w:val="auto"/>
              </w:rPr>
            </w:pPr>
            <w:r>
              <w:rPr>
                <w:rFonts w:ascii="Arial" w:cs="Arial" w:eastAsia="Arial" w:hAnsi="Arial"/>
                <w:sz w:val="12"/>
                <w:szCs w:val="12"/>
                <w:color w:val="auto"/>
              </w:rPr>
              <w:t>Allowance</w:t>
            </w:r>
          </w:p>
        </w:tc>
        <w:tc>
          <w:tcPr>
            <w:tcW w:w="1100" w:type="dxa"/>
            <w:vAlign w:val="bottom"/>
            <w:vMerge w:val="restart"/>
          </w:tcPr>
          <w:p>
            <w:pPr>
              <w:jc w:val="right"/>
              <w:spacing w:after="0"/>
              <w:rPr>
                <w:sz w:val="20"/>
                <w:szCs w:val="20"/>
                <w:color w:val="auto"/>
              </w:rPr>
            </w:pPr>
            <w:r>
              <w:rPr>
                <w:rFonts w:ascii="Arial" w:cs="Arial" w:eastAsia="Arial" w:hAnsi="Arial"/>
                <w:sz w:val="12"/>
                <w:szCs w:val="12"/>
                <w:color w:val="auto"/>
              </w:rPr>
              <w:t>Dues</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Fees</w:t>
            </w:r>
          </w:p>
        </w:tc>
        <w:tc>
          <w:tcPr>
            <w:tcW w:w="1120" w:type="dxa"/>
            <w:vAlign w:val="bottom"/>
          </w:tcPr>
          <w:p>
            <w:pPr>
              <w:jc w:val="right"/>
              <w:spacing w:after="0" w:line="105" w:lineRule="exact"/>
              <w:rPr>
                <w:sz w:val="20"/>
                <w:szCs w:val="20"/>
                <w:color w:val="auto"/>
              </w:rPr>
            </w:pPr>
            <w:r>
              <w:rPr>
                <w:rFonts w:ascii="Arial" w:cs="Arial" w:eastAsia="Arial" w:hAnsi="Arial"/>
                <w:sz w:val="12"/>
                <w:szCs w:val="12"/>
                <w:color w:val="auto"/>
              </w:rPr>
              <w:t>Plans</w:t>
            </w:r>
          </w:p>
        </w:tc>
        <w:tc>
          <w:tcPr>
            <w:tcW w:w="1120" w:type="dxa"/>
            <w:vAlign w:val="bottom"/>
            <w:vMerge w:val="restart"/>
          </w:tcPr>
          <w:p>
            <w:pPr>
              <w:jc w:val="right"/>
              <w:ind w:right="218"/>
              <w:spacing w:after="0"/>
              <w:rPr>
                <w:sz w:val="20"/>
                <w:szCs w:val="20"/>
                <w:color w:val="auto"/>
              </w:rPr>
            </w:pPr>
            <w:r>
              <w:rPr>
                <w:rFonts w:ascii="Arial" w:cs="Arial" w:eastAsia="Arial" w:hAnsi="Arial"/>
                <w:sz w:val="12"/>
                <w:szCs w:val="12"/>
                <w:color w:val="auto"/>
              </w:rPr>
              <w:t>Premiums</w:t>
            </w:r>
          </w:p>
        </w:tc>
        <w:tc>
          <w:tcPr>
            <w:tcW w:w="960" w:type="dxa"/>
            <w:vAlign w:val="bottom"/>
            <w:vMerge w:val="restart"/>
          </w:tcPr>
          <w:p>
            <w:pPr>
              <w:jc w:val="right"/>
              <w:spacing w:after="0"/>
              <w:rPr>
                <w:sz w:val="20"/>
                <w:szCs w:val="20"/>
                <w:color w:val="auto"/>
              </w:rPr>
            </w:pPr>
            <w:r>
              <w:rPr>
                <w:rFonts w:ascii="Arial" w:cs="Arial" w:eastAsia="Arial" w:hAnsi="Arial"/>
                <w:sz w:val="12"/>
                <w:szCs w:val="12"/>
                <w:color w:val="auto"/>
              </w:rPr>
              <w:t>Differential</w:t>
            </w:r>
          </w:p>
        </w:tc>
        <w:tc>
          <w:tcPr>
            <w:tcW w:w="840" w:type="dxa"/>
            <w:vAlign w:val="bottom"/>
            <w:vMerge w:val="restart"/>
          </w:tcPr>
          <w:p>
            <w:pPr>
              <w:jc w:val="right"/>
              <w:spacing w:after="0"/>
              <w:rPr>
                <w:sz w:val="20"/>
                <w:szCs w:val="20"/>
                <w:color w:val="auto"/>
              </w:rPr>
            </w:pPr>
            <w:r>
              <w:rPr>
                <w:rFonts w:ascii="Arial" w:cs="Arial" w:eastAsia="Arial" w:hAnsi="Arial"/>
                <w:sz w:val="12"/>
                <w:szCs w:val="12"/>
                <w:color w:val="auto"/>
              </w:rPr>
              <w:t>and Other</w:t>
            </w:r>
          </w:p>
        </w:tc>
        <w:tc>
          <w:tcPr>
            <w:tcW w:w="760" w:type="dxa"/>
            <w:vAlign w:val="bottom"/>
          </w:tcPr>
          <w:p>
            <w:pPr>
              <w:jc w:val="right"/>
              <w:ind w:right="78"/>
              <w:spacing w:after="0" w:line="105" w:lineRule="exact"/>
              <w:rPr>
                <w:sz w:val="20"/>
                <w:szCs w:val="20"/>
                <w:color w:val="auto"/>
              </w:rPr>
            </w:pPr>
            <w:r>
              <w:rPr>
                <w:rFonts w:ascii="Arial" w:cs="Arial" w:eastAsia="Arial" w:hAnsi="Arial"/>
                <w:sz w:val="12"/>
                <w:szCs w:val="12"/>
                <w:color w:val="auto"/>
              </w:rPr>
              <w:t>Paid</w:t>
            </w:r>
          </w:p>
        </w:tc>
        <w:tc>
          <w:tcPr>
            <w:tcW w:w="1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1960" w:type="dxa"/>
            <w:vAlign w:val="bottom"/>
          </w:tcPr>
          <w:p>
            <w:pPr>
              <w:spacing w:after="0"/>
              <w:rPr>
                <w:sz w:val="4"/>
                <w:szCs w:val="4"/>
                <w:color w:val="auto"/>
              </w:rPr>
            </w:pPr>
          </w:p>
        </w:tc>
        <w:tc>
          <w:tcPr>
            <w:tcW w:w="178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1120" w:type="dxa"/>
            <w:vAlign w:val="bottom"/>
            <w:vMerge w:val="restart"/>
          </w:tcPr>
          <w:p>
            <w:pPr>
              <w:jc w:val="right"/>
              <w:spacing w:after="0" w:line="192"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perscript"/>
              </w:rPr>
              <w:t>(1)</w:t>
            </w:r>
          </w:p>
        </w:tc>
        <w:tc>
          <w:tcPr>
            <w:tcW w:w="11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760" w:type="dxa"/>
            <w:vAlign w:val="bottom"/>
            <w:vMerge w:val="restart"/>
          </w:tcPr>
          <w:p>
            <w:pPr>
              <w:jc w:val="right"/>
              <w:ind w:right="78"/>
              <w:spacing w:after="0" w:line="192"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perscript"/>
              </w:rPr>
              <w:t>(2)</w:t>
            </w:r>
          </w:p>
        </w:tc>
        <w:tc>
          <w:tcPr>
            <w:tcW w:w="1080" w:type="dxa"/>
            <w:vAlign w:val="bottom"/>
            <w:vMerge w:val="restart"/>
          </w:tcPr>
          <w:p>
            <w:pPr>
              <w:jc w:val="right"/>
              <w:ind w:right="18"/>
              <w:spacing w:after="0" w:line="192"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perscript"/>
              </w:rPr>
              <w:t>(3)</w:t>
            </w:r>
          </w:p>
        </w:tc>
        <w:tc>
          <w:tcPr>
            <w:tcW w:w="0" w:type="dxa"/>
            <w:vAlign w:val="bottom"/>
          </w:tcPr>
          <w:p>
            <w:pPr>
              <w:spacing w:after="0"/>
              <w:rPr>
                <w:sz w:val="1"/>
                <w:szCs w:val="1"/>
                <w:color w:val="auto"/>
              </w:rPr>
            </w:pPr>
          </w:p>
        </w:tc>
      </w:tr>
      <w:tr>
        <w:trPr>
          <w:trHeight w:val="137"/>
        </w:trPr>
        <w:tc>
          <w:tcPr>
            <w:tcW w:w="19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vMerge w:val="continue"/>
          </w:tcPr>
          <w:p>
            <w:pPr>
              <w:spacing w:after="0"/>
              <w:rPr>
                <w:sz w:val="11"/>
                <w:szCs w:val="11"/>
                <w:color w:val="auto"/>
              </w:rPr>
            </w:pPr>
          </w:p>
        </w:tc>
        <w:tc>
          <w:tcPr>
            <w:tcW w:w="1120" w:type="dxa"/>
            <w:vAlign w:val="bottom"/>
            <w:tcBorders>
              <w:bottom w:val="single" w:sz="8" w:color="auto"/>
            </w:tcBorders>
          </w:tcPr>
          <w:p>
            <w:pPr>
              <w:jc w:val="right"/>
              <w:ind w:right="218"/>
              <w:spacing w:after="0" w:line="137" w:lineRule="exact"/>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vMerge w:val="continue"/>
          </w:tcPr>
          <w:p>
            <w:pPr>
              <w:spacing w:after="0"/>
              <w:rPr>
                <w:sz w:val="11"/>
                <w:szCs w:val="11"/>
                <w:color w:val="auto"/>
              </w:rPr>
            </w:pPr>
          </w:p>
        </w:tc>
        <w:tc>
          <w:tcPr>
            <w:tcW w:w="10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1960" w:type="dxa"/>
            <w:vAlign w:val="bottom"/>
          </w:tcPr>
          <w:p>
            <w:pPr>
              <w:spacing w:after="0"/>
              <w:rPr>
                <w:sz w:val="20"/>
                <w:szCs w:val="20"/>
                <w:color w:val="auto"/>
              </w:rPr>
            </w:pPr>
            <w:r>
              <w:rPr>
                <w:rFonts w:ascii="Arial" w:cs="Arial" w:eastAsia="Arial" w:hAnsi="Arial"/>
                <w:sz w:val="12"/>
                <w:szCs w:val="12"/>
                <w:color w:val="auto"/>
              </w:rPr>
              <w:t>Duroc-Danner</w:t>
            </w:r>
          </w:p>
        </w:tc>
        <w:tc>
          <w:tcPr>
            <w:tcW w:w="1780" w:type="dxa"/>
            <w:vAlign w:val="bottom"/>
          </w:tcPr>
          <w:p>
            <w:pPr>
              <w:jc w:val="right"/>
              <w:spacing w:after="0"/>
              <w:rPr>
                <w:sz w:val="20"/>
                <w:szCs w:val="20"/>
                <w:color w:val="auto"/>
              </w:rPr>
            </w:pPr>
            <w:r>
              <w:rPr>
                <w:rFonts w:ascii="Arial" w:cs="Arial" w:eastAsia="Arial" w:hAnsi="Arial"/>
                <w:sz w:val="12"/>
                <w:szCs w:val="12"/>
                <w:color w:val="auto"/>
              </w:rPr>
              <w:t>4,838</w:t>
            </w:r>
          </w:p>
        </w:tc>
        <w:tc>
          <w:tcPr>
            <w:tcW w:w="1100" w:type="dxa"/>
            <w:vAlign w:val="bottom"/>
          </w:tcPr>
          <w:p>
            <w:pPr>
              <w:jc w:val="right"/>
              <w:spacing w:after="0"/>
              <w:rPr>
                <w:sz w:val="20"/>
                <w:szCs w:val="20"/>
                <w:color w:val="auto"/>
              </w:rPr>
            </w:pPr>
            <w:r>
              <w:rPr>
                <w:rFonts w:ascii="Arial" w:cs="Arial" w:eastAsia="Arial" w:hAnsi="Arial"/>
                <w:sz w:val="12"/>
                <w:szCs w:val="12"/>
                <w:color w:val="auto"/>
              </w:rPr>
              <w:t>5,659</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42,641</w:t>
            </w:r>
          </w:p>
        </w:tc>
        <w:tc>
          <w:tcPr>
            <w:tcW w:w="1120" w:type="dxa"/>
            <w:vAlign w:val="bottom"/>
          </w:tcPr>
          <w:p>
            <w:pPr>
              <w:jc w:val="right"/>
              <w:ind w:right="218"/>
              <w:spacing w:after="0"/>
              <w:rPr>
                <w:sz w:val="20"/>
                <w:szCs w:val="20"/>
                <w:color w:val="auto"/>
              </w:rPr>
            </w:pPr>
            <w:r>
              <w:rPr>
                <w:rFonts w:ascii="Arial" w:cs="Arial" w:eastAsia="Arial" w:hAnsi="Arial"/>
                <w:sz w:val="12"/>
                <w:szCs w:val="12"/>
                <w:color w:val="auto"/>
              </w:rPr>
              <w:t>3,371</w:t>
            </w:r>
          </w:p>
        </w:tc>
        <w:tc>
          <w:tcPr>
            <w:tcW w:w="960" w:type="dxa"/>
            <w:vAlign w:val="bottom"/>
          </w:tcPr>
          <w:p>
            <w:pPr>
              <w:jc w:val="right"/>
              <w:spacing w:after="0"/>
              <w:rPr>
                <w:sz w:val="20"/>
                <w:szCs w:val="20"/>
                <w:color w:val="auto"/>
              </w:rPr>
            </w:pPr>
            <w:r>
              <w:rPr>
                <w:rFonts w:ascii="Arial" w:cs="Arial" w:eastAsia="Arial" w:hAnsi="Arial"/>
                <w:sz w:val="12"/>
                <w:szCs w:val="12"/>
                <w:color w:val="auto"/>
              </w:rPr>
              <w:t>665,410</w:t>
            </w:r>
          </w:p>
        </w:tc>
        <w:tc>
          <w:tcPr>
            <w:tcW w:w="840" w:type="dxa"/>
            <w:vAlign w:val="bottom"/>
          </w:tcPr>
          <w:p>
            <w:pPr>
              <w:jc w:val="right"/>
              <w:spacing w:after="0"/>
              <w:rPr>
                <w:sz w:val="20"/>
                <w:szCs w:val="20"/>
                <w:color w:val="auto"/>
              </w:rPr>
            </w:pPr>
            <w:r>
              <w:rPr>
                <w:rFonts w:ascii="Arial" w:cs="Arial" w:eastAsia="Arial" w:hAnsi="Arial"/>
                <w:sz w:val="12"/>
                <w:szCs w:val="12"/>
                <w:color w:val="auto"/>
              </w:rPr>
              <w:t>8,154</w:t>
            </w:r>
          </w:p>
        </w:tc>
        <w:tc>
          <w:tcPr>
            <w:tcW w:w="760" w:type="dxa"/>
            <w:vAlign w:val="bottom"/>
          </w:tcPr>
          <w:p>
            <w:pPr>
              <w:jc w:val="right"/>
              <w:ind w:right="78"/>
              <w:spacing w:after="0"/>
              <w:rPr>
                <w:sz w:val="20"/>
                <w:szCs w:val="20"/>
                <w:color w:val="auto"/>
              </w:rPr>
            </w:pPr>
            <w:r>
              <w:rPr>
                <w:rFonts w:ascii="Arial" w:cs="Arial" w:eastAsia="Arial" w:hAnsi="Arial"/>
                <w:sz w:val="12"/>
                <w:szCs w:val="12"/>
                <w:color w:val="auto"/>
              </w:rPr>
              <w:t>278,172</w:t>
            </w:r>
          </w:p>
        </w:tc>
        <w:tc>
          <w:tcPr>
            <w:tcW w:w="108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1960" w:type="dxa"/>
            <w:vAlign w:val="bottom"/>
          </w:tcPr>
          <w:p>
            <w:pPr>
              <w:spacing w:after="0"/>
              <w:rPr>
                <w:sz w:val="20"/>
                <w:szCs w:val="20"/>
                <w:color w:val="auto"/>
              </w:rPr>
            </w:pPr>
            <w:r>
              <w:rPr>
                <w:rFonts w:ascii="Arial" w:cs="Arial" w:eastAsia="Arial" w:hAnsi="Arial"/>
                <w:sz w:val="12"/>
                <w:szCs w:val="12"/>
                <w:color w:val="auto"/>
              </w:rPr>
              <w:t>Shivram</w:t>
            </w:r>
          </w:p>
        </w:tc>
        <w:tc>
          <w:tcPr>
            <w:tcW w:w="1780" w:type="dxa"/>
            <w:vAlign w:val="bottom"/>
          </w:tcPr>
          <w:p>
            <w:pPr>
              <w:jc w:val="right"/>
              <w:spacing w:after="0"/>
              <w:rPr>
                <w:sz w:val="20"/>
                <w:szCs w:val="20"/>
                <w:color w:val="auto"/>
              </w:rPr>
            </w:pPr>
            <w:r>
              <w:rPr>
                <w:rFonts w:ascii="Arial" w:cs="Arial" w:eastAsia="Arial" w:hAnsi="Arial"/>
                <w:sz w:val="12"/>
                <w:szCs w:val="12"/>
                <w:color w:val="auto"/>
              </w:rPr>
              <w:t>1,677</w:t>
            </w: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218"/>
              <w:spacing w:after="0"/>
              <w:rPr>
                <w:sz w:val="20"/>
                <w:szCs w:val="20"/>
                <w:color w:val="auto"/>
              </w:rPr>
            </w:pPr>
            <w:r>
              <w:rPr>
                <w:rFonts w:ascii="Arial" w:cs="Arial" w:eastAsia="Arial" w:hAnsi="Arial"/>
                <w:sz w:val="12"/>
                <w:szCs w:val="12"/>
                <w:color w:val="auto"/>
              </w:rPr>
              <w:t>2,650</w:t>
            </w: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1960" w:type="dxa"/>
            <w:vAlign w:val="bottom"/>
          </w:tcPr>
          <w:p>
            <w:pPr>
              <w:spacing w:after="0"/>
              <w:rPr>
                <w:sz w:val="20"/>
                <w:szCs w:val="20"/>
                <w:color w:val="auto"/>
              </w:rPr>
            </w:pPr>
            <w:r>
              <w:rPr>
                <w:rFonts w:ascii="Arial" w:cs="Arial" w:eastAsia="Arial" w:hAnsi="Arial"/>
                <w:sz w:val="12"/>
                <w:szCs w:val="12"/>
                <w:color w:val="auto"/>
              </w:rPr>
              <w:t>Mehta</w:t>
            </w:r>
          </w:p>
        </w:tc>
        <w:tc>
          <w:tcPr>
            <w:tcW w:w="1780" w:type="dxa"/>
            <w:vAlign w:val="bottom"/>
          </w:tcPr>
          <w:p>
            <w:pPr>
              <w:jc w:val="right"/>
              <w:spacing w:after="0"/>
              <w:rPr>
                <w:sz w:val="20"/>
                <w:szCs w:val="20"/>
                <w:color w:val="auto"/>
              </w:rPr>
            </w:pPr>
            <w:r>
              <w:rPr>
                <w:rFonts w:ascii="Arial" w:cs="Arial" w:eastAsia="Arial" w:hAnsi="Arial"/>
                <w:sz w:val="12"/>
                <w:szCs w:val="12"/>
                <w:color w:val="auto"/>
              </w:rPr>
              <w:t>10,800</w:t>
            </w: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10,200</w:t>
            </w:r>
          </w:p>
        </w:tc>
        <w:tc>
          <w:tcPr>
            <w:tcW w:w="1120" w:type="dxa"/>
            <w:vAlign w:val="bottom"/>
          </w:tcPr>
          <w:p>
            <w:pPr>
              <w:jc w:val="right"/>
              <w:ind w:right="218"/>
              <w:spacing w:after="0"/>
              <w:rPr>
                <w:sz w:val="20"/>
                <w:szCs w:val="20"/>
                <w:color w:val="auto"/>
              </w:rPr>
            </w:pPr>
            <w:r>
              <w:rPr>
                <w:rFonts w:ascii="Arial" w:cs="Arial" w:eastAsia="Arial" w:hAnsi="Arial"/>
                <w:sz w:val="12"/>
                <w:szCs w:val="12"/>
                <w:color w:val="auto"/>
              </w:rPr>
              <w:t>2,840</w:t>
            </w: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1960" w:type="dxa"/>
            <w:vAlign w:val="bottom"/>
          </w:tcPr>
          <w:p>
            <w:pPr>
              <w:spacing w:after="0"/>
              <w:rPr>
                <w:sz w:val="20"/>
                <w:szCs w:val="20"/>
                <w:color w:val="auto"/>
              </w:rPr>
            </w:pPr>
            <w:r>
              <w:rPr>
                <w:rFonts w:ascii="Arial" w:cs="Arial" w:eastAsia="Arial" w:hAnsi="Arial"/>
                <w:sz w:val="12"/>
                <w:szCs w:val="12"/>
                <w:color w:val="auto"/>
              </w:rPr>
              <w:t>Gee</w:t>
            </w:r>
          </w:p>
        </w:tc>
        <w:tc>
          <w:tcPr>
            <w:tcW w:w="1780" w:type="dxa"/>
            <w:vAlign w:val="bottom"/>
          </w:tcPr>
          <w:p>
            <w:pPr>
              <w:jc w:val="right"/>
              <w:spacing w:after="0"/>
              <w:rPr>
                <w:sz w:val="20"/>
                <w:szCs w:val="20"/>
                <w:color w:val="auto"/>
              </w:rPr>
            </w:pPr>
            <w:r>
              <w:rPr>
                <w:rFonts w:ascii="Arial" w:cs="Arial" w:eastAsia="Arial" w:hAnsi="Arial"/>
                <w:sz w:val="12"/>
                <w:szCs w:val="12"/>
                <w:color w:val="auto"/>
              </w:rPr>
              <w:t>19,418</w:t>
            </w: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32,429</w:t>
            </w:r>
          </w:p>
        </w:tc>
        <w:tc>
          <w:tcPr>
            <w:tcW w:w="1120" w:type="dxa"/>
            <w:vAlign w:val="bottom"/>
          </w:tcPr>
          <w:p>
            <w:pPr>
              <w:jc w:val="right"/>
              <w:ind w:right="218"/>
              <w:spacing w:after="0"/>
              <w:rPr>
                <w:sz w:val="20"/>
                <w:szCs w:val="20"/>
                <w:color w:val="auto"/>
              </w:rPr>
            </w:pPr>
            <w:r>
              <w:rPr>
                <w:rFonts w:ascii="Arial" w:cs="Arial" w:eastAsia="Arial" w:hAnsi="Arial"/>
                <w:sz w:val="12"/>
                <w:szCs w:val="12"/>
                <w:color w:val="auto"/>
              </w:rPr>
              <w:t>2,119</w:t>
            </w:r>
          </w:p>
        </w:tc>
        <w:tc>
          <w:tcPr>
            <w:tcW w:w="960" w:type="dxa"/>
            <w:vAlign w:val="bottom"/>
          </w:tcPr>
          <w:p>
            <w:pPr>
              <w:jc w:val="right"/>
              <w:spacing w:after="0"/>
              <w:rPr>
                <w:sz w:val="20"/>
                <w:szCs w:val="20"/>
                <w:color w:val="auto"/>
              </w:rPr>
            </w:pPr>
            <w:r>
              <w:rPr>
                <w:rFonts w:ascii="Arial" w:cs="Arial" w:eastAsia="Arial" w:hAnsi="Arial"/>
                <w:sz w:val="12"/>
                <w:szCs w:val="12"/>
                <w:color w:val="auto"/>
              </w:rPr>
              <w:t>290,858</w:t>
            </w:r>
          </w:p>
        </w:tc>
        <w:tc>
          <w:tcPr>
            <w:tcW w:w="840" w:type="dxa"/>
            <w:vAlign w:val="bottom"/>
          </w:tcPr>
          <w:p>
            <w:pPr>
              <w:jc w:val="right"/>
              <w:spacing w:after="0"/>
              <w:rPr>
                <w:sz w:val="20"/>
                <w:szCs w:val="20"/>
                <w:color w:val="auto"/>
              </w:rPr>
            </w:pPr>
            <w:r>
              <w:rPr>
                <w:rFonts w:ascii="Arial" w:cs="Arial" w:eastAsia="Arial" w:hAnsi="Arial"/>
                <w:sz w:val="12"/>
                <w:szCs w:val="12"/>
                <w:color w:val="auto"/>
              </w:rPr>
              <w:t>214,815</w:t>
            </w:r>
          </w:p>
        </w:tc>
        <w:tc>
          <w:tcPr>
            <w:tcW w:w="760" w:type="dxa"/>
            <w:vAlign w:val="bottom"/>
          </w:tcPr>
          <w:p>
            <w:pPr>
              <w:jc w:val="right"/>
              <w:ind w:right="78"/>
              <w:spacing w:after="0"/>
              <w:rPr>
                <w:sz w:val="20"/>
                <w:szCs w:val="20"/>
                <w:color w:val="auto"/>
              </w:rPr>
            </w:pPr>
            <w:r>
              <w:rPr>
                <w:rFonts w:ascii="Arial" w:cs="Arial" w:eastAsia="Arial" w:hAnsi="Arial"/>
                <w:sz w:val="12"/>
                <w:szCs w:val="12"/>
                <w:color w:val="auto"/>
              </w:rPr>
              <w:t>590,215</w:t>
            </w:r>
          </w:p>
        </w:tc>
        <w:tc>
          <w:tcPr>
            <w:tcW w:w="108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1960" w:type="dxa"/>
            <w:vAlign w:val="bottom"/>
          </w:tcPr>
          <w:p>
            <w:pPr>
              <w:spacing w:after="0"/>
              <w:rPr>
                <w:sz w:val="20"/>
                <w:szCs w:val="20"/>
                <w:color w:val="auto"/>
              </w:rPr>
            </w:pPr>
            <w:r>
              <w:rPr>
                <w:rFonts w:ascii="Arial" w:cs="Arial" w:eastAsia="Arial" w:hAnsi="Arial"/>
                <w:sz w:val="12"/>
                <w:szCs w:val="12"/>
                <w:color w:val="auto"/>
              </w:rPr>
              <w:t>Briscoe</w:t>
            </w:r>
          </w:p>
        </w:tc>
        <w:tc>
          <w:tcPr>
            <w:tcW w:w="1780" w:type="dxa"/>
            <w:vAlign w:val="bottom"/>
          </w:tcPr>
          <w:p>
            <w:pPr>
              <w:jc w:val="right"/>
              <w:spacing w:after="0"/>
              <w:rPr>
                <w:sz w:val="20"/>
                <w:szCs w:val="20"/>
                <w:color w:val="auto"/>
              </w:rPr>
            </w:pPr>
            <w:r>
              <w:rPr>
                <w:rFonts w:ascii="Arial" w:cs="Arial" w:eastAsia="Arial" w:hAnsi="Arial"/>
                <w:sz w:val="12"/>
                <w:szCs w:val="12"/>
                <w:color w:val="auto"/>
              </w:rPr>
              <w:t>7,560</w:t>
            </w:r>
          </w:p>
        </w:tc>
        <w:tc>
          <w:tcPr>
            <w:tcW w:w="1100" w:type="dxa"/>
            <w:vAlign w:val="bottom"/>
          </w:tcPr>
          <w:p>
            <w:pPr>
              <w:jc w:val="right"/>
              <w:spacing w:after="0"/>
              <w:rPr>
                <w:sz w:val="20"/>
                <w:szCs w:val="20"/>
                <w:color w:val="auto"/>
              </w:rPr>
            </w:pPr>
            <w:r>
              <w:rPr>
                <w:rFonts w:ascii="Arial" w:cs="Arial" w:eastAsia="Arial" w:hAnsi="Arial"/>
                <w:sz w:val="12"/>
                <w:szCs w:val="12"/>
                <w:color w:val="auto"/>
              </w:rPr>
              <w:t>4,923</w:t>
            </w:r>
          </w:p>
        </w:tc>
        <w:tc>
          <w:tcPr>
            <w:tcW w:w="700" w:type="dxa"/>
            <w:vAlign w:val="bottom"/>
          </w:tcPr>
          <w:p>
            <w:pPr>
              <w:jc w:val="right"/>
              <w:spacing w:after="0"/>
              <w:rPr>
                <w:sz w:val="20"/>
                <w:szCs w:val="20"/>
                <w:color w:val="auto"/>
              </w:rPr>
            </w:pPr>
            <w:r>
              <w:rPr>
                <w:rFonts w:ascii="Arial" w:cs="Arial" w:eastAsia="Arial" w:hAnsi="Arial"/>
                <w:sz w:val="12"/>
                <w:szCs w:val="12"/>
                <w:color w:val="auto"/>
              </w:rPr>
              <w:t>34,578</w:t>
            </w:r>
          </w:p>
        </w:tc>
        <w:tc>
          <w:tcPr>
            <w:tcW w:w="1120" w:type="dxa"/>
            <w:vAlign w:val="bottom"/>
          </w:tcPr>
          <w:p>
            <w:pPr>
              <w:jc w:val="right"/>
              <w:spacing w:after="0"/>
              <w:rPr>
                <w:sz w:val="20"/>
                <w:szCs w:val="20"/>
                <w:color w:val="auto"/>
              </w:rPr>
            </w:pPr>
            <w:r>
              <w:rPr>
                <w:rFonts w:ascii="Arial" w:cs="Arial" w:eastAsia="Arial" w:hAnsi="Arial"/>
                <w:sz w:val="12"/>
                <w:szCs w:val="12"/>
                <w:color w:val="auto"/>
              </w:rPr>
              <w:t>10,200</w:t>
            </w:r>
          </w:p>
        </w:tc>
        <w:tc>
          <w:tcPr>
            <w:tcW w:w="1120" w:type="dxa"/>
            <w:vAlign w:val="bottom"/>
          </w:tcPr>
          <w:p>
            <w:pPr>
              <w:jc w:val="right"/>
              <w:ind w:right="218"/>
              <w:spacing w:after="0"/>
              <w:rPr>
                <w:sz w:val="20"/>
                <w:szCs w:val="20"/>
                <w:color w:val="auto"/>
              </w:rPr>
            </w:pPr>
            <w:r>
              <w:rPr>
                <w:rFonts w:ascii="Arial" w:cs="Arial" w:eastAsia="Arial" w:hAnsi="Arial"/>
                <w:sz w:val="12"/>
                <w:szCs w:val="12"/>
                <w:color w:val="auto"/>
              </w:rPr>
              <w:t>3,573</w:t>
            </w: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18"/>
              <w:spacing w:after="0"/>
              <w:rPr>
                <w:sz w:val="20"/>
                <w:szCs w:val="20"/>
                <w:color w:val="auto"/>
              </w:rPr>
            </w:pPr>
            <w:r>
              <w:rPr>
                <w:rFonts w:ascii="Arial" w:cs="Arial" w:eastAsia="Arial" w:hAnsi="Arial"/>
                <w:sz w:val="12"/>
                <w:szCs w:val="12"/>
                <w:color w:val="auto"/>
              </w:rPr>
              <w:t>4,785,383</w:t>
            </w:r>
          </w:p>
        </w:tc>
        <w:tc>
          <w:tcPr>
            <w:tcW w:w="0" w:type="dxa"/>
            <w:vAlign w:val="bottom"/>
          </w:tcPr>
          <w:p>
            <w:pPr>
              <w:spacing w:after="0"/>
              <w:rPr>
                <w:sz w:val="1"/>
                <w:szCs w:val="1"/>
                <w:color w:val="auto"/>
              </w:rPr>
            </w:pPr>
          </w:p>
        </w:tc>
      </w:tr>
      <w:tr>
        <w:trPr>
          <w:trHeight w:val="223"/>
        </w:trPr>
        <w:tc>
          <w:tcPr>
            <w:tcW w:w="1960" w:type="dxa"/>
            <w:vAlign w:val="bottom"/>
          </w:tcPr>
          <w:p>
            <w:pPr>
              <w:spacing w:after="0"/>
              <w:rPr>
                <w:sz w:val="20"/>
                <w:szCs w:val="20"/>
                <w:color w:val="auto"/>
              </w:rPr>
            </w:pPr>
            <w:r>
              <w:rPr>
                <w:rFonts w:ascii="Arial" w:cs="Arial" w:eastAsia="Arial" w:hAnsi="Arial"/>
                <w:sz w:val="12"/>
                <w:szCs w:val="12"/>
                <w:color w:val="auto"/>
              </w:rPr>
              <w:t>Fontana</w:t>
            </w:r>
          </w:p>
        </w:tc>
        <w:tc>
          <w:tcPr>
            <w:tcW w:w="1780" w:type="dxa"/>
            <w:vAlign w:val="bottom"/>
          </w:tcPr>
          <w:p>
            <w:pPr>
              <w:jc w:val="right"/>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49,800</w:t>
            </w:r>
          </w:p>
        </w:tc>
        <w:tc>
          <w:tcPr>
            <w:tcW w:w="1120" w:type="dxa"/>
            <w:vAlign w:val="bottom"/>
          </w:tcPr>
          <w:p>
            <w:pPr>
              <w:jc w:val="right"/>
              <w:ind w:right="218"/>
              <w:spacing w:after="0"/>
              <w:rPr>
                <w:sz w:val="20"/>
                <w:szCs w:val="20"/>
                <w:color w:val="auto"/>
              </w:rPr>
            </w:pPr>
            <w:r>
              <w:rPr>
                <w:rFonts w:ascii="Arial" w:cs="Arial" w:eastAsia="Arial" w:hAnsi="Arial"/>
                <w:sz w:val="12"/>
                <w:szCs w:val="12"/>
                <w:color w:val="auto"/>
              </w:rPr>
              <w:t>2,255</w:t>
            </w:r>
          </w:p>
        </w:tc>
        <w:tc>
          <w:tcPr>
            <w:tcW w:w="960" w:type="dxa"/>
            <w:vAlign w:val="bottom"/>
          </w:tcPr>
          <w:p>
            <w:pPr>
              <w:jc w:val="right"/>
              <w:spacing w:after="0"/>
              <w:rPr>
                <w:sz w:val="20"/>
                <w:szCs w:val="20"/>
                <w:color w:val="auto"/>
              </w:rPr>
            </w:pPr>
            <w:r>
              <w:rPr>
                <w:rFonts w:ascii="Arial" w:cs="Arial" w:eastAsia="Arial" w:hAnsi="Arial"/>
                <w:sz w:val="12"/>
                <w:szCs w:val="12"/>
                <w:color w:val="auto"/>
              </w:rPr>
              <w:t>283,797</w:t>
            </w:r>
          </w:p>
        </w:tc>
        <w:tc>
          <w:tcPr>
            <w:tcW w:w="840" w:type="dxa"/>
            <w:vAlign w:val="bottom"/>
          </w:tcPr>
          <w:p>
            <w:pPr>
              <w:jc w:val="right"/>
              <w:spacing w:after="0"/>
              <w:rPr>
                <w:sz w:val="20"/>
                <w:szCs w:val="20"/>
                <w:color w:val="auto"/>
              </w:rPr>
            </w:pPr>
            <w:r>
              <w:rPr>
                <w:rFonts w:ascii="Arial" w:cs="Arial" w:eastAsia="Arial" w:hAnsi="Arial"/>
                <w:sz w:val="12"/>
                <w:szCs w:val="12"/>
                <w:color w:val="auto"/>
              </w:rPr>
              <w:t>241,104</w:t>
            </w:r>
          </w:p>
        </w:tc>
        <w:tc>
          <w:tcPr>
            <w:tcW w:w="7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18"/>
              <w:spacing w:after="0"/>
              <w:rPr>
                <w:sz w:val="20"/>
                <w:szCs w:val="20"/>
                <w:color w:val="auto"/>
              </w:rPr>
            </w:pPr>
            <w:r>
              <w:rPr>
                <w:rFonts w:ascii="Arial" w:cs="Arial" w:eastAsia="Arial" w:hAnsi="Arial"/>
                <w:sz w:val="12"/>
                <w:szCs w:val="12"/>
                <w:color w:val="auto"/>
              </w:rPr>
              <w:t>4,061,003</w:t>
            </w:r>
          </w:p>
        </w:tc>
        <w:tc>
          <w:tcPr>
            <w:tcW w:w="0" w:type="dxa"/>
            <w:vAlign w:val="bottom"/>
          </w:tcPr>
          <w:p>
            <w:pPr>
              <w:spacing w:after="0"/>
              <w:rPr>
                <w:sz w:val="1"/>
                <w:szCs w:val="1"/>
                <w:color w:val="auto"/>
              </w:rPr>
            </w:pPr>
          </w:p>
        </w:tc>
      </w:tr>
      <w:tr>
        <w:trPr>
          <w:trHeight w:val="223"/>
        </w:trPr>
        <w:tc>
          <w:tcPr>
            <w:tcW w:w="1960" w:type="dxa"/>
            <w:vAlign w:val="bottom"/>
          </w:tcPr>
          <w:p>
            <w:pPr>
              <w:spacing w:after="0"/>
              <w:rPr>
                <w:sz w:val="20"/>
                <w:szCs w:val="20"/>
                <w:color w:val="auto"/>
              </w:rPr>
            </w:pPr>
            <w:r>
              <w:rPr>
                <w:rFonts w:ascii="Arial" w:cs="Arial" w:eastAsia="Arial" w:hAnsi="Arial"/>
                <w:sz w:val="12"/>
                <w:szCs w:val="12"/>
                <w:color w:val="auto"/>
              </w:rPr>
              <w:t>Henry</w:t>
            </w:r>
          </w:p>
        </w:tc>
        <w:tc>
          <w:tcPr>
            <w:tcW w:w="1780" w:type="dxa"/>
            <w:vAlign w:val="bottom"/>
          </w:tcPr>
          <w:p>
            <w:pPr>
              <w:jc w:val="right"/>
              <w:spacing w:after="0"/>
              <w:rPr>
                <w:sz w:val="20"/>
                <w:szCs w:val="20"/>
                <w:color w:val="auto"/>
              </w:rPr>
            </w:pPr>
            <w:r>
              <w:rPr>
                <w:rFonts w:ascii="Arial" w:cs="Arial" w:eastAsia="Arial" w:hAnsi="Arial"/>
                <w:sz w:val="12"/>
                <w:szCs w:val="12"/>
                <w:color w:val="auto"/>
              </w:rPr>
              <w:t>5,400</w:t>
            </w:r>
          </w:p>
        </w:tc>
        <w:tc>
          <w:tcPr>
            <w:tcW w:w="1100" w:type="dxa"/>
            <w:vAlign w:val="bottom"/>
          </w:tcPr>
          <w:p>
            <w:pPr>
              <w:jc w:val="right"/>
              <w:spacing w:after="0"/>
              <w:rPr>
                <w:sz w:val="20"/>
                <w:szCs w:val="20"/>
                <w:color w:val="auto"/>
              </w:rPr>
            </w:pPr>
            <w:r>
              <w:rPr>
                <w:rFonts w:ascii="Arial" w:cs="Arial" w:eastAsia="Arial" w:hAnsi="Arial"/>
                <w:sz w:val="12"/>
                <w:szCs w:val="12"/>
                <w:color w:val="auto"/>
              </w:rPr>
              <w:t>5,630</w:t>
            </w:r>
          </w:p>
        </w:tc>
        <w:tc>
          <w:tcPr>
            <w:tcW w:w="700" w:type="dxa"/>
            <w:vAlign w:val="bottom"/>
          </w:tcPr>
          <w:p>
            <w:pPr>
              <w:jc w:val="right"/>
              <w:spacing w:after="0"/>
              <w:rPr>
                <w:sz w:val="20"/>
                <w:szCs w:val="20"/>
                <w:color w:val="auto"/>
              </w:rPr>
            </w:pPr>
            <w:r>
              <w:rPr>
                <w:rFonts w:ascii="Arial" w:cs="Arial" w:eastAsia="Arial" w:hAnsi="Arial"/>
                <w:sz w:val="12"/>
                <w:szCs w:val="12"/>
                <w:color w:val="auto"/>
              </w:rPr>
              <w:t>66,674</w:t>
            </w:r>
          </w:p>
        </w:tc>
        <w:tc>
          <w:tcPr>
            <w:tcW w:w="1120" w:type="dxa"/>
            <w:vAlign w:val="bottom"/>
          </w:tcPr>
          <w:p>
            <w:pPr>
              <w:jc w:val="right"/>
              <w:spacing w:after="0"/>
              <w:rPr>
                <w:sz w:val="20"/>
                <w:szCs w:val="20"/>
                <w:color w:val="auto"/>
              </w:rPr>
            </w:pPr>
            <w:r>
              <w:rPr>
                <w:rFonts w:ascii="Arial" w:cs="Arial" w:eastAsia="Arial" w:hAnsi="Arial"/>
                <w:sz w:val="12"/>
                <w:szCs w:val="12"/>
                <w:color w:val="auto"/>
              </w:rPr>
              <w:t>10,041</w:t>
            </w:r>
          </w:p>
        </w:tc>
        <w:tc>
          <w:tcPr>
            <w:tcW w:w="1120" w:type="dxa"/>
            <w:vAlign w:val="bottom"/>
          </w:tcPr>
          <w:p>
            <w:pPr>
              <w:jc w:val="right"/>
              <w:ind w:right="218"/>
              <w:spacing w:after="0"/>
              <w:rPr>
                <w:sz w:val="20"/>
                <w:szCs w:val="20"/>
                <w:color w:val="auto"/>
              </w:rPr>
            </w:pPr>
            <w:r>
              <w:rPr>
                <w:rFonts w:ascii="Arial" w:cs="Arial" w:eastAsia="Arial" w:hAnsi="Arial"/>
                <w:sz w:val="12"/>
                <w:szCs w:val="12"/>
                <w:color w:val="auto"/>
              </w:rPr>
              <w:t>976</w:t>
            </w: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18"/>
              <w:spacing w:after="0"/>
              <w:rPr>
                <w:sz w:val="20"/>
                <w:szCs w:val="20"/>
                <w:color w:val="auto"/>
              </w:rPr>
            </w:pPr>
            <w:r>
              <w:rPr>
                <w:rFonts w:ascii="Arial" w:cs="Arial" w:eastAsia="Arial" w:hAnsi="Arial"/>
                <w:sz w:val="12"/>
                <w:szCs w:val="12"/>
                <w:color w:val="auto"/>
              </w:rPr>
              <w:t>3,496,566</w:t>
            </w:r>
          </w:p>
        </w:tc>
        <w:tc>
          <w:tcPr>
            <w:tcW w:w="0" w:type="dxa"/>
            <w:vAlign w:val="bottom"/>
          </w:tcPr>
          <w:p>
            <w:pPr>
              <w:spacing w:after="0"/>
              <w:rPr>
                <w:sz w:val="1"/>
                <w:szCs w:val="1"/>
                <w:color w:val="auto"/>
              </w:rPr>
            </w:pPr>
          </w:p>
        </w:tc>
      </w:tr>
      <w:tr>
        <w:trPr>
          <w:trHeight w:val="223"/>
        </w:trPr>
        <w:tc>
          <w:tcPr>
            <w:tcW w:w="1960" w:type="dxa"/>
            <w:vAlign w:val="bottom"/>
          </w:tcPr>
          <w:p>
            <w:pPr>
              <w:spacing w:after="0"/>
              <w:rPr>
                <w:sz w:val="20"/>
                <w:szCs w:val="20"/>
                <w:color w:val="auto"/>
              </w:rPr>
            </w:pPr>
            <w:r>
              <w:rPr>
                <w:rFonts w:ascii="Arial" w:cs="Arial" w:eastAsia="Arial" w:hAnsi="Arial"/>
                <w:sz w:val="12"/>
                <w:szCs w:val="12"/>
                <w:color w:val="auto"/>
              </w:rPr>
              <w:t>Jacobson</w:t>
            </w:r>
          </w:p>
        </w:tc>
        <w:tc>
          <w:tcPr>
            <w:tcW w:w="1780" w:type="dxa"/>
            <w:vAlign w:val="bottom"/>
          </w:tcPr>
          <w:p>
            <w:pPr>
              <w:jc w:val="right"/>
              <w:spacing w:after="0"/>
              <w:rPr>
                <w:sz w:val="20"/>
                <w:szCs w:val="20"/>
                <w:color w:val="auto"/>
              </w:rPr>
            </w:pPr>
            <w:r>
              <w:rPr>
                <w:rFonts w:ascii="Arial" w:cs="Arial" w:eastAsia="Arial" w:hAnsi="Arial"/>
                <w:sz w:val="12"/>
                <w:szCs w:val="12"/>
                <w:color w:val="auto"/>
              </w:rPr>
              <w:t>10,800</w:t>
            </w: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10,200</w:t>
            </w:r>
          </w:p>
        </w:tc>
        <w:tc>
          <w:tcPr>
            <w:tcW w:w="1120" w:type="dxa"/>
            <w:vAlign w:val="bottom"/>
          </w:tcPr>
          <w:p>
            <w:pPr>
              <w:jc w:val="right"/>
              <w:ind w:right="218"/>
              <w:spacing w:after="0"/>
              <w:rPr>
                <w:sz w:val="20"/>
                <w:szCs w:val="20"/>
                <w:color w:val="auto"/>
              </w:rPr>
            </w:pPr>
            <w:r>
              <w:rPr>
                <w:rFonts w:ascii="Arial" w:cs="Arial" w:eastAsia="Arial" w:hAnsi="Arial"/>
                <w:sz w:val="12"/>
                <w:szCs w:val="12"/>
                <w:color w:val="auto"/>
              </w:rPr>
              <w:t>4,169</w:t>
            </w: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43"/>
        </w:trPr>
        <w:tc>
          <w:tcPr>
            <w:tcW w:w="196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181" w:hanging="181"/>
        <w:spacing w:after="0" w:line="254" w:lineRule="auto"/>
        <w:tabs>
          <w:tab w:leader="none" w:pos="181" w:val="left"/>
        </w:tabs>
        <w:numPr>
          <w:ilvl w:val="0"/>
          <w:numId w:val="46"/>
        </w:numPr>
        <w:rPr>
          <w:rFonts w:ascii="Arial" w:cs="Arial" w:eastAsia="Arial" w:hAnsi="Arial"/>
          <w:sz w:val="12"/>
          <w:szCs w:val="12"/>
          <w:color w:val="auto"/>
        </w:rPr>
      </w:pPr>
      <w:r>
        <w:rPr>
          <w:rFonts w:ascii="Arial" w:cs="Arial" w:eastAsia="Arial" w:hAnsi="Arial"/>
          <w:sz w:val="12"/>
          <w:szCs w:val="12"/>
          <w:color w:val="auto"/>
        </w:rPr>
        <w:t>Dr. Duroc-Danner is, and Mr. Gee was, a participant in the Weatherford International Swiss Pension Plan. Mr. Fontana was a participant in the Global Retirement Savings Plan. Messrs. Shivram and Mehta are, and Messrs. Briscoe, Henry and Jacobson were, participants in the U.S. 401(k) plan. Amounts shown represent Company contributions to those plans.</w:t>
      </w:r>
    </w:p>
    <w:p>
      <w:pPr>
        <w:spacing w:after="0" w:line="79" w:lineRule="exact"/>
        <w:rPr>
          <w:rFonts w:ascii="Arial" w:cs="Arial" w:eastAsia="Arial" w:hAnsi="Arial"/>
          <w:sz w:val="12"/>
          <w:szCs w:val="12"/>
          <w:color w:val="auto"/>
        </w:rPr>
      </w:pPr>
    </w:p>
    <w:p>
      <w:pPr>
        <w:ind w:left="181" w:hanging="181"/>
        <w:spacing w:after="0" w:line="254" w:lineRule="auto"/>
        <w:tabs>
          <w:tab w:leader="none" w:pos="181" w:val="left"/>
        </w:tabs>
        <w:numPr>
          <w:ilvl w:val="0"/>
          <w:numId w:val="46"/>
        </w:numPr>
        <w:rPr>
          <w:rFonts w:ascii="Arial" w:cs="Arial" w:eastAsia="Arial" w:hAnsi="Arial"/>
          <w:sz w:val="12"/>
          <w:szCs w:val="12"/>
          <w:color w:val="auto"/>
        </w:rPr>
      </w:pPr>
      <w:r>
        <w:rPr>
          <w:rFonts w:ascii="Arial" w:cs="Arial" w:eastAsia="Arial" w:hAnsi="Arial"/>
          <w:sz w:val="12"/>
          <w:szCs w:val="12"/>
          <w:color w:val="auto"/>
        </w:rPr>
        <w:t>Net Taxes Paid represents the difference between cash taxes paid on behalf of the executive during the year and amounts withheld from the executive’s compensation for taxes during the year. Taxes paid by the Company to a taxing authority in 2013 with respect to taxes on income earned in previous years are shown in 2013.</w:t>
      </w:r>
    </w:p>
    <w:p>
      <w:pPr>
        <w:spacing w:after="0" w:line="79" w:lineRule="exact"/>
        <w:rPr>
          <w:rFonts w:ascii="Arial" w:cs="Arial" w:eastAsia="Arial" w:hAnsi="Arial"/>
          <w:sz w:val="12"/>
          <w:szCs w:val="12"/>
          <w:color w:val="auto"/>
        </w:rPr>
      </w:pPr>
    </w:p>
    <w:p>
      <w:pPr>
        <w:ind w:left="181" w:hanging="181"/>
        <w:spacing w:after="0"/>
        <w:tabs>
          <w:tab w:leader="none" w:pos="181" w:val="left"/>
        </w:tabs>
        <w:numPr>
          <w:ilvl w:val="0"/>
          <w:numId w:val="46"/>
        </w:numPr>
        <w:rPr>
          <w:rFonts w:ascii="Arial" w:cs="Arial" w:eastAsia="Arial" w:hAnsi="Arial"/>
          <w:sz w:val="12"/>
          <w:szCs w:val="12"/>
          <w:color w:val="auto"/>
        </w:rPr>
      </w:pPr>
      <w:r>
        <w:rPr>
          <w:rFonts w:ascii="Arial" w:cs="Arial" w:eastAsia="Arial" w:hAnsi="Arial"/>
          <w:sz w:val="12"/>
          <w:szCs w:val="12"/>
          <w:color w:val="auto"/>
        </w:rPr>
        <w:t>For details of termination pay, see “Termination of Employment” in this proxy statement.</w:t>
      </w:r>
    </w:p>
    <w:p>
      <w:pPr>
        <w:spacing w:after="0" w:line="200" w:lineRule="exact"/>
        <w:rPr>
          <w:sz w:val="20"/>
          <w:szCs w:val="20"/>
          <w:color w:val="auto"/>
        </w:rPr>
      </w:pPr>
    </w:p>
    <w:p>
      <w:pPr>
        <w:spacing w:after="0" w:line="219" w:lineRule="exact"/>
        <w:rPr>
          <w:sz w:val="20"/>
          <w:szCs w:val="20"/>
          <w:color w:val="auto"/>
        </w:rPr>
      </w:pPr>
    </w:p>
    <w:p>
      <w:pPr>
        <w:ind w:left="301" w:hanging="301"/>
        <w:spacing w:after="0"/>
        <w:tabs>
          <w:tab w:leader="none" w:pos="301" w:val="left"/>
        </w:tabs>
        <w:numPr>
          <w:ilvl w:val="0"/>
          <w:numId w:val="47"/>
        </w:numPr>
        <w:rPr>
          <w:rFonts w:ascii="Arial" w:cs="Arial" w:eastAsia="Arial" w:hAnsi="Arial"/>
          <w:sz w:val="12"/>
          <w:szCs w:val="12"/>
          <w:b w:val="1"/>
          <w:bCs w:val="1"/>
          <w:color w:val="auto"/>
        </w:rPr>
      </w:pPr>
      <w:r>
        <w:rPr>
          <w:rFonts w:ascii="Arial" w:cs="Arial" w:eastAsia="Arial" w:hAnsi="Arial"/>
          <w:sz w:val="12"/>
          <w:szCs w:val="12"/>
          <w:color w:val="auto"/>
        </w:rPr>
        <w:t>Weatherford International plc - 2014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8370" cy="203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sectPr>
      </w:pPr>
    </w:p>
    <w:bookmarkStart w:id="54" w:name="page55"/>
    <w:bookmarkEnd w:id="54"/>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9641"/>
        <w:spacing w:after="0"/>
        <w:rPr>
          <w:sz w:val="20"/>
          <w:szCs w:val="20"/>
          <w:color w:val="auto"/>
        </w:rPr>
      </w:pPr>
      <w:r>
        <w:rPr>
          <w:rFonts w:ascii="Arial" w:cs="Arial" w:eastAsia="Arial" w:hAnsi="Arial"/>
          <w:sz w:val="12"/>
          <w:szCs w:val="12"/>
          <w:b w:val="1"/>
          <w:bCs w:val="1"/>
          <w:color w:val="FFFFFF"/>
          <w:shd w:val="clear" w:color="auto" w:fill="BB1131"/>
        </w:rPr>
        <w:t>EXECUTIVE COMPENSATION</w:t>
      </w:r>
    </w:p>
    <w:p>
      <w:pPr>
        <w:spacing w:after="0" w:line="214" w:lineRule="exact"/>
        <w:rPr>
          <w:sz w:val="20"/>
          <w:szCs w:val="20"/>
          <w:color w:val="auto"/>
        </w:rPr>
      </w:pPr>
    </w:p>
    <w:p>
      <w:pPr>
        <w:ind w:left="1"/>
        <w:spacing w:after="0"/>
        <w:rPr>
          <w:sz w:val="20"/>
          <w:szCs w:val="20"/>
          <w:color w:val="auto"/>
        </w:rPr>
      </w:pPr>
      <w:r>
        <w:rPr>
          <w:rFonts w:ascii="Arial" w:cs="Arial" w:eastAsia="Arial" w:hAnsi="Arial"/>
          <w:sz w:val="30"/>
          <w:szCs w:val="30"/>
          <w:color w:val="BB1131"/>
        </w:rPr>
        <w:t>Grants of plan-based awards in 2013</w:t>
      </w:r>
    </w:p>
    <w:p>
      <w:pPr>
        <w:spacing w:after="0" w:line="97" w:lineRule="exact"/>
        <w:rPr>
          <w:sz w:val="20"/>
          <w:szCs w:val="20"/>
          <w:color w:val="auto"/>
        </w:rPr>
      </w:pPr>
    </w:p>
    <w:p>
      <w:pPr>
        <w:ind w:left="1"/>
        <w:spacing w:after="0"/>
        <w:rPr>
          <w:sz w:val="20"/>
          <w:szCs w:val="20"/>
          <w:color w:val="auto"/>
        </w:rPr>
      </w:pPr>
      <w:r>
        <w:rPr>
          <w:rFonts w:ascii="Arial" w:cs="Arial" w:eastAsia="Arial" w:hAnsi="Arial"/>
          <w:sz w:val="12"/>
          <w:szCs w:val="12"/>
          <w:color w:val="auto"/>
        </w:rPr>
        <w:t>The following table provides information regarding plan-based awards granted in 2013 to the NEOs.</w:t>
      </w:r>
    </w:p>
    <w:p>
      <w:pPr>
        <w:spacing w:after="0" w:line="97" w:lineRule="exact"/>
        <w:rPr>
          <w:sz w:val="20"/>
          <w:szCs w:val="20"/>
          <w:color w:val="auto"/>
        </w:rPr>
      </w:pPr>
    </w:p>
    <w:tbl>
      <w:tblPr>
        <w:tblLayout w:type="fixed"/>
        <w:tblInd w:w="1"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20" w:type="dxa"/>
            <w:vAlign w:val="bottom"/>
            <w:gridSpan w:val="4"/>
          </w:tcPr>
          <w:p>
            <w:pPr>
              <w:jc w:val="right"/>
              <w:ind w:right="160"/>
              <w:spacing w:after="0"/>
              <w:rPr>
                <w:sz w:val="20"/>
                <w:szCs w:val="20"/>
                <w:color w:val="auto"/>
              </w:rPr>
            </w:pPr>
            <w:r>
              <w:rPr>
                <w:rFonts w:ascii="Arial" w:cs="Arial" w:eastAsia="Arial" w:hAnsi="Arial"/>
                <w:sz w:val="12"/>
                <w:szCs w:val="12"/>
                <w:color w:val="auto"/>
              </w:rPr>
              <w:t>Estimated Possible Payouts Under</w:t>
            </w:r>
          </w:p>
        </w:tc>
        <w:tc>
          <w:tcPr>
            <w:tcW w:w="1940" w:type="dxa"/>
            <w:vAlign w:val="bottom"/>
            <w:gridSpan w:val="4"/>
          </w:tcPr>
          <w:p>
            <w:pPr>
              <w:jc w:val="right"/>
              <w:ind w:right="80"/>
              <w:spacing w:after="0"/>
              <w:rPr>
                <w:sz w:val="20"/>
                <w:szCs w:val="20"/>
                <w:color w:val="auto"/>
              </w:rPr>
            </w:pPr>
            <w:r>
              <w:rPr>
                <w:rFonts w:ascii="Arial" w:cs="Arial" w:eastAsia="Arial" w:hAnsi="Arial"/>
                <w:sz w:val="12"/>
                <w:szCs w:val="12"/>
                <w:color w:val="auto"/>
              </w:rPr>
              <w:t>Estimated Future Payouts Under</w:t>
            </w: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All Other Stock Awards:</w:t>
            </w:r>
          </w:p>
        </w:tc>
        <w:tc>
          <w:tcPr>
            <w:tcW w:w="920" w:type="dxa"/>
            <w:vAlign w:val="bottom"/>
          </w:tcPr>
          <w:p>
            <w:pPr>
              <w:jc w:val="right"/>
              <w:spacing w:after="0"/>
              <w:rPr>
                <w:sz w:val="20"/>
                <w:szCs w:val="20"/>
                <w:color w:val="auto"/>
              </w:rPr>
            </w:pPr>
            <w:r>
              <w:rPr>
                <w:rFonts w:ascii="Arial" w:cs="Arial" w:eastAsia="Arial" w:hAnsi="Arial"/>
                <w:sz w:val="12"/>
                <w:szCs w:val="12"/>
                <w:color w:val="auto"/>
              </w:rPr>
              <w:t>Grant Date Fair</w:t>
            </w:r>
          </w:p>
        </w:tc>
        <w:tc>
          <w:tcPr>
            <w:tcW w:w="0" w:type="dxa"/>
            <w:vAlign w:val="bottom"/>
          </w:tcPr>
          <w:p>
            <w:pPr>
              <w:spacing w:after="0"/>
              <w:rPr>
                <w:sz w:val="1"/>
                <w:szCs w:val="1"/>
                <w:color w:val="auto"/>
              </w:rPr>
            </w:pPr>
          </w:p>
        </w:tc>
      </w:tr>
      <w:tr>
        <w:trPr>
          <w:trHeight w:val="136"/>
        </w:trPr>
        <w:tc>
          <w:tcPr>
            <w:tcW w:w="28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220" w:type="dxa"/>
            <w:vAlign w:val="bottom"/>
            <w:gridSpan w:val="4"/>
          </w:tcPr>
          <w:p>
            <w:pPr>
              <w:jc w:val="right"/>
              <w:ind w:right="160"/>
              <w:spacing w:after="0" w:line="136" w:lineRule="exact"/>
              <w:rPr>
                <w:sz w:val="20"/>
                <w:szCs w:val="20"/>
                <w:color w:val="auto"/>
              </w:rPr>
            </w:pPr>
            <w:r>
              <w:rPr>
                <w:rFonts w:ascii="Arial" w:cs="Arial" w:eastAsia="Arial" w:hAnsi="Arial"/>
                <w:sz w:val="10"/>
                <w:szCs w:val="10"/>
                <w:color w:val="auto"/>
              </w:rPr>
              <w:t>Non-Equity Incentive Plan Awards</w:t>
            </w:r>
            <w:r>
              <w:rPr>
                <w:rFonts w:ascii="Arial" w:cs="Arial" w:eastAsia="Arial" w:hAnsi="Arial"/>
                <w:sz w:val="15"/>
                <w:szCs w:val="15"/>
                <w:color w:val="auto"/>
                <w:vertAlign w:val="superscript"/>
              </w:rPr>
              <w:t>(1)</w:t>
            </w:r>
          </w:p>
        </w:tc>
        <w:tc>
          <w:tcPr>
            <w:tcW w:w="1940" w:type="dxa"/>
            <w:vAlign w:val="bottom"/>
            <w:gridSpan w:val="4"/>
          </w:tcPr>
          <w:p>
            <w:pPr>
              <w:jc w:val="right"/>
              <w:ind w:right="80"/>
              <w:spacing w:after="0" w:line="136" w:lineRule="exact"/>
              <w:rPr>
                <w:sz w:val="20"/>
                <w:szCs w:val="20"/>
                <w:color w:val="auto"/>
              </w:rPr>
            </w:pPr>
            <w:r>
              <w:rPr>
                <w:rFonts w:ascii="Arial" w:cs="Arial" w:eastAsia="Arial" w:hAnsi="Arial"/>
                <w:sz w:val="12"/>
                <w:szCs w:val="12"/>
                <w:color w:val="auto"/>
              </w:rPr>
              <w:t>Equity Incentive Plan Awards</w:t>
            </w:r>
          </w:p>
        </w:tc>
        <w:tc>
          <w:tcPr>
            <w:tcW w:w="1460" w:type="dxa"/>
            <w:vAlign w:val="bottom"/>
          </w:tcPr>
          <w:p>
            <w:pPr>
              <w:jc w:val="right"/>
              <w:ind w:right="18"/>
              <w:spacing w:after="0" w:line="136" w:lineRule="exact"/>
              <w:rPr>
                <w:sz w:val="20"/>
                <w:szCs w:val="20"/>
                <w:color w:val="auto"/>
              </w:rPr>
            </w:pPr>
            <w:r>
              <w:rPr>
                <w:rFonts w:ascii="Arial" w:cs="Arial" w:eastAsia="Arial" w:hAnsi="Arial"/>
                <w:sz w:val="12"/>
                <w:szCs w:val="12"/>
                <w:color w:val="auto"/>
              </w:rPr>
              <w:t>Number of Restricted</w:t>
            </w:r>
          </w:p>
        </w:tc>
        <w:tc>
          <w:tcPr>
            <w:tcW w:w="920" w:type="dxa"/>
            <w:vAlign w:val="bottom"/>
          </w:tcPr>
          <w:p>
            <w:pPr>
              <w:jc w:val="right"/>
              <w:spacing w:after="0" w:line="136" w:lineRule="exact"/>
              <w:rPr>
                <w:sz w:val="20"/>
                <w:szCs w:val="20"/>
                <w:color w:val="auto"/>
              </w:rPr>
            </w:pPr>
            <w:r>
              <w:rPr>
                <w:rFonts w:ascii="Arial" w:cs="Arial" w:eastAsia="Arial" w:hAnsi="Arial"/>
                <w:sz w:val="12"/>
                <w:szCs w:val="12"/>
                <w:color w:val="auto"/>
              </w:rPr>
              <w:t>Value of Share</w:t>
            </w:r>
          </w:p>
        </w:tc>
        <w:tc>
          <w:tcPr>
            <w:tcW w:w="0" w:type="dxa"/>
            <w:vAlign w:val="bottom"/>
          </w:tcPr>
          <w:p>
            <w:pPr>
              <w:spacing w:after="0"/>
              <w:rPr>
                <w:sz w:val="1"/>
                <w:szCs w:val="1"/>
                <w:color w:val="auto"/>
              </w:rPr>
            </w:pPr>
          </w:p>
        </w:tc>
      </w:tr>
      <w:tr>
        <w:trPr>
          <w:trHeight w:val="25"/>
        </w:trPr>
        <w:tc>
          <w:tcPr>
            <w:tcW w:w="28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20" w:type="dxa"/>
            <w:vAlign w:val="bottom"/>
            <w:vMerge w:val="restart"/>
          </w:tcPr>
          <w:p>
            <w:pPr>
              <w:jc w:val="right"/>
              <w:spacing w:after="0" w:line="130" w:lineRule="exact"/>
              <w:rPr>
                <w:sz w:val="20"/>
                <w:szCs w:val="20"/>
                <w:color w:val="auto"/>
              </w:rPr>
            </w:pPr>
            <w:r>
              <w:rPr>
                <w:rFonts w:ascii="Arial" w:cs="Arial" w:eastAsia="Arial" w:hAnsi="Arial"/>
                <w:sz w:val="12"/>
                <w:szCs w:val="12"/>
                <w:color w:val="auto"/>
              </w:rPr>
              <w:t>Awards</w:t>
            </w:r>
          </w:p>
        </w:tc>
        <w:tc>
          <w:tcPr>
            <w:tcW w:w="0" w:type="dxa"/>
            <w:vAlign w:val="bottom"/>
          </w:tcPr>
          <w:p>
            <w:pPr>
              <w:spacing w:after="0" w:line="20" w:lineRule="exact"/>
              <w:rPr>
                <w:sz w:val="1"/>
                <w:szCs w:val="1"/>
                <w:color w:val="auto"/>
              </w:rPr>
            </w:pPr>
          </w:p>
        </w:tc>
      </w:tr>
      <w:tr>
        <w:trPr>
          <w:trHeight w:val="105"/>
        </w:trPr>
        <w:tc>
          <w:tcPr>
            <w:tcW w:w="2820" w:type="dxa"/>
            <w:vAlign w:val="bottom"/>
          </w:tcPr>
          <w:p>
            <w:pPr>
              <w:spacing w:after="0"/>
              <w:rPr>
                <w:sz w:val="9"/>
                <w:szCs w:val="9"/>
                <w:color w:val="auto"/>
              </w:rPr>
            </w:pPr>
          </w:p>
        </w:tc>
        <w:tc>
          <w:tcPr>
            <w:tcW w:w="2060" w:type="dxa"/>
            <w:vAlign w:val="bottom"/>
            <w:vMerge w:val="restart"/>
          </w:tcPr>
          <w:p>
            <w:pPr>
              <w:ind w:left="1460"/>
              <w:spacing w:after="0" w:line="136" w:lineRule="exact"/>
              <w:rPr>
                <w:sz w:val="20"/>
                <w:szCs w:val="20"/>
                <w:color w:val="auto"/>
              </w:rPr>
            </w:pPr>
            <w:r>
              <w:rPr>
                <w:rFonts w:ascii="Arial" w:cs="Arial" w:eastAsia="Arial" w:hAnsi="Arial"/>
                <w:sz w:val="12"/>
                <w:szCs w:val="12"/>
                <w:color w:val="auto"/>
              </w:rPr>
              <w:t>Grant</w:t>
            </w:r>
          </w:p>
        </w:tc>
        <w:tc>
          <w:tcPr>
            <w:tcW w:w="700" w:type="dxa"/>
            <w:vAlign w:val="bottom"/>
            <w:vMerge w:val="restart"/>
          </w:tcPr>
          <w:p>
            <w:pPr>
              <w:jc w:val="right"/>
              <w:ind w:right="39"/>
              <w:spacing w:after="0" w:line="136" w:lineRule="exact"/>
              <w:rPr>
                <w:sz w:val="20"/>
                <w:szCs w:val="20"/>
                <w:color w:val="auto"/>
              </w:rPr>
            </w:pPr>
            <w:r>
              <w:rPr>
                <w:rFonts w:ascii="Arial" w:cs="Arial" w:eastAsia="Arial" w:hAnsi="Arial"/>
                <w:sz w:val="12"/>
                <w:szCs w:val="12"/>
                <w:color w:val="auto"/>
              </w:rPr>
              <w:t>Threshold</w:t>
            </w:r>
          </w:p>
        </w:tc>
        <w:tc>
          <w:tcPr>
            <w:tcW w:w="740" w:type="dxa"/>
            <w:vAlign w:val="bottom"/>
            <w:vMerge w:val="restart"/>
          </w:tcPr>
          <w:p>
            <w:pPr>
              <w:jc w:val="right"/>
              <w:ind w:right="18"/>
              <w:spacing w:after="0" w:line="136" w:lineRule="exact"/>
              <w:rPr>
                <w:sz w:val="20"/>
                <w:szCs w:val="20"/>
                <w:color w:val="auto"/>
              </w:rPr>
            </w:pPr>
            <w:r>
              <w:rPr>
                <w:rFonts w:ascii="Arial" w:cs="Arial" w:eastAsia="Arial" w:hAnsi="Arial"/>
                <w:sz w:val="12"/>
                <w:szCs w:val="12"/>
                <w:color w:val="auto"/>
              </w:rPr>
              <w:t>Target</w:t>
            </w:r>
          </w:p>
        </w:tc>
        <w:tc>
          <w:tcPr>
            <w:tcW w:w="780" w:type="dxa"/>
            <w:vAlign w:val="bottom"/>
            <w:gridSpan w:val="2"/>
            <w:vMerge w:val="restart"/>
          </w:tcPr>
          <w:p>
            <w:pPr>
              <w:jc w:val="right"/>
              <w:ind w:right="160"/>
              <w:spacing w:after="0" w:line="136" w:lineRule="exact"/>
              <w:rPr>
                <w:sz w:val="20"/>
                <w:szCs w:val="20"/>
                <w:color w:val="auto"/>
              </w:rPr>
            </w:pPr>
            <w:r>
              <w:rPr>
                <w:rFonts w:ascii="Arial" w:cs="Arial" w:eastAsia="Arial" w:hAnsi="Arial"/>
                <w:sz w:val="12"/>
                <w:szCs w:val="12"/>
                <w:color w:val="auto"/>
              </w:rPr>
              <w:t>Superior</w:t>
            </w:r>
          </w:p>
        </w:tc>
        <w:tc>
          <w:tcPr>
            <w:tcW w:w="640" w:type="dxa"/>
            <w:vAlign w:val="bottom"/>
            <w:vMerge w:val="restart"/>
          </w:tcPr>
          <w:p>
            <w:pPr>
              <w:jc w:val="right"/>
              <w:ind w:right="18"/>
              <w:spacing w:after="0" w:line="136" w:lineRule="exact"/>
              <w:rPr>
                <w:sz w:val="20"/>
                <w:szCs w:val="20"/>
                <w:color w:val="auto"/>
              </w:rPr>
            </w:pPr>
            <w:r>
              <w:rPr>
                <w:rFonts w:ascii="Arial" w:cs="Arial" w:eastAsia="Arial" w:hAnsi="Arial"/>
                <w:sz w:val="12"/>
                <w:szCs w:val="12"/>
                <w:color w:val="auto"/>
              </w:rPr>
              <w:t>Threshold</w:t>
            </w:r>
          </w:p>
        </w:tc>
        <w:tc>
          <w:tcPr>
            <w:tcW w:w="600" w:type="dxa"/>
            <w:vAlign w:val="bottom"/>
            <w:vMerge w:val="restart"/>
          </w:tcPr>
          <w:p>
            <w:pPr>
              <w:jc w:val="right"/>
              <w:ind w:right="18"/>
              <w:spacing w:after="0" w:line="136" w:lineRule="exact"/>
              <w:rPr>
                <w:sz w:val="20"/>
                <w:szCs w:val="20"/>
                <w:color w:val="auto"/>
              </w:rPr>
            </w:pPr>
            <w:r>
              <w:rPr>
                <w:rFonts w:ascii="Arial" w:cs="Arial" w:eastAsia="Arial" w:hAnsi="Arial"/>
                <w:sz w:val="12"/>
                <w:szCs w:val="12"/>
                <w:color w:val="auto"/>
              </w:rPr>
              <w:t>Target</w:t>
            </w:r>
          </w:p>
        </w:tc>
        <w:tc>
          <w:tcPr>
            <w:tcW w:w="700" w:type="dxa"/>
            <w:vAlign w:val="bottom"/>
            <w:gridSpan w:val="2"/>
            <w:vMerge w:val="restart"/>
          </w:tcPr>
          <w:p>
            <w:pPr>
              <w:jc w:val="right"/>
              <w:ind w:right="80"/>
              <w:spacing w:after="0" w:line="136" w:lineRule="exact"/>
              <w:rPr>
                <w:sz w:val="20"/>
                <w:szCs w:val="20"/>
                <w:color w:val="auto"/>
              </w:rPr>
            </w:pPr>
            <w:r>
              <w:rPr>
                <w:rFonts w:ascii="Arial" w:cs="Arial" w:eastAsia="Arial" w:hAnsi="Arial"/>
                <w:sz w:val="12"/>
                <w:szCs w:val="12"/>
                <w:color w:val="auto"/>
              </w:rPr>
              <w:t>Maximum</w:t>
            </w:r>
          </w:p>
        </w:tc>
        <w:tc>
          <w:tcPr>
            <w:tcW w:w="1460" w:type="dxa"/>
            <w:vAlign w:val="bottom"/>
            <w:vMerge w:val="restart"/>
          </w:tcPr>
          <w:p>
            <w:pPr>
              <w:jc w:val="right"/>
              <w:ind w:right="18"/>
              <w:spacing w:after="0" w:line="136" w:lineRule="exact"/>
              <w:rPr>
                <w:sz w:val="20"/>
                <w:szCs w:val="20"/>
                <w:color w:val="auto"/>
              </w:rPr>
            </w:pPr>
            <w:r>
              <w:rPr>
                <w:rFonts w:ascii="Arial" w:cs="Arial" w:eastAsia="Arial" w:hAnsi="Arial"/>
                <w:sz w:val="12"/>
                <w:szCs w:val="12"/>
                <w:color w:val="auto"/>
              </w:rPr>
              <w:t>Shares/Units</w:t>
            </w: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2820" w:type="dxa"/>
            <w:vAlign w:val="bottom"/>
          </w:tcPr>
          <w:p>
            <w:pPr>
              <w:spacing w:after="0"/>
              <w:rPr>
                <w:sz w:val="2"/>
                <w:szCs w:val="2"/>
                <w:color w:val="auto"/>
              </w:rPr>
            </w:pPr>
          </w:p>
        </w:tc>
        <w:tc>
          <w:tcPr>
            <w:tcW w:w="206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920" w:type="dxa"/>
            <w:vAlign w:val="bottom"/>
            <w:vMerge w:val="restart"/>
          </w:tcPr>
          <w:p>
            <w:pPr>
              <w:jc w:val="right"/>
              <w:spacing w:after="0" w:line="168" w:lineRule="exact"/>
              <w:rPr>
                <w:sz w:val="20"/>
                <w:szCs w:val="20"/>
                <w:color w:val="auto"/>
              </w:rPr>
            </w:pPr>
            <w:r>
              <w:rPr>
                <w:rFonts w:ascii="Arial" w:cs="Arial" w:eastAsia="Arial" w:hAnsi="Arial"/>
                <w:sz w:val="12"/>
                <w:szCs w:val="12"/>
                <w:color w:val="auto"/>
              </w:rPr>
              <w:t>($)</w:t>
            </w:r>
            <w:r>
              <w:rPr>
                <w:rFonts w:ascii="Arial" w:cs="Arial" w:eastAsia="Arial" w:hAnsi="Arial"/>
                <w:sz w:val="19"/>
                <w:szCs w:val="19"/>
                <w:color w:val="auto"/>
                <w:vertAlign w:val="superscript"/>
              </w:rPr>
              <w:t>(2)</w:t>
            </w:r>
          </w:p>
        </w:tc>
        <w:tc>
          <w:tcPr>
            <w:tcW w:w="0" w:type="dxa"/>
            <w:vAlign w:val="bottom"/>
          </w:tcPr>
          <w:p>
            <w:pPr>
              <w:spacing w:after="0" w:line="20" w:lineRule="exact"/>
              <w:rPr>
                <w:sz w:val="1"/>
                <w:szCs w:val="1"/>
                <w:color w:val="auto"/>
              </w:rPr>
            </w:pPr>
          </w:p>
        </w:tc>
      </w:tr>
      <w:tr>
        <w:trPr>
          <w:trHeight w:val="137"/>
        </w:trPr>
        <w:tc>
          <w:tcPr>
            <w:tcW w:w="2820" w:type="dxa"/>
            <w:vAlign w:val="bottom"/>
            <w:tcBorders>
              <w:bottom w:val="single" w:sz="8" w:color="auto"/>
            </w:tcBorders>
          </w:tcPr>
          <w:p>
            <w:pPr>
              <w:spacing w:after="0" w:line="137" w:lineRule="exact"/>
              <w:rPr>
                <w:sz w:val="20"/>
                <w:szCs w:val="20"/>
                <w:color w:val="auto"/>
              </w:rPr>
            </w:pPr>
            <w:r>
              <w:rPr>
                <w:rFonts w:ascii="Arial" w:cs="Arial" w:eastAsia="Arial" w:hAnsi="Arial"/>
                <w:sz w:val="12"/>
                <w:szCs w:val="12"/>
                <w:color w:val="auto"/>
              </w:rPr>
              <w:t>Name</w:t>
            </w:r>
          </w:p>
        </w:tc>
        <w:tc>
          <w:tcPr>
            <w:tcW w:w="2060" w:type="dxa"/>
            <w:vAlign w:val="bottom"/>
            <w:tcBorders>
              <w:bottom w:val="single" w:sz="8" w:color="auto"/>
            </w:tcBorders>
          </w:tcPr>
          <w:p>
            <w:pPr>
              <w:ind w:left="1520"/>
              <w:spacing w:after="0" w:line="137" w:lineRule="exact"/>
              <w:rPr>
                <w:sz w:val="20"/>
                <w:szCs w:val="20"/>
                <w:color w:val="auto"/>
              </w:rPr>
            </w:pPr>
            <w:r>
              <w:rPr>
                <w:rFonts w:ascii="Arial" w:cs="Arial" w:eastAsia="Arial" w:hAnsi="Arial"/>
                <w:sz w:val="12"/>
                <w:szCs w:val="12"/>
                <w:color w:val="auto"/>
              </w:rPr>
              <w:t>Date</w:t>
            </w:r>
          </w:p>
        </w:tc>
        <w:tc>
          <w:tcPr>
            <w:tcW w:w="700" w:type="dxa"/>
            <w:vAlign w:val="bottom"/>
            <w:tcBorders>
              <w:bottom w:val="single" w:sz="8" w:color="auto"/>
            </w:tcBorders>
          </w:tcPr>
          <w:p>
            <w:pPr>
              <w:jc w:val="right"/>
              <w:ind w:right="39"/>
              <w:spacing w:after="0" w:line="137" w:lineRule="exact"/>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ind w:right="18"/>
              <w:spacing w:after="0" w:line="137" w:lineRule="exact"/>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gridSpan w:val="2"/>
          </w:tcPr>
          <w:p>
            <w:pPr>
              <w:jc w:val="right"/>
              <w:ind w:right="160"/>
              <w:spacing w:after="0" w:line="137" w:lineRule="exact"/>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ind w:right="18"/>
              <w:spacing w:after="0" w:line="137" w:lineRule="exact"/>
              <w:rPr>
                <w:sz w:val="20"/>
                <w:szCs w:val="20"/>
                <w:color w:val="auto"/>
              </w:rPr>
            </w:pPr>
            <w:r>
              <w:rPr>
                <w:rFonts w:ascii="Arial" w:cs="Arial" w:eastAsia="Arial" w:hAnsi="Arial"/>
                <w:sz w:val="12"/>
                <w:szCs w:val="12"/>
                <w:color w:val="auto"/>
              </w:rPr>
              <w:t>(#)</w:t>
            </w:r>
          </w:p>
        </w:tc>
        <w:tc>
          <w:tcPr>
            <w:tcW w:w="600" w:type="dxa"/>
            <w:vAlign w:val="bottom"/>
            <w:tcBorders>
              <w:bottom w:val="single" w:sz="8" w:color="auto"/>
            </w:tcBorders>
          </w:tcPr>
          <w:p>
            <w:pPr>
              <w:jc w:val="right"/>
              <w:ind w:right="18"/>
              <w:spacing w:after="0" w:line="137" w:lineRule="exact"/>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jc w:val="right"/>
              <w:ind w:right="18"/>
              <w:spacing w:after="0" w:line="137" w:lineRule="exact"/>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820" w:type="dxa"/>
            <w:vAlign w:val="bottom"/>
          </w:tcPr>
          <w:p>
            <w:pPr>
              <w:spacing w:after="0"/>
              <w:rPr>
                <w:sz w:val="20"/>
                <w:szCs w:val="20"/>
                <w:color w:val="auto"/>
              </w:rPr>
            </w:pPr>
            <w:r>
              <w:rPr>
                <w:rFonts w:ascii="Arial" w:cs="Arial" w:eastAsia="Arial" w:hAnsi="Arial"/>
                <w:sz w:val="12"/>
                <w:szCs w:val="12"/>
                <w:color w:val="auto"/>
              </w:rPr>
              <w:t>Bernard J. Duroc-Danner</w:t>
            </w:r>
          </w:p>
        </w:tc>
        <w:tc>
          <w:tcPr>
            <w:tcW w:w="2060" w:type="dxa"/>
            <w:vAlign w:val="bottom"/>
          </w:tcPr>
          <w:p>
            <w:pPr>
              <w:ind w:left="1480"/>
              <w:spacing w:after="0"/>
              <w:rPr>
                <w:sz w:val="20"/>
                <w:szCs w:val="20"/>
                <w:color w:val="auto"/>
              </w:rPr>
            </w:pPr>
            <w:r>
              <w:rPr>
                <w:rFonts w:ascii="Arial" w:cs="Arial" w:eastAsia="Arial" w:hAnsi="Arial"/>
                <w:sz w:val="12"/>
                <w:szCs w:val="12"/>
                <w:color w:val="auto"/>
              </w:rPr>
              <w:t>Jan 2</w:t>
            </w: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5,450</w:t>
            </w:r>
          </w:p>
        </w:tc>
        <w:tc>
          <w:tcPr>
            <w:tcW w:w="920" w:type="dxa"/>
            <w:vAlign w:val="bottom"/>
          </w:tcPr>
          <w:p>
            <w:pPr>
              <w:jc w:val="right"/>
              <w:spacing w:after="0"/>
              <w:rPr>
                <w:sz w:val="20"/>
                <w:szCs w:val="20"/>
                <w:color w:val="auto"/>
              </w:rPr>
            </w:pPr>
            <w:r>
              <w:rPr>
                <w:rFonts w:ascii="Arial" w:cs="Arial" w:eastAsia="Arial" w:hAnsi="Arial"/>
                <w:sz w:val="12"/>
                <w:szCs w:val="12"/>
                <w:color w:val="auto"/>
              </w:rPr>
              <w:t>61,476</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60"/>
              <w:spacing w:after="0"/>
              <w:rPr>
                <w:sz w:val="20"/>
                <w:szCs w:val="20"/>
                <w:color w:val="auto"/>
              </w:rPr>
            </w:pPr>
            <w:r>
              <w:rPr>
                <w:rFonts w:ascii="Arial" w:cs="Arial" w:eastAsia="Arial" w:hAnsi="Arial"/>
                <w:sz w:val="12"/>
                <w:szCs w:val="12"/>
                <w:color w:val="auto"/>
              </w:rPr>
              <w:t>Mar 7</w:t>
            </w:r>
          </w:p>
        </w:tc>
        <w:tc>
          <w:tcPr>
            <w:tcW w:w="700" w:type="dxa"/>
            <w:vAlign w:val="bottom"/>
          </w:tcPr>
          <w:p>
            <w:pPr>
              <w:jc w:val="right"/>
              <w:ind w:right="39"/>
              <w:spacing w:after="0"/>
              <w:rPr>
                <w:sz w:val="20"/>
                <w:szCs w:val="20"/>
                <w:color w:val="auto"/>
              </w:rPr>
            </w:pPr>
            <w:r>
              <w:rPr>
                <w:rFonts w:ascii="Arial" w:cs="Arial" w:eastAsia="Arial" w:hAnsi="Arial"/>
                <w:sz w:val="12"/>
                <w:szCs w:val="12"/>
                <w:color w:val="auto"/>
              </w:rPr>
              <w:t>1,115,822</w:t>
            </w:r>
          </w:p>
        </w:tc>
        <w:tc>
          <w:tcPr>
            <w:tcW w:w="740" w:type="dxa"/>
            <w:vAlign w:val="bottom"/>
          </w:tcPr>
          <w:p>
            <w:pPr>
              <w:jc w:val="right"/>
              <w:ind w:right="18"/>
              <w:spacing w:after="0"/>
              <w:rPr>
                <w:sz w:val="20"/>
                <w:szCs w:val="20"/>
                <w:color w:val="auto"/>
              </w:rPr>
            </w:pPr>
            <w:r>
              <w:rPr>
                <w:rFonts w:ascii="Arial" w:cs="Arial" w:eastAsia="Arial" w:hAnsi="Arial"/>
                <w:sz w:val="12"/>
                <w:szCs w:val="12"/>
                <w:color w:val="auto"/>
              </w:rPr>
              <w:t>2,231,645</w:t>
            </w:r>
          </w:p>
        </w:tc>
        <w:tc>
          <w:tcPr>
            <w:tcW w:w="620" w:type="dxa"/>
            <w:vAlign w:val="bottom"/>
          </w:tcPr>
          <w:p>
            <w:pPr>
              <w:jc w:val="right"/>
              <w:spacing w:after="0"/>
              <w:rPr>
                <w:sz w:val="20"/>
                <w:szCs w:val="20"/>
                <w:color w:val="auto"/>
              </w:rPr>
            </w:pPr>
            <w:r>
              <w:rPr>
                <w:rFonts w:ascii="Arial" w:cs="Arial" w:eastAsia="Arial" w:hAnsi="Arial"/>
                <w:sz w:val="12"/>
                <w:szCs w:val="12"/>
                <w:color w:val="auto"/>
              </w:rPr>
              <w:t>4,463,290</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60"/>
              <w:spacing w:after="0"/>
              <w:rPr>
                <w:sz w:val="20"/>
                <w:szCs w:val="20"/>
                <w:color w:val="auto"/>
              </w:rPr>
            </w:pPr>
            <w:r>
              <w:rPr>
                <w:rFonts w:ascii="Arial" w:cs="Arial" w:eastAsia="Arial" w:hAnsi="Arial"/>
                <w:sz w:val="12"/>
                <w:szCs w:val="12"/>
                <w:color w:val="auto"/>
              </w:rPr>
              <w:t>Mar 7</w:t>
            </w:r>
            <w:r>
              <w:rPr>
                <w:rFonts w:ascii="Arial" w:cs="Arial" w:eastAsia="Arial" w:hAnsi="Arial"/>
                <w:sz w:val="10"/>
                <w:szCs w:val="10"/>
                <w:color w:val="auto"/>
              </w:rPr>
              <w:t>(3)</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343,938</w:t>
            </w:r>
          </w:p>
        </w:tc>
        <w:tc>
          <w:tcPr>
            <w:tcW w:w="600" w:type="dxa"/>
            <w:vAlign w:val="bottom"/>
          </w:tcPr>
          <w:p>
            <w:pPr>
              <w:jc w:val="right"/>
              <w:ind w:right="18"/>
              <w:spacing w:after="0"/>
              <w:rPr>
                <w:sz w:val="20"/>
                <w:szCs w:val="20"/>
                <w:color w:val="auto"/>
              </w:rPr>
            </w:pPr>
            <w:r>
              <w:rPr>
                <w:rFonts w:ascii="Arial" w:cs="Arial" w:eastAsia="Arial" w:hAnsi="Arial"/>
                <w:sz w:val="12"/>
                <w:szCs w:val="12"/>
                <w:color w:val="auto"/>
              </w:rPr>
              <w:t>687,876</w:t>
            </w:r>
          </w:p>
        </w:tc>
        <w:tc>
          <w:tcPr>
            <w:tcW w:w="620" w:type="dxa"/>
            <w:vAlign w:val="bottom"/>
          </w:tcPr>
          <w:p>
            <w:pPr>
              <w:jc w:val="right"/>
              <w:spacing w:after="0"/>
              <w:rPr>
                <w:sz w:val="20"/>
                <w:szCs w:val="20"/>
                <w:color w:val="auto"/>
              </w:rPr>
            </w:pPr>
            <w:r>
              <w:rPr>
                <w:rFonts w:ascii="Arial" w:cs="Arial" w:eastAsia="Arial" w:hAnsi="Arial"/>
                <w:sz w:val="12"/>
                <w:szCs w:val="12"/>
                <w:color w:val="auto"/>
              </w:rPr>
              <w:t>1,375,752</w:t>
            </w: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7,435,940</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80"/>
              <w:spacing w:after="0"/>
              <w:rPr>
                <w:sz w:val="20"/>
                <w:szCs w:val="20"/>
                <w:color w:val="auto"/>
              </w:rPr>
            </w:pPr>
            <w:r>
              <w:rPr>
                <w:rFonts w:ascii="Arial" w:cs="Arial" w:eastAsia="Arial" w:hAnsi="Arial"/>
                <w:sz w:val="12"/>
                <w:szCs w:val="12"/>
                <w:color w:val="auto"/>
              </w:rPr>
              <w:t>Apr 1</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9,632</w:t>
            </w:r>
          </w:p>
        </w:tc>
        <w:tc>
          <w:tcPr>
            <w:tcW w:w="920" w:type="dxa"/>
            <w:vAlign w:val="bottom"/>
          </w:tcPr>
          <w:p>
            <w:pPr>
              <w:jc w:val="right"/>
              <w:spacing w:after="0"/>
              <w:rPr>
                <w:sz w:val="20"/>
                <w:szCs w:val="20"/>
                <w:color w:val="auto"/>
              </w:rPr>
            </w:pPr>
            <w:r>
              <w:rPr>
                <w:rFonts w:ascii="Arial" w:cs="Arial" w:eastAsia="Arial" w:hAnsi="Arial"/>
                <w:sz w:val="12"/>
                <w:szCs w:val="12"/>
                <w:color w:val="auto"/>
              </w:rPr>
              <w:t>117,029</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60"/>
              <w:spacing w:after="0"/>
              <w:rPr>
                <w:sz w:val="20"/>
                <w:szCs w:val="20"/>
                <w:color w:val="auto"/>
              </w:rPr>
            </w:pPr>
            <w:r>
              <w:rPr>
                <w:rFonts w:ascii="Arial" w:cs="Arial" w:eastAsia="Arial" w:hAnsi="Arial"/>
                <w:sz w:val="12"/>
                <w:szCs w:val="12"/>
                <w:color w:val="auto"/>
              </w:rPr>
              <w:t>July 1</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4,525</w:t>
            </w:r>
          </w:p>
        </w:tc>
        <w:tc>
          <w:tcPr>
            <w:tcW w:w="920" w:type="dxa"/>
            <w:vAlign w:val="bottom"/>
          </w:tcPr>
          <w:p>
            <w:pPr>
              <w:jc w:val="right"/>
              <w:spacing w:after="0"/>
              <w:rPr>
                <w:sz w:val="20"/>
                <w:szCs w:val="20"/>
                <w:color w:val="auto"/>
              </w:rPr>
            </w:pPr>
            <w:r>
              <w:rPr>
                <w:rFonts w:ascii="Arial" w:cs="Arial" w:eastAsia="Arial" w:hAnsi="Arial"/>
                <w:sz w:val="12"/>
                <w:szCs w:val="12"/>
                <w:color w:val="auto"/>
              </w:rPr>
              <w:t>62,581</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80"/>
              <w:spacing w:after="0"/>
              <w:rPr>
                <w:sz w:val="20"/>
                <w:szCs w:val="20"/>
                <w:color w:val="auto"/>
              </w:rPr>
            </w:pPr>
            <w:r>
              <w:rPr>
                <w:rFonts w:ascii="Arial" w:cs="Arial" w:eastAsia="Arial" w:hAnsi="Arial"/>
                <w:sz w:val="12"/>
                <w:szCs w:val="12"/>
                <w:color w:val="auto"/>
              </w:rPr>
              <w:t>Oct 1</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4,090</w:t>
            </w:r>
          </w:p>
        </w:tc>
        <w:tc>
          <w:tcPr>
            <w:tcW w:w="920" w:type="dxa"/>
            <w:vAlign w:val="bottom"/>
          </w:tcPr>
          <w:p>
            <w:pPr>
              <w:jc w:val="right"/>
              <w:spacing w:after="0"/>
              <w:rPr>
                <w:sz w:val="20"/>
                <w:szCs w:val="20"/>
                <w:color w:val="auto"/>
              </w:rPr>
            </w:pPr>
            <w:r>
              <w:rPr>
                <w:rFonts w:ascii="Arial" w:cs="Arial" w:eastAsia="Arial" w:hAnsi="Arial"/>
                <w:sz w:val="12"/>
                <w:szCs w:val="12"/>
                <w:color w:val="auto"/>
              </w:rPr>
              <w:t>65,399</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20"/>
                <w:szCs w:val="20"/>
                <w:color w:val="auto"/>
              </w:rPr>
            </w:pPr>
            <w:r>
              <w:rPr>
                <w:rFonts w:ascii="Arial" w:cs="Arial" w:eastAsia="Arial" w:hAnsi="Arial"/>
                <w:sz w:val="12"/>
                <w:szCs w:val="12"/>
                <w:color w:val="auto"/>
              </w:rPr>
              <w:t>Krishna Shivram</w:t>
            </w:r>
          </w:p>
        </w:tc>
        <w:tc>
          <w:tcPr>
            <w:tcW w:w="2060" w:type="dxa"/>
            <w:vAlign w:val="bottom"/>
          </w:tcPr>
          <w:p>
            <w:pPr>
              <w:ind w:left="1460"/>
              <w:spacing w:after="0"/>
              <w:rPr>
                <w:sz w:val="20"/>
                <w:szCs w:val="20"/>
                <w:color w:val="auto"/>
              </w:rPr>
            </w:pPr>
            <w:r>
              <w:rPr>
                <w:rFonts w:ascii="Arial" w:cs="Arial" w:eastAsia="Arial" w:hAnsi="Arial"/>
                <w:sz w:val="12"/>
                <w:szCs w:val="12"/>
                <w:color w:val="auto"/>
              </w:rPr>
              <w:t>Nov 6</w:t>
            </w:r>
          </w:p>
        </w:tc>
        <w:tc>
          <w:tcPr>
            <w:tcW w:w="700" w:type="dxa"/>
            <w:vAlign w:val="bottom"/>
          </w:tcPr>
          <w:p>
            <w:pPr>
              <w:jc w:val="right"/>
              <w:ind w:right="39"/>
              <w:spacing w:after="0"/>
              <w:rPr>
                <w:sz w:val="20"/>
                <w:szCs w:val="20"/>
                <w:color w:val="auto"/>
              </w:rPr>
            </w:pPr>
            <w:r>
              <w:rPr>
                <w:rFonts w:ascii="Arial" w:cs="Arial" w:eastAsia="Arial" w:hAnsi="Arial"/>
                <w:sz w:val="12"/>
                <w:szCs w:val="12"/>
                <w:color w:val="auto"/>
              </w:rPr>
              <w:t>57,534</w:t>
            </w:r>
          </w:p>
        </w:tc>
        <w:tc>
          <w:tcPr>
            <w:tcW w:w="740" w:type="dxa"/>
            <w:vAlign w:val="bottom"/>
          </w:tcPr>
          <w:p>
            <w:pPr>
              <w:jc w:val="right"/>
              <w:ind w:right="18"/>
              <w:spacing w:after="0"/>
              <w:rPr>
                <w:sz w:val="20"/>
                <w:szCs w:val="20"/>
                <w:color w:val="auto"/>
              </w:rPr>
            </w:pPr>
            <w:r>
              <w:rPr>
                <w:rFonts w:ascii="Arial" w:cs="Arial" w:eastAsia="Arial" w:hAnsi="Arial"/>
                <w:sz w:val="12"/>
                <w:szCs w:val="12"/>
                <w:color w:val="auto"/>
              </w:rPr>
              <w:t>115,068</w:t>
            </w: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230,137</w:t>
            </w: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60"/>
              <w:spacing w:after="0"/>
              <w:rPr>
                <w:sz w:val="20"/>
                <w:szCs w:val="20"/>
                <w:color w:val="auto"/>
              </w:rPr>
            </w:pPr>
            <w:r>
              <w:rPr>
                <w:rFonts w:ascii="Arial" w:cs="Arial" w:eastAsia="Arial" w:hAnsi="Arial"/>
                <w:sz w:val="12"/>
                <w:szCs w:val="12"/>
                <w:color w:val="auto"/>
              </w:rPr>
              <w:t>Nov 6</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231,024</w:t>
            </w:r>
          </w:p>
        </w:tc>
        <w:tc>
          <w:tcPr>
            <w:tcW w:w="920" w:type="dxa"/>
            <w:vAlign w:val="bottom"/>
          </w:tcPr>
          <w:p>
            <w:pPr>
              <w:jc w:val="right"/>
              <w:spacing w:after="0"/>
              <w:rPr>
                <w:sz w:val="20"/>
                <w:szCs w:val="20"/>
                <w:color w:val="auto"/>
              </w:rPr>
            </w:pPr>
            <w:r>
              <w:rPr>
                <w:rFonts w:ascii="Arial" w:cs="Arial" w:eastAsia="Arial" w:hAnsi="Arial"/>
                <w:sz w:val="12"/>
                <w:szCs w:val="12"/>
                <w:color w:val="auto"/>
              </w:rPr>
              <w:t>3,936,649</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20"/>
                <w:szCs w:val="20"/>
                <w:color w:val="auto"/>
              </w:rPr>
            </w:pPr>
            <w:r>
              <w:rPr>
                <w:rFonts w:ascii="Arial" w:cs="Arial" w:eastAsia="Arial" w:hAnsi="Arial"/>
                <w:sz w:val="12"/>
                <w:szCs w:val="12"/>
                <w:color w:val="auto"/>
              </w:rPr>
              <w:t>Dharmesh Mehta</w:t>
            </w:r>
          </w:p>
        </w:tc>
        <w:tc>
          <w:tcPr>
            <w:tcW w:w="2060" w:type="dxa"/>
            <w:vAlign w:val="bottom"/>
          </w:tcPr>
          <w:p>
            <w:pPr>
              <w:ind w:left="1480"/>
              <w:spacing w:after="0"/>
              <w:rPr>
                <w:sz w:val="20"/>
                <w:szCs w:val="20"/>
                <w:color w:val="auto"/>
              </w:rPr>
            </w:pPr>
            <w:r>
              <w:rPr>
                <w:rFonts w:ascii="Arial" w:cs="Arial" w:eastAsia="Arial" w:hAnsi="Arial"/>
                <w:sz w:val="12"/>
                <w:szCs w:val="12"/>
                <w:color w:val="auto"/>
              </w:rPr>
              <w:t>Jan 2</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2,112</w:t>
            </w:r>
          </w:p>
        </w:tc>
        <w:tc>
          <w:tcPr>
            <w:tcW w:w="920" w:type="dxa"/>
            <w:vAlign w:val="bottom"/>
          </w:tcPr>
          <w:p>
            <w:pPr>
              <w:jc w:val="right"/>
              <w:spacing w:after="0"/>
              <w:rPr>
                <w:sz w:val="20"/>
                <w:szCs w:val="20"/>
                <w:color w:val="auto"/>
              </w:rPr>
            </w:pPr>
            <w:r>
              <w:rPr>
                <w:rFonts w:ascii="Arial" w:cs="Arial" w:eastAsia="Arial" w:hAnsi="Arial"/>
                <w:sz w:val="12"/>
                <w:szCs w:val="12"/>
                <w:color w:val="auto"/>
              </w:rPr>
              <w:t>23,823</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60"/>
              <w:spacing w:after="0"/>
              <w:rPr>
                <w:sz w:val="20"/>
                <w:szCs w:val="20"/>
                <w:color w:val="auto"/>
              </w:rPr>
            </w:pPr>
            <w:r>
              <w:rPr>
                <w:rFonts w:ascii="Arial" w:cs="Arial" w:eastAsia="Arial" w:hAnsi="Arial"/>
                <w:sz w:val="12"/>
                <w:szCs w:val="12"/>
                <w:color w:val="auto"/>
              </w:rPr>
              <w:t>Mar 7</w:t>
            </w:r>
          </w:p>
        </w:tc>
        <w:tc>
          <w:tcPr>
            <w:tcW w:w="700" w:type="dxa"/>
            <w:vAlign w:val="bottom"/>
          </w:tcPr>
          <w:p>
            <w:pPr>
              <w:jc w:val="right"/>
              <w:ind w:right="39"/>
              <w:spacing w:after="0"/>
              <w:rPr>
                <w:sz w:val="20"/>
                <w:szCs w:val="20"/>
                <w:color w:val="auto"/>
              </w:rPr>
            </w:pPr>
            <w:r>
              <w:rPr>
                <w:rFonts w:ascii="Arial" w:cs="Arial" w:eastAsia="Arial" w:hAnsi="Arial"/>
                <w:sz w:val="12"/>
                <w:szCs w:val="12"/>
                <w:color w:val="auto"/>
              </w:rPr>
              <w:t>357,500</w:t>
            </w:r>
          </w:p>
        </w:tc>
        <w:tc>
          <w:tcPr>
            <w:tcW w:w="740" w:type="dxa"/>
            <w:vAlign w:val="bottom"/>
          </w:tcPr>
          <w:p>
            <w:pPr>
              <w:jc w:val="right"/>
              <w:ind w:right="18"/>
              <w:spacing w:after="0"/>
              <w:rPr>
                <w:sz w:val="20"/>
                <w:szCs w:val="20"/>
                <w:color w:val="auto"/>
              </w:rPr>
            </w:pPr>
            <w:r>
              <w:rPr>
                <w:rFonts w:ascii="Arial" w:cs="Arial" w:eastAsia="Arial" w:hAnsi="Arial"/>
                <w:sz w:val="12"/>
                <w:szCs w:val="12"/>
                <w:color w:val="auto"/>
              </w:rPr>
              <w:t>715,000</w:t>
            </w:r>
          </w:p>
        </w:tc>
        <w:tc>
          <w:tcPr>
            <w:tcW w:w="620" w:type="dxa"/>
            <w:vAlign w:val="bottom"/>
          </w:tcPr>
          <w:p>
            <w:pPr>
              <w:jc w:val="right"/>
              <w:spacing w:after="0"/>
              <w:rPr>
                <w:sz w:val="20"/>
                <w:szCs w:val="20"/>
                <w:color w:val="auto"/>
              </w:rPr>
            </w:pPr>
            <w:r>
              <w:rPr>
                <w:rFonts w:ascii="Arial" w:cs="Arial" w:eastAsia="Arial" w:hAnsi="Arial"/>
                <w:sz w:val="12"/>
                <w:szCs w:val="12"/>
                <w:color w:val="auto"/>
              </w:rPr>
              <w:t>1,430,000</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60"/>
              <w:spacing w:after="0"/>
              <w:rPr>
                <w:sz w:val="20"/>
                <w:szCs w:val="20"/>
                <w:color w:val="auto"/>
              </w:rPr>
            </w:pPr>
            <w:r>
              <w:rPr>
                <w:rFonts w:ascii="Arial" w:cs="Arial" w:eastAsia="Arial" w:hAnsi="Arial"/>
                <w:sz w:val="12"/>
                <w:szCs w:val="12"/>
                <w:color w:val="auto"/>
              </w:rPr>
              <w:t>Mar 7</w:t>
            </w:r>
            <w:r>
              <w:rPr>
                <w:rFonts w:ascii="Arial" w:cs="Arial" w:eastAsia="Arial" w:hAnsi="Arial"/>
                <w:sz w:val="10"/>
                <w:szCs w:val="10"/>
                <w:color w:val="auto"/>
              </w:rPr>
              <w:t>(3)</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62,339</w:t>
            </w:r>
          </w:p>
        </w:tc>
        <w:tc>
          <w:tcPr>
            <w:tcW w:w="600" w:type="dxa"/>
            <w:vAlign w:val="bottom"/>
          </w:tcPr>
          <w:p>
            <w:pPr>
              <w:jc w:val="right"/>
              <w:ind w:right="18"/>
              <w:spacing w:after="0"/>
              <w:rPr>
                <w:sz w:val="20"/>
                <w:szCs w:val="20"/>
                <w:color w:val="auto"/>
              </w:rPr>
            </w:pPr>
            <w:r>
              <w:rPr>
                <w:rFonts w:ascii="Arial" w:cs="Arial" w:eastAsia="Arial" w:hAnsi="Arial"/>
                <w:sz w:val="12"/>
                <w:szCs w:val="12"/>
                <w:color w:val="auto"/>
              </w:rPr>
              <w:t>124,678</w:t>
            </w:r>
          </w:p>
        </w:tc>
        <w:tc>
          <w:tcPr>
            <w:tcW w:w="620" w:type="dxa"/>
            <w:vAlign w:val="bottom"/>
          </w:tcPr>
          <w:p>
            <w:pPr>
              <w:jc w:val="right"/>
              <w:spacing w:after="0"/>
              <w:rPr>
                <w:sz w:val="20"/>
                <w:szCs w:val="20"/>
                <w:color w:val="auto"/>
              </w:rPr>
            </w:pPr>
            <w:r>
              <w:rPr>
                <w:rFonts w:ascii="Arial" w:cs="Arial" w:eastAsia="Arial" w:hAnsi="Arial"/>
                <w:sz w:val="12"/>
                <w:szCs w:val="12"/>
                <w:color w:val="auto"/>
              </w:rPr>
              <w:t>249,356</w:t>
            </w: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1,347,769</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60"/>
              <w:spacing w:after="0"/>
              <w:rPr>
                <w:sz w:val="20"/>
                <w:szCs w:val="20"/>
                <w:color w:val="auto"/>
              </w:rPr>
            </w:pPr>
            <w:r>
              <w:rPr>
                <w:rFonts w:ascii="Arial" w:cs="Arial" w:eastAsia="Arial" w:hAnsi="Arial"/>
                <w:sz w:val="12"/>
                <w:szCs w:val="12"/>
                <w:color w:val="auto"/>
              </w:rPr>
              <w:t>Mar 7</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124,678</w:t>
            </w:r>
          </w:p>
        </w:tc>
        <w:tc>
          <w:tcPr>
            <w:tcW w:w="920" w:type="dxa"/>
            <w:vAlign w:val="bottom"/>
          </w:tcPr>
          <w:p>
            <w:pPr>
              <w:jc w:val="right"/>
              <w:spacing w:after="0"/>
              <w:rPr>
                <w:sz w:val="20"/>
                <w:szCs w:val="20"/>
                <w:color w:val="auto"/>
              </w:rPr>
            </w:pPr>
            <w:r>
              <w:rPr>
                <w:rFonts w:ascii="Arial" w:cs="Arial" w:eastAsia="Arial" w:hAnsi="Arial"/>
                <w:sz w:val="12"/>
                <w:szCs w:val="12"/>
                <w:color w:val="auto"/>
              </w:rPr>
              <w:t>1,450,005</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80"/>
              <w:spacing w:after="0"/>
              <w:rPr>
                <w:sz w:val="20"/>
                <w:szCs w:val="20"/>
                <w:color w:val="auto"/>
              </w:rPr>
            </w:pPr>
            <w:r>
              <w:rPr>
                <w:rFonts w:ascii="Arial" w:cs="Arial" w:eastAsia="Arial" w:hAnsi="Arial"/>
                <w:sz w:val="12"/>
                <w:szCs w:val="12"/>
                <w:color w:val="auto"/>
              </w:rPr>
              <w:t>Apr 1</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3,373</w:t>
            </w:r>
          </w:p>
        </w:tc>
        <w:tc>
          <w:tcPr>
            <w:tcW w:w="920" w:type="dxa"/>
            <w:vAlign w:val="bottom"/>
          </w:tcPr>
          <w:p>
            <w:pPr>
              <w:jc w:val="right"/>
              <w:spacing w:after="0"/>
              <w:rPr>
                <w:sz w:val="20"/>
                <w:szCs w:val="20"/>
                <w:color w:val="auto"/>
              </w:rPr>
            </w:pPr>
            <w:r>
              <w:rPr>
                <w:rFonts w:ascii="Arial" w:cs="Arial" w:eastAsia="Arial" w:hAnsi="Arial"/>
                <w:sz w:val="12"/>
                <w:szCs w:val="12"/>
                <w:color w:val="auto"/>
              </w:rPr>
              <w:t>40,982</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520"/>
              <w:spacing w:after="0"/>
              <w:rPr>
                <w:sz w:val="20"/>
                <w:szCs w:val="20"/>
                <w:color w:val="auto"/>
              </w:rPr>
            </w:pPr>
            <w:r>
              <w:rPr>
                <w:rFonts w:ascii="Arial" w:cs="Arial" w:eastAsia="Arial" w:hAnsi="Arial"/>
                <w:sz w:val="12"/>
                <w:szCs w:val="12"/>
                <w:color w:val="auto"/>
              </w:rPr>
              <w:t>Jul 1</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2,023</w:t>
            </w:r>
          </w:p>
        </w:tc>
        <w:tc>
          <w:tcPr>
            <w:tcW w:w="920" w:type="dxa"/>
            <w:vAlign w:val="bottom"/>
          </w:tcPr>
          <w:p>
            <w:pPr>
              <w:jc w:val="right"/>
              <w:spacing w:after="0"/>
              <w:rPr>
                <w:sz w:val="20"/>
                <w:szCs w:val="20"/>
                <w:color w:val="auto"/>
              </w:rPr>
            </w:pPr>
            <w:r>
              <w:rPr>
                <w:rFonts w:ascii="Arial" w:cs="Arial" w:eastAsia="Arial" w:hAnsi="Arial"/>
                <w:sz w:val="12"/>
                <w:szCs w:val="12"/>
                <w:color w:val="auto"/>
              </w:rPr>
              <w:t>27,978</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80"/>
              <w:spacing w:after="0"/>
              <w:rPr>
                <w:sz w:val="20"/>
                <w:szCs w:val="20"/>
                <w:color w:val="auto"/>
              </w:rPr>
            </w:pPr>
            <w:r>
              <w:rPr>
                <w:rFonts w:ascii="Arial" w:cs="Arial" w:eastAsia="Arial" w:hAnsi="Arial"/>
                <w:sz w:val="12"/>
                <w:szCs w:val="12"/>
                <w:color w:val="auto"/>
              </w:rPr>
              <w:t>Oct 1</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1,828</w:t>
            </w:r>
          </w:p>
        </w:tc>
        <w:tc>
          <w:tcPr>
            <w:tcW w:w="920" w:type="dxa"/>
            <w:vAlign w:val="bottom"/>
          </w:tcPr>
          <w:p>
            <w:pPr>
              <w:jc w:val="right"/>
              <w:spacing w:after="0"/>
              <w:rPr>
                <w:sz w:val="20"/>
                <w:szCs w:val="20"/>
                <w:color w:val="auto"/>
              </w:rPr>
            </w:pPr>
            <w:r>
              <w:rPr>
                <w:rFonts w:ascii="Arial" w:cs="Arial" w:eastAsia="Arial" w:hAnsi="Arial"/>
                <w:sz w:val="12"/>
                <w:szCs w:val="12"/>
                <w:color w:val="auto"/>
              </w:rPr>
              <w:t>29,230</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20"/>
                <w:szCs w:val="20"/>
                <w:color w:val="auto"/>
              </w:rPr>
            </w:pPr>
            <w:r>
              <w:rPr>
                <w:rFonts w:ascii="Arial" w:cs="Arial" w:eastAsia="Arial" w:hAnsi="Arial"/>
                <w:sz w:val="12"/>
                <w:szCs w:val="12"/>
                <w:color w:val="auto"/>
              </w:rPr>
              <w:t>Nicholas W. Gee</w:t>
            </w:r>
          </w:p>
        </w:tc>
        <w:tc>
          <w:tcPr>
            <w:tcW w:w="2060" w:type="dxa"/>
            <w:vAlign w:val="bottom"/>
          </w:tcPr>
          <w:p>
            <w:pPr>
              <w:ind w:left="1480"/>
              <w:spacing w:after="0"/>
              <w:rPr>
                <w:sz w:val="20"/>
                <w:szCs w:val="20"/>
                <w:color w:val="auto"/>
              </w:rPr>
            </w:pPr>
            <w:r>
              <w:rPr>
                <w:rFonts w:ascii="Arial" w:cs="Arial" w:eastAsia="Arial" w:hAnsi="Arial"/>
                <w:sz w:val="12"/>
                <w:szCs w:val="12"/>
                <w:color w:val="auto"/>
              </w:rPr>
              <w:t>Jan 2</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2,057</w:t>
            </w:r>
          </w:p>
        </w:tc>
        <w:tc>
          <w:tcPr>
            <w:tcW w:w="920" w:type="dxa"/>
            <w:vAlign w:val="bottom"/>
          </w:tcPr>
          <w:p>
            <w:pPr>
              <w:jc w:val="right"/>
              <w:spacing w:after="0"/>
              <w:rPr>
                <w:sz w:val="20"/>
                <w:szCs w:val="20"/>
                <w:color w:val="auto"/>
              </w:rPr>
            </w:pPr>
            <w:r>
              <w:rPr>
                <w:rFonts w:ascii="Arial" w:cs="Arial" w:eastAsia="Arial" w:hAnsi="Arial"/>
                <w:sz w:val="12"/>
                <w:szCs w:val="12"/>
                <w:color w:val="auto"/>
              </w:rPr>
              <w:t>23,203</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60"/>
              <w:spacing w:after="0"/>
              <w:rPr>
                <w:sz w:val="20"/>
                <w:szCs w:val="20"/>
                <w:color w:val="auto"/>
              </w:rPr>
            </w:pPr>
            <w:r>
              <w:rPr>
                <w:rFonts w:ascii="Arial" w:cs="Arial" w:eastAsia="Arial" w:hAnsi="Arial"/>
                <w:sz w:val="12"/>
                <w:szCs w:val="12"/>
                <w:color w:val="auto"/>
              </w:rPr>
              <w:t>Mar 7</w:t>
            </w:r>
          </w:p>
        </w:tc>
        <w:tc>
          <w:tcPr>
            <w:tcW w:w="700" w:type="dxa"/>
            <w:vAlign w:val="bottom"/>
          </w:tcPr>
          <w:p>
            <w:pPr>
              <w:jc w:val="right"/>
              <w:ind w:right="39"/>
              <w:spacing w:after="0"/>
              <w:rPr>
                <w:sz w:val="20"/>
                <w:szCs w:val="20"/>
                <w:color w:val="auto"/>
              </w:rPr>
            </w:pPr>
            <w:r>
              <w:rPr>
                <w:rFonts w:ascii="Arial" w:cs="Arial" w:eastAsia="Arial" w:hAnsi="Arial"/>
                <w:sz w:val="12"/>
                <w:szCs w:val="12"/>
                <w:color w:val="auto"/>
              </w:rPr>
              <w:t>288,888</w:t>
            </w:r>
          </w:p>
        </w:tc>
        <w:tc>
          <w:tcPr>
            <w:tcW w:w="740" w:type="dxa"/>
            <w:vAlign w:val="bottom"/>
          </w:tcPr>
          <w:p>
            <w:pPr>
              <w:jc w:val="right"/>
              <w:ind w:right="18"/>
              <w:spacing w:after="0"/>
              <w:rPr>
                <w:sz w:val="20"/>
                <w:szCs w:val="20"/>
                <w:color w:val="auto"/>
              </w:rPr>
            </w:pPr>
            <w:r>
              <w:rPr>
                <w:rFonts w:ascii="Arial" w:cs="Arial" w:eastAsia="Arial" w:hAnsi="Arial"/>
                <w:sz w:val="12"/>
                <w:szCs w:val="12"/>
                <w:color w:val="auto"/>
              </w:rPr>
              <w:t>577,777</w:t>
            </w:r>
          </w:p>
        </w:tc>
        <w:tc>
          <w:tcPr>
            <w:tcW w:w="620" w:type="dxa"/>
            <w:vAlign w:val="bottom"/>
          </w:tcPr>
          <w:p>
            <w:pPr>
              <w:jc w:val="right"/>
              <w:spacing w:after="0"/>
              <w:rPr>
                <w:sz w:val="20"/>
                <w:szCs w:val="20"/>
                <w:color w:val="auto"/>
              </w:rPr>
            </w:pPr>
            <w:r>
              <w:rPr>
                <w:rFonts w:ascii="Arial" w:cs="Arial" w:eastAsia="Arial" w:hAnsi="Arial"/>
                <w:sz w:val="12"/>
                <w:szCs w:val="12"/>
                <w:color w:val="auto"/>
              </w:rPr>
              <w:t>1,155,553</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60"/>
              <w:spacing w:after="0"/>
              <w:rPr>
                <w:sz w:val="20"/>
                <w:szCs w:val="20"/>
                <w:color w:val="auto"/>
              </w:rPr>
            </w:pPr>
            <w:r>
              <w:rPr>
                <w:rFonts w:ascii="Arial" w:cs="Arial" w:eastAsia="Arial" w:hAnsi="Arial"/>
                <w:sz w:val="12"/>
                <w:szCs w:val="12"/>
                <w:color w:val="auto"/>
              </w:rPr>
              <w:t>Mar 7</w:t>
            </w:r>
            <w:r>
              <w:rPr>
                <w:rFonts w:ascii="Arial" w:cs="Arial" w:eastAsia="Arial" w:hAnsi="Arial"/>
                <w:sz w:val="10"/>
                <w:szCs w:val="10"/>
                <w:color w:val="auto"/>
              </w:rPr>
              <w:t>(3)</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61,264</w:t>
            </w:r>
          </w:p>
        </w:tc>
        <w:tc>
          <w:tcPr>
            <w:tcW w:w="600" w:type="dxa"/>
            <w:vAlign w:val="bottom"/>
          </w:tcPr>
          <w:p>
            <w:pPr>
              <w:jc w:val="right"/>
              <w:ind w:right="18"/>
              <w:spacing w:after="0"/>
              <w:rPr>
                <w:sz w:val="20"/>
                <w:szCs w:val="20"/>
                <w:color w:val="auto"/>
              </w:rPr>
            </w:pPr>
            <w:r>
              <w:rPr>
                <w:rFonts w:ascii="Arial" w:cs="Arial" w:eastAsia="Arial" w:hAnsi="Arial"/>
                <w:sz w:val="12"/>
                <w:szCs w:val="12"/>
                <w:color w:val="auto"/>
              </w:rPr>
              <w:t>122,528</w:t>
            </w:r>
          </w:p>
        </w:tc>
        <w:tc>
          <w:tcPr>
            <w:tcW w:w="620" w:type="dxa"/>
            <w:vAlign w:val="bottom"/>
          </w:tcPr>
          <w:p>
            <w:pPr>
              <w:jc w:val="right"/>
              <w:spacing w:after="0"/>
              <w:rPr>
                <w:sz w:val="20"/>
                <w:szCs w:val="20"/>
                <w:color w:val="auto"/>
              </w:rPr>
            </w:pPr>
            <w:r>
              <w:rPr>
                <w:rFonts w:ascii="Arial" w:cs="Arial" w:eastAsia="Arial" w:hAnsi="Arial"/>
                <w:sz w:val="12"/>
                <w:szCs w:val="12"/>
                <w:color w:val="auto"/>
              </w:rPr>
              <w:t>245,056</w:t>
            </w: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1,324,528</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60"/>
              <w:spacing w:after="0"/>
              <w:rPr>
                <w:sz w:val="20"/>
                <w:szCs w:val="20"/>
                <w:color w:val="auto"/>
              </w:rPr>
            </w:pPr>
            <w:r>
              <w:rPr>
                <w:rFonts w:ascii="Arial" w:cs="Arial" w:eastAsia="Arial" w:hAnsi="Arial"/>
                <w:sz w:val="12"/>
                <w:szCs w:val="12"/>
                <w:color w:val="auto"/>
              </w:rPr>
              <w:t>Mar 7</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122,528</w:t>
            </w:r>
          </w:p>
        </w:tc>
        <w:tc>
          <w:tcPr>
            <w:tcW w:w="920" w:type="dxa"/>
            <w:vAlign w:val="bottom"/>
          </w:tcPr>
          <w:p>
            <w:pPr>
              <w:jc w:val="right"/>
              <w:spacing w:after="0"/>
              <w:rPr>
                <w:sz w:val="20"/>
                <w:szCs w:val="20"/>
                <w:color w:val="auto"/>
              </w:rPr>
            </w:pPr>
            <w:r>
              <w:rPr>
                <w:rFonts w:ascii="Arial" w:cs="Arial" w:eastAsia="Arial" w:hAnsi="Arial"/>
                <w:sz w:val="12"/>
                <w:szCs w:val="12"/>
                <w:color w:val="auto"/>
              </w:rPr>
              <w:t>1,425,001</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80"/>
              <w:spacing w:after="0"/>
              <w:rPr>
                <w:sz w:val="20"/>
                <w:szCs w:val="20"/>
                <w:color w:val="auto"/>
              </w:rPr>
            </w:pPr>
            <w:r>
              <w:rPr>
                <w:rFonts w:ascii="Arial" w:cs="Arial" w:eastAsia="Arial" w:hAnsi="Arial"/>
                <w:sz w:val="12"/>
                <w:szCs w:val="12"/>
                <w:color w:val="auto"/>
              </w:rPr>
              <w:t>Apr 1</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3,175</w:t>
            </w:r>
          </w:p>
        </w:tc>
        <w:tc>
          <w:tcPr>
            <w:tcW w:w="920" w:type="dxa"/>
            <w:vAlign w:val="bottom"/>
          </w:tcPr>
          <w:p>
            <w:pPr>
              <w:jc w:val="right"/>
              <w:spacing w:after="0"/>
              <w:rPr>
                <w:sz w:val="20"/>
                <w:szCs w:val="20"/>
                <w:color w:val="auto"/>
              </w:rPr>
            </w:pPr>
            <w:r>
              <w:rPr>
                <w:rFonts w:ascii="Arial" w:cs="Arial" w:eastAsia="Arial" w:hAnsi="Arial"/>
                <w:sz w:val="12"/>
                <w:szCs w:val="12"/>
                <w:color w:val="auto"/>
              </w:rPr>
              <w:t>38,576</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520"/>
              <w:spacing w:after="0"/>
              <w:rPr>
                <w:sz w:val="20"/>
                <w:szCs w:val="20"/>
                <w:color w:val="auto"/>
              </w:rPr>
            </w:pPr>
            <w:r>
              <w:rPr>
                <w:rFonts w:ascii="Arial" w:cs="Arial" w:eastAsia="Arial" w:hAnsi="Arial"/>
                <w:sz w:val="12"/>
                <w:szCs w:val="12"/>
                <w:color w:val="auto"/>
              </w:rPr>
              <w:t>Jul 1</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1,832</w:t>
            </w:r>
          </w:p>
        </w:tc>
        <w:tc>
          <w:tcPr>
            <w:tcW w:w="920" w:type="dxa"/>
            <w:vAlign w:val="bottom"/>
          </w:tcPr>
          <w:p>
            <w:pPr>
              <w:jc w:val="right"/>
              <w:spacing w:after="0"/>
              <w:rPr>
                <w:sz w:val="20"/>
                <w:szCs w:val="20"/>
                <w:color w:val="auto"/>
              </w:rPr>
            </w:pPr>
            <w:r>
              <w:rPr>
                <w:rFonts w:ascii="Arial" w:cs="Arial" w:eastAsia="Arial" w:hAnsi="Arial"/>
                <w:sz w:val="12"/>
                <w:szCs w:val="12"/>
                <w:color w:val="auto"/>
              </w:rPr>
              <w:t>25,337</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80"/>
              <w:spacing w:after="0"/>
              <w:rPr>
                <w:sz w:val="20"/>
                <w:szCs w:val="20"/>
                <w:color w:val="auto"/>
              </w:rPr>
            </w:pPr>
            <w:r>
              <w:rPr>
                <w:rFonts w:ascii="Arial" w:cs="Arial" w:eastAsia="Arial" w:hAnsi="Arial"/>
                <w:sz w:val="12"/>
                <w:szCs w:val="12"/>
                <w:color w:val="auto"/>
              </w:rPr>
              <w:t>Oct 1</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1,678</w:t>
            </w:r>
          </w:p>
        </w:tc>
        <w:tc>
          <w:tcPr>
            <w:tcW w:w="920" w:type="dxa"/>
            <w:vAlign w:val="bottom"/>
          </w:tcPr>
          <w:p>
            <w:pPr>
              <w:jc w:val="right"/>
              <w:spacing w:after="0"/>
              <w:rPr>
                <w:sz w:val="20"/>
                <w:szCs w:val="20"/>
                <w:color w:val="auto"/>
              </w:rPr>
            </w:pPr>
            <w:r>
              <w:rPr>
                <w:rFonts w:ascii="Arial" w:cs="Arial" w:eastAsia="Arial" w:hAnsi="Arial"/>
                <w:sz w:val="12"/>
                <w:szCs w:val="12"/>
                <w:color w:val="auto"/>
              </w:rPr>
              <w:t>26,831</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20"/>
                <w:szCs w:val="20"/>
                <w:color w:val="auto"/>
              </w:rPr>
            </w:pPr>
            <w:r>
              <w:rPr>
                <w:rFonts w:ascii="Arial" w:cs="Arial" w:eastAsia="Arial" w:hAnsi="Arial"/>
                <w:sz w:val="12"/>
                <w:szCs w:val="12"/>
                <w:color w:val="auto"/>
              </w:rPr>
              <w:t>John H. Briscoe</w:t>
            </w:r>
          </w:p>
        </w:tc>
        <w:tc>
          <w:tcPr>
            <w:tcW w:w="2060" w:type="dxa"/>
            <w:vAlign w:val="bottom"/>
          </w:tcPr>
          <w:p>
            <w:pPr>
              <w:ind w:left="1460"/>
              <w:spacing w:after="0"/>
              <w:rPr>
                <w:sz w:val="20"/>
                <w:szCs w:val="20"/>
                <w:color w:val="auto"/>
              </w:rPr>
            </w:pPr>
            <w:r>
              <w:rPr>
                <w:rFonts w:ascii="Arial" w:cs="Arial" w:eastAsia="Arial" w:hAnsi="Arial"/>
                <w:sz w:val="12"/>
                <w:szCs w:val="12"/>
                <w:color w:val="auto"/>
              </w:rPr>
              <w:t>Mar 7</w:t>
            </w:r>
          </w:p>
        </w:tc>
        <w:tc>
          <w:tcPr>
            <w:tcW w:w="700" w:type="dxa"/>
            <w:vAlign w:val="bottom"/>
          </w:tcPr>
          <w:p>
            <w:pPr>
              <w:jc w:val="right"/>
              <w:ind w:right="39"/>
              <w:spacing w:after="0"/>
              <w:rPr>
                <w:sz w:val="20"/>
                <w:szCs w:val="20"/>
                <w:color w:val="auto"/>
              </w:rPr>
            </w:pPr>
            <w:r>
              <w:rPr>
                <w:rFonts w:ascii="Arial" w:cs="Arial" w:eastAsia="Arial" w:hAnsi="Arial"/>
                <w:sz w:val="12"/>
                <w:szCs w:val="12"/>
                <w:color w:val="auto"/>
              </w:rPr>
              <w:t>327,600</w:t>
            </w:r>
          </w:p>
        </w:tc>
        <w:tc>
          <w:tcPr>
            <w:tcW w:w="740" w:type="dxa"/>
            <w:vAlign w:val="bottom"/>
          </w:tcPr>
          <w:p>
            <w:pPr>
              <w:jc w:val="right"/>
              <w:ind w:right="18"/>
              <w:spacing w:after="0"/>
              <w:rPr>
                <w:sz w:val="20"/>
                <w:szCs w:val="20"/>
                <w:color w:val="auto"/>
              </w:rPr>
            </w:pPr>
            <w:r>
              <w:rPr>
                <w:rFonts w:ascii="Arial" w:cs="Arial" w:eastAsia="Arial" w:hAnsi="Arial"/>
                <w:sz w:val="12"/>
                <w:szCs w:val="12"/>
                <w:color w:val="auto"/>
              </w:rPr>
              <w:t>655,200</w:t>
            </w:r>
          </w:p>
        </w:tc>
        <w:tc>
          <w:tcPr>
            <w:tcW w:w="620" w:type="dxa"/>
            <w:vAlign w:val="bottom"/>
          </w:tcPr>
          <w:p>
            <w:pPr>
              <w:jc w:val="right"/>
              <w:spacing w:after="0"/>
              <w:rPr>
                <w:sz w:val="20"/>
                <w:szCs w:val="20"/>
                <w:color w:val="auto"/>
              </w:rPr>
            </w:pPr>
            <w:r>
              <w:rPr>
                <w:rFonts w:ascii="Arial" w:cs="Arial" w:eastAsia="Arial" w:hAnsi="Arial"/>
                <w:sz w:val="12"/>
                <w:szCs w:val="12"/>
                <w:color w:val="auto"/>
              </w:rPr>
              <w:t>1,310,400</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60"/>
              <w:spacing w:after="0"/>
              <w:rPr>
                <w:sz w:val="20"/>
                <w:szCs w:val="20"/>
                <w:color w:val="auto"/>
              </w:rPr>
            </w:pPr>
            <w:r>
              <w:rPr>
                <w:rFonts w:ascii="Arial" w:cs="Arial" w:eastAsia="Arial" w:hAnsi="Arial"/>
                <w:sz w:val="12"/>
                <w:szCs w:val="12"/>
                <w:color w:val="auto"/>
              </w:rPr>
              <w:t>Mar 7</w:t>
            </w:r>
            <w:r>
              <w:rPr>
                <w:rFonts w:ascii="Arial" w:cs="Arial" w:eastAsia="Arial" w:hAnsi="Arial"/>
                <w:sz w:val="10"/>
                <w:szCs w:val="10"/>
                <w:color w:val="auto"/>
              </w:rPr>
              <w:t>(3)</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59,115</w:t>
            </w:r>
          </w:p>
        </w:tc>
        <w:tc>
          <w:tcPr>
            <w:tcW w:w="600" w:type="dxa"/>
            <w:vAlign w:val="bottom"/>
          </w:tcPr>
          <w:p>
            <w:pPr>
              <w:jc w:val="right"/>
              <w:ind w:right="18"/>
              <w:spacing w:after="0"/>
              <w:rPr>
                <w:sz w:val="20"/>
                <w:szCs w:val="20"/>
                <w:color w:val="auto"/>
              </w:rPr>
            </w:pPr>
            <w:r>
              <w:rPr>
                <w:rFonts w:ascii="Arial" w:cs="Arial" w:eastAsia="Arial" w:hAnsi="Arial"/>
                <w:sz w:val="12"/>
                <w:szCs w:val="12"/>
                <w:color w:val="auto"/>
              </w:rPr>
              <w:t>118,229</w:t>
            </w:r>
          </w:p>
        </w:tc>
        <w:tc>
          <w:tcPr>
            <w:tcW w:w="620" w:type="dxa"/>
            <w:vAlign w:val="bottom"/>
          </w:tcPr>
          <w:p>
            <w:pPr>
              <w:jc w:val="right"/>
              <w:spacing w:after="0"/>
              <w:rPr>
                <w:sz w:val="20"/>
                <w:szCs w:val="20"/>
                <w:color w:val="auto"/>
              </w:rPr>
            </w:pPr>
            <w:r>
              <w:rPr>
                <w:rFonts w:ascii="Arial" w:cs="Arial" w:eastAsia="Arial" w:hAnsi="Arial"/>
                <w:sz w:val="12"/>
                <w:szCs w:val="12"/>
                <w:color w:val="auto"/>
              </w:rPr>
              <w:t>236,458</w:t>
            </w: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1,278,055</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60"/>
              <w:spacing w:after="0"/>
              <w:rPr>
                <w:sz w:val="20"/>
                <w:szCs w:val="20"/>
                <w:color w:val="auto"/>
              </w:rPr>
            </w:pPr>
            <w:r>
              <w:rPr>
                <w:rFonts w:ascii="Arial" w:cs="Arial" w:eastAsia="Arial" w:hAnsi="Arial"/>
                <w:sz w:val="12"/>
                <w:szCs w:val="12"/>
                <w:color w:val="auto"/>
              </w:rPr>
              <w:t>Mar 7</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118,229</w:t>
            </w:r>
          </w:p>
        </w:tc>
        <w:tc>
          <w:tcPr>
            <w:tcW w:w="920" w:type="dxa"/>
            <w:vAlign w:val="bottom"/>
          </w:tcPr>
          <w:p>
            <w:pPr>
              <w:jc w:val="right"/>
              <w:spacing w:after="0"/>
              <w:rPr>
                <w:sz w:val="20"/>
                <w:szCs w:val="20"/>
                <w:color w:val="auto"/>
              </w:rPr>
            </w:pPr>
            <w:r>
              <w:rPr>
                <w:rFonts w:ascii="Arial" w:cs="Arial" w:eastAsia="Arial" w:hAnsi="Arial"/>
                <w:sz w:val="12"/>
                <w:szCs w:val="12"/>
                <w:color w:val="auto"/>
              </w:rPr>
              <w:t>1,375,003</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20"/>
                <w:szCs w:val="20"/>
                <w:color w:val="auto"/>
              </w:rPr>
            </w:pPr>
            <w:r>
              <w:rPr>
                <w:rFonts w:ascii="Arial" w:cs="Arial" w:eastAsia="Arial" w:hAnsi="Arial"/>
                <w:sz w:val="12"/>
                <w:szCs w:val="12"/>
                <w:color w:val="auto"/>
              </w:rPr>
              <w:t>Peter T. Fontana</w:t>
            </w:r>
          </w:p>
        </w:tc>
        <w:tc>
          <w:tcPr>
            <w:tcW w:w="2060" w:type="dxa"/>
            <w:vAlign w:val="bottom"/>
          </w:tcPr>
          <w:p>
            <w:pPr>
              <w:ind w:left="1480"/>
              <w:spacing w:after="0"/>
              <w:rPr>
                <w:sz w:val="20"/>
                <w:szCs w:val="20"/>
                <w:color w:val="auto"/>
              </w:rPr>
            </w:pPr>
            <w:r>
              <w:rPr>
                <w:rFonts w:ascii="Arial" w:cs="Arial" w:eastAsia="Arial" w:hAnsi="Arial"/>
                <w:sz w:val="12"/>
                <w:szCs w:val="12"/>
                <w:color w:val="auto"/>
              </w:rPr>
              <w:t>Jan 2</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3,384</w:t>
            </w:r>
          </w:p>
        </w:tc>
        <w:tc>
          <w:tcPr>
            <w:tcW w:w="920" w:type="dxa"/>
            <w:vAlign w:val="bottom"/>
          </w:tcPr>
          <w:p>
            <w:pPr>
              <w:jc w:val="right"/>
              <w:spacing w:after="0"/>
              <w:rPr>
                <w:sz w:val="20"/>
                <w:szCs w:val="20"/>
                <w:color w:val="auto"/>
              </w:rPr>
            </w:pPr>
            <w:r>
              <w:rPr>
                <w:rFonts w:ascii="Arial" w:cs="Arial" w:eastAsia="Arial" w:hAnsi="Arial"/>
                <w:sz w:val="12"/>
                <w:szCs w:val="12"/>
                <w:color w:val="auto"/>
              </w:rPr>
              <w:t>38,172</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60"/>
              <w:spacing w:after="0"/>
              <w:rPr>
                <w:sz w:val="20"/>
                <w:szCs w:val="20"/>
                <w:color w:val="auto"/>
              </w:rPr>
            </w:pPr>
            <w:r>
              <w:rPr>
                <w:rFonts w:ascii="Arial" w:cs="Arial" w:eastAsia="Arial" w:hAnsi="Arial"/>
                <w:sz w:val="12"/>
                <w:szCs w:val="12"/>
                <w:color w:val="auto"/>
              </w:rPr>
              <w:t>Mar 7</w:t>
            </w:r>
          </w:p>
        </w:tc>
        <w:tc>
          <w:tcPr>
            <w:tcW w:w="700" w:type="dxa"/>
            <w:vAlign w:val="bottom"/>
          </w:tcPr>
          <w:p>
            <w:pPr>
              <w:jc w:val="right"/>
              <w:ind w:right="39"/>
              <w:spacing w:after="0"/>
              <w:rPr>
                <w:sz w:val="20"/>
                <w:szCs w:val="20"/>
                <w:color w:val="auto"/>
              </w:rPr>
            </w:pPr>
            <w:r>
              <w:rPr>
                <w:rFonts w:ascii="Arial" w:cs="Arial" w:eastAsia="Arial" w:hAnsi="Arial"/>
                <w:sz w:val="12"/>
                <w:szCs w:val="12"/>
                <w:color w:val="auto"/>
              </w:rPr>
              <w:t>481,116</w:t>
            </w:r>
          </w:p>
        </w:tc>
        <w:tc>
          <w:tcPr>
            <w:tcW w:w="740" w:type="dxa"/>
            <w:vAlign w:val="bottom"/>
          </w:tcPr>
          <w:p>
            <w:pPr>
              <w:jc w:val="right"/>
              <w:ind w:right="18"/>
              <w:spacing w:after="0"/>
              <w:rPr>
                <w:sz w:val="20"/>
                <w:szCs w:val="20"/>
                <w:color w:val="auto"/>
              </w:rPr>
            </w:pPr>
            <w:r>
              <w:rPr>
                <w:rFonts w:ascii="Arial" w:cs="Arial" w:eastAsia="Arial" w:hAnsi="Arial"/>
                <w:sz w:val="12"/>
                <w:szCs w:val="12"/>
                <w:color w:val="auto"/>
              </w:rPr>
              <w:t>962,232</w:t>
            </w:r>
          </w:p>
        </w:tc>
        <w:tc>
          <w:tcPr>
            <w:tcW w:w="620" w:type="dxa"/>
            <w:vAlign w:val="bottom"/>
          </w:tcPr>
          <w:p>
            <w:pPr>
              <w:jc w:val="right"/>
              <w:spacing w:after="0"/>
              <w:rPr>
                <w:sz w:val="20"/>
                <w:szCs w:val="20"/>
                <w:color w:val="auto"/>
              </w:rPr>
            </w:pPr>
            <w:r>
              <w:rPr>
                <w:rFonts w:ascii="Arial" w:cs="Arial" w:eastAsia="Arial" w:hAnsi="Arial"/>
                <w:sz w:val="12"/>
                <w:szCs w:val="12"/>
                <w:color w:val="auto"/>
              </w:rPr>
              <w:t>1,924,464</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60"/>
              <w:spacing w:after="0"/>
              <w:rPr>
                <w:sz w:val="20"/>
                <w:szCs w:val="20"/>
                <w:color w:val="auto"/>
              </w:rPr>
            </w:pPr>
            <w:r>
              <w:rPr>
                <w:rFonts w:ascii="Arial" w:cs="Arial" w:eastAsia="Arial" w:hAnsi="Arial"/>
                <w:sz w:val="12"/>
                <w:szCs w:val="12"/>
                <w:color w:val="auto"/>
              </w:rPr>
              <w:t>Mar 7</w:t>
            </w:r>
            <w:r>
              <w:rPr>
                <w:rFonts w:ascii="Arial" w:cs="Arial" w:eastAsia="Arial" w:hAnsi="Arial"/>
                <w:sz w:val="10"/>
                <w:szCs w:val="10"/>
                <w:color w:val="auto"/>
              </w:rPr>
              <w:t>(3)</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214,962</w:t>
            </w:r>
          </w:p>
        </w:tc>
        <w:tc>
          <w:tcPr>
            <w:tcW w:w="600" w:type="dxa"/>
            <w:vAlign w:val="bottom"/>
          </w:tcPr>
          <w:p>
            <w:pPr>
              <w:jc w:val="right"/>
              <w:ind w:right="18"/>
              <w:spacing w:after="0"/>
              <w:rPr>
                <w:sz w:val="20"/>
                <w:szCs w:val="20"/>
                <w:color w:val="auto"/>
              </w:rPr>
            </w:pPr>
            <w:r>
              <w:rPr>
                <w:rFonts w:ascii="Arial" w:cs="Arial" w:eastAsia="Arial" w:hAnsi="Arial"/>
                <w:sz w:val="12"/>
                <w:szCs w:val="12"/>
                <w:color w:val="auto"/>
              </w:rPr>
              <w:t>429,923</w:t>
            </w:r>
          </w:p>
        </w:tc>
        <w:tc>
          <w:tcPr>
            <w:tcW w:w="620" w:type="dxa"/>
            <w:vAlign w:val="bottom"/>
          </w:tcPr>
          <w:p>
            <w:pPr>
              <w:jc w:val="right"/>
              <w:spacing w:after="0"/>
              <w:rPr>
                <w:sz w:val="20"/>
                <w:szCs w:val="20"/>
                <w:color w:val="auto"/>
              </w:rPr>
            </w:pPr>
            <w:r>
              <w:rPr>
                <w:rFonts w:ascii="Arial" w:cs="Arial" w:eastAsia="Arial" w:hAnsi="Arial"/>
                <w:sz w:val="12"/>
                <w:szCs w:val="12"/>
                <w:color w:val="auto"/>
              </w:rPr>
              <w:t>859,846</w:t>
            </w: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4,647,468</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80"/>
              <w:spacing w:after="0"/>
              <w:rPr>
                <w:sz w:val="20"/>
                <w:szCs w:val="20"/>
                <w:color w:val="auto"/>
              </w:rPr>
            </w:pPr>
            <w:r>
              <w:rPr>
                <w:rFonts w:ascii="Arial" w:cs="Arial" w:eastAsia="Arial" w:hAnsi="Arial"/>
                <w:sz w:val="12"/>
                <w:szCs w:val="12"/>
                <w:color w:val="auto"/>
              </w:rPr>
              <w:t>Apr 1</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5,175</w:t>
            </w:r>
          </w:p>
        </w:tc>
        <w:tc>
          <w:tcPr>
            <w:tcW w:w="920" w:type="dxa"/>
            <w:vAlign w:val="bottom"/>
          </w:tcPr>
          <w:p>
            <w:pPr>
              <w:jc w:val="right"/>
              <w:spacing w:after="0"/>
              <w:rPr>
                <w:sz w:val="20"/>
                <w:szCs w:val="20"/>
                <w:color w:val="auto"/>
              </w:rPr>
            </w:pPr>
            <w:r>
              <w:rPr>
                <w:rFonts w:ascii="Arial" w:cs="Arial" w:eastAsia="Arial" w:hAnsi="Arial"/>
                <w:sz w:val="12"/>
                <w:szCs w:val="12"/>
                <w:color w:val="auto"/>
              </w:rPr>
              <w:t>62,876</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520"/>
              <w:spacing w:after="0"/>
              <w:rPr>
                <w:sz w:val="20"/>
                <w:szCs w:val="20"/>
                <w:color w:val="auto"/>
              </w:rPr>
            </w:pPr>
            <w:r>
              <w:rPr>
                <w:rFonts w:ascii="Arial" w:cs="Arial" w:eastAsia="Arial" w:hAnsi="Arial"/>
                <w:sz w:val="12"/>
                <w:szCs w:val="12"/>
                <w:color w:val="auto"/>
              </w:rPr>
              <w:t>Jul 1</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2,801</w:t>
            </w:r>
          </w:p>
        </w:tc>
        <w:tc>
          <w:tcPr>
            <w:tcW w:w="920" w:type="dxa"/>
            <w:vAlign w:val="bottom"/>
          </w:tcPr>
          <w:p>
            <w:pPr>
              <w:jc w:val="right"/>
              <w:spacing w:after="0"/>
              <w:rPr>
                <w:sz w:val="20"/>
                <w:szCs w:val="20"/>
                <w:color w:val="auto"/>
              </w:rPr>
            </w:pPr>
            <w:r>
              <w:rPr>
                <w:rFonts w:ascii="Arial" w:cs="Arial" w:eastAsia="Arial" w:hAnsi="Arial"/>
                <w:sz w:val="12"/>
                <w:szCs w:val="12"/>
                <w:color w:val="auto"/>
              </w:rPr>
              <w:t>38,738</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80"/>
              <w:spacing w:after="0"/>
              <w:rPr>
                <w:sz w:val="20"/>
                <w:szCs w:val="20"/>
                <w:color w:val="auto"/>
              </w:rPr>
            </w:pPr>
            <w:r>
              <w:rPr>
                <w:rFonts w:ascii="Arial" w:cs="Arial" w:eastAsia="Arial" w:hAnsi="Arial"/>
                <w:sz w:val="12"/>
                <w:szCs w:val="12"/>
                <w:color w:val="auto"/>
              </w:rPr>
              <w:t>Oct 1</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2,585</w:t>
            </w:r>
          </w:p>
        </w:tc>
        <w:tc>
          <w:tcPr>
            <w:tcW w:w="920" w:type="dxa"/>
            <w:vAlign w:val="bottom"/>
          </w:tcPr>
          <w:p>
            <w:pPr>
              <w:jc w:val="right"/>
              <w:spacing w:after="0"/>
              <w:rPr>
                <w:sz w:val="20"/>
                <w:szCs w:val="20"/>
                <w:color w:val="auto"/>
              </w:rPr>
            </w:pPr>
            <w:r>
              <w:rPr>
                <w:rFonts w:ascii="Arial" w:cs="Arial" w:eastAsia="Arial" w:hAnsi="Arial"/>
                <w:sz w:val="12"/>
                <w:szCs w:val="12"/>
                <w:color w:val="auto"/>
              </w:rPr>
              <w:t>41,334</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20"/>
                <w:szCs w:val="20"/>
                <w:color w:val="auto"/>
              </w:rPr>
            </w:pPr>
            <w:r>
              <w:rPr>
                <w:rFonts w:ascii="Arial" w:cs="Arial" w:eastAsia="Arial" w:hAnsi="Arial"/>
                <w:sz w:val="12"/>
                <w:szCs w:val="12"/>
                <w:color w:val="auto"/>
              </w:rPr>
              <w:t>Joseph C. Henry</w:t>
            </w:r>
          </w:p>
        </w:tc>
        <w:tc>
          <w:tcPr>
            <w:tcW w:w="2060" w:type="dxa"/>
            <w:vAlign w:val="bottom"/>
          </w:tcPr>
          <w:p>
            <w:pPr>
              <w:ind w:left="1480"/>
              <w:spacing w:after="0"/>
              <w:rPr>
                <w:sz w:val="20"/>
                <w:szCs w:val="20"/>
                <w:color w:val="auto"/>
              </w:rPr>
            </w:pPr>
            <w:r>
              <w:rPr>
                <w:rFonts w:ascii="Arial" w:cs="Arial" w:eastAsia="Arial" w:hAnsi="Arial"/>
                <w:sz w:val="12"/>
                <w:szCs w:val="12"/>
                <w:color w:val="auto"/>
              </w:rPr>
              <w:t>Jan 2</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1,772</w:t>
            </w:r>
          </w:p>
        </w:tc>
        <w:tc>
          <w:tcPr>
            <w:tcW w:w="920" w:type="dxa"/>
            <w:vAlign w:val="bottom"/>
          </w:tcPr>
          <w:p>
            <w:pPr>
              <w:jc w:val="right"/>
              <w:spacing w:after="0"/>
              <w:rPr>
                <w:sz w:val="20"/>
                <w:szCs w:val="20"/>
                <w:color w:val="auto"/>
              </w:rPr>
            </w:pPr>
            <w:r>
              <w:rPr>
                <w:rFonts w:ascii="Arial" w:cs="Arial" w:eastAsia="Arial" w:hAnsi="Arial"/>
                <w:sz w:val="12"/>
                <w:szCs w:val="12"/>
                <w:color w:val="auto"/>
              </w:rPr>
              <w:t>19,988</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60"/>
              <w:spacing w:after="0"/>
              <w:rPr>
                <w:sz w:val="20"/>
                <w:szCs w:val="20"/>
                <w:color w:val="auto"/>
              </w:rPr>
            </w:pPr>
            <w:r>
              <w:rPr>
                <w:rFonts w:ascii="Arial" w:cs="Arial" w:eastAsia="Arial" w:hAnsi="Arial"/>
                <w:sz w:val="12"/>
                <w:szCs w:val="12"/>
                <w:color w:val="auto"/>
              </w:rPr>
              <w:t>Mar 7</w:t>
            </w:r>
          </w:p>
        </w:tc>
        <w:tc>
          <w:tcPr>
            <w:tcW w:w="700" w:type="dxa"/>
            <w:vAlign w:val="bottom"/>
          </w:tcPr>
          <w:p>
            <w:pPr>
              <w:jc w:val="right"/>
              <w:ind w:right="39"/>
              <w:spacing w:after="0"/>
              <w:rPr>
                <w:sz w:val="20"/>
                <w:szCs w:val="20"/>
                <w:color w:val="auto"/>
              </w:rPr>
            </w:pPr>
            <w:r>
              <w:rPr>
                <w:rFonts w:ascii="Arial" w:cs="Arial" w:eastAsia="Arial" w:hAnsi="Arial"/>
                <w:sz w:val="12"/>
                <w:szCs w:val="12"/>
                <w:color w:val="auto"/>
              </w:rPr>
              <w:t>243,360</w:t>
            </w:r>
          </w:p>
        </w:tc>
        <w:tc>
          <w:tcPr>
            <w:tcW w:w="740" w:type="dxa"/>
            <w:vAlign w:val="bottom"/>
          </w:tcPr>
          <w:p>
            <w:pPr>
              <w:jc w:val="right"/>
              <w:ind w:right="18"/>
              <w:spacing w:after="0"/>
              <w:rPr>
                <w:sz w:val="20"/>
                <w:szCs w:val="20"/>
                <w:color w:val="auto"/>
              </w:rPr>
            </w:pPr>
            <w:r>
              <w:rPr>
                <w:rFonts w:ascii="Arial" w:cs="Arial" w:eastAsia="Arial" w:hAnsi="Arial"/>
                <w:sz w:val="12"/>
                <w:szCs w:val="12"/>
                <w:color w:val="auto"/>
              </w:rPr>
              <w:t>486,720</w:t>
            </w: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973,440</w:t>
            </w: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60"/>
              <w:spacing w:after="0"/>
              <w:rPr>
                <w:sz w:val="20"/>
                <w:szCs w:val="20"/>
                <w:color w:val="auto"/>
              </w:rPr>
            </w:pPr>
            <w:r>
              <w:rPr>
                <w:rFonts w:ascii="Arial" w:cs="Arial" w:eastAsia="Arial" w:hAnsi="Arial"/>
                <w:sz w:val="12"/>
                <w:szCs w:val="12"/>
                <w:color w:val="auto"/>
              </w:rPr>
              <w:t>Mar 7</w:t>
            </w:r>
            <w:r>
              <w:rPr>
                <w:rFonts w:ascii="Arial" w:cs="Arial" w:eastAsia="Arial" w:hAnsi="Arial"/>
                <w:sz w:val="10"/>
                <w:szCs w:val="10"/>
                <w:color w:val="auto"/>
              </w:rPr>
              <w:t>(3)</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42,993</w:t>
            </w:r>
          </w:p>
        </w:tc>
        <w:tc>
          <w:tcPr>
            <w:tcW w:w="600" w:type="dxa"/>
            <w:vAlign w:val="bottom"/>
          </w:tcPr>
          <w:p>
            <w:pPr>
              <w:jc w:val="right"/>
              <w:ind w:right="18"/>
              <w:spacing w:after="0"/>
              <w:rPr>
                <w:sz w:val="20"/>
                <w:szCs w:val="20"/>
                <w:color w:val="auto"/>
              </w:rPr>
            </w:pPr>
            <w:r>
              <w:rPr>
                <w:rFonts w:ascii="Arial" w:cs="Arial" w:eastAsia="Arial" w:hAnsi="Arial"/>
                <w:sz w:val="12"/>
                <w:szCs w:val="12"/>
                <w:color w:val="auto"/>
              </w:rPr>
              <w:t>85,985</w:t>
            </w:r>
          </w:p>
        </w:tc>
        <w:tc>
          <w:tcPr>
            <w:tcW w:w="620" w:type="dxa"/>
            <w:vAlign w:val="bottom"/>
          </w:tcPr>
          <w:p>
            <w:pPr>
              <w:jc w:val="right"/>
              <w:spacing w:after="0"/>
              <w:rPr>
                <w:sz w:val="20"/>
                <w:szCs w:val="20"/>
                <w:color w:val="auto"/>
              </w:rPr>
            </w:pPr>
            <w:r>
              <w:rPr>
                <w:rFonts w:ascii="Arial" w:cs="Arial" w:eastAsia="Arial" w:hAnsi="Arial"/>
                <w:sz w:val="12"/>
                <w:szCs w:val="12"/>
                <w:color w:val="auto"/>
              </w:rPr>
              <w:t>171,970</w:t>
            </w: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929,498</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60"/>
              <w:spacing w:after="0"/>
              <w:rPr>
                <w:sz w:val="20"/>
                <w:szCs w:val="20"/>
                <w:color w:val="auto"/>
              </w:rPr>
            </w:pPr>
            <w:r>
              <w:rPr>
                <w:rFonts w:ascii="Arial" w:cs="Arial" w:eastAsia="Arial" w:hAnsi="Arial"/>
                <w:sz w:val="12"/>
                <w:szCs w:val="12"/>
                <w:color w:val="auto"/>
              </w:rPr>
              <w:t>Mar 7</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85,985</w:t>
            </w:r>
          </w:p>
        </w:tc>
        <w:tc>
          <w:tcPr>
            <w:tcW w:w="920" w:type="dxa"/>
            <w:vAlign w:val="bottom"/>
          </w:tcPr>
          <w:p>
            <w:pPr>
              <w:jc w:val="right"/>
              <w:spacing w:after="0"/>
              <w:rPr>
                <w:sz w:val="20"/>
                <w:szCs w:val="20"/>
                <w:color w:val="auto"/>
              </w:rPr>
            </w:pPr>
            <w:r>
              <w:rPr>
                <w:rFonts w:ascii="Arial" w:cs="Arial" w:eastAsia="Arial" w:hAnsi="Arial"/>
                <w:sz w:val="12"/>
                <w:szCs w:val="12"/>
                <w:color w:val="auto"/>
              </w:rPr>
              <w:t>1,000,006</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80"/>
              <w:spacing w:after="0"/>
              <w:rPr>
                <w:sz w:val="20"/>
                <w:szCs w:val="20"/>
                <w:color w:val="auto"/>
              </w:rPr>
            </w:pPr>
            <w:r>
              <w:rPr>
                <w:rFonts w:ascii="Arial" w:cs="Arial" w:eastAsia="Arial" w:hAnsi="Arial"/>
                <w:sz w:val="12"/>
                <w:szCs w:val="12"/>
                <w:color w:val="auto"/>
              </w:rPr>
              <w:t>Apr 1</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2,769</w:t>
            </w:r>
          </w:p>
        </w:tc>
        <w:tc>
          <w:tcPr>
            <w:tcW w:w="920" w:type="dxa"/>
            <w:vAlign w:val="bottom"/>
          </w:tcPr>
          <w:p>
            <w:pPr>
              <w:jc w:val="right"/>
              <w:spacing w:after="0"/>
              <w:rPr>
                <w:sz w:val="20"/>
                <w:szCs w:val="20"/>
                <w:color w:val="auto"/>
              </w:rPr>
            </w:pPr>
            <w:r>
              <w:rPr>
                <w:rFonts w:ascii="Arial" w:cs="Arial" w:eastAsia="Arial" w:hAnsi="Arial"/>
                <w:sz w:val="12"/>
                <w:szCs w:val="12"/>
                <w:color w:val="auto"/>
              </w:rPr>
              <w:t>33,643</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520"/>
              <w:spacing w:after="0"/>
              <w:rPr>
                <w:sz w:val="20"/>
                <w:szCs w:val="20"/>
                <w:color w:val="auto"/>
              </w:rPr>
            </w:pPr>
            <w:r>
              <w:rPr>
                <w:rFonts w:ascii="Arial" w:cs="Arial" w:eastAsia="Arial" w:hAnsi="Arial"/>
                <w:sz w:val="12"/>
                <w:szCs w:val="12"/>
                <w:color w:val="auto"/>
              </w:rPr>
              <w:t>Jul 1</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1,530</w:t>
            </w:r>
          </w:p>
        </w:tc>
        <w:tc>
          <w:tcPr>
            <w:tcW w:w="920" w:type="dxa"/>
            <w:vAlign w:val="bottom"/>
          </w:tcPr>
          <w:p>
            <w:pPr>
              <w:jc w:val="right"/>
              <w:spacing w:after="0"/>
              <w:rPr>
                <w:sz w:val="20"/>
                <w:szCs w:val="20"/>
                <w:color w:val="auto"/>
              </w:rPr>
            </w:pPr>
            <w:r>
              <w:rPr>
                <w:rFonts w:ascii="Arial" w:cs="Arial" w:eastAsia="Arial" w:hAnsi="Arial"/>
                <w:sz w:val="12"/>
                <w:szCs w:val="12"/>
                <w:color w:val="auto"/>
              </w:rPr>
              <w:t>21,160</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20"/>
                <w:szCs w:val="20"/>
                <w:color w:val="auto"/>
              </w:rPr>
            </w:pPr>
            <w:r>
              <w:rPr>
                <w:rFonts w:ascii="Arial" w:cs="Arial" w:eastAsia="Arial" w:hAnsi="Arial"/>
                <w:sz w:val="12"/>
                <w:szCs w:val="12"/>
                <w:color w:val="auto"/>
              </w:rPr>
              <w:t>William B. Jacobson</w:t>
            </w:r>
          </w:p>
        </w:tc>
        <w:tc>
          <w:tcPr>
            <w:tcW w:w="2060" w:type="dxa"/>
            <w:vAlign w:val="bottom"/>
          </w:tcPr>
          <w:p>
            <w:pPr>
              <w:ind w:left="1480"/>
              <w:spacing w:after="0"/>
              <w:rPr>
                <w:sz w:val="20"/>
                <w:szCs w:val="20"/>
                <w:color w:val="auto"/>
              </w:rPr>
            </w:pPr>
            <w:r>
              <w:rPr>
                <w:rFonts w:ascii="Arial" w:cs="Arial" w:eastAsia="Arial" w:hAnsi="Arial"/>
                <w:sz w:val="12"/>
                <w:szCs w:val="12"/>
                <w:color w:val="auto"/>
              </w:rPr>
              <w:t>Jan 2</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3,406</w:t>
            </w:r>
          </w:p>
        </w:tc>
        <w:tc>
          <w:tcPr>
            <w:tcW w:w="920" w:type="dxa"/>
            <w:vAlign w:val="bottom"/>
          </w:tcPr>
          <w:p>
            <w:pPr>
              <w:jc w:val="right"/>
              <w:spacing w:after="0"/>
              <w:rPr>
                <w:sz w:val="20"/>
                <w:szCs w:val="20"/>
                <w:color w:val="auto"/>
              </w:rPr>
            </w:pPr>
            <w:r>
              <w:rPr>
                <w:rFonts w:ascii="Arial" w:cs="Arial" w:eastAsia="Arial" w:hAnsi="Arial"/>
                <w:sz w:val="12"/>
                <w:szCs w:val="12"/>
                <w:color w:val="auto"/>
              </w:rPr>
              <w:t>38.420</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60"/>
              <w:spacing w:after="0"/>
              <w:rPr>
                <w:sz w:val="20"/>
                <w:szCs w:val="20"/>
                <w:color w:val="auto"/>
              </w:rPr>
            </w:pPr>
            <w:r>
              <w:rPr>
                <w:rFonts w:ascii="Arial" w:cs="Arial" w:eastAsia="Arial" w:hAnsi="Arial"/>
                <w:sz w:val="12"/>
                <w:szCs w:val="12"/>
                <w:color w:val="auto"/>
              </w:rPr>
              <w:t>Mar 7</w:t>
            </w:r>
          </w:p>
        </w:tc>
        <w:tc>
          <w:tcPr>
            <w:tcW w:w="700" w:type="dxa"/>
            <w:vAlign w:val="bottom"/>
          </w:tcPr>
          <w:p>
            <w:pPr>
              <w:jc w:val="right"/>
              <w:ind w:right="39"/>
              <w:spacing w:after="0"/>
              <w:rPr>
                <w:sz w:val="20"/>
                <w:szCs w:val="20"/>
                <w:color w:val="auto"/>
              </w:rPr>
            </w:pPr>
            <w:r>
              <w:rPr>
                <w:rFonts w:ascii="Arial" w:cs="Arial" w:eastAsia="Arial" w:hAnsi="Arial"/>
                <w:sz w:val="12"/>
                <w:szCs w:val="12"/>
                <w:color w:val="auto"/>
              </w:rPr>
              <w:t>250,000</w:t>
            </w:r>
          </w:p>
        </w:tc>
        <w:tc>
          <w:tcPr>
            <w:tcW w:w="740" w:type="dxa"/>
            <w:vAlign w:val="bottom"/>
          </w:tcPr>
          <w:p>
            <w:pPr>
              <w:jc w:val="right"/>
              <w:ind w:right="18"/>
              <w:spacing w:after="0"/>
              <w:rPr>
                <w:sz w:val="20"/>
                <w:szCs w:val="20"/>
                <w:color w:val="auto"/>
              </w:rPr>
            </w:pPr>
            <w:r>
              <w:rPr>
                <w:rFonts w:ascii="Arial" w:cs="Arial" w:eastAsia="Arial" w:hAnsi="Arial"/>
                <w:sz w:val="12"/>
                <w:szCs w:val="12"/>
                <w:color w:val="auto"/>
              </w:rPr>
              <w:t>500,000</w:t>
            </w:r>
          </w:p>
        </w:tc>
        <w:tc>
          <w:tcPr>
            <w:tcW w:w="620" w:type="dxa"/>
            <w:vAlign w:val="bottom"/>
          </w:tcPr>
          <w:p>
            <w:pPr>
              <w:jc w:val="right"/>
              <w:spacing w:after="0"/>
              <w:rPr>
                <w:sz w:val="20"/>
                <w:szCs w:val="20"/>
                <w:color w:val="auto"/>
              </w:rPr>
            </w:pPr>
            <w:r>
              <w:rPr>
                <w:rFonts w:ascii="Arial" w:cs="Arial" w:eastAsia="Arial" w:hAnsi="Arial"/>
                <w:sz w:val="12"/>
                <w:szCs w:val="12"/>
                <w:color w:val="auto"/>
              </w:rPr>
              <w:t>1,000,000</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60"/>
              <w:spacing w:after="0"/>
              <w:rPr>
                <w:sz w:val="20"/>
                <w:szCs w:val="20"/>
                <w:color w:val="auto"/>
              </w:rPr>
            </w:pPr>
            <w:r>
              <w:rPr>
                <w:rFonts w:ascii="Arial" w:cs="Arial" w:eastAsia="Arial" w:hAnsi="Arial"/>
                <w:sz w:val="12"/>
                <w:szCs w:val="12"/>
                <w:color w:val="auto"/>
              </w:rPr>
              <w:t>Mar 7</w:t>
            </w:r>
            <w:r>
              <w:rPr>
                <w:rFonts w:ascii="Arial" w:cs="Arial" w:eastAsia="Arial" w:hAnsi="Arial"/>
                <w:sz w:val="10"/>
                <w:szCs w:val="10"/>
                <w:color w:val="auto"/>
              </w:rPr>
              <w:t>(3)</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42,993</w:t>
            </w:r>
          </w:p>
        </w:tc>
        <w:tc>
          <w:tcPr>
            <w:tcW w:w="600" w:type="dxa"/>
            <w:vAlign w:val="bottom"/>
          </w:tcPr>
          <w:p>
            <w:pPr>
              <w:jc w:val="right"/>
              <w:ind w:right="18"/>
              <w:spacing w:after="0"/>
              <w:rPr>
                <w:sz w:val="20"/>
                <w:szCs w:val="20"/>
                <w:color w:val="auto"/>
              </w:rPr>
            </w:pPr>
            <w:r>
              <w:rPr>
                <w:rFonts w:ascii="Arial" w:cs="Arial" w:eastAsia="Arial" w:hAnsi="Arial"/>
                <w:sz w:val="12"/>
                <w:szCs w:val="12"/>
                <w:color w:val="auto"/>
              </w:rPr>
              <w:t>85,985</w:t>
            </w:r>
          </w:p>
        </w:tc>
        <w:tc>
          <w:tcPr>
            <w:tcW w:w="620" w:type="dxa"/>
            <w:vAlign w:val="bottom"/>
          </w:tcPr>
          <w:p>
            <w:pPr>
              <w:jc w:val="right"/>
              <w:spacing w:after="0"/>
              <w:rPr>
                <w:sz w:val="20"/>
                <w:szCs w:val="20"/>
                <w:color w:val="auto"/>
              </w:rPr>
            </w:pPr>
            <w:r>
              <w:rPr>
                <w:rFonts w:ascii="Arial" w:cs="Arial" w:eastAsia="Arial" w:hAnsi="Arial"/>
                <w:sz w:val="12"/>
                <w:szCs w:val="12"/>
                <w:color w:val="auto"/>
              </w:rPr>
              <w:t>171,970</w:t>
            </w: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929,498</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60"/>
              <w:spacing w:after="0"/>
              <w:rPr>
                <w:sz w:val="20"/>
                <w:szCs w:val="20"/>
                <w:color w:val="auto"/>
              </w:rPr>
            </w:pPr>
            <w:r>
              <w:rPr>
                <w:rFonts w:ascii="Arial" w:cs="Arial" w:eastAsia="Arial" w:hAnsi="Arial"/>
                <w:sz w:val="12"/>
                <w:szCs w:val="12"/>
                <w:color w:val="auto"/>
              </w:rPr>
              <w:t>Mar 7</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85,985</w:t>
            </w:r>
          </w:p>
        </w:tc>
        <w:tc>
          <w:tcPr>
            <w:tcW w:w="920" w:type="dxa"/>
            <w:vAlign w:val="bottom"/>
          </w:tcPr>
          <w:p>
            <w:pPr>
              <w:jc w:val="right"/>
              <w:spacing w:after="0"/>
              <w:rPr>
                <w:sz w:val="20"/>
                <w:szCs w:val="20"/>
                <w:color w:val="auto"/>
              </w:rPr>
            </w:pPr>
            <w:r>
              <w:rPr>
                <w:rFonts w:ascii="Arial" w:cs="Arial" w:eastAsia="Arial" w:hAnsi="Arial"/>
                <w:sz w:val="12"/>
                <w:szCs w:val="12"/>
                <w:color w:val="auto"/>
              </w:rPr>
              <w:t>1,000,006</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80"/>
              <w:spacing w:after="0"/>
              <w:rPr>
                <w:sz w:val="20"/>
                <w:szCs w:val="20"/>
                <w:color w:val="auto"/>
              </w:rPr>
            </w:pPr>
            <w:r>
              <w:rPr>
                <w:rFonts w:ascii="Arial" w:cs="Arial" w:eastAsia="Arial" w:hAnsi="Arial"/>
                <w:sz w:val="12"/>
                <w:szCs w:val="12"/>
                <w:color w:val="auto"/>
              </w:rPr>
              <w:t>Apr 1</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4,222</w:t>
            </w:r>
          </w:p>
        </w:tc>
        <w:tc>
          <w:tcPr>
            <w:tcW w:w="920" w:type="dxa"/>
            <w:vAlign w:val="bottom"/>
          </w:tcPr>
          <w:p>
            <w:pPr>
              <w:jc w:val="right"/>
              <w:spacing w:after="0"/>
              <w:rPr>
                <w:sz w:val="20"/>
                <w:szCs w:val="20"/>
                <w:color w:val="auto"/>
              </w:rPr>
            </w:pPr>
            <w:r>
              <w:rPr>
                <w:rFonts w:ascii="Arial" w:cs="Arial" w:eastAsia="Arial" w:hAnsi="Arial"/>
                <w:sz w:val="12"/>
                <w:szCs w:val="12"/>
                <w:color w:val="auto"/>
              </w:rPr>
              <w:t>51,297</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520"/>
              <w:spacing w:after="0"/>
              <w:rPr>
                <w:sz w:val="20"/>
                <w:szCs w:val="20"/>
                <w:color w:val="auto"/>
              </w:rPr>
            </w:pPr>
            <w:r>
              <w:rPr>
                <w:rFonts w:ascii="Arial" w:cs="Arial" w:eastAsia="Arial" w:hAnsi="Arial"/>
                <w:sz w:val="12"/>
                <w:szCs w:val="12"/>
                <w:color w:val="auto"/>
              </w:rPr>
              <w:t>Jul 1</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2,829</w:t>
            </w:r>
          </w:p>
        </w:tc>
        <w:tc>
          <w:tcPr>
            <w:tcW w:w="920" w:type="dxa"/>
            <w:vAlign w:val="bottom"/>
          </w:tcPr>
          <w:p>
            <w:pPr>
              <w:jc w:val="right"/>
              <w:spacing w:after="0"/>
              <w:rPr>
                <w:sz w:val="20"/>
                <w:szCs w:val="20"/>
                <w:color w:val="auto"/>
              </w:rPr>
            </w:pPr>
            <w:r>
              <w:rPr>
                <w:rFonts w:ascii="Arial" w:cs="Arial" w:eastAsia="Arial" w:hAnsi="Arial"/>
                <w:sz w:val="12"/>
                <w:szCs w:val="12"/>
                <w:color w:val="auto"/>
              </w:rPr>
              <w:t>39,125</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060" w:type="dxa"/>
            <w:vAlign w:val="bottom"/>
          </w:tcPr>
          <w:p>
            <w:pPr>
              <w:ind w:left="1480"/>
              <w:spacing w:after="0"/>
              <w:rPr>
                <w:sz w:val="20"/>
                <w:szCs w:val="20"/>
                <w:color w:val="auto"/>
              </w:rPr>
            </w:pPr>
            <w:r>
              <w:rPr>
                <w:rFonts w:ascii="Arial" w:cs="Arial" w:eastAsia="Arial" w:hAnsi="Arial"/>
                <w:sz w:val="12"/>
                <w:szCs w:val="12"/>
                <w:color w:val="auto"/>
              </w:rPr>
              <w:t>Oct 1</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2,557</w:t>
            </w:r>
          </w:p>
        </w:tc>
        <w:tc>
          <w:tcPr>
            <w:tcW w:w="920" w:type="dxa"/>
            <w:vAlign w:val="bottom"/>
          </w:tcPr>
          <w:p>
            <w:pPr>
              <w:jc w:val="right"/>
              <w:spacing w:after="0"/>
              <w:rPr>
                <w:sz w:val="20"/>
                <w:szCs w:val="20"/>
                <w:color w:val="auto"/>
              </w:rPr>
            </w:pPr>
            <w:r>
              <w:rPr>
                <w:rFonts w:ascii="Arial" w:cs="Arial" w:eastAsia="Arial" w:hAnsi="Arial"/>
                <w:sz w:val="12"/>
                <w:szCs w:val="12"/>
                <w:color w:val="auto"/>
              </w:rPr>
              <w:t>40,886</w:t>
            </w:r>
          </w:p>
        </w:tc>
        <w:tc>
          <w:tcPr>
            <w:tcW w:w="0" w:type="dxa"/>
            <w:vAlign w:val="bottom"/>
          </w:tcPr>
          <w:p>
            <w:pPr>
              <w:spacing w:after="0"/>
              <w:rPr>
                <w:sz w:val="1"/>
                <w:szCs w:val="1"/>
                <w:color w:val="auto"/>
              </w:rPr>
            </w:pPr>
          </w:p>
        </w:tc>
      </w:tr>
      <w:tr>
        <w:trPr>
          <w:trHeight w:val="43"/>
        </w:trPr>
        <w:tc>
          <w:tcPr>
            <w:tcW w:w="282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jc w:val="both"/>
        <w:ind w:left="181" w:hanging="181"/>
        <w:spacing w:after="0" w:line="245" w:lineRule="auto"/>
        <w:tabs>
          <w:tab w:leader="none" w:pos="181" w:val="left"/>
        </w:tabs>
        <w:numPr>
          <w:ilvl w:val="0"/>
          <w:numId w:val="48"/>
        </w:numPr>
        <w:rPr>
          <w:rFonts w:ascii="Arial" w:cs="Arial" w:eastAsia="Arial" w:hAnsi="Arial"/>
          <w:sz w:val="12"/>
          <w:szCs w:val="12"/>
          <w:color w:val="auto"/>
        </w:rPr>
      </w:pPr>
      <w:r>
        <w:rPr>
          <w:rFonts w:ascii="Arial" w:cs="Arial" w:eastAsia="Arial" w:hAnsi="Arial"/>
          <w:sz w:val="12"/>
          <w:szCs w:val="12"/>
          <w:color w:val="auto"/>
        </w:rPr>
        <w:t>Represents potential payments for the year ended December 31, 2013 under the terms of the Weatherford International Non-Equity Incentive Compensation Plan. See “Our Executive Compensation Program-Annual Incentive Compensation” in the Compensation Discussion and Analysis section of this proxy statement for more information. Mr. Shivram is prorated based on the date that he joined the Company on November 6, 2013.</w:t>
      </w:r>
    </w:p>
    <w:p>
      <w:pPr>
        <w:spacing w:after="0" w:line="393"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auto"/>
        </w:rPr>
        <w:t>Weatherford International plc - www.WeatherfordAnnualMeeting.com</w:t>
      </w:r>
      <w:r>
        <w:rPr>
          <w:sz w:val="20"/>
          <w:szCs w:val="20"/>
          <w:color w:val="auto"/>
        </w:rPr>
        <w:tab/>
      </w:r>
      <w:r>
        <w:rPr>
          <w:rFonts w:ascii="Arial" w:cs="Arial" w:eastAsia="Arial" w:hAnsi="Arial"/>
          <w:sz w:val="10"/>
          <w:szCs w:val="10"/>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131445</wp:posOffset>
            </wp:positionV>
            <wp:extent cx="7278370" cy="203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sectPr>
      </w:pPr>
    </w:p>
    <w:bookmarkStart w:id="55" w:name="page56"/>
    <w:bookmarkEnd w:id="55"/>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41"/>
        <w:spacing w:after="0"/>
        <w:rPr>
          <w:sz w:val="20"/>
          <w:szCs w:val="20"/>
          <w:color w:val="auto"/>
        </w:rPr>
      </w:pPr>
      <w:r>
        <w:rPr>
          <w:rFonts w:ascii="Arial" w:cs="Arial" w:eastAsia="Arial" w:hAnsi="Arial"/>
          <w:sz w:val="12"/>
          <w:szCs w:val="12"/>
          <w:b w:val="1"/>
          <w:bCs w:val="1"/>
          <w:color w:val="FFFFFF"/>
          <w:shd w:val="clear" w:color="auto" w:fill="BB1131"/>
        </w:rPr>
        <w:t>EXECUTIVE COMPENSATION</w:t>
      </w:r>
    </w:p>
    <w:p>
      <w:pPr>
        <w:spacing w:after="0" w:line="210" w:lineRule="exact"/>
        <w:rPr>
          <w:sz w:val="20"/>
          <w:szCs w:val="20"/>
          <w:color w:val="auto"/>
        </w:rPr>
      </w:pPr>
    </w:p>
    <w:p>
      <w:pPr>
        <w:ind w:left="181" w:hanging="181"/>
        <w:spacing w:after="0" w:line="254" w:lineRule="auto"/>
        <w:tabs>
          <w:tab w:leader="none" w:pos="181"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grant date fair value of each of the awards was based on Weatherford Switzerland’s closing share price on the date of the grant for restricted share unit awards and, for performance unit awards, a calculated fair value derived using a Monte Carlo valuation model.</w:t>
      </w:r>
    </w:p>
    <w:p>
      <w:pPr>
        <w:spacing w:after="0" w:line="79" w:lineRule="exact"/>
        <w:rPr>
          <w:rFonts w:ascii="Arial" w:cs="Arial" w:eastAsia="Arial" w:hAnsi="Arial"/>
          <w:sz w:val="12"/>
          <w:szCs w:val="12"/>
          <w:color w:val="auto"/>
        </w:rPr>
      </w:pPr>
    </w:p>
    <w:p>
      <w:pPr>
        <w:jc w:val="both"/>
        <w:ind w:left="181" w:hanging="181"/>
        <w:spacing w:after="0" w:line="242" w:lineRule="auto"/>
        <w:tabs>
          <w:tab w:leader="none" w:pos="181"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amounts shown represent the aggregate threshold, target and maximum payment levels with respect to the grant of PUs tied to total shareholder return over the performance period. The number of shares shown in the “Threshold” column reflects the lowest possible payout (other than zero), representing 50% of the number of performance units granted. If performance is below the threshold, no shares are paid. The number of shares shown in the “Target” column reflects a payout of 100% of the number of performance units granted. The number of shares shown in the “Maximum” column reflects the highest possible payout of 200% of the number of PUs granted.</w:t>
      </w:r>
    </w:p>
    <w:p>
      <w:pPr>
        <w:spacing w:after="0" w:line="200" w:lineRule="exact"/>
        <w:rPr>
          <w:sz w:val="20"/>
          <w:szCs w:val="20"/>
          <w:color w:val="auto"/>
        </w:rPr>
      </w:pPr>
    </w:p>
    <w:p>
      <w:pPr>
        <w:spacing w:after="0" w:line="337" w:lineRule="exact"/>
        <w:rPr>
          <w:sz w:val="20"/>
          <w:szCs w:val="20"/>
          <w:color w:val="auto"/>
        </w:rPr>
      </w:pPr>
    </w:p>
    <w:p>
      <w:pPr>
        <w:ind w:left="1"/>
        <w:spacing w:after="0"/>
        <w:rPr>
          <w:sz w:val="20"/>
          <w:szCs w:val="20"/>
          <w:color w:val="auto"/>
        </w:rPr>
      </w:pPr>
      <w:r>
        <w:rPr>
          <w:rFonts w:ascii="Arial" w:cs="Arial" w:eastAsia="Arial" w:hAnsi="Arial"/>
          <w:sz w:val="30"/>
          <w:szCs w:val="30"/>
          <w:color w:val="BB1131"/>
        </w:rPr>
        <w:t>Potential payments upon termination or change of control</w:t>
      </w:r>
    </w:p>
    <w:p>
      <w:pPr>
        <w:spacing w:after="0" w:line="97"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The following summarizes the potential payments upon termination or change of control to our NEOs as of December 31, 2013. The potential payments described in this section assume the triggering event occurred on December 31, 2013. No information is provided in this section with regard to potential payments to certain persons listed as NEOs in this proxy statement if such NEOs received payments pursuant to their Employment Agreements and such actual amounts are described in this proxy statement separately under “Compensation Discussion and Analysis—Termination of Employment.”</w:t>
      </w:r>
    </w:p>
    <w:p>
      <w:pPr>
        <w:spacing w:after="0" w:line="155"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Executive 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337"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Under the terms of our Executive Employment Agreements with Dr. Duroc-Danner and Messrs. Shivram and Mehta, if their employment is terminated, whether as a result of death, “disability,” “good reason,” “cause” or otherwise (each term as defined in the Executive Employment Agreements), the NEO (or his estate) will generally be entitled to receive the following compensation:</w:t>
      </w:r>
    </w:p>
    <w:p>
      <w:pPr>
        <w:spacing w:after="0" w:line="117" w:lineRule="exact"/>
        <w:rPr>
          <w:sz w:val="20"/>
          <w:szCs w:val="20"/>
          <w:color w:val="auto"/>
        </w:rPr>
      </w:pPr>
    </w:p>
    <w:p>
      <w:pPr>
        <w:ind w:left="701"/>
        <w:spacing w:after="0"/>
        <w:rPr>
          <w:sz w:val="20"/>
          <w:szCs w:val="20"/>
          <w:color w:val="auto"/>
        </w:rPr>
      </w:pPr>
      <w:r>
        <w:rPr>
          <w:rFonts w:ascii="Arial" w:cs="Arial" w:eastAsia="Arial" w:hAnsi="Arial"/>
          <w:sz w:val="12"/>
          <w:szCs w:val="12"/>
          <w:color w:val="auto"/>
        </w:rPr>
        <w:t>any unpaid salary and accrued vacation earned through the date of termination of employment (the “Earned Unpaid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77" w:lineRule="exact"/>
        <w:rPr>
          <w:sz w:val="20"/>
          <w:szCs w:val="20"/>
          <w:color w:val="auto"/>
        </w:rPr>
      </w:pPr>
    </w:p>
    <w:p>
      <w:pPr>
        <w:jc w:val="both"/>
        <w:ind w:left="701"/>
        <w:spacing w:after="0" w:line="362" w:lineRule="auto"/>
        <w:rPr>
          <w:sz w:val="20"/>
          <w:szCs w:val="20"/>
          <w:color w:val="auto"/>
        </w:rPr>
      </w:pPr>
      <w:r>
        <w:rPr>
          <w:rFonts w:ascii="Arial" w:cs="Arial" w:eastAsia="Arial" w:hAnsi="Arial"/>
          <w:sz w:val="12"/>
          <w:szCs w:val="12"/>
          <w:color w:val="auto"/>
        </w:rPr>
        <w:t>all benefits to which the executive is entitled or vested (or becomes entitled or vested as a result of termination) under the terms of all employee benefit and compensation plans, agreements, arrangements, programs, policies, practices, contracts or agreements in which the executive was a participant at the time of termination (the “Benefits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-252730</wp:posOffset>
            </wp:positionV>
            <wp:extent cx="57150" cy="571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ind w:left="701"/>
        <w:spacing w:after="0"/>
        <w:rPr>
          <w:sz w:val="20"/>
          <w:szCs w:val="20"/>
          <w:color w:val="auto"/>
        </w:rPr>
      </w:pPr>
      <w:r>
        <w:rPr>
          <w:rFonts w:ascii="Arial" w:cs="Arial" w:eastAsia="Arial" w:hAnsi="Arial"/>
          <w:sz w:val="12"/>
          <w:szCs w:val="12"/>
          <w:color w:val="auto"/>
        </w:rPr>
        <w:t>an amount equal to the annual bonus amount that would be payable in the year of termination (pro-rated to the date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-75565</wp:posOffset>
            </wp:positionV>
            <wp:extent cx="57150" cy="571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77" w:lineRule="exact"/>
        <w:rPr>
          <w:sz w:val="20"/>
          <w:szCs w:val="20"/>
          <w:color w:val="auto"/>
        </w:rPr>
      </w:pPr>
    </w:p>
    <w:p>
      <w:pPr>
        <w:jc w:val="both"/>
        <w:ind w:left="701"/>
        <w:spacing w:after="0" w:line="353" w:lineRule="auto"/>
        <w:rPr>
          <w:sz w:val="20"/>
          <w:szCs w:val="20"/>
          <w:color w:val="auto"/>
        </w:rPr>
      </w:pPr>
      <w:r>
        <w:rPr>
          <w:rFonts w:ascii="Arial" w:cs="Arial" w:eastAsia="Arial" w:hAnsi="Arial"/>
          <w:sz w:val="12"/>
          <w:szCs w:val="12"/>
          <w:color w:val="auto"/>
        </w:rPr>
        <w:t>an amount equal to the sum of the base salary at the time of termination added to the target bonus amount (that would be payable in the year of termination), multiplied by three in the event of a termination by us other than for cause or by the executive for good reason (other than non-renewal, as defined below) and multiplied by one in the case of a termination due to death, disability or for a termination for good reason due to the Company’s non-renewal of the agreement (the “Salary and Bonus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-374650</wp:posOffset>
            </wp:positionV>
            <wp:extent cx="57150" cy="571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3" w:lineRule="exact"/>
        <w:rPr>
          <w:sz w:val="20"/>
          <w:szCs w:val="20"/>
          <w:color w:val="auto"/>
        </w:rPr>
      </w:pPr>
    </w:p>
    <w:p>
      <w:pPr>
        <w:jc w:val="both"/>
        <w:ind w:left="701"/>
        <w:spacing w:after="0" w:line="362" w:lineRule="auto"/>
        <w:rPr>
          <w:sz w:val="20"/>
          <w:szCs w:val="20"/>
          <w:color w:val="auto"/>
        </w:rPr>
      </w:pPr>
      <w:r>
        <w:rPr>
          <w:rFonts w:ascii="Arial" w:cs="Arial" w:eastAsia="Arial" w:hAnsi="Arial"/>
          <w:sz w:val="12"/>
          <w:szCs w:val="12"/>
          <w:color w:val="auto"/>
        </w:rPr>
        <w:t>any benefits payable under our retirement plans as of the date of termination (the “Retirement Plan Payment”). For more information regarding our retirement plans, see the “Pension Benefits” section in this proxy statement and “Retirement Plans” in the Compensation Discussion and Analysis section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-252730</wp:posOffset>
            </wp:positionV>
            <wp:extent cx="57150" cy="571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jc w:val="both"/>
        <w:ind w:left="701"/>
        <w:spacing w:after="0" w:line="353" w:lineRule="auto"/>
        <w:rPr>
          <w:sz w:val="20"/>
          <w:szCs w:val="20"/>
          <w:color w:val="auto"/>
        </w:rPr>
      </w:pPr>
      <w:r>
        <w:rPr>
          <w:rFonts w:ascii="Arial" w:cs="Arial" w:eastAsia="Arial" w:hAnsi="Arial"/>
          <w:sz w:val="12"/>
          <w:szCs w:val="12"/>
          <w:color w:val="auto"/>
        </w:rPr>
        <w:t>all dental and health benefits under any plans that are provided to the NEO and his or her family prior to termination would be maintained after termination for a period of one to three years or such longer period as the plans may require, provided the NEO makes his required contribution and that such benefits are secondary to any benefits offered by another employer (the “Healthcare Benefit”);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-374650</wp:posOffset>
            </wp:positionV>
            <wp:extent cx="57150" cy="571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3" w:lineRule="exact"/>
        <w:rPr>
          <w:sz w:val="20"/>
          <w:szCs w:val="20"/>
          <w:color w:val="auto"/>
        </w:rPr>
      </w:pPr>
    </w:p>
    <w:p>
      <w:pPr>
        <w:jc w:val="both"/>
        <w:ind w:left="701"/>
        <w:spacing w:after="0" w:line="362" w:lineRule="auto"/>
        <w:rPr>
          <w:sz w:val="20"/>
          <w:szCs w:val="20"/>
          <w:color w:val="auto"/>
        </w:rPr>
      </w:pPr>
      <w:r>
        <w:rPr>
          <w:rFonts w:ascii="Arial" w:cs="Arial" w:eastAsia="Arial" w:hAnsi="Arial"/>
          <w:sz w:val="12"/>
          <w:szCs w:val="12"/>
          <w:color w:val="auto"/>
        </w:rPr>
        <w:t>upon request, up to a maximum of $35,000 for outplacement services for the NEO, the provider of which would be selected and paid directly by us (the “Outplacement Benefit”) for a period not extending beyond the last day of the second taxable year following the taxable year in which the NEO’s termination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-252730</wp:posOffset>
            </wp:positionV>
            <wp:extent cx="57150" cy="571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59" w:lineRule="exact"/>
        <w:rPr>
          <w:sz w:val="20"/>
          <w:szCs w:val="20"/>
          <w:color w:val="auto"/>
        </w:rPr>
      </w:pPr>
    </w:p>
    <w:p>
      <w:pPr>
        <w:jc w:val="both"/>
        <w:ind w:left="1"/>
        <w:spacing w:after="0" w:line="242" w:lineRule="auto"/>
        <w:rPr>
          <w:sz w:val="20"/>
          <w:szCs w:val="20"/>
          <w:color w:val="auto"/>
        </w:rPr>
      </w:pPr>
      <w:r>
        <w:rPr>
          <w:rFonts w:ascii="Arial" w:cs="Arial" w:eastAsia="Arial" w:hAnsi="Arial"/>
          <w:sz w:val="12"/>
          <w:szCs w:val="12"/>
          <w:color w:val="auto"/>
        </w:rPr>
        <w:t>Under the Executive Employment Agreements, we will make required payments (other than the pro-rata bonus payment for the year of termination, which will be paid at the time bonus payments for that year would normally be paid) within 30 days after the date of the participant’s section 409A separation from service with the Company. However, if the participant is a section 409A specified employee, these payments will be made on the date that is six months following date of such separation from service with such payments (along with the Retirement Plan Payment) bearing interest at the prime rate per annum as of the date of termination.</w:t>
      </w:r>
    </w:p>
    <w:p>
      <w:pPr>
        <w:spacing w:after="0" w:line="87" w:lineRule="exact"/>
        <w:rPr>
          <w:sz w:val="20"/>
          <w:szCs w:val="20"/>
          <w:color w:val="auto"/>
        </w:rPr>
      </w:pPr>
    </w:p>
    <w:p>
      <w:pPr>
        <w:jc w:val="both"/>
        <w:ind w:left="1"/>
        <w:spacing w:after="0" w:line="242" w:lineRule="auto"/>
        <w:rPr>
          <w:sz w:val="20"/>
          <w:szCs w:val="20"/>
          <w:color w:val="auto"/>
        </w:rPr>
      </w:pPr>
      <w:r>
        <w:rPr>
          <w:rFonts w:ascii="Arial" w:cs="Arial" w:eastAsia="Arial" w:hAnsi="Arial"/>
          <w:sz w:val="12"/>
          <w:szCs w:val="12"/>
          <w:color w:val="auto"/>
        </w:rPr>
        <w:t>The Executive Employment Agreements provide that if the employee is a participant in our now frozen retirement plan (which applies only to Dr. Duroc-Danner), he will be entitled to a “gross up payment” that is limited solely to the payments of penalties, excise or other taxes incurred by him pursuant to Section 457A of the Code with respect to accrued benefits under our retirement plans. The Company does not believe that Section 457A would impose any such penalties, excise or other taxes. The Executive Employment Agreements expressly exclude gross-ups previously provided under those retirement plans. The Executive Employment Agreements do not provide for any other type of “gross up payments.”</w:t>
      </w:r>
    </w:p>
    <w:p>
      <w:pPr>
        <w:spacing w:after="0" w:line="87" w:lineRule="exact"/>
        <w:rPr>
          <w:sz w:val="20"/>
          <w:szCs w:val="20"/>
          <w:color w:val="auto"/>
        </w:rPr>
      </w:pPr>
    </w:p>
    <w:p>
      <w:pPr>
        <w:ind w:left="1"/>
        <w:spacing w:after="0"/>
        <w:rPr>
          <w:sz w:val="20"/>
          <w:szCs w:val="20"/>
          <w:color w:val="auto"/>
        </w:rPr>
      </w:pPr>
      <w:r>
        <w:rPr>
          <w:rFonts w:ascii="Arial" w:cs="Arial" w:eastAsia="Arial" w:hAnsi="Arial"/>
          <w:sz w:val="12"/>
          <w:szCs w:val="12"/>
          <w:color w:val="auto"/>
        </w:rPr>
        <w:t>Under the Executive Employment Agreements:</w:t>
      </w:r>
    </w:p>
    <w:p>
      <w:pPr>
        <w:spacing w:after="0" w:line="97" w:lineRule="exact"/>
        <w:rPr>
          <w:sz w:val="20"/>
          <w:szCs w:val="20"/>
          <w:color w:val="auto"/>
        </w:rPr>
      </w:pPr>
    </w:p>
    <w:p>
      <w:pPr>
        <w:jc w:val="both"/>
        <w:ind w:left="141" w:hanging="141"/>
        <w:spacing w:after="0" w:line="245" w:lineRule="auto"/>
        <w:tabs>
          <w:tab w:leader="none" w:pos="141" w:val="left"/>
        </w:tabs>
        <w:numPr>
          <w:ilvl w:val="0"/>
          <w:numId w:val="50"/>
        </w:numPr>
        <w:rPr>
          <w:rFonts w:ascii="Arial" w:cs="Arial" w:eastAsia="Arial" w:hAnsi="Arial"/>
          <w:sz w:val="12"/>
          <w:szCs w:val="12"/>
          <w:color w:val="auto"/>
        </w:rPr>
      </w:pPr>
      <w:r>
        <w:rPr>
          <w:rFonts w:ascii="Arial" w:cs="Arial" w:eastAsia="Arial" w:hAnsi="Arial"/>
          <w:sz w:val="12"/>
          <w:szCs w:val="12"/>
          <w:color w:val="auto"/>
        </w:rPr>
        <w:t>“cause” is defined as the willful and continued failure to substantially perform the executive’s duties with the Company (other than failure resulting from incapacity due to mental or physical illness or anticipated failure after the executive has provided a notice to termination for good reason) after written demand is made by the Board of Directors, or the willful engagement in illegal conduct or gross misconduct that is materially and demonstrably injurious to the Company.</w:t>
      </w:r>
    </w:p>
    <w:p>
      <w:pPr>
        <w:spacing w:after="0" w:line="184" w:lineRule="exact"/>
        <w:rPr>
          <w:sz w:val="20"/>
          <w:szCs w:val="20"/>
          <w:color w:val="auto"/>
        </w:rPr>
      </w:pPr>
    </w:p>
    <w:p>
      <w:pPr>
        <w:ind w:left="301" w:hanging="301"/>
        <w:spacing w:after="0"/>
        <w:tabs>
          <w:tab w:leader="none" w:pos="301" w:val="left"/>
        </w:tabs>
        <w:numPr>
          <w:ilvl w:val="0"/>
          <w:numId w:val="51"/>
        </w:numPr>
        <w:rPr>
          <w:rFonts w:ascii="Arial" w:cs="Arial" w:eastAsia="Arial" w:hAnsi="Arial"/>
          <w:sz w:val="12"/>
          <w:szCs w:val="12"/>
          <w:b w:val="1"/>
          <w:bCs w:val="1"/>
          <w:color w:val="auto"/>
        </w:rPr>
      </w:pPr>
      <w:r>
        <w:rPr>
          <w:rFonts w:ascii="Arial" w:cs="Arial" w:eastAsia="Arial" w:hAnsi="Arial"/>
          <w:sz w:val="12"/>
          <w:szCs w:val="12"/>
          <w:color w:val="auto"/>
        </w:rPr>
        <w:t>Weatherford International plc - 2014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8370" cy="203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sectPr>
      </w:pPr>
    </w:p>
    <w:bookmarkStart w:id="56" w:name="page57"/>
    <w:bookmarkEnd w:id="56"/>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9641"/>
        <w:spacing w:after="0"/>
        <w:rPr>
          <w:sz w:val="20"/>
          <w:szCs w:val="20"/>
          <w:color w:val="auto"/>
        </w:rPr>
      </w:pPr>
      <w:r>
        <w:rPr>
          <w:rFonts w:ascii="Arial" w:cs="Arial" w:eastAsia="Arial" w:hAnsi="Arial"/>
          <w:sz w:val="12"/>
          <w:szCs w:val="12"/>
          <w:b w:val="1"/>
          <w:bCs w:val="1"/>
          <w:color w:val="FFFFFF"/>
          <w:shd w:val="clear" w:color="auto" w:fill="BB1131"/>
        </w:rPr>
        <w:t>EXECUTIVE COMPENSATION</w:t>
      </w:r>
    </w:p>
    <w:p>
      <w:pPr>
        <w:spacing w:after="0" w:line="210" w:lineRule="exact"/>
        <w:rPr>
          <w:sz w:val="20"/>
          <w:szCs w:val="20"/>
          <w:color w:val="auto"/>
        </w:rPr>
      </w:pPr>
    </w:p>
    <w:p>
      <w:pPr>
        <w:jc w:val="both"/>
        <w:ind w:left="201" w:right="40" w:hanging="201"/>
        <w:spacing w:after="0" w:line="245" w:lineRule="auto"/>
        <w:tabs>
          <w:tab w:leader="none" w:pos="201" w:val="left"/>
        </w:tabs>
        <w:numPr>
          <w:ilvl w:val="0"/>
          <w:numId w:val="52"/>
        </w:numPr>
        <w:rPr>
          <w:rFonts w:ascii="Arial" w:cs="Arial" w:eastAsia="Arial" w:hAnsi="Arial"/>
          <w:sz w:val="12"/>
          <w:szCs w:val="12"/>
          <w:color w:val="auto"/>
        </w:rPr>
      </w:pPr>
      <w:r>
        <w:rPr>
          <w:rFonts w:ascii="Arial" w:cs="Arial" w:eastAsia="Arial" w:hAnsi="Arial"/>
          <w:sz w:val="12"/>
          <w:szCs w:val="12"/>
          <w:color w:val="auto"/>
        </w:rPr>
        <w:t>“disability” is defined as the absence of the executive from his duties on a substantial basis for 120 calendar days as a result of incapacity due to mental or physical illness. If we determine that the executive is disabled, the NEO has 30 days from the date of our notice to the executive of intent to terminate employment by reason of disability to return to full-time performance of his duties. The executive may terminate his employment for disability if a physician selected by the executive determines that a disability has occurred.</w:t>
      </w:r>
    </w:p>
    <w:p>
      <w:pPr>
        <w:spacing w:after="0" w:line="85" w:lineRule="exact"/>
        <w:rPr>
          <w:rFonts w:ascii="Arial" w:cs="Arial" w:eastAsia="Arial" w:hAnsi="Arial"/>
          <w:sz w:val="12"/>
          <w:szCs w:val="12"/>
          <w:color w:val="auto"/>
        </w:rPr>
      </w:pPr>
    </w:p>
    <w:p>
      <w:pPr>
        <w:ind w:left="201" w:hanging="201"/>
        <w:spacing w:after="0"/>
        <w:tabs>
          <w:tab w:leader="none" w:pos="201" w:val="left"/>
        </w:tabs>
        <w:numPr>
          <w:ilvl w:val="0"/>
          <w:numId w:val="52"/>
        </w:numPr>
        <w:rPr>
          <w:rFonts w:ascii="Arial" w:cs="Arial" w:eastAsia="Arial" w:hAnsi="Arial"/>
          <w:sz w:val="12"/>
          <w:szCs w:val="12"/>
          <w:color w:val="auto"/>
        </w:rPr>
      </w:pPr>
      <w:r>
        <w:rPr>
          <w:rFonts w:ascii="Arial" w:cs="Arial" w:eastAsia="Arial" w:hAnsi="Arial"/>
          <w:sz w:val="12"/>
          <w:szCs w:val="12"/>
          <w:color w:val="auto"/>
        </w:rPr>
        <w:t>“good reason” generally means the occurrence of any of the following:</w:t>
      </w:r>
    </w:p>
    <w:p>
      <w:pPr>
        <w:spacing w:after="0" w:line="196" w:lineRule="exact"/>
        <w:rPr>
          <w:sz w:val="20"/>
          <w:szCs w:val="20"/>
          <w:color w:val="auto"/>
        </w:rPr>
      </w:pPr>
    </w:p>
    <w:p>
      <w:pPr>
        <w:jc w:val="both"/>
        <w:ind w:left="901" w:right="40"/>
        <w:spacing w:after="0" w:line="362" w:lineRule="auto"/>
        <w:rPr>
          <w:sz w:val="20"/>
          <w:szCs w:val="20"/>
          <w:color w:val="auto"/>
        </w:rPr>
      </w:pPr>
      <w:r>
        <w:rPr>
          <w:rFonts w:ascii="Arial" w:cs="Arial" w:eastAsia="Arial" w:hAnsi="Arial"/>
          <w:sz w:val="12"/>
          <w:szCs w:val="12"/>
          <w:color w:val="auto"/>
        </w:rPr>
        <w:t>the assignment to the executive of any position, authorities, duties or responsibilities that are materially inconsistent with the executive’s position, authorities, duties or responsibilities as provided in the Executive Employment Agreement or any other action that results in a material diminution of the executive’s position, authorities, duties or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-252730</wp:posOffset>
            </wp:positionV>
            <wp:extent cx="57150" cy="571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ind w:left="901"/>
        <w:spacing w:after="0"/>
        <w:rPr>
          <w:sz w:val="20"/>
          <w:szCs w:val="20"/>
          <w:color w:val="auto"/>
        </w:rPr>
      </w:pPr>
      <w:r>
        <w:rPr>
          <w:rFonts w:ascii="Arial" w:cs="Arial" w:eastAsia="Arial" w:hAnsi="Arial"/>
          <w:sz w:val="12"/>
          <w:szCs w:val="12"/>
          <w:color w:val="auto"/>
        </w:rPr>
        <w:t>a relocation of the executive (a provision not included in Mr. Shivram’s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-75565</wp:posOffset>
            </wp:positionV>
            <wp:extent cx="57150" cy="571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77" w:lineRule="exact"/>
        <w:rPr>
          <w:sz w:val="20"/>
          <w:szCs w:val="20"/>
          <w:color w:val="auto"/>
        </w:rPr>
      </w:pPr>
    </w:p>
    <w:p>
      <w:pPr>
        <w:ind w:left="901"/>
        <w:spacing w:after="0"/>
        <w:rPr>
          <w:sz w:val="20"/>
          <w:szCs w:val="20"/>
          <w:color w:val="auto"/>
        </w:rPr>
      </w:pPr>
      <w:r>
        <w:rPr>
          <w:rFonts w:ascii="Arial" w:cs="Arial" w:eastAsia="Arial" w:hAnsi="Arial"/>
          <w:sz w:val="12"/>
          <w:szCs w:val="12"/>
          <w:color w:val="auto"/>
        </w:rPr>
        <w:t>a material breach by the Company of the Executive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-75565</wp:posOffset>
            </wp:positionV>
            <wp:extent cx="57150" cy="571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65" w:lineRule="exact"/>
        <w:rPr>
          <w:sz w:val="20"/>
          <w:szCs w:val="20"/>
          <w:color w:val="auto"/>
        </w:rPr>
      </w:pPr>
    </w:p>
    <w:p>
      <w:pPr>
        <w:ind w:left="901"/>
        <w:spacing w:after="0"/>
        <w:rPr>
          <w:sz w:val="20"/>
          <w:szCs w:val="20"/>
          <w:color w:val="auto"/>
        </w:rPr>
      </w:pPr>
      <w:r>
        <w:rPr>
          <w:rFonts w:ascii="Arial" w:cs="Arial" w:eastAsia="Arial" w:hAnsi="Arial"/>
          <w:sz w:val="12"/>
          <w:szCs w:val="12"/>
          <w:color w:val="auto"/>
        </w:rPr>
        <w:t>the Company’s giving of notice that the Executive Employment Agreement term will not be extended (“non-renewal”);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-75565</wp:posOffset>
            </wp:positionV>
            <wp:extent cx="57150" cy="571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77" w:lineRule="exact"/>
        <w:rPr>
          <w:sz w:val="20"/>
          <w:szCs w:val="20"/>
          <w:color w:val="auto"/>
        </w:rPr>
      </w:pPr>
    </w:p>
    <w:p>
      <w:pPr>
        <w:ind w:left="901"/>
        <w:spacing w:after="0"/>
        <w:rPr>
          <w:sz w:val="20"/>
          <w:szCs w:val="20"/>
          <w:color w:val="auto"/>
        </w:rPr>
      </w:pPr>
      <w:r>
        <w:rPr>
          <w:rFonts w:ascii="Arial" w:cs="Arial" w:eastAsia="Arial" w:hAnsi="Arial"/>
          <w:sz w:val="12"/>
          <w:szCs w:val="12"/>
          <w:color w:val="auto"/>
        </w:rPr>
        <w:t>the failure by the Company to require any successor to perform the Executive Employment Agreement between the executive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-75565</wp:posOffset>
            </wp:positionV>
            <wp:extent cx="57150" cy="571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139" w:lineRule="exact"/>
        <w:rPr>
          <w:sz w:val="20"/>
          <w:szCs w:val="20"/>
          <w:color w:val="auto"/>
        </w:rPr>
      </w:pPr>
    </w:p>
    <w:p>
      <w:pPr>
        <w:ind w:left="1" w:right="40"/>
        <w:spacing w:after="0" w:line="254" w:lineRule="auto"/>
        <w:rPr>
          <w:sz w:val="20"/>
          <w:szCs w:val="20"/>
          <w:color w:val="auto"/>
        </w:rPr>
      </w:pPr>
      <w:r>
        <w:rPr>
          <w:rFonts w:ascii="Arial" w:cs="Arial" w:eastAsia="Arial" w:hAnsi="Arial"/>
          <w:sz w:val="12"/>
          <w:szCs w:val="12"/>
          <w:color w:val="auto"/>
        </w:rPr>
        <w:t>After a change of control or other transaction in which our ordinary shares cease to be publicly traded, “good reason” also will be deemed to exist if the executive is assigned to any position, authority, duties or responsibilities that are not at the ultimate parent company of the surviving entity.</w:t>
      </w:r>
    </w:p>
    <w:p>
      <w:pPr>
        <w:spacing w:after="0" w:line="79" w:lineRule="exact"/>
        <w:rPr>
          <w:sz w:val="20"/>
          <w:szCs w:val="20"/>
          <w:color w:val="auto"/>
        </w:rPr>
      </w:pPr>
    </w:p>
    <w:p>
      <w:pPr>
        <w:ind w:left="1"/>
        <w:spacing w:after="0"/>
        <w:rPr>
          <w:sz w:val="20"/>
          <w:szCs w:val="20"/>
          <w:color w:val="auto"/>
        </w:rPr>
      </w:pPr>
      <w:r>
        <w:rPr>
          <w:rFonts w:ascii="Arial" w:cs="Arial" w:eastAsia="Arial" w:hAnsi="Arial"/>
          <w:sz w:val="12"/>
          <w:szCs w:val="12"/>
          <w:color w:val="auto"/>
        </w:rPr>
        <w:t>(iv) “change of control” is generally deemed to occur if:</w:t>
      </w:r>
    </w:p>
    <w:p>
      <w:pPr>
        <w:spacing w:after="0" w:line="196" w:lineRule="exact"/>
        <w:rPr>
          <w:sz w:val="20"/>
          <w:szCs w:val="20"/>
          <w:color w:val="auto"/>
        </w:rPr>
      </w:pPr>
    </w:p>
    <w:p>
      <w:pPr>
        <w:ind w:left="901"/>
        <w:spacing w:after="0"/>
        <w:rPr>
          <w:sz w:val="20"/>
          <w:szCs w:val="20"/>
          <w:color w:val="auto"/>
        </w:rPr>
      </w:pPr>
      <w:r>
        <w:rPr>
          <w:rFonts w:ascii="Arial" w:cs="Arial" w:eastAsia="Arial" w:hAnsi="Arial"/>
          <w:sz w:val="12"/>
          <w:szCs w:val="12"/>
          <w:color w:val="auto"/>
        </w:rPr>
        <w:t>any person acquires 20% or more of our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-75565</wp:posOffset>
            </wp:positionV>
            <wp:extent cx="57150" cy="571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77" w:lineRule="exact"/>
        <w:rPr>
          <w:sz w:val="20"/>
          <w:szCs w:val="20"/>
          <w:color w:val="auto"/>
        </w:rPr>
      </w:pPr>
    </w:p>
    <w:p>
      <w:pPr>
        <w:ind w:left="901"/>
        <w:spacing w:after="0"/>
        <w:rPr>
          <w:sz w:val="20"/>
          <w:szCs w:val="20"/>
          <w:color w:val="auto"/>
        </w:rPr>
      </w:pPr>
      <w:r>
        <w:rPr>
          <w:rFonts w:ascii="Arial" w:cs="Arial" w:eastAsia="Arial" w:hAnsi="Arial"/>
          <w:sz w:val="12"/>
          <w:szCs w:val="12"/>
          <w:color w:val="auto"/>
        </w:rPr>
        <w:t>at least two-thirds of the members of the current Board of Directors cease to be directors other than in specified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-75565</wp:posOffset>
            </wp:positionV>
            <wp:extent cx="57150" cy="571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77" w:lineRule="exact"/>
        <w:rPr>
          <w:sz w:val="20"/>
          <w:szCs w:val="20"/>
          <w:color w:val="auto"/>
        </w:rPr>
      </w:pPr>
    </w:p>
    <w:p>
      <w:pPr>
        <w:jc w:val="both"/>
        <w:ind w:left="901" w:right="40"/>
        <w:spacing w:after="0" w:line="350" w:lineRule="auto"/>
        <w:rPr>
          <w:sz w:val="20"/>
          <w:szCs w:val="20"/>
          <w:color w:val="auto"/>
        </w:rPr>
      </w:pPr>
      <w:r>
        <w:rPr>
          <w:rFonts w:ascii="Arial" w:cs="Arial" w:eastAsia="Arial" w:hAnsi="Arial"/>
          <w:sz w:val="12"/>
          <w:szCs w:val="12"/>
          <w:color w:val="auto"/>
        </w:rPr>
        <w:t>upon the consummation of a merger or similar transaction other than (1) a transaction in which the shareholders beneficially owning the registered shares outstanding immediately prior to the transaction represent at least two-thirds of the voting power immediately after the transaction, (2) a transaction in which no person owns 20% or more of the outstanding registered shares or voting power of the surviving entity, and (3) a transaction in which at least two-thirds of the members of the surviving entity are current members of the Board of Directors at the time the transaction was approved;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-499110</wp:posOffset>
            </wp:positionV>
            <wp:extent cx="57150" cy="571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jc w:val="both"/>
        <w:ind w:left="901" w:right="40"/>
        <w:spacing w:after="0" w:line="362" w:lineRule="auto"/>
        <w:rPr>
          <w:sz w:val="20"/>
          <w:szCs w:val="20"/>
          <w:color w:val="auto"/>
        </w:rPr>
      </w:pPr>
      <w:r>
        <w:rPr>
          <w:rFonts w:ascii="Arial" w:cs="Arial" w:eastAsia="Arial" w:hAnsi="Arial"/>
          <w:sz w:val="12"/>
          <w:szCs w:val="12"/>
          <w:color w:val="auto"/>
        </w:rPr>
        <w:t>approval or adoption by the Board of Directors or our shareholders of a plan or proposal which could result directly or indirectly in the liquidation, transfer, sale or other disposal of all or substantially all of the Company’s assets or a dissolution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-252730</wp:posOffset>
            </wp:positionV>
            <wp:extent cx="57150" cy="571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7150" cy="57150"/>
                    </a:xfrm>
                    <a:prstGeom prst="rect">
                      <a:avLst/>
                    </a:prstGeom>
                    <a:noFill/>
                  </pic:spPr>
                </pic:pic>
              </a:graphicData>
            </a:graphic>
          </wp:anchor>
        </w:drawing>
      </w:r>
    </w:p>
    <w:p>
      <w:pPr>
        <w:spacing w:after="0" w:line="59" w:lineRule="exact"/>
        <w:rPr>
          <w:sz w:val="20"/>
          <w:szCs w:val="20"/>
          <w:color w:val="auto"/>
        </w:rPr>
      </w:pPr>
    </w:p>
    <w:p>
      <w:pPr>
        <w:jc w:val="both"/>
        <w:ind w:left="1" w:right="40"/>
        <w:spacing w:after="0" w:line="254" w:lineRule="auto"/>
        <w:rPr>
          <w:sz w:val="20"/>
          <w:szCs w:val="20"/>
          <w:color w:val="auto"/>
        </w:rPr>
      </w:pPr>
      <w:r>
        <w:rPr>
          <w:rFonts w:ascii="Arial" w:cs="Arial" w:eastAsia="Arial" w:hAnsi="Arial"/>
          <w:sz w:val="12"/>
          <w:szCs w:val="12"/>
          <w:color w:val="auto"/>
        </w:rPr>
        <w:t>The Executive Employment Agreements contain a confidentiality provision. In no event, however, will an asserted violation of the confidentiality provision constitute a basis for deferring or withholding any amounts otherwise payable to the NEO under the Executive Employment Agreement.</w:t>
      </w:r>
    </w:p>
    <w:p>
      <w:pPr>
        <w:spacing w:after="0" w:line="79" w:lineRule="exact"/>
        <w:rPr>
          <w:sz w:val="20"/>
          <w:szCs w:val="20"/>
          <w:color w:val="auto"/>
        </w:rPr>
      </w:pPr>
    </w:p>
    <w:p>
      <w:pPr>
        <w:jc w:val="both"/>
        <w:ind w:left="1" w:right="40"/>
        <w:spacing w:after="0" w:line="241" w:lineRule="auto"/>
        <w:rPr>
          <w:sz w:val="20"/>
          <w:szCs w:val="20"/>
          <w:color w:val="auto"/>
        </w:rPr>
      </w:pPr>
      <w:r>
        <w:rPr>
          <w:rFonts w:ascii="Arial" w:cs="Arial" w:eastAsia="Arial" w:hAnsi="Arial"/>
          <w:sz w:val="12"/>
          <w:szCs w:val="12"/>
          <w:color w:val="auto"/>
        </w:rPr>
        <w:t>Similarly, the Executive Employment Agreements contain non-competition and non-solicitation provisions which are generally applicable for one year from when the NEO ceases to be employed. The non-competition restrictions do not apply if the NEO terminates employment for any reason within one year following a change of control. Additionally, if the NEO voluntarily terminates employment other than for good reason, the non-competition restrictions shall apply only if (i) the Company notifies the NEO of its intent to enforce the non-competition provisions within 15 days following the NEO’s separation from service and (ii) the Company pays the NEO a lump sum amount equal to the sum of the annual base salary received by the NEO as of the date of termination and the NEO’s target annual bonus for the fiscal year during which the termination occurs.</w:t>
      </w:r>
    </w:p>
    <w:p>
      <w:pPr>
        <w:spacing w:after="0" w:line="87" w:lineRule="exact"/>
        <w:rPr>
          <w:sz w:val="20"/>
          <w:szCs w:val="20"/>
          <w:color w:val="auto"/>
        </w:rPr>
      </w:pPr>
    </w:p>
    <w:p>
      <w:pPr>
        <w:jc w:val="both"/>
        <w:ind w:left="1" w:right="40"/>
        <w:spacing w:after="0" w:line="254" w:lineRule="auto"/>
        <w:rPr>
          <w:sz w:val="20"/>
          <w:szCs w:val="20"/>
          <w:color w:val="auto"/>
        </w:rPr>
      </w:pPr>
      <w:r>
        <w:rPr>
          <w:rFonts w:ascii="Arial" w:cs="Arial" w:eastAsia="Arial" w:hAnsi="Arial"/>
          <w:sz w:val="12"/>
          <w:szCs w:val="12"/>
          <w:color w:val="auto"/>
        </w:rPr>
        <w:t>We are required to pay legal fees and expenses incurred by the executive in any disputes regarding his employment agreement, so long as the executive undertakes to reimburse the Company for such amounts paid if the executive is determined to have acted in bad faith in connection with the dispute.</w:t>
      </w:r>
    </w:p>
    <w:p>
      <w:pPr>
        <w:spacing w:after="0" w:line="149"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Previously Earned and Fully Vested 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337" w:lineRule="exact"/>
        <w:rPr>
          <w:sz w:val="20"/>
          <w:szCs w:val="20"/>
          <w:color w:val="auto"/>
        </w:rPr>
      </w:pPr>
    </w:p>
    <w:p>
      <w:pPr>
        <w:jc w:val="both"/>
        <w:ind w:left="1" w:right="40"/>
        <w:spacing w:after="0" w:line="254" w:lineRule="auto"/>
        <w:rPr>
          <w:sz w:val="20"/>
          <w:szCs w:val="20"/>
          <w:color w:val="auto"/>
        </w:rPr>
      </w:pPr>
      <w:r>
        <w:rPr>
          <w:rFonts w:ascii="Arial" w:cs="Arial" w:eastAsia="Arial" w:hAnsi="Arial"/>
          <w:sz w:val="12"/>
          <w:szCs w:val="12"/>
          <w:color w:val="auto"/>
        </w:rPr>
        <w:t>On termination of an NEO for any reason, the NEO would be entitled to a distribution of previously earned and fully vested deferred compensation, which is distributable in Company shares, cash or other investments pursuant to the applicable plan.</w:t>
      </w:r>
    </w:p>
    <w:p>
      <w:pPr>
        <w:spacing w:after="0" w:line="79" w:lineRule="exact"/>
        <w:rPr>
          <w:sz w:val="20"/>
          <w:szCs w:val="20"/>
          <w:color w:val="auto"/>
        </w:rPr>
      </w:pPr>
    </w:p>
    <w:p>
      <w:pPr>
        <w:jc w:val="both"/>
        <w:ind w:left="1" w:right="40"/>
        <w:spacing w:after="0" w:line="254" w:lineRule="auto"/>
        <w:rPr>
          <w:sz w:val="20"/>
          <w:szCs w:val="20"/>
          <w:color w:val="auto"/>
        </w:rPr>
      </w:pPr>
      <w:r>
        <w:rPr>
          <w:rFonts w:ascii="Arial" w:cs="Arial" w:eastAsia="Arial" w:hAnsi="Arial"/>
          <w:sz w:val="12"/>
          <w:szCs w:val="12"/>
          <w:color w:val="auto"/>
        </w:rPr>
        <w:t>Accordingly, previously earned and fully vested deferred compensation would become distributable under our EDC and SERP, which is distributable in Company shares or cash. The following table sets forth the dollar value as of December 31, 2013 of such previously earned and fully vested deferred compensation for our current NEOs.</w:t>
      </w:r>
    </w:p>
    <w:p>
      <w:pPr>
        <w:spacing w:after="0" w:line="117" w:lineRule="exact"/>
        <w:rPr>
          <w:sz w:val="20"/>
          <w:szCs w:val="20"/>
          <w:color w:val="auto"/>
        </w:rPr>
      </w:pPr>
    </w:p>
    <w:tbl>
      <w:tblPr>
        <w:tblLayout w:type="fixed"/>
        <w:tblInd w:w="1" w:type="dxa"/>
        <w:tblCellMar>
          <w:top w:w="0" w:type="dxa"/>
          <w:left w:w="0" w:type="dxa"/>
          <w:bottom w:w="0" w:type="dxa"/>
          <w:right w:w="0" w:type="dxa"/>
        </w:tblCellMar>
      </w:tblPr>
      <w:tr>
        <w:trPr>
          <w:trHeight w:val="148"/>
        </w:trPr>
        <w:tc>
          <w:tcPr>
            <w:tcW w:w="4360" w:type="dxa"/>
            <w:vAlign w:val="bottom"/>
          </w:tcPr>
          <w:p>
            <w:pPr>
              <w:spacing w:after="0"/>
              <w:rPr>
                <w:sz w:val="20"/>
                <w:szCs w:val="20"/>
                <w:color w:val="auto"/>
              </w:rPr>
            </w:pPr>
            <w:r>
              <w:rPr>
                <w:rFonts w:ascii="Arial" w:cs="Arial" w:eastAsia="Arial" w:hAnsi="Arial"/>
                <w:sz w:val="12"/>
                <w:szCs w:val="12"/>
                <w:color w:val="auto"/>
              </w:rPr>
              <w:t>Name</w:t>
            </w:r>
          </w:p>
        </w:tc>
        <w:tc>
          <w:tcPr>
            <w:tcW w:w="7100" w:type="dxa"/>
            <w:vAlign w:val="bottom"/>
            <w:gridSpan w:val="2"/>
          </w:tcPr>
          <w:p>
            <w:pPr>
              <w:jc w:val="right"/>
              <w:ind w:right="40"/>
              <w:spacing w:after="0"/>
              <w:rPr>
                <w:sz w:val="20"/>
                <w:szCs w:val="20"/>
                <w:color w:val="auto"/>
              </w:rPr>
            </w:pPr>
            <w:r>
              <w:rPr>
                <w:rFonts w:ascii="Arial" w:cs="Arial" w:eastAsia="Arial" w:hAnsi="Arial"/>
                <w:sz w:val="12"/>
                <w:szCs w:val="12"/>
                <w:color w:val="auto"/>
              </w:rPr>
              <w:t>$ Value of Shares to be Distributed</w:t>
            </w:r>
          </w:p>
        </w:tc>
      </w:tr>
      <w:tr>
        <w:trPr>
          <w:trHeight w:val="38"/>
        </w:trPr>
        <w:tc>
          <w:tcPr>
            <w:tcW w:w="4360" w:type="dxa"/>
            <w:vAlign w:val="bottom"/>
            <w:tcBorders>
              <w:bottom w:val="single" w:sz="8" w:color="auto"/>
            </w:tcBorders>
          </w:tcPr>
          <w:p>
            <w:pPr>
              <w:spacing w:after="0"/>
              <w:rPr>
                <w:sz w:val="3"/>
                <w:szCs w:val="3"/>
                <w:color w:val="auto"/>
              </w:rPr>
            </w:pPr>
          </w:p>
        </w:tc>
        <w:tc>
          <w:tcPr>
            <w:tcW w:w="70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77"/>
        </w:trPr>
        <w:tc>
          <w:tcPr>
            <w:tcW w:w="4360" w:type="dxa"/>
            <w:vAlign w:val="bottom"/>
          </w:tcPr>
          <w:p>
            <w:pPr>
              <w:spacing w:after="0"/>
              <w:rPr>
                <w:sz w:val="20"/>
                <w:szCs w:val="20"/>
                <w:color w:val="auto"/>
              </w:rPr>
            </w:pPr>
            <w:r>
              <w:rPr>
                <w:rFonts w:ascii="Arial" w:cs="Arial" w:eastAsia="Arial" w:hAnsi="Arial"/>
                <w:sz w:val="12"/>
                <w:szCs w:val="12"/>
                <w:color w:val="auto"/>
              </w:rPr>
              <w:t>Bernard J. Duroc-Danner</w:t>
            </w:r>
          </w:p>
        </w:tc>
        <w:tc>
          <w:tcPr>
            <w:tcW w:w="7060" w:type="dxa"/>
            <w:vAlign w:val="bottom"/>
          </w:tcPr>
          <w:p>
            <w:pPr>
              <w:jc w:val="right"/>
              <w:spacing w:after="0"/>
              <w:rPr>
                <w:sz w:val="20"/>
                <w:szCs w:val="20"/>
                <w:color w:val="auto"/>
              </w:rPr>
            </w:pPr>
            <w:r>
              <w:rPr>
                <w:rFonts w:ascii="Arial" w:cs="Arial" w:eastAsia="Arial" w:hAnsi="Arial"/>
                <w:sz w:val="12"/>
                <w:szCs w:val="12"/>
                <w:color w:val="auto"/>
              </w:rPr>
              <w:t>70,456,079</w:t>
            </w:r>
          </w:p>
        </w:tc>
        <w:tc>
          <w:tcPr>
            <w:tcW w:w="40" w:type="dxa"/>
            <w:vAlign w:val="bottom"/>
          </w:tcPr>
          <w:p>
            <w:pPr>
              <w:spacing w:after="0"/>
              <w:rPr>
                <w:sz w:val="15"/>
                <w:szCs w:val="15"/>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2"/>
                <w:szCs w:val="12"/>
                <w:color w:val="auto"/>
              </w:rPr>
              <w:t>Krishna Shivram</w:t>
            </w:r>
          </w:p>
        </w:tc>
        <w:tc>
          <w:tcPr>
            <w:tcW w:w="71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r>
      <w:tr>
        <w:trPr>
          <w:trHeight w:val="223"/>
        </w:trPr>
        <w:tc>
          <w:tcPr>
            <w:tcW w:w="4360" w:type="dxa"/>
            <w:vAlign w:val="bottom"/>
          </w:tcPr>
          <w:p>
            <w:pPr>
              <w:spacing w:after="0"/>
              <w:rPr>
                <w:sz w:val="20"/>
                <w:szCs w:val="20"/>
                <w:color w:val="auto"/>
              </w:rPr>
            </w:pPr>
            <w:r>
              <w:rPr>
                <w:rFonts w:ascii="Arial" w:cs="Arial" w:eastAsia="Arial" w:hAnsi="Arial"/>
                <w:sz w:val="12"/>
                <w:szCs w:val="12"/>
                <w:color w:val="auto"/>
              </w:rPr>
              <w:t>Dharmesh Mehta</w:t>
            </w:r>
          </w:p>
        </w:tc>
        <w:tc>
          <w:tcPr>
            <w:tcW w:w="7060" w:type="dxa"/>
            <w:vAlign w:val="bottom"/>
          </w:tcPr>
          <w:p>
            <w:pPr>
              <w:jc w:val="right"/>
              <w:spacing w:after="0"/>
              <w:rPr>
                <w:sz w:val="20"/>
                <w:szCs w:val="20"/>
                <w:color w:val="auto"/>
              </w:rPr>
            </w:pPr>
            <w:r>
              <w:rPr>
                <w:rFonts w:ascii="Arial" w:cs="Arial" w:eastAsia="Arial" w:hAnsi="Arial"/>
                <w:sz w:val="12"/>
                <w:szCs w:val="12"/>
                <w:color w:val="auto"/>
              </w:rPr>
              <w:t>52,201</w:t>
            </w:r>
          </w:p>
        </w:tc>
        <w:tc>
          <w:tcPr>
            <w:tcW w:w="40" w:type="dxa"/>
            <w:vAlign w:val="bottom"/>
          </w:tcPr>
          <w:p>
            <w:pPr>
              <w:spacing w:after="0"/>
              <w:rPr>
                <w:sz w:val="19"/>
                <w:szCs w:val="19"/>
                <w:color w:val="auto"/>
              </w:rPr>
            </w:pPr>
          </w:p>
        </w:tc>
      </w:tr>
      <w:tr>
        <w:trPr>
          <w:trHeight w:val="43"/>
        </w:trPr>
        <w:tc>
          <w:tcPr>
            <w:tcW w:w="4360" w:type="dxa"/>
            <w:vAlign w:val="bottom"/>
            <w:tcBorders>
              <w:bottom w:val="single" w:sz="8" w:color="auto"/>
            </w:tcBorders>
          </w:tcPr>
          <w:p>
            <w:pPr>
              <w:spacing w:after="0"/>
              <w:rPr>
                <w:sz w:val="3"/>
                <w:szCs w:val="3"/>
                <w:color w:val="auto"/>
              </w:rPr>
            </w:pPr>
          </w:p>
        </w:tc>
        <w:tc>
          <w:tcPr>
            <w:tcW w:w="70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568"/>
        </w:trPr>
        <w:tc>
          <w:tcPr>
            <w:tcW w:w="4360" w:type="dxa"/>
            <w:vAlign w:val="bottom"/>
          </w:tcPr>
          <w:p>
            <w:pPr>
              <w:spacing w:after="0"/>
              <w:rPr>
                <w:sz w:val="24"/>
                <w:szCs w:val="24"/>
                <w:color w:val="auto"/>
              </w:rPr>
            </w:pPr>
          </w:p>
        </w:tc>
        <w:tc>
          <w:tcPr>
            <w:tcW w:w="7100" w:type="dxa"/>
            <w:vAlign w:val="bottom"/>
            <w:gridSpan w:val="2"/>
          </w:tcPr>
          <w:p>
            <w:pPr>
              <w:jc w:val="right"/>
              <w:ind w:right="40"/>
              <w:spacing w:after="0"/>
              <w:rPr>
                <w:sz w:val="20"/>
                <w:szCs w:val="20"/>
                <w:color w:val="auto"/>
              </w:rPr>
            </w:pPr>
            <w:r>
              <w:rPr>
                <w:rFonts w:ascii="Arial" w:cs="Arial" w:eastAsia="Arial" w:hAnsi="Arial"/>
                <w:sz w:val="12"/>
                <w:szCs w:val="12"/>
                <w:color w:val="auto"/>
              </w:rPr>
              <w:t xml:space="preserve">Weatherford International plc - www.WeatherfordAnnualMeeting.com   </w:t>
            </w:r>
            <w:r>
              <w:rPr>
                <w:rFonts w:ascii="Arial" w:cs="Arial" w:eastAsia="Arial" w:hAnsi="Arial"/>
                <w:sz w:val="12"/>
                <w:szCs w:val="12"/>
                <w:b w:val="1"/>
                <w:bCs w:val="1"/>
                <w:color w:val="auto"/>
              </w:rPr>
              <w:t>39</w:t>
            </w:r>
          </w:p>
        </w:tc>
      </w:tr>
      <w:tr>
        <w:trPr>
          <w:trHeight w:val="195"/>
        </w:trPr>
        <w:tc>
          <w:tcPr>
            <w:tcW w:w="4360" w:type="dxa"/>
            <w:vAlign w:val="bottom"/>
            <w:tcBorders>
              <w:bottom w:val="single" w:sz="8" w:color="808080"/>
            </w:tcBorders>
          </w:tcPr>
          <w:p>
            <w:pPr>
              <w:spacing w:after="0"/>
              <w:rPr>
                <w:sz w:val="16"/>
                <w:szCs w:val="16"/>
                <w:color w:val="auto"/>
              </w:rPr>
            </w:pPr>
          </w:p>
        </w:tc>
        <w:tc>
          <w:tcPr>
            <w:tcW w:w="706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-13335</wp:posOffset>
            </wp:positionV>
            <wp:extent cx="12700" cy="76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61"/>
          </w:cols>
          <w:pgMar w:left="239" w:top="563" w:right="199" w:bottom="1440" w:gutter="0" w:footer="0" w:header="0"/>
        </w:sectPr>
      </w:pPr>
    </w:p>
    <w:bookmarkStart w:id="57" w:name="page58"/>
    <w:bookmarkEnd w:id="57"/>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41"/>
        <w:spacing w:after="0"/>
        <w:rPr>
          <w:sz w:val="20"/>
          <w:szCs w:val="20"/>
          <w:color w:val="auto"/>
        </w:rPr>
      </w:pPr>
      <w:r>
        <w:rPr>
          <w:rFonts w:ascii="Arial" w:cs="Arial" w:eastAsia="Arial" w:hAnsi="Arial"/>
          <w:sz w:val="12"/>
          <w:szCs w:val="12"/>
          <w:b w:val="1"/>
          <w:bCs w:val="1"/>
          <w:color w:val="FFFFFF"/>
          <w:shd w:val="clear" w:color="auto" w:fill="BB1131"/>
        </w:rPr>
        <w:t>EXECUTIVE COMPENSATION</w:t>
      </w:r>
    </w:p>
    <w:p>
      <w:pPr>
        <w:spacing w:after="0" w:line="181" w:lineRule="exact"/>
        <w:rPr>
          <w:sz w:val="20"/>
          <w:szCs w:val="20"/>
          <w:color w:val="auto"/>
        </w:rPr>
      </w:pPr>
    </w:p>
    <w:p>
      <w:pPr>
        <w:ind w:left="1" w:right="4100"/>
        <w:spacing w:after="0" w:line="265" w:lineRule="auto"/>
        <w:rPr>
          <w:sz w:val="20"/>
          <w:szCs w:val="20"/>
          <w:color w:val="auto"/>
        </w:rPr>
      </w:pPr>
      <w:r>
        <w:rPr>
          <w:rFonts w:ascii="Arial" w:cs="Arial" w:eastAsia="Arial" w:hAnsi="Arial"/>
          <w:sz w:val="20"/>
          <w:szCs w:val="20"/>
          <w:b w:val="1"/>
          <w:bCs w:val="1"/>
          <w:color w:val="auto"/>
        </w:rPr>
        <w:t>Termination for Good Reason, by Us After a Change of Control or by Us Other Than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7258050" cy="76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83" w:lineRule="exact"/>
        <w:rPr>
          <w:sz w:val="20"/>
          <w:szCs w:val="20"/>
          <w:color w:val="auto"/>
        </w:rPr>
      </w:pPr>
    </w:p>
    <w:p>
      <w:pPr>
        <w:jc w:val="both"/>
        <w:ind w:left="1"/>
        <w:spacing w:after="0" w:line="242" w:lineRule="auto"/>
        <w:rPr>
          <w:sz w:val="20"/>
          <w:szCs w:val="20"/>
          <w:color w:val="auto"/>
        </w:rPr>
      </w:pPr>
      <w:r>
        <w:rPr>
          <w:rFonts w:ascii="Arial" w:cs="Arial" w:eastAsia="Arial" w:hAnsi="Arial"/>
          <w:sz w:val="12"/>
          <w:szCs w:val="12"/>
          <w:color w:val="auto"/>
        </w:rPr>
        <w:t>The following table describes cash payments that would have been payable under the Executive Employment Agreements with respect to our current NEOs if an NEO’s employment had been terminated for good reason (other than as a result of non-renewal of the employment agreement), by the Company after a change of control (a “double-trigger”) or by the Company other than for cause, in each case assuming the termination had occurred on December 31, 2013. Amounts payable as a result of termination upon death, disability or termination by the executive for good reason as a result of non-renewal are set forth in additional detail below under “Termination Upon Death, Disability or For Good Reason as a Result of Non-Renewal.”</w:t>
      </w:r>
    </w:p>
    <w:p>
      <w:pPr>
        <w:spacing w:after="0" w:line="61"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4660" w:type="dxa"/>
            <w:vAlign w:val="bottom"/>
          </w:tcPr>
          <w:p>
            <w:pPr>
              <w:spacing w:after="0"/>
              <w:rPr>
                <w:sz w:val="12"/>
                <w:szCs w:val="12"/>
                <w:color w:val="auto"/>
              </w:rPr>
            </w:pPr>
          </w:p>
        </w:tc>
        <w:tc>
          <w:tcPr>
            <w:tcW w:w="4820" w:type="dxa"/>
            <w:vAlign w:val="bottom"/>
          </w:tcPr>
          <w:p>
            <w:pPr>
              <w:jc w:val="right"/>
              <w:ind w:right="179"/>
              <w:spacing w:after="0"/>
              <w:rPr>
                <w:sz w:val="20"/>
                <w:szCs w:val="20"/>
                <w:color w:val="auto"/>
              </w:rPr>
            </w:pPr>
            <w:r>
              <w:rPr>
                <w:rFonts w:ascii="Arial" w:cs="Arial" w:eastAsia="Arial" w:hAnsi="Arial"/>
                <w:sz w:val="12"/>
                <w:szCs w:val="12"/>
                <w:color w:val="auto"/>
              </w:rPr>
              <w:t>Termination Obligations</w:t>
            </w:r>
          </w:p>
        </w:tc>
        <w:tc>
          <w:tcPr>
            <w:tcW w:w="1200" w:type="dxa"/>
            <w:vAlign w:val="bottom"/>
          </w:tcPr>
          <w:p>
            <w:pPr>
              <w:jc w:val="right"/>
              <w:ind w:right="179"/>
              <w:spacing w:after="0"/>
              <w:rPr>
                <w:sz w:val="20"/>
                <w:szCs w:val="20"/>
                <w:color w:val="auto"/>
              </w:rPr>
            </w:pPr>
            <w:r>
              <w:rPr>
                <w:rFonts w:ascii="Arial" w:cs="Arial" w:eastAsia="Arial" w:hAnsi="Arial"/>
                <w:sz w:val="12"/>
                <w:szCs w:val="12"/>
                <w:color w:val="auto"/>
              </w:rPr>
              <w:t>Other Payment</w:t>
            </w:r>
          </w:p>
        </w:tc>
        <w:tc>
          <w:tcPr>
            <w:tcW w:w="740" w:type="dxa"/>
            <w:vAlign w:val="bottom"/>
          </w:tcPr>
          <w:p>
            <w:pPr>
              <w:jc w:val="right"/>
              <w:spacing w:after="0"/>
              <w:rPr>
                <w:sz w:val="20"/>
                <w:szCs w:val="20"/>
                <w:color w:val="auto"/>
              </w:rPr>
            </w:pPr>
            <w:r>
              <w:rPr>
                <w:rFonts w:ascii="Arial" w:cs="Arial" w:eastAsia="Arial" w:hAnsi="Arial"/>
                <w:sz w:val="12"/>
                <w:szCs w:val="12"/>
                <w:color w:val="auto"/>
              </w:rPr>
              <w:t>Total</w:t>
            </w:r>
          </w:p>
        </w:tc>
      </w:tr>
      <w:tr>
        <w:trPr>
          <w:trHeight w:val="161"/>
        </w:trPr>
        <w:tc>
          <w:tcPr>
            <w:tcW w:w="46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Name</w:t>
            </w:r>
          </w:p>
        </w:tc>
        <w:tc>
          <w:tcPr>
            <w:tcW w:w="4820" w:type="dxa"/>
            <w:vAlign w:val="bottom"/>
            <w:tcBorders>
              <w:bottom w:val="single" w:sz="8" w:color="auto"/>
            </w:tcBorders>
          </w:tcPr>
          <w:p>
            <w:pPr>
              <w:jc w:val="right"/>
              <w:ind w:right="59"/>
              <w:spacing w:after="0" w:line="161" w:lineRule="exact"/>
              <w:rPr>
                <w:sz w:val="20"/>
                <w:szCs w:val="20"/>
                <w:color w:val="auto"/>
              </w:rPr>
            </w:pPr>
            <w:r>
              <w:rPr>
                <w:rFonts w:ascii="Arial" w:cs="Arial" w:eastAsia="Arial" w:hAnsi="Arial"/>
                <w:sz w:val="11"/>
                <w:szCs w:val="11"/>
                <w:color w:val="auto"/>
              </w:rPr>
              <w:t>($)</w:t>
            </w:r>
            <w:r>
              <w:rPr>
                <w:rFonts w:ascii="Arial" w:cs="Arial" w:eastAsia="Arial" w:hAnsi="Arial"/>
                <w:sz w:val="18"/>
                <w:szCs w:val="18"/>
                <w:color w:val="auto"/>
                <w:vertAlign w:val="superscript"/>
              </w:rPr>
              <w:t>(1)</w:t>
            </w:r>
          </w:p>
        </w:tc>
        <w:tc>
          <w:tcPr>
            <w:tcW w:w="1200" w:type="dxa"/>
            <w:vAlign w:val="bottom"/>
            <w:tcBorders>
              <w:bottom w:val="single" w:sz="8" w:color="auto"/>
            </w:tcBorders>
          </w:tcPr>
          <w:p>
            <w:pPr>
              <w:jc w:val="right"/>
              <w:ind w:right="59"/>
              <w:spacing w:after="0" w:line="161" w:lineRule="exact"/>
              <w:rPr>
                <w:sz w:val="20"/>
                <w:szCs w:val="20"/>
                <w:color w:val="auto"/>
              </w:rPr>
            </w:pPr>
            <w:r>
              <w:rPr>
                <w:rFonts w:ascii="Arial" w:cs="Arial" w:eastAsia="Arial" w:hAnsi="Arial"/>
                <w:sz w:val="11"/>
                <w:szCs w:val="11"/>
                <w:color w:val="auto"/>
              </w:rPr>
              <w:t>($)</w:t>
            </w:r>
            <w:r>
              <w:rPr>
                <w:rFonts w:ascii="Arial" w:cs="Arial" w:eastAsia="Arial" w:hAnsi="Arial"/>
                <w:sz w:val="18"/>
                <w:szCs w:val="18"/>
                <w:color w:val="auto"/>
                <w:vertAlign w:val="superscript"/>
              </w:rPr>
              <w:t>(2)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77"/>
        </w:trPr>
        <w:tc>
          <w:tcPr>
            <w:tcW w:w="4660" w:type="dxa"/>
            <w:vAlign w:val="bottom"/>
          </w:tcPr>
          <w:p>
            <w:pPr>
              <w:spacing w:after="0"/>
              <w:rPr>
                <w:sz w:val="20"/>
                <w:szCs w:val="20"/>
                <w:color w:val="auto"/>
              </w:rPr>
            </w:pPr>
            <w:r>
              <w:rPr>
                <w:rFonts w:ascii="Arial" w:cs="Arial" w:eastAsia="Arial" w:hAnsi="Arial"/>
                <w:sz w:val="12"/>
                <w:szCs w:val="12"/>
                <w:color w:val="auto"/>
              </w:rPr>
              <w:t>Bernard J. Duroc-Danner</w:t>
            </w:r>
          </w:p>
        </w:tc>
        <w:tc>
          <w:tcPr>
            <w:tcW w:w="4820" w:type="dxa"/>
            <w:vAlign w:val="bottom"/>
          </w:tcPr>
          <w:p>
            <w:pPr>
              <w:jc w:val="right"/>
              <w:ind w:right="179"/>
              <w:spacing w:after="0"/>
              <w:rPr>
                <w:sz w:val="20"/>
                <w:szCs w:val="20"/>
                <w:color w:val="auto"/>
              </w:rPr>
            </w:pPr>
            <w:r>
              <w:rPr>
                <w:rFonts w:ascii="Arial" w:cs="Arial" w:eastAsia="Arial" w:hAnsi="Arial"/>
                <w:sz w:val="12"/>
                <w:szCs w:val="12"/>
                <w:color w:val="auto"/>
              </w:rPr>
              <w:t>15,746,463</w:t>
            </w:r>
          </w:p>
        </w:tc>
        <w:tc>
          <w:tcPr>
            <w:tcW w:w="1200" w:type="dxa"/>
            <w:vAlign w:val="bottom"/>
          </w:tcPr>
          <w:p>
            <w:pPr>
              <w:jc w:val="right"/>
              <w:ind w:right="179"/>
              <w:spacing w:after="0"/>
              <w:rPr>
                <w:sz w:val="20"/>
                <w:szCs w:val="20"/>
                <w:color w:val="auto"/>
              </w:rPr>
            </w:pPr>
            <w:r>
              <w:rPr>
                <w:rFonts w:ascii="Arial" w:cs="Arial" w:eastAsia="Arial" w:hAnsi="Arial"/>
                <w:sz w:val="12"/>
                <w:szCs w:val="12"/>
                <w:color w:val="auto"/>
              </w:rPr>
              <w:t>252,788</w:t>
            </w:r>
          </w:p>
        </w:tc>
        <w:tc>
          <w:tcPr>
            <w:tcW w:w="740" w:type="dxa"/>
            <w:vAlign w:val="bottom"/>
          </w:tcPr>
          <w:p>
            <w:pPr>
              <w:jc w:val="right"/>
              <w:spacing w:after="0"/>
              <w:rPr>
                <w:sz w:val="20"/>
                <w:szCs w:val="20"/>
                <w:color w:val="auto"/>
              </w:rPr>
            </w:pPr>
            <w:r>
              <w:rPr>
                <w:rFonts w:ascii="Arial" w:cs="Arial" w:eastAsia="Arial" w:hAnsi="Arial"/>
                <w:sz w:val="12"/>
                <w:szCs w:val="12"/>
                <w:color w:val="auto"/>
              </w:rPr>
              <w:t>15,999,251</w:t>
            </w:r>
          </w:p>
        </w:tc>
      </w:tr>
      <w:tr>
        <w:trPr>
          <w:trHeight w:val="223"/>
        </w:trPr>
        <w:tc>
          <w:tcPr>
            <w:tcW w:w="4660" w:type="dxa"/>
            <w:vAlign w:val="bottom"/>
          </w:tcPr>
          <w:p>
            <w:pPr>
              <w:spacing w:after="0"/>
              <w:rPr>
                <w:sz w:val="20"/>
                <w:szCs w:val="20"/>
                <w:color w:val="auto"/>
              </w:rPr>
            </w:pPr>
            <w:r>
              <w:rPr>
                <w:rFonts w:ascii="Arial" w:cs="Arial" w:eastAsia="Arial" w:hAnsi="Arial"/>
                <w:sz w:val="12"/>
                <w:szCs w:val="12"/>
                <w:color w:val="auto"/>
              </w:rPr>
              <w:t>Krishna Shivram</w:t>
            </w:r>
          </w:p>
        </w:tc>
        <w:tc>
          <w:tcPr>
            <w:tcW w:w="4820" w:type="dxa"/>
            <w:vAlign w:val="bottom"/>
          </w:tcPr>
          <w:p>
            <w:pPr>
              <w:jc w:val="right"/>
              <w:ind w:right="179"/>
              <w:spacing w:after="0"/>
              <w:rPr>
                <w:sz w:val="20"/>
                <w:szCs w:val="20"/>
                <w:color w:val="auto"/>
              </w:rPr>
            </w:pPr>
            <w:r>
              <w:rPr>
                <w:rFonts w:ascii="Arial" w:cs="Arial" w:eastAsia="Arial" w:hAnsi="Arial"/>
                <w:sz w:val="12"/>
                <w:szCs w:val="12"/>
                <w:color w:val="auto"/>
              </w:rPr>
              <w:t>4,678,515</w:t>
            </w:r>
          </w:p>
        </w:tc>
        <w:tc>
          <w:tcPr>
            <w:tcW w:w="1200" w:type="dxa"/>
            <w:vAlign w:val="bottom"/>
          </w:tcPr>
          <w:p>
            <w:pPr>
              <w:jc w:val="right"/>
              <w:ind w:right="179"/>
              <w:spacing w:after="0"/>
              <w:rPr>
                <w:sz w:val="20"/>
                <w:szCs w:val="20"/>
                <w:color w:val="auto"/>
              </w:rPr>
            </w:pPr>
            <w:r>
              <w:rPr>
                <w:rFonts w:ascii="Arial" w:cs="Arial" w:eastAsia="Arial" w:hAnsi="Arial"/>
                <w:sz w:val="12"/>
                <w:szCs w:val="12"/>
                <w:color w:val="auto"/>
              </w:rPr>
              <w:t>75,088</w:t>
            </w:r>
          </w:p>
        </w:tc>
        <w:tc>
          <w:tcPr>
            <w:tcW w:w="740" w:type="dxa"/>
            <w:vAlign w:val="bottom"/>
          </w:tcPr>
          <w:p>
            <w:pPr>
              <w:jc w:val="right"/>
              <w:spacing w:after="0"/>
              <w:rPr>
                <w:sz w:val="20"/>
                <w:szCs w:val="20"/>
                <w:color w:val="auto"/>
              </w:rPr>
            </w:pPr>
            <w:r>
              <w:rPr>
                <w:rFonts w:ascii="Arial" w:cs="Arial" w:eastAsia="Arial" w:hAnsi="Arial"/>
                <w:sz w:val="12"/>
                <w:szCs w:val="12"/>
                <w:color w:val="auto"/>
              </w:rPr>
              <w:t>4,753,603</w:t>
            </w:r>
          </w:p>
        </w:tc>
      </w:tr>
      <w:tr>
        <w:trPr>
          <w:trHeight w:val="223"/>
        </w:trPr>
        <w:tc>
          <w:tcPr>
            <w:tcW w:w="4660" w:type="dxa"/>
            <w:vAlign w:val="bottom"/>
          </w:tcPr>
          <w:p>
            <w:pPr>
              <w:spacing w:after="0"/>
              <w:rPr>
                <w:sz w:val="20"/>
                <w:szCs w:val="20"/>
                <w:color w:val="auto"/>
              </w:rPr>
            </w:pPr>
            <w:r>
              <w:rPr>
                <w:rFonts w:ascii="Arial" w:cs="Arial" w:eastAsia="Arial" w:hAnsi="Arial"/>
                <w:sz w:val="12"/>
                <w:szCs w:val="12"/>
                <w:color w:val="auto"/>
              </w:rPr>
              <w:t>Dharmesh Mehta</w:t>
            </w:r>
          </w:p>
        </w:tc>
        <w:tc>
          <w:tcPr>
            <w:tcW w:w="4820" w:type="dxa"/>
            <w:vAlign w:val="bottom"/>
          </w:tcPr>
          <w:p>
            <w:pPr>
              <w:jc w:val="right"/>
              <w:ind w:right="179"/>
              <w:spacing w:after="0"/>
              <w:rPr>
                <w:sz w:val="20"/>
                <w:szCs w:val="20"/>
                <w:color w:val="auto"/>
              </w:rPr>
            </w:pPr>
            <w:r>
              <w:rPr>
                <w:rFonts w:ascii="Arial" w:cs="Arial" w:eastAsia="Arial" w:hAnsi="Arial"/>
                <w:sz w:val="12"/>
                <w:szCs w:val="12"/>
                <w:color w:val="auto"/>
              </w:rPr>
              <w:t>5,109,500</w:t>
            </w:r>
          </w:p>
        </w:tc>
        <w:tc>
          <w:tcPr>
            <w:tcW w:w="1200" w:type="dxa"/>
            <w:vAlign w:val="bottom"/>
          </w:tcPr>
          <w:p>
            <w:pPr>
              <w:jc w:val="right"/>
              <w:ind w:right="179"/>
              <w:spacing w:after="0"/>
              <w:rPr>
                <w:sz w:val="20"/>
                <w:szCs w:val="20"/>
                <w:color w:val="auto"/>
              </w:rPr>
            </w:pPr>
            <w:r>
              <w:rPr>
                <w:rFonts w:ascii="Arial" w:cs="Arial" w:eastAsia="Arial" w:hAnsi="Arial"/>
                <w:sz w:val="12"/>
                <w:szCs w:val="12"/>
                <w:color w:val="auto"/>
              </w:rPr>
              <w:t>81,912</w:t>
            </w:r>
          </w:p>
        </w:tc>
        <w:tc>
          <w:tcPr>
            <w:tcW w:w="740" w:type="dxa"/>
            <w:vAlign w:val="bottom"/>
          </w:tcPr>
          <w:p>
            <w:pPr>
              <w:jc w:val="right"/>
              <w:spacing w:after="0"/>
              <w:rPr>
                <w:sz w:val="20"/>
                <w:szCs w:val="20"/>
                <w:color w:val="auto"/>
              </w:rPr>
            </w:pPr>
            <w:r>
              <w:rPr>
                <w:rFonts w:ascii="Arial" w:cs="Arial" w:eastAsia="Arial" w:hAnsi="Arial"/>
                <w:sz w:val="12"/>
                <w:szCs w:val="12"/>
                <w:color w:val="auto"/>
              </w:rPr>
              <w:t>5,191,412</w:t>
            </w:r>
          </w:p>
        </w:tc>
      </w:tr>
      <w:tr>
        <w:trPr>
          <w:trHeight w:val="43"/>
        </w:trPr>
        <w:tc>
          <w:tcPr>
            <w:tcW w:w="4660" w:type="dxa"/>
            <w:vAlign w:val="bottom"/>
            <w:tcBorders>
              <w:bottom w:val="single" w:sz="8" w:color="auto"/>
            </w:tcBorders>
          </w:tcPr>
          <w:p>
            <w:pPr>
              <w:spacing w:after="0"/>
              <w:rPr>
                <w:sz w:val="3"/>
                <w:szCs w:val="3"/>
                <w:color w:val="auto"/>
              </w:rPr>
            </w:pPr>
          </w:p>
        </w:tc>
        <w:tc>
          <w:tcPr>
            <w:tcW w:w="48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bl>
    <w:p>
      <w:pPr>
        <w:spacing w:after="0" w:line="98" w:lineRule="exact"/>
        <w:rPr>
          <w:sz w:val="20"/>
          <w:szCs w:val="20"/>
          <w:color w:val="auto"/>
        </w:rPr>
      </w:pPr>
    </w:p>
    <w:p>
      <w:pPr>
        <w:ind w:left="181" w:hanging="181"/>
        <w:spacing w:after="0"/>
        <w:tabs>
          <w:tab w:leader="none" w:pos="181" w:val="left"/>
        </w:tabs>
        <w:numPr>
          <w:ilvl w:val="0"/>
          <w:numId w:val="53"/>
        </w:numPr>
        <w:rPr>
          <w:rFonts w:ascii="Arial" w:cs="Arial" w:eastAsia="Arial" w:hAnsi="Arial"/>
          <w:sz w:val="12"/>
          <w:szCs w:val="12"/>
          <w:color w:val="auto"/>
        </w:rPr>
      </w:pPr>
      <w:r>
        <w:rPr>
          <w:rFonts w:ascii="Arial" w:cs="Arial" w:eastAsia="Arial" w:hAnsi="Arial"/>
          <w:sz w:val="12"/>
          <w:szCs w:val="12"/>
          <w:color w:val="auto"/>
        </w:rPr>
        <w:t>Represents accrued vacation, prorated bonus and Salary and Bonus Payment.</w:t>
      </w:r>
    </w:p>
    <w:p>
      <w:pPr>
        <w:spacing w:after="0" w:line="97" w:lineRule="exact"/>
        <w:rPr>
          <w:rFonts w:ascii="Arial" w:cs="Arial" w:eastAsia="Arial" w:hAnsi="Arial"/>
          <w:sz w:val="12"/>
          <w:szCs w:val="12"/>
          <w:color w:val="auto"/>
        </w:rPr>
      </w:pPr>
    </w:p>
    <w:p>
      <w:pPr>
        <w:ind w:left="181" w:hanging="181"/>
        <w:spacing w:after="0"/>
        <w:tabs>
          <w:tab w:leader="none" w:pos="181" w:val="left"/>
        </w:tabs>
        <w:numPr>
          <w:ilvl w:val="0"/>
          <w:numId w:val="53"/>
        </w:numPr>
        <w:rPr>
          <w:rFonts w:ascii="Arial" w:cs="Arial" w:eastAsia="Arial" w:hAnsi="Arial"/>
          <w:sz w:val="12"/>
          <w:szCs w:val="12"/>
          <w:color w:val="auto"/>
        </w:rPr>
      </w:pPr>
      <w:r>
        <w:rPr>
          <w:rFonts w:ascii="Arial" w:cs="Arial" w:eastAsia="Arial" w:hAnsi="Arial"/>
          <w:sz w:val="12"/>
          <w:szCs w:val="12"/>
          <w:color w:val="auto"/>
        </w:rPr>
        <w:t>Represents contractual interest on payments deferred for six months in accordance with Section 409A.</w:t>
      </w:r>
    </w:p>
    <w:p>
      <w:pPr>
        <w:spacing w:after="0" w:line="97"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In addition to the cash payments described above, the NEOs would have been entitled to receive certain non-cash compensation. The value of that non-cash compensation is set forth in the table below (referred to in this proxy statement as the “Non-Cash Compensation Table”).</w:t>
      </w:r>
    </w:p>
    <w:p>
      <w:pPr>
        <w:spacing w:after="0" w:line="117" w:lineRule="exact"/>
        <w:rPr>
          <w:sz w:val="20"/>
          <w:szCs w:val="20"/>
          <w:color w:val="auto"/>
        </w:rPr>
      </w:pPr>
    </w:p>
    <w:tbl>
      <w:tblPr>
        <w:tblLayout w:type="fixed"/>
        <w:tblInd w:w="1" w:type="dxa"/>
        <w:tblCellMar>
          <w:top w:w="0" w:type="dxa"/>
          <w:left w:w="0" w:type="dxa"/>
          <w:bottom w:w="0" w:type="dxa"/>
          <w:right w:w="0" w:type="dxa"/>
        </w:tblCellMar>
      </w:tblPr>
      <w:tr>
        <w:trPr>
          <w:trHeight w:val="148"/>
        </w:trPr>
        <w:tc>
          <w:tcPr>
            <w:tcW w:w="4800" w:type="dxa"/>
            <w:vAlign w:val="bottom"/>
          </w:tcPr>
          <w:p>
            <w:pPr>
              <w:spacing w:after="0"/>
              <w:rPr>
                <w:sz w:val="20"/>
                <w:szCs w:val="20"/>
                <w:color w:val="auto"/>
              </w:rPr>
            </w:pPr>
            <w:r>
              <w:rPr>
                <w:rFonts w:ascii="Arial" w:cs="Arial" w:eastAsia="Arial" w:hAnsi="Arial"/>
                <w:sz w:val="12"/>
                <w:szCs w:val="12"/>
                <w:color w:val="auto"/>
              </w:rPr>
              <w:t>Name</w:t>
            </w:r>
          </w:p>
        </w:tc>
        <w:tc>
          <w:tcPr>
            <w:tcW w:w="4900" w:type="dxa"/>
            <w:vAlign w:val="bottom"/>
          </w:tcPr>
          <w:p>
            <w:pPr>
              <w:jc w:val="right"/>
              <w:ind w:right="58"/>
              <w:spacing w:after="0"/>
              <w:rPr>
                <w:sz w:val="20"/>
                <w:szCs w:val="20"/>
                <w:color w:val="auto"/>
              </w:rPr>
            </w:pPr>
            <w:r>
              <w:rPr>
                <w:rFonts w:ascii="Arial" w:cs="Arial" w:eastAsia="Arial" w:hAnsi="Arial"/>
                <w:sz w:val="12"/>
                <w:szCs w:val="12"/>
                <w:color w:val="auto"/>
              </w:rPr>
              <w:t>$ Value of Equity Awards</w:t>
            </w:r>
          </w:p>
        </w:tc>
        <w:tc>
          <w:tcPr>
            <w:tcW w:w="1720" w:type="dxa"/>
            <w:vAlign w:val="bottom"/>
          </w:tcPr>
          <w:p>
            <w:pPr>
              <w:jc w:val="right"/>
              <w:spacing w:after="0"/>
              <w:rPr>
                <w:sz w:val="20"/>
                <w:szCs w:val="20"/>
                <w:color w:val="auto"/>
              </w:rPr>
            </w:pPr>
            <w:r>
              <w:rPr>
                <w:rFonts w:ascii="Arial" w:cs="Arial" w:eastAsia="Arial" w:hAnsi="Arial"/>
                <w:sz w:val="12"/>
                <w:szCs w:val="12"/>
                <w:color w:val="auto"/>
              </w:rPr>
              <w:t>$ Value of Healthcare Benefit</w:t>
            </w:r>
          </w:p>
        </w:tc>
      </w:tr>
      <w:tr>
        <w:trPr>
          <w:trHeight w:val="38"/>
        </w:trPr>
        <w:tc>
          <w:tcPr>
            <w:tcW w:w="4800" w:type="dxa"/>
            <w:vAlign w:val="bottom"/>
            <w:tcBorders>
              <w:bottom w:val="single" w:sz="8" w:color="auto"/>
            </w:tcBorders>
          </w:tcPr>
          <w:p>
            <w:pPr>
              <w:spacing w:after="0"/>
              <w:rPr>
                <w:sz w:val="3"/>
                <w:szCs w:val="3"/>
                <w:color w:val="auto"/>
              </w:rPr>
            </w:pPr>
          </w:p>
        </w:tc>
        <w:tc>
          <w:tcPr>
            <w:tcW w:w="490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r>
        <w:trPr>
          <w:trHeight w:val="177"/>
        </w:trPr>
        <w:tc>
          <w:tcPr>
            <w:tcW w:w="4800" w:type="dxa"/>
            <w:vAlign w:val="bottom"/>
          </w:tcPr>
          <w:p>
            <w:pPr>
              <w:spacing w:after="0"/>
              <w:rPr>
                <w:sz w:val="20"/>
                <w:szCs w:val="20"/>
                <w:color w:val="auto"/>
              </w:rPr>
            </w:pPr>
            <w:r>
              <w:rPr>
                <w:rFonts w:ascii="Arial" w:cs="Arial" w:eastAsia="Arial" w:hAnsi="Arial"/>
                <w:sz w:val="12"/>
                <w:szCs w:val="12"/>
                <w:color w:val="auto"/>
              </w:rPr>
              <w:t>Bernard J. Duroc-Danner</w:t>
            </w:r>
          </w:p>
        </w:tc>
        <w:tc>
          <w:tcPr>
            <w:tcW w:w="4900" w:type="dxa"/>
            <w:vAlign w:val="bottom"/>
          </w:tcPr>
          <w:p>
            <w:pPr>
              <w:jc w:val="right"/>
              <w:ind w:right="58"/>
              <w:spacing w:after="0"/>
              <w:rPr>
                <w:sz w:val="20"/>
                <w:szCs w:val="20"/>
                <w:color w:val="auto"/>
              </w:rPr>
            </w:pPr>
            <w:r>
              <w:rPr>
                <w:rFonts w:ascii="Arial" w:cs="Arial" w:eastAsia="Arial" w:hAnsi="Arial"/>
                <w:sz w:val="12"/>
                <w:szCs w:val="12"/>
                <w:color w:val="auto"/>
              </w:rPr>
              <w:t>21,310,398</w:t>
            </w:r>
          </w:p>
        </w:tc>
        <w:tc>
          <w:tcPr>
            <w:tcW w:w="1720" w:type="dxa"/>
            <w:vAlign w:val="bottom"/>
          </w:tcPr>
          <w:p>
            <w:pPr>
              <w:jc w:val="right"/>
              <w:spacing w:after="0"/>
              <w:rPr>
                <w:sz w:val="20"/>
                <w:szCs w:val="20"/>
                <w:color w:val="auto"/>
              </w:rPr>
            </w:pPr>
            <w:r>
              <w:rPr>
                <w:rFonts w:ascii="Arial" w:cs="Arial" w:eastAsia="Arial" w:hAnsi="Arial"/>
                <w:sz w:val="12"/>
                <w:szCs w:val="12"/>
                <w:color w:val="auto"/>
              </w:rPr>
              <w:t>476,439</w:t>
            </w:r>
          </w:p>
        </w:tc>
      </w:tr>
      <w:tr>
        <w:trPr>
          <w:trHeight w:val="223"/>
        </w:trPr>
        <w:tc>
          <w:tcPr>
            <w:tcW w:w="4800" w:type="dxa"/>
            <w:vAlign w:val="bottom"/>
          </w:tcPr>
          <w:p>
            <w:pPr>
              <w:spacing w:after="0"/>
              <w:rPr>
                <w:sz w:val="20"/>
                <w:szCs w:val="20"/>
                <w:color w:val="auto"/>
              </w:rPr>
            </w:pPr>
            <w:r>
              <w:rPr>
                <w:rFonts w:ascii="Arial" w:cs="Arial" w:eastAsia="Arial" w:hAnsi="Arial"/>
                <w:sz w:val="12"/>
                <w:szCs w:val="12"/>
                <w:color w:val="auto"/>
              </w:rPr>
              <w:t>Krishna Shivram</w:t>
            </w:r>
          </w:p>
        </w:tc>
        <w:tc>
          <w:tcPr>
            <w:tcW w:w="490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1720" w:type="dxa"/>
            <w:vAlign w:val="bottom"/>
          </w:tcPr>
          <w:p>
            <w:pPr>
              <w:jc w:val="right"/>
              <w:spacing w:after="0"/>
              <w:rPr>
                <w:sz w:val="20"/>
                <w:szCs w:val="20"/>
                <w:color w:val="auto"/>
              </w:rPr>
            </w:pPr>
            <w:r>
              <w:rPr>
                <w:rFonts w:ascii="Arial" w:cs="Arial" w:eastAsia="Arial" w:hAnsi="Arial"/>
                <w:sz w:val="12"/>
                <w:szCs w:val="12"/>
                <w:color w:val="auto"/>
              </w:rPr>
              <w:t>34,560</w:t>
            </w:r>
          </w:p>
        </w:tc>
      </w:tr>
      <w:tr>
        <w:trPr>
          <w:trHeight w:val="223"/>
        </w:trPr>
        <w:tc>
          <w:tcPr>
            <w:tcW w:w="4800" w:type="dxa"/>
            <w:vAlign w:val="bottom"/>
          </w:tcPr>
          <w:p>
            <w:pPr>
              <w:spacing w:after="0"/>
              <w:rPr>
                <w:sz w:val="20"/>
                <w:szCs w:val="20"/>
                <w:color w:val="auto"/>
              </w:rPr>
            </w:pPr>
            <w:r>
              <w:rPr>
                <w:rFonts w:ascii="Arial" w:cs="Arial" w:eastAsia="Arial" w:hAnsi="Arial"/>
                <w:sz w:val="12"/>
                <w:szCs w:val="12"/>
                <w:color w:val="auto"/>
              </w:rPr>
              <w:t>Dharmesh Mehta</w:t>
            </w:r>
          </w:p>
        </w:tc>
        <w:tc>
          <w:tcPr>
            <w:tcW w:w="4900" w:type="dxa"/>
            <w:vAlign w:val="bottom"/>
          </w:tcPr>
          <w:p>
            <w:pPr>
              <w:jc w:val="right"/>
              <w:ind w:right="58"/>
              <w:spacing w:after="0"/>
              <w:rPr>
                <w:sz w:val="20"/>
                <w:szCs w:val="20"/>
                <w:color w:val="auto"/>
              </w:rPr>
            </w:pPr>
            <w:r>
              <w:rPr>
                <w:rFonts w:ascii="Arial" w:cs="Arial" w:eastAsia="Arial" w:hAnsi="Arial"/>
                <w:sz w:val="12"/>
                <w:szCs w:val="12"/>
                <w:color w:val="auto"/>
              </w:rPr>
              <w:t>6,946,289</w:t>
            </w:r>
          </w:p>
        </w:tc>
        <w:tc>
          <w:tcPr>
            <w:tcW w:w="1720" w:type="dxa"/>
            <w:vAlign w:val="bottom"/>
          </w:tcPr>
          <w:p>
            <w:pPr>
              <w:jc w:val="right"/>
              <w:spacing w:after="0"/>
              <w:rPr>
                <w:sz w:val="20"/>
                <w:szCs w:val="20"/>
                <w:color w:val="auto"/>
              </w:rPr>
            </w:pPr>
            <w:r>
              <w:rPr>
                <w:rFonts w:ascii="Arial" w:cs="Arial" w:eastAsia="Arial" w:hAnsi="Arial"/>
                <w:sz w:val="12"/>
                <w:szCs w:val="12"/>
                <w:color w:val="auto"/>
              </w:rPr>
              <w:t>12,384</w:t>
            </w:r>
          </w:p>
        </w:tc>
      </w:tr>
      <w:tr>
        <w:trPr>
          <w:trHeight w:val="43"/>
        </w:trPr>
        <w:tc>
          <w:tcPr>
            <w:tcW w:w="4800" w:type="dxa"/>
            <w:vAlign w:val="bottom"/>
            <w:tcBorders>
              <w:bottom w:val="single" w:sz="8" w:color="auto"/>
            </w:tcBorders>
          </w:tcPr>
          <w:p>
            <w:pPr>
              <w:spacing w:after="0"/>
              <w:rPr>
                <w:sz w:val="3"/>
                <w:szCs w:val="3"/>
                <w:color w:val="auto"/>
              </w:rPr>
            </w:pPr>
          </w:p>
        </w:tc>
        <w:tc>
          <w:tcPr>
            <w:tcW w:w="490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bl>
    <w:p>
      <w:pPr>
        <w:spacing w:after="0" w:line="123" w:lineRule="exact"/>
        <w:rPr>
          <w:sz w:val="20"/>
          <w:szCs w:val="20"/>
          <w:color w:val="auto"/>
        </w:rPr>
      </w:pPr>
    </w:p>
    <w:p>
      <w:pPr>
        <w:jc w:val="both"/>
        <w:ind w:left="1"/>
        <w:spacing w:after="0" w:line="239" w:lineRule="auto"/>
        <w:rPr>
          <w:sz w:val="20"/>
          <w:szCs w:val="20"/>
          <w:color w:val="auto"/>
        </w:rPr>
      </w:pPr>
      <w:r>
        <w:rPr>
          <w:rFonts w:ascii="Arial" w:cs="Arial" w:eastAsia="Arial" w:hAnsi="Arial"/>
          <w:sz w:val="12"/>
          <w:szCs w:val="12"/>
          <w:color w:val="auto"/>
        </w:rPr>
        <w:t>There are no additional rights granted to executives under the Executive Employment Agreements as a result of a change of control, other than providing that an executive can terminate his Executive Employment Agreement in connection with a change of control for a material diminution of the executive’s position, authority, duties or responsibilities (which will constitute good reason). Further, the Executive Employment Agreements provide that the Company will require any successor to all or substantially all of the Company’s business and/or Company’s assets to expressly assume and agree to perform the Executive Employment Agreement in the same manner and to the same extent that the Company would be required to perform it if no such succession had taken place. Failure of the Company to obtain such assumption and agreement at or prior to the effectiveness of any such succession will entitle the NEO to compensation from the Company in the same amount and on the same terms as the executive would be entitled if the executive were to terminate employment for good reason after a change of control, except that, (i) for purposes of implementing the foregoing, the date on which any such succession becomes effective will be deemed the date of termination and (ii) the Company will be given the opportunity to cure the foregoing.</w:t>
      </w:r>
    </w:p>
    <w:p>
      <w:pPr>
        <w:spacing w:after="0" w:line="91" w:lineRule="exact"/>
        <w:rPr>
          <w:sz w:val="20"/>
          <w:szCs w:val="20"/>
          <w:color w:val="auto"/>
        </w:rPr>
      </w:pPr>
    </w:p>
    <w:p>
      <w:pPr>
        <w:jc w:val="both"/>
        <w:ind w:left="1"/>
        <w:spacing w:after="0" w:line="247" w:lineRule="auto"/>
        <w:rPr>
          <w:sz w:val="20"/>
          <w:szCs w:val="20"/>
          <w:color w:val="auto"/>
        </w:rPr>
      </w:pPr>
      <w:r>
        <w:rPr>
          <w:rFonts w:ascii="Arial" w:cs="Arial" w:eastAsia="Arial" w:hAnsi="Arial"/>
          <w:sz w:val="12"/>
          <w:szCs w:val="12"/>
          <w:color w:val="auto"/>
        </w:rPr>
        <w:t>The equity plans and related grant and award agreements in which our NEOs participate generally provide for the vesting of relevant grants and awards and acceleration of certain benefits upon a change of control. For certain outstanding option awards, our Board has the discretion upon a change of control whether to accelerate the vesting of the outstanding award, or require the award to be substituted or otherwise adjusted.</w:t>
      </w:r>
    </w:p>
    <w:p>
      <w:pPr>
        <w:spacing w:after="0" w:line="293"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Termination Upon Death, Disability or For Good Reason as a Result of Non-Renewal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38"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In the event of a current NEO’s death, disability or termination by the executive for good reason as a result of non-renewal, he (or his estate) would be entitled to receive the compensation described above in “Termination for Good Reason, by Us After a Change of Control or by Us Other than for Cause,” except that:</w:t>
      </w:r>
    </w:p>
    <w:p>
      <w:pPr>
        <w:spacing w:after="0" w:line="42" w:lineRule="exact"/>
        <w:rPr>
          <w:sz w:val="20"/>
          <w:szCs w:val="20"/>
          <w:color w:val="auto"/>
        </w:rPr>
      </w:pPr>
    </w:p>
    <w:p>
      <w:pPr>
        <w:ind w:left="701"/>
        <w:spacing w:after="0"/>
        <w:rPr>
          <w:sz w:val="20"/>
          <w:szCs w:val="20"/>
          <w:color w:val="auto"/>
        </w:rPr>
      </w:pPr>
      <w:r>
        <w:rPr>
          <w:rFonts w:ascii="Arial" w:cs="Arial" w:eastAsia="Arial" w:hAnsi="Arial"/>
          <w:sz w:val="12"/>
          <w:szCs w:val="12"/>
          <w:color w:val="auto"/>
        </w:rPr>
        <w:t>the Salary and Bonus Payment would be reduced to a multiple of one times the officer’s salary and target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-67945</wp:posOffset>
            </wp:positionV>
            <wp:extent cx="48895" cy="4889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spacing w:after="0" w:line="15" w:lineRule="exact"/>
        <w:rPr>
          <w:sz w:val="20"/>
          <w:szCs w:val="20"/>
          <w:color w:val="auto"/>
        </w:rPr>
      </w:pPr>
    </w:p>
    <w:p>
      <w:pPr>
        <w:ind w:left="701"/>
        <w:spacing w:after="0"/>
        <w:rPr>
          <w:sz w:val="20"/>
          <w:szCs w:val="20"/>
          <w:color w:val="auto"/>
        </w:rPr>
      </w:pPr>
      <w:r>
        <w:rPr>
          <w:rFonts w:ascii="Arial" w:cs="Arial" w:eastAsia="Arial" w:hAnsi="Arial"/>
          <w:sz w:val="12"/>
          <w:szCs w:val="12"/>
          <w:color w:val="auto"/>
        </w:rPr>
        <w:t>the NEO’s estate would receive life insurance proceeds in the amount of up to one times (two times in the case of Dr. Duroc-Danner) his salary or salary bracket, up to a maximum of $2,000,000;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-67945</wp:posOffset>
            </wp:positionV>
            <wp:extent cx="48895" cy="4889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spacing w:after="0" w:line="15" w:lineRule="exact"/>
        <w:rPr>
          <w:sz w:val="20"/>
          <w:szCs w:val="20"/>
          <w:color w:val="auto"/>
        </w:rPr>
      </w:pPr>
    </w:p>
    <w:p>
      <w:pPr>
        <w:ind w:left="701" w:right="1520"/>
        <w:spacing w:after="0" w:line="297" w:lineRule="auto"/>
        <w:rPr>
          <w:sz w:val="20"/>
          <w:szCs w:val="20"/>
          <w:color w:val="auto"/>
        </w:rPr>
      </w:pPr>
      <w:r>
        <w:rPr>
          <w:rFonts w:ascii="Arial" w:cs="Arial" w:eastAsia="Arial" w:hAnsi="Arial"/>
          <w:sz w:val="12"/>
          <w:szCs w:val="12"/>
          <w:color w:val="auto"/>
        </w:rPr>
        <w:t>if applicable, the NEO’s estate would receive accidental death and dismemberment proceeds in the amount of two times his salary, up to a maximum of $2,000,000; and if applicable, the NEO’s estate would receive business travel accident proceeds in the amount of four times his salary, up to a maximum of $1,000,000.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-196850</wp:posOffset>
            </wp:positionV>
            <wp:extent cx="48895" cy="4889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-94615</wp:posOffset>
            </wp:positionV>
            <wp:extent cx="48895" cy="4889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spacing w:after="0" w:line="134" w:lineRule="exact"/>
        <w:rPr>
          <w:sz w:val="20"/>
          <w:szCs w:val="20"/>
          <w:color w:val="auto"/>
        </w:rPr>
      </w:pPr>
    </w:p>
    <w:p>
      <w:pPr>
        <w:ind w:left="301" w:hanging="301"/>
        <w:spacing w:after="0"/>
        <w:tabs>
          <w:tab w:leader="none" w:pos="301" w:val="left"/>
        </w:tabs>
        <w:numPr>
          <w:ilvl w:val="0"/>
          <w:numId w:val="54"/>
        </w:numPr>
        <w:rPr>
          <w:rFonts w:ascii="Arial" w:cs="Arial" w:eastAsia="Arial" w:hAnsi="Arial"/>
          <w:sz w:val="12"/>
          <w:szCs w:val="12"/>
          <w:b w:val="1"/>
          <w:bCs w:val="1"/>
          <w:color w:val="auto"/>
        </w:rPr>
      </w:pPr>
      <w:r>
        <w:rPr>
          <w:rFonts w:ascii="Arial" w:cs="Arial" w:eastAsia="Arial" w:hAnsi="Arial"/>
          <w:sz w:val="12"/>
          <w:szCs w:val="12"/>
          <w:color w:val="auto"/>
        </w:rPr>
        <w:t>Weatherford International plc - 2014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8370" cy="203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9640"/>
        <w:spacing w:after="0"/>
        <w:rPr>
          <w:sz w:val="20"/>
          <w:szCs w:val="20"/>
          <w:color w:val="auto"/>
        </w:rPr>
      </w:pPr>
      <w:r>
        <w:rPr>
          <w:rFonts w:ascii="Arial" w:cs="Arial" w:eastAsia="Arial" w:hAnsi="Arial"/>
          <w:sz w:val="12"/>
          <w:szCs w:val="12"/>
          <w:b w:val="1"/>
          <w:bCs w:val="1"/>
          <w:color w:val="FFFFFF"/>
          <w:shd w:val="clear" w:color="auto" w:fill="BB1131"/>
        </w:rPr>
        <w:t>EXECUTIVE COMPENSATION</w:t>
      </w:r>
    </w:p>
    <w:p>
      <w:pPr>
        <w:spacing w:after="0" w:line="210" w:lineRule="exact"/>
        <w:rPr>
          <w:sz w:val="20"/>
          <w:szCs w:val="20"/>
          <w:color w:val="auto"/>
        </w:rPr>
      </w:pPr>
    </w:p>
    <w:p>
      <w:pPr>
        <w:jc w:val="both"/>
        <w:spacing w:after="0" w:line="243" w:lineRule="auto"/>
        <w:rPr>
          <w:sz w:val="20"/>
          <w:szCs w:val="20"/>
          <w:color w:val="auto"/>
        </w:rPr>
      </w:pPr>
      <w:r>
        <w:rPr>
          <w:rFonts w:ascii="Arial" w:cs="Arial" w:eastAsia="Arial" w:hAnsi="Arial"/>
          <w:sz w:val="12"/>
          <w:szCs w:val="12"/>
          <w:color w:val="auto"/>
        </w:rPr>
        <w:t>The following table describes cash payments that would be required to be made under the Executive Employment Agreements with respect to our current NEOs and under our retirement plans in the event of an NEO’s death, disability or termination by the executive for good reason as a result of non-renewal. The amounts shown for such person in the table include amounts earned through such time and are estimates of the amount that would be paid out to the NEO upon termination. The actual amounts to be paid out can only be determined at the time of, and depend upon the circumstances surrounding, termination.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700" w:type="dxa"/>
            <w:vAlign w:val="bottom"/>
          </w:tcPr>
          <w:p>
            <w:pPr>
              <w:spacing w:after="0"/>
              <w:rPr>
                <w:sz w:val="12"/>
                <w:szCs w:val="12"/>
                <w:color w:val="auto"/>
              </w:rPr>
            </w:pPr>
          </w:p>
        </w:tc>
        <w:tc>
          <w:tcPr>
            <w:tcW w:w="4840" w:type="dxa"/>
            <w:vAlign w:val="bottom"/>
          </w:tcPr>
          <w:p>
            <w:pPr>
              <w:jc w:val="right"/>
              <w:ind w:right="179"/>
              <w:spacing w:after="0"/>
              <w:rPr>
                <w:sz w:val="20"/>
                <w:szCs w:val="20"/>
                <w:color w:val="auto"/>
              </w:rPr>
            </w:pPr>
            <w:r>
              <w:rPr>
                <w:rFonts w:ascii="Arial" w:cs="Arial" w:eastAsia="Arial" w:hAnsi="Arial"/>
                <w:sz w:val="12"/>
                <w:szCs w:val="12"/>
                <w:color w:val="auto"/>
              </w:rPr>
              <w:t>Termination Obligations</w:t>
            </w:r>
          </w:p>
        </w:tc>
        <w:tc>
          <w:tcPr>
            <w:tcW w:w="1220" w:type="dxa"/>
            <w:vAlign w:val="bottom"/>
          </w:tcPr>
          <w:p>
            <w:pPr>
              <w:jc w:val="right"/>
              <w:ind w:right="199"/>
              <w:spacing w:after="0"/>
              <w:rPr>
                <w:sz w:val="20"/>
                <w:szCs w:val="20"/>
                <w:color w:val="auto"/>
              </w:rPr>
            </w:pPr>
            <w:r>
              <w:rPr>
                <w:rFonts w:ascii="Arial" w:cs="Arial" w:eastAsia="Arial" w:hAnsi="Arial"/>
                <w:sz w:val="12"/>
                <w:szCs w:val="12"/>
                <w:color w:val="auto"/>
              </w:rPr>
              <w:t>Other Payment</w:t>
            </w:r>
          </w:p>
        </w:tc>
        <w:tc>
          <w:tcPr>
            <w:tcW w:w="660" w:type="dxa"/>
            <w:vAlign w:val="bottom"/>
          </w:tcPr>
          <w:p>
            <w:pPr>
              <w:jc w:val="right"/>
              <w:spacing w:after="0"/>
              <w:rPr>
                <w:sz w:val="20"/>
                <w:szCs w:val="20"/>
                <w:color w:val="auto"/>
              </w:rPr>
            </w:pPr>
            <w:r>
              <w:rPr>
                <w:rFonts w:ascii="Arial" w:cs="Arial" w:eastAsia="Arial" w:hAnsi="Arial"/>
                <w:sz w:val="12"/>
                <w:szCs w:val="12"/>
                <w:color w:val="auto"/>
              </w:rPr>
              <w:t>Total</w:t>
            </w:r>
          </w:p>
        </w:tc>
      </w:tr>
      <w:tr>
        <w:trPr>
          <w:trHeight w:val="161"/>
        </w:trPr>
        <w:tc>
          <w:tcPr>
            <w:tcW w:w="47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Name</w:t>
            </w:r>
          </w:p>
        </w:tc>
        <w:tc>
          <w:tcPr>
            <w:tcW w:w="4840" w:type="dxa"/>
            <w:vAlign w:val="bottom"/>
            <w:tcBorders>
              <w:bottom w:val="single" w:sz="8" w:color="auto"/>
            </w:tcBorders>
          </w:tcPr>
          <w:p>
            <w:pPr>
              <w:jc w:val="right"/>
              <w:ind w:right="59"/>
              <w:spacing w:after="0" w:line="161" w:lineRule="exact"/>
              <w:rPr>
                <w:sz w:val="20"/>
                <w:szCs w:val="20"/>
                <w:color w:val="auto"/>
              </w:rPr>
            </w:pPr>
            <w:r>
              <w:rPr>
                <w:rFonts w:ascii="Arial" w:cs="Arial" w:eastAsia="Arial" w:hAnsi="Arial"/>
                <w:sz w:val="11"/>
                <w:szCs w:val="11"/>
                <w:color w:val="auto"/>
              </w:rPr>
              <w:t>($)</w:t>
            </w:r>
            <w:r>
              <w:rPr>
                <w:rFonts w:ascii="Arial" w:cs="Arial" w:eastAsia="Arial" w:hAnsi="Arial"/>
                <w:sz w:val="18"/>
                <w:szCs w:val="18"/>
                <w:color w:val="auto"/>
                <w:vertAlign w:val="superscript"/>
              </w:rPr>
              <w:t>(1)</w:t>
            </w:r>
          </w:p>
        </w:tc>
        <w:tc>
          <w:tcPr>
            <w:tcW w:w="1220" w:type="dxa"/>
            <w:vAlign w:val="bottom"/>
            <w:tcBorders>
              <w:bottom w:val="single" w:sz="8" w:color="auto"/>
            </w:tcBorders>
          </w:tcPr>
          <w:p>
            <w:pPr>
              <w:jc w:val="right"/>
              <w:ind w:right="79"/>
              <w:spacing w:after="0" w:line="161" w:lineRule="exact"/>
              <w:rPr>
                <w:sz w:val="20"/>
                <w:szCs w:val="20"/>
                <w:color w:val="auto"/>
              </w:rPr>
            </w:pPr>
            <w:r>
              <w:rPr>
                <w:rFonts w:ascii="Arial" w:cs="Arial" w:eastAsia="Arial" w:hAnsi="Arial"/>
                <w:sz w:val="11"/>
                <w:szCs w:val="11"/>
                <w:color w:val="auto"/>
              </w:rPr>
              <w:t>($)</w:t>
            </w:r>
            <w:r>
              <w:rPr>
                <w:rFonts w:ascii="Arial" w:cs="Arial" w:eastAsia="Arial" w:hAnsi="Arial"/>
                <w:sz w:val="18"/>
                <w:szCs w:val="18"/>
                <w:color w:val="auto"/>
                <w:vertAlign w:val="superscript"/>
              </w:rPr>
              <w:t>(2)</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77"/>
        </w:trPr>
        <w:tc>
          <w:tcPr>
            <w:tcW w:w="4700" w:type="dxa"/>
            <w:vAlign w:val="bottom"/>
          </w:tcPr>
          <w:p>
            <w:pPr>
              <w:spacing w:after="0"/>
              <w:rPr>
                <w:sz w:val="20"/>
                <w:szCs w:val="20"/>
                <w:color w:val="auto"/>
              </w:rPr>
            </w:pPr>
            <w:r>
              <w:rPr>
                <w:rFonts w:ascii="Arial" w:cs="Arial" w:eastAsia="Arial" w:hAnsi="Arial"/>
                <w:sz w:val="12"/>
                <w:szCs w:val="12"/>
                <w:color w:val="auto"/>
              </w:rPr>
              <w:t>Bernard J. Duroc-Danner</w:t>
            </w:r>
          </w:p>
        </w:tc>
        <w:tc>
          <w:tcPr>
            <w:tcW w:w="4840" w:type="dxa"/>
            <w:vAlign w:val="bottom"/>
          </w:tcPr>
          <w:p>
            <w:pPr>
              <w:jc w:val="right"/>
              <w:ind w:right="179"/>
              <w:spacing w:after="0"/>
              <w:rPr>
                <w:sz w:val="20"/>
                <w:szCs w:val="20"/>
                <w:color w:val="auto"/>
              </w:rPr>
            </w:pPr>
            <w:r>
              <w:rPr>
                <w:rFonts w:ascii="Arial" w:cs="Arial" w:eastAsia="Arial" w:hAnsi="Arial"/>
                <w:sz w:val="12"/>
                <w:szCs w:val="12"/>
                <w:color w:val="auto"/>
              </w:rPr>
              <w:t>7,038,181</w:t>
            </w:r>
          </w:p>
        </w:tc>
        <w:tc>
          <w:tcPr>
            <w:tcW w:w="1220" w:type="dxa"/>
            <w:vAlign w:val="bottom"/>
          </w:tcPr>
          <w:p>
            <w:pPr>
              <w:jc w:val="right"/>
              <w:ind w:right="199"/>
              <w:spacing w:after="0"/>
              <w:rPr>
                <w:sz w:val="20"/>
                <w:szCs w:val="20"/>
                <w:color w:val="auto"/>
              </w:rPr>
            </w:pPr>
            <w:r>
              <w:rPr>
                <w:rFonts w:ascii="Arial" w:cs="Arial" w:eastAsia="Arial" w:hAnsi="Arial"/>
                <w:sz w:val="12"/>
                <w:szCs w:val="12"/>
                <w:color w:val="auto"/>
              </w:rPr>
              <w:t>111,278</w:t>
            </w:r>
          </w:p>
        </w:tc>
        <w:tc>
          <w:tcPr>
            <w:tcW w:w="660" w:type="dxa"/>
            <w:vAlign w:val="bottom"/>
          </w:tcPr>
          <w:p>
            <w:pPr>
              <w:jc w:val="right"/>
              <w:spacing w:after="0"/>
              <w:rPr>
                <w:sz w:val="20"/>
                <w:szCs w:val="20"/>
                <w:color w:val="auto"/>
              </w:rPr>
            </w:pPr>
            <w:r>
              <w:rPr>
                <w:rFonts w:ascii="Arial" w:cs="Arial" w:eastAsia="Arial" w:hAnsi="Arial"/>
                <w:sz w:val="12"/>
                <w:szCs w:val="12"/>
                <w:color w:val="auto"/>
              </w:rPr>
              <w:t>7,149,459</w:t>
            </w:r>
          </w:p>
        </w:tc>
      </w:tr>
      <w:tr>
        <w:trPr>
          <w:trHeight w:val="223"/>
        </w:trPr>
        <w:tc>
          <w:tcPr>
            <w:tcW w:w="4700" w:type="dxa"/>
            <w:vAlign w:val="bottom"/>
          </w:tcPr>
          <w:p>
            <w:pPr>
              <w:spacing w:after="0"/>
              <w:rPr>
                <w:sz w:val="20"/>
                <w:szCs w:val="20"/>
                <w:color w:val="auto"/>
              </w:rPr>
            </w:pPr>
            <w:r>
              <w:rPr>
                <w:rFonts w:ascii="Arial" w:cs="Arial" w:eastAsia="Arial" w:hAnsi="Arial"/>
                <w:sz w:val="12"/>
                <w:szCs w:val="12"/>
                <w:color w:val="auto"/>
              </w:rPr>
              <w:t>Krishna Shivram</w:t>
            </w:r>
          </w:p>
        </w:tc>
        <w:tc>
          <w:tcPr>
            <w:tcW w:w="4840" w:type="dxa"/>
            <w:vAlign w:val="bottom"/>
          </w:tcPr>
          <w:p>
            <w:pPr>
              <w:jc w:val="right"/>
              <w:ind w:right="179"/>
              <w:spacing w:after="0"/>
              <w:rPr>
                <w:sz w:val="20"/>
                <w:szCs w:val="20"/>
                <w:color w:val="auto"/>
              </w:rPr>
            </w:pPr>
            <w:r>
              <w:rPr>
                <w:rFonts w:ascii="Arial" w:cs="Arial" w:eastAsia="Arial" w:hAnsi="Arial"/>
                <w:sz w:val="12"/>
                <w:szCs w:val="12"/>
                <w:color w:val="auto"/>
              </w:rPr>
              <w:t>1,678,515</w:t>
            </w:r>
          </w:p>
        </w:tc>
        <w:tc>
          <w:tcPr>
            <w:tcW w:w="1220" w:type="dxa"/>
            <w:vAlign w:val="bottom"/>
          </w:tcPr>
          <w:p>
            <w:pPr>
              <w:jc w:val="right"/>
              <w:ind w:right="199"/>
              <w:spacing w:after="0"/>
              <w:rPr>
                <w:sz w:val="20"/>
                <w:szCs w:val="20"/>
                <w:color w:val="auto"/>
              </w:rPr>
            </w:pPr>
            <w:r>
              <w:rPr>
                <w:rFonts w:ascii="Arial" w:cs="Arial" w:eastAsia="Arial" w:hAnsi="Arial"/>
                <w:sz w:val="12"/>
                <w:szCs w:val="12"/>
                <w:color w:val="auto"/>
              </w:rPr>
              <w:t>26,338</w:t>
            </w:r>
          </w:p>
        </w:tc>
        <w:tc>
          <w:tcPr>
            <w:tcW w:w="660" w:type="dxa"/>
            <w:vAlign w:val="bottom"/>
          </w:tcPr>
          <w:p>
            <w:pPr>
              <w:jc w:val="right"/>
              <w:spacing w:after="0"/>
              <w:rPr>
                <w:sz w:val="20"/>
                <w:szCs w:val="20"/>
                <w:color w:val="auto"/>
              </w:rPr>
            </w:pPr>
            <w:r>
              <w:rPr>
                <w:rFonts w:ascii="Arial" w:cs="Arial" w:eastAsia="Arial" w:hAnsi="Arial"/>
                <w:sz w:val="12"/>
                <w:szCs w:val="12"/>
                <w:color w:val="auto"/>
              </w:rPr>
              <w:t>1,704,853</w:t>
            </w:r>
          </w:p>
        </w:tc>
      </w:tr>
      <w:tr>
        <w:trPr>
          <w:trHeight w:val="223"/>
        </w:trPr>
        <w:tc>
          <w:tcPr>
            <w:tcW w:w="4700" w:type="dxa"/>
            <w:vAlign w:val="bottom"/>
          </w:tcPr>
          <w:p>
            <w:pPr>
              <w:spacing w:after="0"/>
              <w:rPr>
                <w:sz w:val="20"/>
                <w:szCs w:val="20"/>
                <w:color w:val="auto"/>
              </w:rPr>
            </w:pPr>
            <w:r>
              <w:rPr>
                <w:rFonts w:ascii="Arial" w:cs="Arial" w:eastAsia="Arial" w:hAnsi="Arial"/>
                <w:sz w:val="12"/>
                <w:szCs w:val="12"/>
                <w:color w:val="auto"/>
              </w:rPr>
              <w:t>Dharmesh Mehta</w:t>
            </w:r>
          </w:p>
        </w:tc>
        <w:tc>
          <w:tcPr>
            <w:tcW w:w="4840" w:type="dxa"/>
            <w:vAlign w:val="bottom"/>
          </w:tcPr>
          <w:p>
            <w:pPr>
              <w:jc w:val="right"/>
              <w:ind w:right="179"/>
              <w:spacing w:after="0"/>
              <w:rPr>
                <w:sz w:val="20"/>
                <w:szCs w:val="20"/>
                <w:color w:val="auto"/>
              </w:rPr>
            </w:pPr>
            <w:r>
              <w:rPr>
                <w:rFonts w:ascii="Arial" w:cs="Arial" w:eastAsia="Arial" w:hAnsi="Arial"/>
                <w:sz w:val="12"/>
                <w:szCs w:val="12"/>
                <w:color w:val="auto"/>
              </w:rPr>
              <w:t>2,249,500</w:t>
            </w:r>
          </w:p>
        </w:tc>
        <w:tc>
          <w:tcPr>
            <w:tcW w:w="1220" w:type="dxa"/>
            <w:vAlign w:val="bottom"/>
          </w:tcPr>
          <w:p>
            <w:pPr>
              <w:jc w:val="right"/>
              <w:ind w:right="199"/>
              <w:spacing w:after="0"/>
              <w:rPr>
                <w:sz w:val="20"/>
                <w:szCs w:val="20"/>
                <w:color w:val="auto"/>
              </w:rPr>
            </w:pPr>
            <w:r>
              <w:rPr>
                <w:rFonts w:ascii="Arial" w:cs="Arial" w:eastAsia="Arial" w:hAnsi="Arial"/>
                <w:sz w:val="12"/>
                <w:szCs w:val="12"/>
                <w:color w:val="auto"/>
              </w:rPr>
              <w:t>35,437</w:t>
            </w:r>
          </w:p>
        </w:tc>
        <w:tc>
          <w:tcPr>
            <w:tcW w:w="660" w:type="dxa"/>
            <w:vAlign w:val="bottom"/>
          </w:tcPr>
          <w:p>
            <w:pPr>
              <w:jc w:val="right"/>
              <w:spacing w:after="0"/>
              <w:rPr>
                <w:sz w:val="20"/>
                <w:szCs w:val="20"/>
                <w:color w:val="auto"/>
              </w:rPr>
            </w:pPr>
            <w:r>
              <w:rPr>
                <w:rFonts w:ascii="Arial" w:cs="Arial" w:eastAsia="Arial" w:hAnsi="Arial"/>
                <w:sz w:val="12"/>
                <w:szCs w:val="12"/>
                <w:color w:val="auto"/>
              </w:rPr>
              <w:t>2,284,937</w:t>
            </w:r>
          </w:p>
        </w:tc>
      </w:tr>
      <w:tr>
        <w:trPr>
          <w:trHeight w:val="43"/>
        </w:trPr>
        <w:tc>
          <w:tcPr>
            <w:tcW w:w="4700" w:type="dxa"/>
            <w:vAlign w:val="bottom"/>
            <w:tcBorders>
              <w:bottom w:val="single" w:sz="8" w:color="auto"/>
            </w:tcBorders>
          </w:tcPr>
          <w:p>
            <w:pPr>
              <w:spacing w:after="0"/>
              <w:rPr>
                <w:sz w:val="3"/>
                <w:szCs w:val="3"/>
                <w:color w:val="auto"/>
              </w:rPr>
            </w:pPr>
          </w:p>
        </w:tc>
        <w:tc>
          <w:tcPr>
            <w:tcW w:w="48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2"/>
          <w:szCs w:val="12"/>
          <w:color w:val="auto"/>
        </w:rPr>
        <w:t>(1) Represents accrued vacation, prorated bonus and Salary and Bonus Payment.</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color w:val="auto"/>
        </w:rPr>
        <w:t>(2) Represents contractual interest on payments deferred for six months in accordance with Section 409A.</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color w:val="auto"/>
        </w:rPr>
        <w:t>In addition to the payments set forth above, the NEO would also receive:</w:t>
      </w:r>
    </w:p>
    <w:p>
      <w:pPr>
        <w:spacing w:after="0" w:line="60" w:lineRule="exact"/>
        <w:rPr>
          <w:sz w:val="20"/>
          <w:szCs w:val="20"/>
          <w:color w:val="auto"/>
        </w:rPr>
      </w:pPr>
    </w:p>
    <w:p>
      <w:pPr>
        <w:ind w:left="700"/>
        <w:spacing w:after="0"/>
        <w:rPr>
          <w:sz w:val="20"/>
          <w:szCs w:val="20"/>
          <w:color w:val="auto"/>
        </w:rPr>
      </w:pPr>
      <w:r>
        <w:rPr>
          <w:rFonts w:ascii="Arial" w:cs="Arial" w:eastAsia="Arial" w:hAnsi="Arial"/>
          <w:sz w:val="12"/>
          <w:szCs w:val="12"/>
          <w:color w:val="auto"/>
        </w:rPr>
        <w:t>any unpaid salary through the date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-67945</wp:posOffset>
            </wp:positionV>
            <wp:extent cx="48895" cy="4889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2"/>
          <w:szCs w:val="12"/>
          <w:color w:val="auto"/>
        </w:rPr>
        <w:t>all compensation set forth in the Non-Cash Compensation Table (Healthcare Benefit reduced to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-67945</wp:posOffset>
            </wp:positionV>
            <wp:extent cx="48895" cy="4889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2"/>
          <w:szCs w:val="12"/>
          <w:color w:val="auto"/>
        </w:rPr>
        <w:t>in the event of an NEO’s death, his estate would be entitled to the following life insurance proceeds: Dr. Duroc-Danner $2,000,000, Mr. Shivram $750,000 and Mr. Mehta $750,000;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-67945</wp:posOffset>
            </wp:positionV>
            <wp:extent cx="48895" cy="4889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spacing w:after="0" w:line="3" w:lineRule="exact"/>
        <w:rPr>
          <w:sz w:val="20"/>
          <w:szCs w:val="20"/>
          <w:color w:val="auto"/>
        </w:rPr>
      </w:pPr>
    </w:p>
    <w:p>
      <w:pPr>
        <w:ind w:left="700"/>
        <w:spacing w:after="0" w:line="254" w:lineRule="auto"/>
        <w:rPr>
          <w:sz w:val="20"/>
          <w:szCs w:val="20"/>
          <w:color w:val="auto"/>
        </w:rPr>
      </w:pPr>
      <w:r>
        <w:rPr>
          <w:rFonts w:ascii="Arial" w:cs="Arial" w:eastAsia="Arial" w:hAnsi="Arial"/>
          <w:sz w:val="12"/>
          <w:szCs w:val="12"/>
          <w:color w:val="auto"/>
        </w:rPr>
        <w:t>in the event of an NEO’s accidental death or dismemberment due to employment, the NEO or his estate would be entitled to the following proceeds: Dr. Duroc-Danner $2,000,000, Mr. Shivram $1,500,000 and Mr. Mehta $1,500,000;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-165735</wp:posOffset>
            </wp:positionV>
            <wp:extent cx="48895" cy="4889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ind w:left="700"/>
        <w:spacing w:after="0"/>
        <w:rPr>
          <w:sz w:val="20"/>
          <w:szCs w:val="20"/>
          <w:color w:val="auto"/>
        </w:rPr>
      </w:pPr>
      <w:r>
        <w:rPr>
          <w:rFonts w:ascii="Arial" w:cs="Arial" w:eastAsia="Arial" w:hAnsi="Arial"/>
          <w:sz w:val="12"/>
          <w:szCs w:val="12"/>
          <w:color w:val="auto"/>
        </w:rPr>
        <w:t>in the event of an NEO’s death due to an accident while traveling on company business, his estate would be entitled to $1,000,000.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-67945</wp:posOffset>
            </wp:positionV>
            <wp:extent cx="48895" cy="4889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8895" cy="48895"/>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Termination for Cause or Voluntary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76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138"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No other special or additional payments are payable to any of the NEOs under the Executive Employment Agreements in the event of a termination for “cause” or voluntary termination of employment by the NEO for other than “good reason.”</w:t>
      </w:r>
    </w:p>
    <w:p>
      <w:pPr>
        <w:spacing w:after="0" w:line="164"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auto"/>
        </w:rPr>
        <w:t>Weatherford International plc - www.WeatherfordAnnualMeeting.com</w:t>
      </w:r>
      <w:r>
        <w:rPr>
          <w:sz w:val="20"/>
          <w:szCs w:val="20"/>
          <w:color w:val="auto"/>
        </w:rPr>
        <w:tab/>
      </w:r>
      <w:r>
        <w:rPr>
          <w:rFonts w:ascii="Arial" w:cs="Arial" w:eastAsia="Arial" w:hAnsi="Arial"/>
          <w:sz w:val="10"/>
          <w:szCs w:val="10"/>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131445</wp:posOffset>
            </wp:positionV>
            <wp:extent cx="7278370" cy="203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59" w:name="page60"/>
    <w:bookmarkEnd w:id="59"/>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41"/>
        <w:spacing w:after="0"/>
        <w:rPr>
          <w:sz w:val="20"/>
          <w:szCs w:val="20"/>
          <w:color w:val="auto"/>
        </w:rPr>
      </w:pPr>
      <w:r>
        <w:rPr>
          <w:rFonts w:ascii="Arial" w:cs="Arial" w:eastAsia="Arial" w:hAnsi="Arial"/>
          <w:sz w:val="12"/>
          <w:szCs w:val="12"/>
          <w:b w:val="1"/>
          <w:bCs w:val="1"/>
          <w:color w:val="FFFFFF"/>
          <w:shd w:val="clear" w:color="auto" w:fill="BB1131"/>
        </w:rPr>
        <w:t>EXECUTIVE COMPENSATION</w:t>
      </w:r>
    </w:p>
    <w:p>
      <w:pPr>
        <w:spacing w:after="0" w:line="214" w:lineRule="exact"/>
        <w:rPr>
          <w:sz w:val="20"/>
          <w:szCs w:val="20"/>
          <w:color w:val="auto"/>
        </w:rPr>
      </w:pPr>
    </w:p>
    <w:p>
      <w:pPr>
        <w:ind w:left="1"/>
        <w:spacing w:after="0"/>
        <w:rPr>
          <w:sz w:val="20"/>
          <w:szCs w:val="20"/>
          <w:color w:val="auto"/>
        </w:rPr>
      </w:pPr>
      <w:r>
        <w:rPr>
          <w:rFonts w:ascii="Arial" w:cs="Arial" w:eastAsia="Arial" w:hAnsi="Arial"/>
          <w:sz w:val="30"/>
          <w:szCs w:val="30"/>
          <w:color w:val="BB1131"/>
        </w:rPr>
        <w:t>Outstanding equity awards at December 31, 2013</w:t>
      </w:r>
    </w:p>
    <w:p>
      <w:pPr>
        <w:spacing w:after="0" w:line="196" w:lineRule="exact"/>
        <w:rPr>
          <w:sz w:val="20"/>
          <w:szCs w:val="20"/>
          <w:color w:val="auto"/>
        </w:rPr>
      </w:pPr>
    </w:p>
    <w:tbl>
      <w:tblPr>
        <w:tblLayout w:type="fixed"/>
        <w:tblInd w:w="1" w:type="dxa"/>
        <w:tblCellMar>
          <w:top w:w="0" w:type="dxa"/>
          <w:left w:w="0" w:type="dxa"/>
          <w:bottom w:w="0" w:type="dxa"/>
          <w:right w:w="0" w:type="dxa"/>
        </w:tblCellMar>
      </w:tblPr>
      <w:tr>
        <w:trPr>
          <w:trHeight w:val="148"/>
        </w:trPr>
        <w:tc>
          <w:tcPr>
            <w:tcW w:w="7900" w:type="dxa"/>
            <w:vAlign w:val="bottom"/>
            <w:gridSpan w:val="6"/>
          </w:tcPr>
          <w:p>
            <w:pPr>
              <w:spacing w:after="0"/>
              <w:rPr>
                <w:sz w:val="20"/>
                <w:szCs w:val="20"/>
                <w:color w:val="auto"/>
              </w:rPr>
            </w:pPr>
            <w:r>
              <w:rPr>
                <w:rFonts w:ascii="Arial" w:cs="Arial" w:eastAsia="Arial" w:hAnsi="Arial"/>
                <w:sz w:val="12"/>
                <w:szCs w:val="12"/>
                <w:color w:val="auto"/>
              </w:rPr>
              <w:t>The following table provides information about the number of outstanding equity awards held by our NEOs at December 31, 2013.</w:t>
            </w:r>
          </w:p>
        </w:tc>
        <w:tc>
          <w:tcPr>
            <w:tcW w:w="8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2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Option Awards</w:t>
            </w:r>
          </w:p>
        </w:tc>
        <w:tc>
          <w:tcPr>
            <w:tcW w:w="7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78"/>
              <w:spacing w:after="0"/>
              <w:rPr>
                <w:sz w:val="20"/>
                <w:szCs w:val="20"/>
                <w:color w:val="auto"/>
              </w:rPr>
            </w:pPr>
            <w:r>
              <w:rPr>
                <w:rFonts w:ascii="Arial" w:cs="Arial" w:eastAsia="Arial" w:hAnsi="Arial"/>
                <w:sz w:val="12"/>
                <w:szCs w:val="12"/>
                <w:color w:val="auto"/>
              </w:rPr>
              <w:t>Stock Awards</w:t>
            </w:r>
          </w:p>
        </w:tc>
        <w:tc>
          <w:tcPr>
            <w:tcW w:w="11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4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80" w:type="dxa"/>
            <w:vAlign w:val="bottom"/>
          </w:tcPr>
          <w:p>
            <w:pPr>
              <w:jc w:val="right"/>
              <w:ind w:right="218"/>
              <w:spacing w:after="0" w:line="128" w:lineRule="exact"/>
              <w:rPr>
                <w:sz w:val="20"/>
                <w:szCs w:val="20"/>
                <w:color w:val="auto"/>
              </w:rPr>
            </w:pPr>
            <w:r>
              <w:rPr>
                <w:rFonts w:ascii="Arial" w:cs="Arial" w:eastAsia="Arial" w:hAnsi="Arial"/>
                <w:sz w:val="12"/>
                <w:szCs w:val="12"/>
                <w:color w:val="auto"/>
              </w:rPr>
              <w:t>Equity Incentive</w:t>
            </w:r>
          </w:p>
        </w:tc>
        <w:tc>
          <w:tcPr>
            <w:tcW w:w="1180" w:type="dxa"/>
            <w:vAlign w:val="bottom"/>
          </w:tcPr>
          <w:p>
            <w:pPr>
              <w:jc w:val="right"/>
              <w:spacing w:after="0" w:line="128" w:lineRule="exact"/>
              <w:rPr>
                <w:sz w:val="20"/>
                <w:szCs w:val="20"/>
                <w:color w:val="auto"/>
              </w:rPr>
            </w:pPr>
            <w:r>
              <w:rPr>
                <w:rFonts w:ascii="Arial" w:cs="Arial" w:eastAsia="Arial" w:hAnsi="Arial"/>
                <w:sz w:val="12"/>
                <w:szCs w:val="12"/>
                <w:color w:val="auto"/>
              </w:rPr>
              <w:t>Equity Incentive Plan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vMerge w:val="restart"/>
          </w:tcPr>
          <w:p>
            <w:pPr>
              <w:jc w:val="right"/>
              <w:ind w:right="218"/>
              <w:spacing w:after="0"/>
              <w:rPr>
                <w:sz w:val="20"/>
                <w:szCs w:val="20"/>
                <w:color w:val="auto"/>
              </w:rPr>
            </w:pPr>
            <w:r>
              <w:rPr>
                <w:rFonts w:ascii="Arial" w:cs="Arial" w:eastAsia="Arial" w:hAnsi="Arial"/>
                <w:sz w:val="12"/>
                <w:szCs w:val="12"/>
                <w:color w:val="auto"/>
              </w:rPr>
              <w:t>Number</w:t>
            </w:r>
          </w:p>
        </w:tc>
        <w:tc>
          <w:tcPr>
            <w:tcW w:w="860" w:type="dxa"/>
            <w:vAlign w:val="bottom"/>
            <w:vMerge w:val="restart"/>
          </w:tcPr>
          <w:p>
            <w:pPr>
              <w:jc w:val="right"/>
              <w:ind w:right="38"/>
              <w:spacing w:after="0"/>
              <w:rPr>
                <w:sz w:val="20"/>
                <w:szCs w:val="20"/>
                <w:color w:val="auto"/>
              </w:rPr>
            </w:pPr>
            <w:r>
              <w:rPr>
                <w:rFonts w:ascii="Arial" w:cs="Arial" w:eastAsia="Arial" w:hAnsi="Arial"/>
                <w:sz w:val="12"/>
                <w:szCs w:val="12"/>
                <w:color w:val="auto"/>
              </w:rPr>
              <w:t>Market Value</w:t>
            </w:r>
          </w:p>
        </w:tc>
        <w:tc>
          <w:tcPr>
            <w:tcW w:w="1480" w:type="dxa"/>
            <w:vAlign w:val="bottom"/>
          </w:tcPr>
          <w:p>
            <w:pPr>
              <w:jc w:val="right"/>
              <w:ind w:right="218"/>
              <w:spacing w:after="0" w:line="136" w:lineRule="exact"/>
              <w:rPr>
                <w:sz w:val="20"/>
                <w:szCs w:val="20"/>
                <w:color w:val="auto"/>
              </w:rPr>
            </w:pPr>
            <w:r>
              <w:rPr>
                <w:rFonts w:ascii="Arial" w:cs="Arial" w:eastAsia="Arial" w:hAnsi="Arial"/>
                <w:sz w:val="12"/>
                <w:szCs w:val="12"/>
                <w:color w:val="auto"/>
              </w:rPr>
              <w:t>Plan Awards:</w:t>
            </w:r>
          </w:p>
        </w:tc>
        <w:tc>
          <w:tcPr>
            <w:tcW w:w="1200" w:type="dxa"/>
            <w:vAlign w:val="bottom"/>
            <w:gridSpan w:val="2"/>
          </w:tcPr>
          <w:p>
            <w:pPr>
              <w:jc w:val="right"/>
              <w:ind w:right="20"/>
              <w:spacing w:after="0" w:line="136" w:lineRule="exact"/>
              <w:rPr>
                <w:sz w:val="20"/>
                <w:szCs w:val="20"/>
                <w:color w:val="auto"/>
              </w:rPr>
            </w:pPr>
            <w:r>
              <w:rPr>
                <w:rFonts w:ascii="Arial" w:cs="Arial" w:eastAsia="Arial" w:hAnsi="Arial"/>
                <w:sz w:val="12"/>
                <w:szCs w:val="12"/>
                <w:color w:val="auto"/>
              </w:rPr>
              <w:t>Awards: Market or</w:t>
            </w:r>
          </w:p>
        </w:tc>
        <w:tc>
          <w:tcPr>
            <w:tcW w:w="0" w:type="dxa"/>
            <w:vAlign w:val="bottom"/>
          </w:tcPr>
          <w:p>
            <w:pPr>
              <w:spacing w:after="0"/>
              <w:rPr>
                <w:sz w:val="1"/>
                <w:szCs w:val="1"/>
                <w:color w:val="auto"/>
              </w:rPr>
            </w:pPr>
          </w:p>
        </w:tc>
      </w:tr>
      <w:tr>
        <w:trPr>
          <w:trHeight w:val="37"/>
        </w:trPr>
        <w:tc>
          <w:tcPr>
            <w:tcW w:w="4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1480" w:type="dxa"/>
            <w:vAlign w:val="bottom"/>
            <w:vMerge w:val="restart"/>
          </w:tcPr>
          <w:p>
            <w:pPr>
              <w:jc w:val="right"/>
              <w:ind w:right="218"/>
              <w:spacing w:after="0" w:line="136" w:lineRule="exact"/>
              <w:rPr>
                <w:sz w:val="20"/>
                <w:szCs w:val="20"/>
                <w:color w:val="auto"/>
              </w:rPr>
            </w:pPr>
            <w:r>
              <w:rPr>
                <w:rFonts w:ascii="Arial" w:cs="Arial" w:eastAsia="Arial" w:hAnsi="Arial"/>
                <w:sz w:val="12"/>
                <w:szCs w:val="12"/>
                <w:color w:val="auto"/>
              </w:rPr>
              <w:t>Number of</w:t>
            </w:r>
          </w:p>
        </w:tc>
        <w:tc>
          <w:tcPr>
            <w:tcW w:w="1200" w:type="dxa"/>
            <w:vAlign w:val="bottom"/>
            <w:gridSpan w:val="2"/>
            <w:vMerge w:val="restart"/>
          </w:tcPr>
          <w:p>
            <w:pPr>
              <w:jc w:val="right"/>
              <w:ind w:right="20"/>
              <w:spacing w:after="0" w:line="136" w:lineRule="exact"/>
              <w:rPr>
                <w:sz w:val="20"/>
                <w:szCs w:val="20"/>
                <w:color w:val="auto"/>
              </w:rPr>
            </w:pPr>
            <w:r>
              <w:rPr>
                <w:rFonts w:ascii="Arial" w:cs="Arial" w:eastAsia="Arial" w:hAnsi="Arial"/>
                <w:sz w:val="12"/>
                <w:szCs w:val="12"/>
                <w:color w:val="auto"/>
              </w:rPr>
              <w:t>Payment Value of</w:t>
            </w:r>
          </w:p>
        </w:tc>
        <w:tc>
          <w:tcPr>
            <w:tcW w:w="0" w:type="dxa"/>
            <w:vAlign w:val="bottom"/>
          </w:tcPr>
          <w:p>
            <w:pPr>
              <w:spacing w:after="0" w:line="20" w:lineRule="exact"/>
              <w:rPr>
                <w:sz w:val="1"/>
                <w:szCs w:val="1"/>
                <w:color w:val="auto"/>
              </w:rPr>
            </w:pPr>
          </w:p>
        </w:tc>
      </w:tr>
      <w:tr>
        <w:trPr>
          <w:trHeight w:val="99"/>
        </w:trPr>
        <w:tc>
          <w:tcPr>
            <w:tcW w:w="4260" w:type="dxa"/>
            <w:vAlign w:val="bottom"/>
          </w:tcPr>
          <w:p>
            <w:pPr>
              <w:spacing w:after="0"/>
              <w:rPr>
                <w:sz w:val="8"/>
                <w:szCs w:val="8"/>
                <w:color w:val="auto"/>
              </w:rPr>
            </w:pPr>
          </w:p>
        </w:tc>
        <w:tc>
          <w:tcPr>
            <w:tcW w:w="820" w:type="dxa"/>
            <w:vAlign w:val="bottom"/>
            <w:vMerge w:val="restart"/>
          </w:tcPr>
          <w:p>
            <w:pPr>
              <w:jc w:val="right"/>
              <w:ind w:right="58"/>
              <w:spacing w:after="0" w:line="136" w:lineRule="exact"/>
              <w:rPr>
                <w:sz w:val="20"/>
                <w:szCs w:val="20"/>
                <w:color w:val="auto"/>
              </w:rPr>
            </w:pPr>
            <w:r>
              <w:rPr>
                <w:rFonts w:ascii="Arial" w:cs="Arial" w:eastAsia="Arial" w:hAnsi="Arial"/>
                <w:sz w:val="12"/>
                <w:szCs w:val="12"/>
                <w:color w:val="auto"/>
              </w:rPr>
              <w:t>Number of</w:t>
            </w: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vMerge w:val="restart"/>
          </w:tcPr>
          <w:p>
            <w:pPr>
              <w:jc w:val="right"/>
              <w:ind w:right="218"/>
              <w:spacing w:after="0" w:line="136" w:lineRule="exact"/>
              <w:rPr>
                <w:sz w:val="20"/>
                <w:szCs w:val="20"/>
                <w:color w:val="auto"/>
              </w:rPr>
            </w:pPr>
            <w:r>
              <w:rPr>
                <w:rFonts w:ascii="Arial" w:cs="Arial" w:eastAsia="Arial" w:hAnsi="Arial"/>
                <w:sz w:val="12"/>
                <w:szCs w:val="12"/>
                <w:color w:val="auto"/>
              </w:rPr>
              <w:t>of Shares</w:t>
            </w:r>
          </w:p>
        </w:tc>
        <w:tc>
          <w:tcPr>
            <w:tcW w:w="860" w:type="dxa"/>
            <w:vAlign w:val="bottom"/>
            <w:vMerge w:val="restart"/>
          </w:tcPr>
          <w:p>
            <w:pPr>
              <w:jc w:val="right"/>
              <w:ind w:right="38"/>
              <w:spacing w:after="0" w:line="136" w:lineRule="exact"/>
              <w:rPr>
                <w:sz w:val="20"/>
                <w:szCs w:val="20"/>
                <w:color w:val="auto"/>
              </w:rPr>
            </w:pPr>
            <w:r>
              <w:rPr>
                <w:rFonts w:ascii="Arial" w:cs="Arial" w:eastAsia="Arial" w:hAnsi="Arial"/>
                <w:sz w:val="12"/>
                <w:szCs w:val="12"/>
                <w:color w:val="auto"/>
              </w:rPr>
              <w:t>of Shares</w:t>
            </w:r>
          </w:p>
        </w:tc>
        <w:tc>
          <w:tcPr>
            <w:tcW w:w="14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42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1480" w:type="dxa"/>
            <w:vAlign w:val="bottom"/>
            <w:vMerge w:val="restart"/>
          </w:tcPr>
          <w:p>
            <w:pPr>
              <w:jc w:val="right"/>
              <w:ind w:right="218"/>
              <w:spacing w:after="0" w:line="136" w:lineRule="exact"/>
              <w:rPr>
                <w:sz w:val="20"/>
                <w:szCs w:val="20"/>
                <w:color w:val="auto"/>
              </w:rPr>
            </w:pPr>
            <w:r>
              <w:rPr>
                <w:rFonts w:ascii="Arial" w:cs="Arial" w:eastAsia="Arial" w:hAnsi="Arial"/>
                <w:sz w:val="12"/>
                <w:szCs w:val="12"/>
                <w:color w:val="auto"/>
              </w:rPr>
              <w:t>Unearned Shares,</w:t>
            </w:r>
          </w:p>
        </w:tc>
        <w:tc>
          <w:tcPr>
            <w:tcW w:w="1200" w:type="dxa"/>
            <w:vAlign w:val="bottom"/>
            <w:gridSpan w:val="2"/>
            <w:vMerge w:val="restart"/>
          </w:tcPr>
          <w:p>
            <w:pPr>
              <w:jc w:val="right"/>
              <w:ind w:right="20"/>
              <w:spacing w:after="0" w:line="136" w:lineRule="exact"/>
              <w:rPr>
                <w:sz w:val="20"/>
                <w:szCs w:val="20"/>
                <w:color w:val="auto"/>
              </w:rPr>
            </w:pPr>
            <w:r>
              <w:rPr>
                <w:rFonts w:ascii="Arial" w:cs="Arial" w:eastAsia="Arial" w:hAnsi="Arial"/>
                <w:sz w:val="12"/>
                <w:szCs w:val="12"/>
                <w:color w:val="auto"/>
              </w:rPr>
              <w:t>Unearned Shares,</w:t>
            </w:r>
          </w:p>
        </w:tc>
        <w:tc>
          <w:tcPr>
            <w:tcW w:w="0" w:type="dxa"/>
            <w:vAlign w:val="bottom"/>
          </w:tcPr>
          <w:p>
            <w:pPr>
              <w:spacing w:after="0" w:line="20" w:lineRule="exact"/>
              <w:rPr>
                <w:sz w:val="1"/>
                <w:szCs w:val="1"/>
                <w:color w:val="auto"/>
              </w:rPr>
            </w:pPr>
          </w:p>
        </w:tc>
      </w:tr>
      <w:tr>
        <w:trPr>
          <w:trHeight w:val="99"/>
        </w:trPr>
        <w:tc>
          <w:tcPr>
            <w:tcW w:w="4260" w:type="dxa"/>
            <w:vAlign w:val="bottom"/>
          </w:tcPr>
          <w:p>
            <w:pPr>
              <w:spacing w:after="0"/>
              <w:rPr>
                <w:sz w:val="8"/>
                <w:szCs w:val="8"/>
                <w:color w:val="auto"/>
              </w:rPr>
            </w:pPr>
          </w:p>
        </w:tc>
        <w:tc>
          <w:tcPr>
            <w:tcW w:w="820" w:type="dxa"/>
            <w:vAlign w:val="bottom"/>
            <w:vMerge w:val="restart"/>
          </w:tcPr>
          <w:p>
            <w:pPr>
              <w:jc w:val="right"/>
              <w:ind w:right="58"/>
              <w:spacing w:after="0" w:line="136" w:lineRule="exact"/>
              <w:rPr>
                <w:sz w:val="20"/>
                <w:szCs w:val="20"/>
                <w:color w:val="auto"/>
              </w:rPr>
            </w:pPr>
            <w:r>
              <w:rPr>
                <w:rFonts w:ascii="Arial" w:cs="Arial" w:eastAsia="Arial" w:hAnsi="Arial"/>
                <w:sz w:val="12"/>
                <w:szCs w:val="12"/>
                <w:color w:val="auto"/>
              </w:rPr>
              <w:t>Securities</w:t>
            </w: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vMerge w:val="restart"/>
          </w:tcPr>
          <w:p>
            <w:pPr>
              <w:jc w:val="right"/>
              <w:ind w:right="218"/>
              <w:spacing w:after="0" w:line="136" w:lineRule="exact"/>
              <w:rPr>
                <w:sz w:val="20"/>
                <w:szCs w:val="20"/>
                <w:color w:val="auto"/>
              </w:rPr>
            </w:pPr>
            <w:r>
              <w:rPr>
                <w:rFonts w:ascii="Arial" w:cs="Arial" w:eastAsia="Arial" w:hAnsi="Arial"/>
                <w:sz w:val="12"/>
                <w:szCs w:val="12"/>
                <w:color w:val="auto"/>
              </w:rPr>
              <w:t>or Units</w:t>
            </w:r>
          </w:p>
        </w:tc>
        <w:tc>
          <w:tcPr>
            <w:tcW w:w="860" w:type="dxa"/>
            <w:vAlign w:val="bottom"/>
            <w:vMerge w:val="restart"/>
          </w:tcPr>
          <w:p>
            <w:pPr>
              <w:jc w:val="right"/>
              <w:ind w:right="38"/>
              <w:spacing w:after="0" w:line="136" w:lineRule="exact"/>
              <w:rPr>
                <w:sz w:val="20"/>
                <w:szCs w:val="20"/>
                <w:color w:val="auto"/>
              </w:rPr>
            </w:pPr>
            <w:r>
              <w:rPr>
                <w:rFonts w:ascii="Arial" w:cs="Arial" w:eastAsia="Arial" w:hAnsi="Arial"/>
                <w:sz w:val="12"/>
                <w:szCs w:val="12"/>
                <w:color w:val="auto"/>
              </w:rPr>
              <w:t>or Units of</w:t>
            </w:r>
          </w:p>
        </w:tc>
        <w:tc>
          <w:tcPr>
            <w:tcW w:w="14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42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1480" w:type="dxa"/>
            <w:vAlign w:val="bottom"/>
            <w:vMerge w:val="restart"/>
          </w:tcPr>
          <w:p>
            <w:pPr>
              <w:jc w:val="right"/>
              <w:ind w:right="218"/>
              <w:spacing w:after="0" w:line="136" w:lineRule="exact"/>
              <w:rPr>
                <w:sz w:val="20"/>
                <w:szCs w:val="20"/>
                <w:color w:val="auto"/>
              </w:rPr>
            </w:pPr>
            <w:r>
              <w:rPr>
                <w:rFonts w:ascii="Arial" w:cs="Arial" w:eastAsia="Arial" w:hAnsi="Arial"/>
                <w:sz w:val="12"/>
                <w:szCs w:val="12"/>
                <w:color w:val="auto"/>
              </w:rPr>
              <w:t>Units or Other</w:t>
            </w:r>
          </w:p>
        </w:tc>
        <w:tc>
          <w:tcPr>
            <w:tcW w:w="1200" w:type="dxa"/>
            <w:vAlign w:val="bottom"/>
            <w:gridSpan w:val="2"/>
            <w:vMerge w:val="restart"/>
          </w:tcPr>
          <w:p>
            <w:pPr>
              <w:jc w:val="right"/>
              <w:ind w:right="20"/>
              <w:spacing w:after="0" w:line="136" w:lineRule="exact"/>
              <w:rPr>
                <w:sz w:val="20"/>
                <w:szCs w:val="20"/>
                <w:color w:val="auto"/>
              </w:rPr>
            </w:pPr>
            <w:r>
              <w:rPr>
                <w:rFonts w:ascii="Arial" w:cs="Arial" w:eastAsia="Arial" w:hAnsi="Arial"/>
                <w:sz w:val="12"/>
                <w:szCs w:val="12"/>
                <w:color w:val="auto"/>
              </w:rPr>
              <w:t>Units or Other Rights</w:t>
            </w:r>
          </w:p>
        </w:tc>
        <w:tc>
          <w:tcPr>
            <w:tcW w:w="0" w:type="dxa"/>
            <w:vAlign w:val="bottom"/>
          </w:tcPr>
          <w:p>
            <w:pPr>
              <w:spacing w:after="0" w:line="20" w:lineRule="exact"/>
              <w:rPr>
                <w:sz w:val="1"/>
                <w:szCs w:val="1"/>
                <w:color w:val="auto"/>
              </w:rPr>
            </w:pPr>
          </w:p>
        </w:tc>
      </w:tr>
      <w:tr>
        <w:trPr>
          <w:trHeight w:val="99"/>
        </w:trPr>
        <w:tc>
          <w:tcPr>
            <w:tcW w:w="4260" w:type="dxa"/>
            <w:vAlign w:val="bottom"/>
          </w:tcPr>
          <w:p>
            <w:pPr>
              <w:spacing w:after="0"/>
              <w:rPr>
                <w:sz w:val="8"/>
                <w:szCs w:val="8"/>
                <w:color w:val="auto"/>
              </w:rPr>
            </w:pPr>
          </w:p>
        </w:tc>
        <w:tc>
          <w:tcPr>
            <w:tcW w:w="820" w:type="dxa"/>
            <w:vAlign w:val="bottom"/>
            <w:vMerge w:val="restart"/>
          </w:tcPr>
          <w:p>
            <w:pPr>
              <w:jc w:val="right"/>
              <w:ind w:right="58"/>
              <w:spacing w:after="0" w:line="136" w:lineRule="exact"/>
              <w:rPr>
                <w:sz w:val="20"/>
                <w:szCs w:val="20"/>
                <w:color w:val="auto"/>
              </w:rPr>
            </w:pPr>
            <w:r>
              <w:rPr>
                <w:rFonts w:ascii="Arial" w:cs="Arial" w:eastAsia="Arial" w:hAnsi="Arial"/>
                <w:sz w:val="12"/>
                <w:szCs w:val="12"/>
                <w:color w:val="auto"/>
              </w:rPr>
              <w:t>Underlying</w:t>
            </w:r>
          </w:p>
        </w:tc>
        <w:tc>
          <w:tcPr>
            <w:tcW w:w="920" w:type="dxa"/>
            <w:vAlign w:val="bottom"/>
            <w:vMerge w:val="restart"/>
          </w:tcPr>
          <w:p>
            <w:pPr>
              <w:jc w:val="right"/>
              <w:ind w:right="138"/>
              <w:spacing w:after="0" w:line="136" w:lineRule="exact"/>
              <w:rPr>
                <w:sz w:val="20"/>
                <w:szCs w:val="20"/>
                <w:color w:val="auto"/>
              </w:rPr>
            </w:pPr>
            <w:r>
              <w:rPr>
                <w:rFonts w:ascii="Arial" w:cs="Arial" w:eastAsia="Arial" w:hAnsi="Arial"/>
                <w:sz w:val="12"/>
                <w:szCs w:val="12"/>
                <w:color w:val="auto"/>
              </w:rPr>
              <w:t>Option</w:t>
            </w: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vMerge w:val="restart"/>
          </w:tcPr>
          <w:p>
            <w:pPr>
              <w:jc w:val="right"/>
              <w:ind w:right="218"/>
              <w:spacing w:after="0" w:line="136" w:lineRule="exact"/>
              <w:rPr>
                <w:sz w:val="20"/>
                <w:szCs w:val="20"/>
                <w:color w:val="auto"/>
              </w:rPr>
            </w:pPr>
            <w:r>
              <w:rPr>
                <w:rFonts w:ascii="Arial" w:cs="Arial" w:eastAsia="Arial" w:hAnsi="Arial"/>
                <w:sz w:val="12"/>
                <w:szCs w:val="12"/>
                <w:color w:val="auto"/>
              </w:rPr>
              <w:t>of Shares</w:t>
            </w:r>
          </w:p>
        </w:tc>
        <w:tc>
          <w:tcPr>
            <w:tcW w:w="860" w:type="dxa"/>
            <w:vAlign w:val="bottom"/>
            <w:vMerge w:val="restart"/>
          </w:tcPr>
          <w:p>
            <w:pPr>
              <w:jc w:val="right"/>
              <w:ind w:right="38"/>
              <w:spacing w:after="0" w:line="136" w:lineRule="exact"/>
              <w:rPr>
                <w:sz w:val="20"/>
                <w:szCs w:val="20"/>
                <w:color w:val="auto"/>
              </w:rPr>
            </w:pPr>
            <w:r>
              <w:rPr>
                <w:rFonts w:ascii="Arial" w:cs="Arial" w:eastAsia="Arial" w:hAnsi="Arial"/>
                <w:sz w:val="12"/>
                <w:szCs w:val="12"/>
                <w:color w:val="auto"/>
              </w:rPr>
              <w:t>Shares That</w:t>
            </w:r>
          </w:p>
        </w:tc>
        <w:tc>
          <w:tcPr>
            <w:tcW w:w="14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42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1480" w:type="dxa"/>
            <w:vAlign w:val="bottom"/>
            <w:vMerge w:val="restart"/>
          </w:tcPr>
          <w:p>
            <w:pPr>
              <w:jc w:val="right"/>
              <w:ind w:right="218"/>
              <w:spacing w:after="0"/>
              <w:rPr>
                <w:sz w:val="20"/>
                <w:szCs w:val="20"/>
                <w:color w:val="auto"/>
              </w:rPr>
            </w:pPr>
            <w:r>
              <w:rPr>
                <w:rFonts w:ascii="Arial" w:cs="Arial" w:eastAsia="Arial" w:hAnsi="Arial"/>
                <w:sz w:val="12"/>
                <w:szCs w:val="12"/>
                <w:color w:val="auto"/>
              </w:rPr>
              <w:t>Rights That Have</w:t>
            </w:r>
          </w:p>
        </w:tc>
        <w:tc>
          <w:tcPr>
            <w:tcW w:w="1200" w:type="dxa"/>
            <w:vAlign w:val="bottom"/>
            <w:gridSpan w:val="2"/>
            <w:vMerge w:val="restart"/>
          </w:tcPr>
          <w:p>
            <w:pPr>
              <w:jc w:val="right"/>
              <w:ind w:right="20"/>
              <w:spacing w:after="0"/>
              <w:rPr>
                <w:sz w:val="20"/>
                <w:szCs w:val="20"/>
                <w:color w:val="auto"/>
              </w:rPr>
            </w:pPr>
            <w:r>
              <w:rPr>
                <w:rFonts w:ascii="Arial" w:cs="Arial" w:eastAsia="Arial" w:hAnsi="Arial"/>
                <w:sz w:val="12"/>
                <w:szCs w:val="12"/>
                <w:color w:val="auto"/>
              </w:rPr>
              <w:t>That Have Not</w:t>
            </w:r>
          </w:p>
        </w:tc>
        <w:tc>
          <w:tcPr>
            <w:tcW w:w="0" w:type="dxa"/>
            <w:vAlign w:val="bottom"/>
          </w:tcPr>
          <w:p>
            <w:pPr>
              <w:spacing w:after="0" w:line="20" w:lineRule="exact"/>
              <w:rPr>
                <w:sz w:val="1"/>
                <w:szCs w:val="1"/>
                <w:color w:val="auto"/>
              </w:rPr>
            </w:pPr>
          </w:p>
        </w:tc>
      </w:tr>
      <w:tr>
        <w:trPr>
          <w:trHeight w:val="105"/>
        </w:trPr>
        <w:tc>
          <w:tcPr>
            <w:tcW w:w="4260" w:type="dxa"/>
            <w:vAlign w:val="bottom"/>
          </w:tcPr>
          <w:p>
            <w:pPr>
              <w:spacing w:after="0"/>
              <w:rPr>
                <w:sz w:val="9"/>
                <w:szCs w:val="9"/>
                <w:color w:val="auto"/>
              </w:rPr>
            </w:pPr>
          </w:p>
        </w:tc>
        <w:tc>
          <w:tcPr>
            <w:tcW w:w="820" w:type="dxa"/>
            <w:vAlign w:val="bottom"/>
            <w:vMerge w:val="restart"/>
          </w:tcPr>
          <w:p>
            <w:pPr>
              <w:jc w:val="right"/>
              <w:ind w:right="58"/>
              <w:spacing w:after="0" w:line="136" w:lineRule="exact"/>
              <w:rPr>
                <w:sz w:val="20"/>
                <w:szCs w:val="20"/>
                <w:color w:val="auto"/>
              </w:rPr>
            </w:pPr>
            <w:r>
              <w:rPr>
                <w:rFonts w:ascii="Arial" w:cs="Arial" w:eastAsia="Arial" w:hAnsi="Arial"/>
                <w:sz w:val="12"/>
                <w:szCs w:val="12"/>
                <w:color w:val="auto"/>
              </w:rPr>
              <w:t>Unexercised</w:t>
            </w:r>
          </w:p>
        </w:tc>
        <w:tc>
          <w:tcPr>
            <w:tcW w:w="920" w:type="dxa"/>
            <w:vAlign w:val="bottom"/>
            <w:vMerge w:val="restart"/>
          </w:tcPr>
          <w:p>
            <w:pPr>
              <w:jc w:val="right"/>
              <w:ind w:right="138"/>
              <w:spacing w:after="0" w:line="136" w:lineRule="exact"/>
              <w:rPr>
                <w:sz w:val="20"/>
                <w:szCs w:val="20"/>
                <w:color w:val="auto"/>
              </w:rPr>
            </w:pPr>
            <w:r>
              <w:rPr>
                <w:rFonts w:ascii="Arial" w:cs="Arial" w:eastAsia="Arial" w:hAnsi="Arial"/>
                <w:sz w:val="12"/>
                <w:szCs w:val="12"/>
                <w:color w:val="auto"/>
              </w:rPr>
              <w:t>Exercise</w:t>
            </w:r>
          </w:p>
        </w:tc>
        <w:tc>
          <w:tcPr>
            <w:tcW w:w="1020" w:type="dxa"/>
            <w:vAlign w:val="bottom"/>
            <w:gridSpan w:val="2"/>
            <w:vMerge w:val="restart"/>
          </w:tcPr>
          <w:p>
            <w:pPr>
              <w:jc w:val="right"/>
              <w:ind w:right="300"/>
              <w:spacing w:after="0" w:line="136" w:lineRule="exact"/>
              <w:rPr>
                <w:sz w:val="20"/>
                <w:szCs w:val="20"/>
                <w:color w:val="auto"/>
              </w:rPr>
            </w:pPr>
            <w:r>
              <w:rPr>
                <w:rFonts w:ascii="Arial" w:cs="Arial" w:eastAsia="Arial" w:hAnsi="Arial"/>
                <w:sz w:val="12"/>
                <w:szCs w:val="12"/>
                <w:color w:val="auto"/>
              </w:rPr>
              <w:t>Option</w:t>
            </w:r>
          </w:p>
        </w:tc>
        <w:tc>
          <w:tcPr>
            <w:tcW w:w="880" w:type="dxa"/>
            <w:vAlign w:val="bottom"/>
            <w:vMerge w:val="restart"/>
          </w:tcPr>
          <w:p>
            <w:pPr>
              <w:jc w:val="right"/>
              <w:ind w:right="218"/>
              <w:spacing w:after="0" w:line="136" w:lineRule="exact"/>
              <w:rPr>
                <w:sz w:val="20"/>
                <w:szCs w:val="20"/>
                <w:color w:val="auto"/>
              </w:rPr>
            </w:pPr>
            <w:r>
              <w:rPr>
                <w:rFonts w:ascii="Arial" w:cs="Arial" w:eastAsia="Arial" w:hAnsi="Arial"/>
                <w:sz w:val="12"/>
                <w:szCs w:val="12"/>
                <w:color w:val="auto"/>
              </w:rPr>
              <w:t>That Have</w:t>
            </w:r>
          </w:p>
        </w:tc>
        <w:tc>
          <w:tcPr>
            <w:tcW w:w="860" w:type="dxa"/>
            <w:vAlign w:val="bottom"/>
            <w:vMerge w:val="restart"/>
          </w:tcPr>
          <w:p>
            <w:pPr>
              <w:jc w:val="right"/>
              <w:ind w:right="38"/>
              <w:spacing w:after="0" w:line="136" w:lineRule="exact"/>
              <w:rPr>
                <w:sz w:val="20"/>
                <w:szCs w:val="20"/>
                <w:color w:val="auto"/>
              </w:rPr>
            </w:pPr>
            <w:r>
              <w:rPr>
                <w:rFonts w:ascii="Arial" w:cs="Arial" w:eastAsia="Arial" w:hAnsi="Arial"/>
                <w:sz w:val="12"/>
                <w:szCs w:val="12"/>
                <w:color w:val="auto"/>
              </w:rPr>
              <w:t>Have Not</w:t>
            </w:r>
          </w:p>
        </w:tc>
        <w:tc>
          <w:tcPr>
            <w:tcW w:w="148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426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88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1480" w:type="dxa"/>
            <w:vAlign w:val="bottom"/>
            <w:vMerge w:val="restart"/>
          </w:tcPr>
          <w:p>
            <w:pPr>
              <w:jc w:val="right"/>
              <w:ind w:right="218"/>
              <w:spacing w:after="0" w:line="143" w:lineRule="exact"/>
              <w:rPr>
                <w:sz w:val="20"/>
                <w:szCs w:val="20"/>
                <w:color w:val="auto"/>
              </w:rPr>
            </w:pPr>
            <w:r>
              <w:rPr>
                <w:rFonts w:ascii="Arial" w:cs="Arial" w:eastAsia="Arial" w:hAnsi="Arial"/>
                <w:sz w:val="10"/>
                <w:szCs w:val="10"/>
                <w:color w:val="auto"/>
              </w:rPr>
              <w:t>not Vested</w:t>
            </w:r>
            <w:r>
              <w:rPr>
                <w:rFonts w:ascii="Arial" w:cs="Arial" w:eastAsia="Arial" w:hAnsi="Arial"/>
                <w:sz w:val="16"/>
                <w:szCs w:val="16"/>
                <w:color w:val="auto"/>
                <w:vertAlign w:val="superscript"/>
              </w:rPr>
              <w:t>(2)</w:t>
            </w:r>
          </w:p>
        </w:tc>
        <w:tc>
          <w:tcPr>
            <w:tcW w:w="1200" w:type="dxa"/>
            <w:vAlign w:val="bottom"/>
            <w:gridSpan w:val="2"/>
            <w:vMerge w:val="restart"/>
          </w:tcPr>
          <w:p>
            <w:pPr>
              <w:jc w:val="right"/>
              <w:ind w:right="20"/>
              <w:spacing w:after="0" w:line="143" w:lineRule="exact"/>
              <w:rPr>
                <w:sz w:val="20"/>
                <w:szCs w:val="20"/>
                <w:color w:val="auto"/>
              </w:rPr>
            </w:pPr>
            <w:r>
              <w:rPr>
                <w:rFonts w:ascii="Arial" w:cs="Arial" w:eastAsia="Arial" w:hAnsi="Arial"/>
                <w:sz w:val="10"/>
                <w:szCs w:val="10"/>
                <w:color w:val="auto"/>
              </w:rPr>
              <w:t>Vested</w:t>
            </w:r>
            <w:r>
              <w:rPr>
                <w:rFonts w:ascii="Arial" w:cs="Arial" w:eastAsia="Arial" w:hAnsi="Arial"/>
                <w:sz w:val="16"/>
                <w:szCs w:val="16"/>
                <w:color w:val="auto"/>
                <w:vertAlign w:val="superscript"/>
              </w:rPr>
              <w:t>(2)</w:t>
            </w:r>
          </w:p>
        </w:tc>
        <w:tc>
          <w:tcPr>
            <w:tcW w:w="0" w:type="dxa"/>
            <w:vAlign w:val="bottom"/>
          </w:tcPr>
          <w:p>
            <w:pPr>
              <w:spacing w:after="0" w:line="20" w:lineRule="exact"/>
              <w:rPr>
                <w:sz w:val="1"/>
                <w:szCs w:val="1"/>
                <w:color w:val="auto"/>
              </w:rPr>
            </w:pPr>
          </w:p>
        </w:tc>
      </w:tr>
      <w:tr>
        <w:trPr>
          <w:trHeight w:val="112"/>
        </w:trPr>
        <w:tc>
          <w:tcPr>
            <w:tcW w:w="4260" w:type="dxa"/>
            <w:vAlign w:val="bottom"/>
          </w:tcPr>
          <w:p>
            <w:pPr>
              <w:spacing w:after="0"/>
              <w:rPr>
                <w:sz w:val="9"/>
                <w:szCs w:val="9"/>
                <w:color w:val="auto"/>
              </w:rPr>
            </w:pPr>
          </w:p>
        </w:tc>
        <w:tc>
          <w:tcPr>
            <w:tcW w:w="820" w:type="dxa"/>
            <w:vAlign w:val="bottom"/>
          </w:tcPr>
          <w:p>
            <w:pPr>
              <w:jc w:val="right"/>
              <w:ind w:right="58"/>
              <w:spacing w:after="0" w:line="112" w:lineRule="exact"/>
              <w:rPr>
                <w:sz w:val="20"/>
                <w:szCs w:val="20"/>
                <w:color w:val="auto"/>
              </w:rPr>
            </w:pPr>
            <w:r>
              <w:rPr>
                <w:rFonts w:ascii="Arial" w:cs="Arial" w:eastAsia="Arial" w:hAnsi="Arial"/>
                <w:sz w:val="12"/>
                <w:szCs w:val="12"/>
                <w:color w:val="auto"/>
              </w:rPr>
              <w:t>Options (#)</w:t>
            </w:r>
          </w:p>
        </w:tc>
        <w:tc>
          <w:tcPr>
            <w:tcW w:w="920" w:type="dxa"/>
            <w:vAlign w:val="bottom"/>
          </w:tcPr>
          <w:p>
            <w:pPr>
              <w:jc w:val="right"/>
              <w:ind w:right="138"/>
              <w:spacing w:after="0" w:line="112" w:lineRule="exact"/>
              <w:rPr>
                <w:sz w:val="20"/>
                <w:szCs w:val="20"/>
                <w:color w:val="auto"/>
              </w:rPr>
            </w:pPr>
            <w:r>
              <w:rPr>
                <w:rFonts w:ascii="Arial" w:cs="Arial" w:eastAsia="Arial" w:hAnsi="Arial"/>
                <w:sz w:val="12"/>
                <w:szCs w:val="12"/>
                <w:color w:val="auto"/>
              </w:rPr>
              <w:t>Price</w:t>
            </w:r>
          </w:p>
        </w:tc>
        <w:tc>
          <w:tcPr>
            <w:tcW w:w="1020" w:type="dxa"/>
            <w:vAlign w:val="bottom"/>
            <w:gridSpan w:val="2"/>
          </w:tcPr>
          <w:p>
            <w:pPr>
              <w:jc w:val="right"/>
              <w:ind w:right="300"/>
              <w:spacing w:after="0" w:line="112" w:lineRule="exact"/>
              <w:rPr>
                <w:sz w:val="20"/>
                <w:szCs w:val="20"/>
                <w:color w:val="auto"/>
              </w:rPr>
            </w:pPr>
            <w:r>
              <w:rPr>
                <w:rFonts w:ascii="Arial" w:cs="Arial" w:eastAsia="Arial" w:hAnsi="Arial"/>
                <w:sz w:val="12"/>
                <w:szCs w:val="12"/>
                <w:color w:val="auto"/>
              </w:rPr>
              <w:t>Expiration</w:t>
            </w:r>
          </w:p>
        </w:tc>
        <w:tc>
          <w:tcPr>
            <w:tcW w:w="880" w:type="dxa"/>
            <w:vAlign w:val="bottom"/>
          </w:tcPr>
          <w:p>
            <w:pPr>
              <w:jc w:val="right"/>
              <w:ind w:right="218"/>
              <w:spacing w:after="0" w:line="112" w:lineRule="exact"/>
              <w:rPr>
                <w:sz w:val="20"/>
                <w:szCs w:val="20"/>
                <w:color w:val="auto"/>
              </w:rPr>
            </w:pPr>
            <w:r>
              <w:rPr>
                <w:rFonts w:ascii="Arial" w:cs="Arial" w:eastAsia="Arial" w:hAnsi="Arial"/>
                <w:sz w:val="12"/>
                <w:szCs w:val="12"/>
                <w:color w:val="auto"/>
                <w:w w:val="97"/>
              </w:rPr>
              <w:t>Not Vested</w:t>
            </w:r>
          </w:p>
        </w:tc>
        <w:tc>
          <w:tcPr>
            <w:tcW w:w="860" w:type="dxa"/>
            <w:vAlign w:val="bottom"/>
          </w:tcPr>
          <w:p>
            <w:pPr>
              <w:jc w:val="right"/>
              <w:ind w:right="38"/>
              <w:spacing w:after="0" w:line="112" w:lineRule="exact"/>
              <w:rPr>
                <w:sz w:val="20"/>
                <w:szCs w:val="20"/>
                <w:color w:val="auto"/>
              </w:rPr>
            </w:pPr>
            <w:r>
              <w:rPr>
                <w:rFonts w:ascii="Arial" w:cs="Arial" w:eastAsia="Arial" w:hAnsi="Arial"/>
                <w:sz w:val="12"/>
                <w:szCs w:val="12"/>
                <w:color w:val="auto"/>
              </w:rPr>
              <w:t>Vested</w:t>
            </w:r>
          </w:p>
        </w:tc>
        <w:tc>
          <w:tcPr>
            <w:tcW w:w="148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42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Name</w:t>
            </w:r>
          </w:p>
        </w:tc>
        <w:tc>
          <w:tcPr>
            <w:tcW w:w="82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1"/>
                <w:szCs w:val="11"/>
                <w:color w:val="auto"/>
              </w:rPr>
              <w:t>Exercisable</w:t>
            </w:r>
            <w:r>
              <w:rPr>
                <w:rFonts w:ascii="Arial" w:cs="Arial" w:eastAsia="Arial" w:hAnsi="Arial"/>
                <w:sz w:val="18"/>
                <w:szCs w:val="18"/>
                <w:color w:val="auto"/>
                <w:vertAlign w:val="superscript"/>
              </w:rPr>
              <w:t>(1)</w:t>
            </w:r>
          </w:p>
        </w:tc>
        <w:tc>
          <w:tcPr>
            <w:tcW w:w="92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2"/>
                <w:szCs w:val="12"/>
                <w:color w:val="auto"/>
              </w:rPr>
              <w:t>Date</w:t>
            </w:r>
          </w:p>
        </w:tc>
        <w:tc>
          <w:tcPr>
            <w:tcW w:w="88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148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7"/>
        </w:trPr>
        <w:tc>
          <w:tcPr>
            <w:tcW w:w="4260" w:type="dxa"/>
            <w:vAlign w:val="bottom"/>
          </w:tcPr>
          <w:p>
            <w:pPr>
              <w:spacing w:after="0"/>
              <w:rPr>
                <w:sz w:val="20"/>
                <w:szCs w:val="20"/>
                <w:color w:val="auto"/>
              </w:rPr>
            </w:pPr>
            <w:r>
              <w:rPr>
                <w:rFonts w:ascii="Arial" w:cs="Arial" w:eastAsia="Arial" w:hAnsi="Arial"/>
                <w:sz w:val="12"/>
                <w:szCs w:val="12"/>
                <w:color w:val="auto"/>
              </w:rPr>
              <w:t>Bernard J. Duroc-Danner</w:t>
            </w:r>
          </w:p>
        </w:tc>
        <w:tc>
          <w:tcPr>
            <w:tcW w:w="820" w:type="dxa"/>
            <w:vAlign w:val="bottom"/>
          </w:tcPr>
          <w:p>
            <w:pPr>
              <w:jc w:val="right"/>
              <w:spacing w:after="0"/>
              <w:rPr>
                <w:sz w:val="20"/>
                <w:szCs w:val="20"/>
                <w:color w:val="auto"/>
              </w:rPr>
            </w:pPr>
            <w:r>
              <w:rPr>
                <w:rFonts w:ascii="Arial" w:cs="Arial" w:eastAsia="Arial" w:hAnsi="Arial"/>
                <w:sz w:val="12"/>
                <w:szCs w:val="12"/>
                <w:color w:val="auto"/>
              </w:rPr>
              <w:t>785,352</w:t>
            </w:r>
            <w:r>
              <w:rPr>
                <w:rFonts w:ascii="Arial" w:cs="Arial" w:eastAsia="Arial" w:hAnsi="Arial"/>
                <w:sz w:val="10"/>
                <w:szCs w:val="10"/>
                <w:color w:val="auto"/>
              </w:rPr>
              <w:t>(3)</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5.94</w:t>
            </w:r>
          </w:p>
        </w:tc>
        <w:tc>
          <w:tcPr>
            <w:tcW w:w="720" w:type="dxa"/>
            <w:vAlign w:val="bottom"/>
          </w:tcPr>
          <w:p>
            <w:pPr>
              <w:jc w:val="right"/>
              <w:spacing w:after="0"/>
              <w:rPr>
                <w:sz w:val="20"/>
                <w:szCs w:val="20"/>
                <w:color w:val="auto"/>
              </w:rPr>
            </w:pPr>
            <w:r>
              <w:rPr>
                <w:rFonts w:ascii="Arial" w:cs="Arial" w:eastAsia="Arial" w:hAnsi="Arial"/>
                <w:sz w:val="12"/>
                <w:szCs w:val="12"/>
                <w:color w:val="auto"/>
              </w:rPr>
              <w:t>09/25/2015</w:t>
            </w:r>
          </w:p>
        </w:tc>
        <w:tc>
          <w:tcPr>
            <w:tcW w:w="300" w:type="dxa"/>
            <w:vAlign w:val="bottom"/>
          </w:tcPr>
          <w:p>
            <w:pPr>
              <w:spacing w:after="0"/>
              <w:rPr>
                <w:sz w:val="15"/>
                <w:szCs w:val="15"/>
                <w:color w:val="auto"/>
              </w:rPr>
            </w:pPr>
          </w:p>
        </w:tc>
        <w:tc>
          <w:tcPr>
            <w:tcW w:w="8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370,000</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8.79</w:t>
            </w:r>
          </w:p>
        </w:tc>
        <w:tc>
          <w:tcPr>
            <w:tcW w:w="720" w:type="dxa"/>
            <w:vAlign w:val="bottom"/>
          </w:tcPr>
          <w:p>
            <w:pPr>
              <w:jc w:val="right"/>
              <w:spacing w:after="0"/>
              <w:rPr>
                <w:sz w:val="20"/>
                <w:szCs w:val="20"/>
                <w:color w:val="auto"/>
              </w:rPr>
            </w:pPr>
            <w:r>
              <w:rPr>
                <w:rFonts w:ascii="Arial" w:cs="Arial" w:eastAsia="Arial" w:hAnsi="Arial"/>
                <w:sz w:val="12"/>
                <w:szCs w:val="12"/>
                <w:color w:val="auto"/>
              </w:rPr>
              <w:t>12/17/2016</w:t>
            </w:r>
          </w:p>
        </w:tc>
        <w:tc>
          <w:tcPr>
            <w:tcW w:w="300" w:type="dxa"/>
            <w:vAlign w:val="bottom"/>
          </w:tcPr>
          <w:p>
            <w:pPr>
              <w:spacing w:after="0"/>
              <w:rPr>
                <w:sz w:val="19"/>
                <w:szCs w:val="19"/>
                <w:color w:val="auto"/>
              </w:rPr>
            </w:pPr>
          </w:p>
        </w:tc>
        <w:tc>
          <w:tcPr>
            <w:tcW w:w="8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336,650</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20.05</w:t>
            </w:r>
          </w:p>
        </w:tc>
        <w:tc>
          <w:tcPr>
            <w:tcW w:w="720" w:type="dxa"/>
            <w:vAlign w:val="bottom"/>
          </w:tcPr>
          <w:p>
            <w:pPr>
              <w:jc w:val="right"/>
              <w:spacing w:after="0"/>
              <w:rPr>
                <w:sz w:val="20"/>
                <w:szCs w:val="20"/>
                <w:color w:val="auto"/>
              </w:rPr>
            </w:pPr>
            <w:r>
              <w:rPr>
                <w:rFonts w:ascii="Arial" w:cs="Arial" w:eastAsia="Arial" w:hAnsi="Arial"/>
                <w:sz w:val="12"/>
                <w:szCs w:val="12"/>
                <w:color w:val="auto"/>
              </w:rPr>
              <w:t>02/28/2016</w:t>
            </w:r>
          </w:p>
        </w:tc>
        <w:tc>
          <w:tcPr>
            <w:tcW w:w="300" w:type="dxa"/>
            <w:vAlign w:val="bottom"/>
          </w:tcPr>
          <w:p>
            <w:pPr>
              <w:spacing w:after="0"/>
              <w:rPr>
                <w:sz w:val="19"/>
                <w:szCs w:val="19"/>
                <w:color w:val="auto"/>
              </w:rPr>
            </w:pPr>
          </w:p>
        </w:tc>
        <w:tc>
          <w:tcPr>
            <w:tcW w:w="8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78"/>
              <w:spacing w:after="0"/>
              <w:rPr>
                <w:sz w:val="20"/>
                <w:szCs w:val="20"/>
                <w:color w:val="auto"/>
              </w:rPr>
            </w:pPr>
            <w:r>
              <w:rPr>
                <w:rFonts w:ascii="Arial" w:cs="Arial" w:eastAsia="Arial" w:hAnsi="Arial"/>
                <w:sz w:val="12"/>
                <w:szCs w:val="12"/>
                <w:color w:val="auto"/>
              </w:rPr>
              <w:t>155,214</w:t>
            </w:r>
            <w:r>
              <w:rPr>
                <w:rFonts w:ascii="Arial" w:cs="Arial" w:eastAsia="Arial" w:hAnsi="Arial"/>
                <w:sz w:val="10"/>
                <w:szCs w:val="10"/>
                <w:color w:val="auto"/>
              </w:rPr>
              <w:t>(4)</w:t>
            </w:r>
          </w:p>
        </w:tc>
        <w:tc>
          <w:tcPr>
            <w:tcW w:w="1180" w:type="dxa"/>
            <w:vAlign w:val="bottom"/>
          </w:tcPr>
          <w:p>
            <w:pPr>
              <w:jc w:val="right"/>
              <w:spacing w:after="0"/>
              <w:rPr>
                <w:sz w:val="20"/>
                <w:szCs w:val="20"/>
                <w:color w:val="auto"/>
              </w:rPr>
            </w:pPr>
            <w:r>
              <w:rPr>
                <w:rFonts w:ascii="Arial" w:cs="Arial" w:eastAsia="Arial" w:hAnsi="Arial"/>
                <w:sz w:val="12"/>
                <w:szCs w:val="12"/>
                <w:color w:val="auto"/>
              </w:rPr>
              <w:t>2,404,265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78"/>
              <w:spacing w:after="0"/>
              <w:rPr>
                <w:sz w:val="20"/>
                <w:szCs w:val="20"/>
                <w:color w:val="auto"/>
              </w:rPr>
            </w:pPr>
            <w:r>
              <w:rPr>
                <w:rFonts w:ascii="Arial" w:cs="Arial" w:eastAsia="Arial" w:hAnsi="Arial"/>
                <w:sz w:val="12"/>
                <w:szCs w:val="12"/>
                <w:color w:val="auto"/>
              </w:rPr>
              <w:t>343,938</w:t>
            </w:r>
            <w:r>
              <w:rPr>
                <w:rFonts w:ascii="Arial" w:cs="Arial" w:eastAsia="Arial" w:hAnsi="Arial"/>
                <w:sz w:val="10"/>
                <w:szCs w:val="10"/>
                <w:color w:val="auto"/>
              </w:rPr>
              <w:t>(5)</w:t>
            </w:r>
          </w:p>
        </w:tc>
        <w:tc>
          <w:tcPr>
            <w:tcW w:w="1180" w:type="dxa"/>
            <w:vAlign w:val="bottom"/>
          </w:tcPr>
          <w:p>
            <w:pPr>
              <w:jc w:val="right"/>
              <w:spacing w:after="0"/>
              <w:rPr>
                <w:sz w:val="20"/>
                <w:szCs w:val="20"/>
                <w:color w:val="auto"/>
              </w:rPr>
            </w:pPr>
            <w:r>
              <w:rPr>
                <w:rFonts w:ascii="Arial" w:cs="Arial" w:eastAsia="Arial" w:hAnsi="Arial"/>
                <w:sz w:val="12"/>
                <w:szCs w:val="12"/>
                <w:color w:val="auto"/>
              </w:rPr>
              <w:t>5,327,600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7"/>
        </w:trPr>
        <w:tc>
          <w:tcPr>
            <w:tcW w:w="4260" w:type="dxa"/>
            <w:vAlign w:val="bottom"/>
          </w:tcPr>
          <w:p>
            <w:pPr>
              <w:spacing w:after="0"/>
              <w:rPr>
                <w:sz w:val="20"/>
                <w:szCs w:val="20"/>
                <w:color w:val="auto"/>
              </w:rPr>
            </w:pPr>
            <w:r>
              <w:rPr>
                <w:rFonts w:ascii="Arial" w:cs="Arial" w:eastAsia="Arial" w:hAnsi="Arial"/>
                <w:sz w:val="12"/>
                <w:szCs w:val="12"/>
                <w:color w:val="auto"/>
              </w:rPr>
              <w:t>Krishna Shivram</w:t>
            </w:r>
            <w:r>
              <w:rPr>
                <w:rFonts w:ascii="Arial" w:cs="Arial" w:eastAsia="Arial" w:hAnsi="Arial"/>
                <w:sz w:val="20"/>
                <w:szCs w:val="20"/>
                <w:color w:val="auto"/>
                <w:vertAlign w:val="superscript"/>
              </w:rPr>
              <w:t>(6)</w:t>
            </w: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4260" w:type="dxa"/>
            <w:vAlign w:val="bottom"/>
          </w:tcPr>
          <w:p>
            <w:pPr>
              <w:spacing w:after="0"/>
              <w:rPr>
                <w:sz w:val="20"/>
                <w:szCs w:val="20"/>
                <w:color w:val="auto"/>
              </w:rPr>
            </w:pPr>
            <w:r>
              <w:rPr>
                <w:rFonts w:ascii="Arial" w:cs="Arial" w:eastAsia="Arial" w:hAnsi="Arial"/>
                <w:sz w:val="12"/>
                <w:szCs w:val="12"/>
                <w:color w:val="auto"/>
              </w:rPr>
              <w:t>Dharmesh Mehta</w:t>
            </w: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78"/>
              <w:spacing w:after="0"/>
              <w:rPr>
                <w:sz w:val="20"/>
                <w:szCs w:val="20"/>
                <w:color w:val="auto"/>
              </w:rPr>
            </w:pPr>
            <w:r>
              <w:rPr>
                <w:rFonts w:ascii="Arial" w:cs="Arial" w:eastAsia="Arial" w:hAnsi="Arial"/>
                <w:sz w:val="12"/>
                <w:szCs w:val="12"/>
                <w:color w:val="auto"/>
              </w:rPr>
              <w:t>6,000</w:t>
            </w:r>
            <w:r>
              <w:rPr>
                <w:rFonts w:ascii="Arial" w:cs="Arial" w:eastAsia="Arial" w:hAnsi="Arial"/>
                <w:sz w:val="10"/>
                <w:szCs w:val="10"/>
                <w:color w:val="auto"/>
              </w:rPr>
              <w:t>(7)</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92,940</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78"/>
              <w:spacing w:after="0"/>
              <w:rPr>
                <w:sz w:val="20"/>
                <w:szCs w:val="20"/>
                <w:color w:val="auto"/>
              </w:rPr>
            </w:pPr>
            <w:r>
              <w:rPr>
                <w:rFonts w:ascii="Arial" w:cs="Arial" w:eastAsia="Arial" w:hAnsi="Arial"/>
                <w:sz w:val="12"/>
                <w:szCs w:val="12"/>
                <w:color w:val="auto"/>
              </w:rPr>
              <w:t>6,667</w:t>
            </w:r>
            <w:r>
              <w:rPr>
                <w:rFonts w:ascii="Arial" w:cs="Arial" w:eastAsia="Arial" w:hAnsi="Arial"/>
                <w:sz w:val="10"/>
                <w:szCs w:val="10"/>
                <w:color w:val="auto"/>
              </w:rPr>
              <w:t>(8)</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103,272</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78"/>
              <w:spacing w:after="0"/>
              <w:rPr>
                <w:sz w:val="20"/>
                <w:szCs w:val="20"/>
                <w:color w:val="auto"/>
              </w:rPr>
            </w:pPr>
            <w:r>
              <w:rPr>
                <w:rFonts w:ascii="Arial" w:cs="Arial" w:eastAsia="Arial" w:hAnsi="Arial"/>
                <w:sz w:val="12"/>
                <w:szCs w:val="12"/>
                <w:color w:val="auto"/>
              </w:rPr>
              <w:t>61,736</w:t>
            </w:r>
            <w:r>
              <w:rPr>
                <w:rFonts w:ascii="Arial" w:cs="Arial" w:eastAsia="Arial" w:hAnsi="Arial"/>
                <w:sz w:val="10"/>
                <w:szCs w:val="10"/>
                <w:color w:val="auto"/>
              </w:rPr>
              <w:t>(9)</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956,291</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8"/>
              <w:spacing w:after="0"/>
              <w:rPr>
                <w:sz w:val="20"/>
                <w:szCs w:val="20"/>
                <w:color w:val="auto"/>
              </w:rPr>
            </w:pPr>
            <w:r>
              <w:rPr>
                <w:rFonts w:ascii="Arial" w:cs="Arial" w:eastAsia="Arial" w:hAnsi="Arial"/>
                <w:sz w:val="12"/>
                <w:szCs w:val="12"/>
                <w:color w:val="auto"/>
              </w:rPr>
              <w:t>124,678</w:t>
            </w:r>
            <w:r>
              <w:rPr>
                <w:rFonts w:ascii="Arial" w:cs="Arial" w:eastAsia="Arial" w:hAnsi="Arial"/>
                <w:sz w:val="10"/>
                <w:szCs w:val="10"/>
                <w:color w:val="auto"/>
              </w:rPr>
              <w:t>(10)</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1,931,262</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18"/>
              <w:spacing w:after="0"/>
              <w:rPr>
                <w:sz w:val="20"/>
                <w:szCs w:val="20"/>
                <w:color w:val="auto"/>
              </w:rPr>
            </w:pPr>
            <w:r>
              <w:rPr>
                <w:rFonts w:ascii="Arial" w:cs="Arial" w:eastAsia="Arial" w:hAnsi="Arial"/>
                <w:sz w:val="12"/>
                <w:szCs w:val="12"/>
                <w:color w:val="auto"/>
              </w:rPr>
              <w:t>23,151</w:t>
            </w:r>
            <w:r>
              <w:rPr>
                <w:rFonts w:ascii="Arial" w:cs="Arial" w:eastAsia="Arial" w:hAnsi="Arial"/>
                <w:sz w:val="10"/>
                <w:szCs w:val="10"/>
                <w:color w:val="auto"/>
              </w:rPr>
              <w:t>(11)</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358,609</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18"/>
              <w:spacing w:after="0"/>
              <w:rPr>
                <w:sz w:val="20"/>
                <w:szCs w:val="20"/>
                <w:color w:val="auto"/>
              </w:rPr>
            </w:pPr>
            <w:r>
              <w:rPr>
                <w:rFonts w:ascii="Arial" w:cs="Arial" w:eastAsia="Arial" w:hAnsi="Arial"/>
                <w:sz w:val="12"/>
                <w:szCs w:val="12"/>
                <w:color w:val="auto"/>
              </w:rPr>
              <w:t>23,151</w:t>
            </w:r>
            <w:r>
              <w:rPr>
                <w:rFonts w:ascii="Arial" w:cs="Arial" w:eastAsia="Arial" w:hAnsi="Arial"/>
                <w:sz w:val="10"/>
                <w:szCs w:val="10"/>
                <w:color w:val="auto"/>
              </w:rPr>
              <w:t>(11)</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358,609</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78"/>
              <w:spacing w:after="0"/>
              <w:rPr>
                <w:sz w:val="20"/>
                <w:szCs w:val="20"/>
                <w:color w:val="auto"/>
              </w:rPr>
            </w:pPr>
            <w:r>
              <w:rPr>
                <w:rFonts w:ascii="Arial" w:cs="Arial" w:eastAsia="Arial" w:hAnsi="Arial"/>
                <w:sz w:val="12"/>
                <w:szCs w:val="12"/>
                <w:color w:val="auto"/>
              </w:rPr>
              <w:t>62,339</w:t>
            </w:r>
            <w:r>
              <w:rPr>
                <w:rFonts w:ascii="Arial" w:cs="Arial" w:eastAsia="Arial" w:hAnsi="Arial"/>
                <w:sz w:val="10"/>
                <w:szCs w:val="10"/>
                <w:color w:val="auto"/>
              </w:rPr>
              <w:t>(5)</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965,631</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20"/>
                <w:szCs w:val="20"/>
                <w:color w:val="auto"/>
              </w:rPr>
            </w:pPr>
            <w:r>
              <w:rPr>
                <w:rFonts w:ascii="Arial" w:cs="Arial" w:eastAsia="Arial" w:hAnsi="Arial"/>
                <w:sz w:val="12"/>
                <w:szCs w:val="12"/>
                <w:color w:val="auto"/>
              </w:rPr>
              <w:t>Nicholas W. Gee</w:t>
            </w: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8"/>
              <w:spacing w:after="0"/>
              <w:rPr>
                <w:sz w:val="20"/>
                <w:szCs w:val="20"/>
                <w:color w:val="auto"/>
              </w:rPr>
            </w:pPr>
            <w:r>
              <w:rPr>
                <w:rFonts w:ascii="Arial" w:cs="Arial" w:eastAsia="Arial" w:hAnsi="Arial"/>
                <w:sz w:val="12"/>
                <w:szCs w:val="12"/>
                <w:color w:val="auto"/>
              </w:rPr>
              <w:t>207,210</w:t>
            </w:r>
            <w:r>
              <w:rPr>
                <w:rFonts w:ascii="Arial" w:cs="Arial" w:eastAsia="Arial" w:hAnsi="Arial"/>
                <w:sz w:val="10"/>
                <w:szCs w:val="10"/>
                <w:color w:val="auto"/>
              </w:rPr>
              <w:t>(12)</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3,209,683</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18"/>
              <w:spacing w:after="0"/>
              <w:rPr>
                <w:sz w:val="20"/>
                <w:szCs w:val="20"/>
                <w:color w:val="auto"/>
              </w:rPr>
            </w:pPr>
            <w:r>
              <w:rPr>
                <w:rFonts w:ascii="Arial" w:cs="Arial" w:eastAsia="Arial" w:hAnsi="Arial"/>
                <w:sz w:val="12"/>
                <w:szCs w:val="12"/>
                <w:color w:val="auto"/>
              </w:rPr>
              <w:t>125,501</w:t>
            </w:r>
            <w:r>
              <w:rPr>
                <w:rFonts w:ascii="Arial" w:cs="Arial" w:eastAsia="Arial" w:hAnsi="Arial"/>
                <w:sz w:val="10"/>
                <w:szCs w:val="10"/>
                <w:color w:val="auto"/>
              </w:rPr>
              <w:t>(13)</w:t>
            </w:r>
          </w:p>
        </w:tc>
        <w:tc>
          <w:tcPr>
            <w:tcW w:w="1180" w:type="dxa"/>
            <w:vAlign w:val="bottom"/>
          </w:tcPr>
          <w:p>
            <w:pPr>
              <w:jc w:val="right"/>
              <w:spacing w:after="0"/>
              <w:rPr>
                <w:sz w:val="20"/>
                <w:szCs w:val="20"/>
                <w:color w:val="auto"/>
              </w:rPr>
            </w:pPr>
            <w:r>
              <w:rPr>
                <w:rFonts w:ascii="Arial" w:cs="Arial" w:eastAsia="Arial" w:hAnsi="Arial"/>
                <w:sz w:val="12"/>
                <w:szCs w:val="12"/>
                <w:color w:val="auto"/>
              </w:rPr>
              <w:t>1,944,010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7"/>
        </w:trPr>
        <w:tc>
          <w:tcPr>
            <w:tcW w:w="4260" w:type="dxa"/>
            <w:vAlign w:val="bottom"/>
          </w:tcPr>
          <w:p>
            <w:pPr>
              <w:spacing w:after="0"/>
              <w:rPr>
                <w:sz w:val="20"/>
                <w:szCs w:val="20"/>
                <w:color w:val="auto"/>
              </w:rPr>
            </w:pPr>
            <w:r>
              <w:rPr>
                <w:rFonts w:ascii="Arial" w:cs="Arial" w:eastAsia="Arial" w:hAnsi="Arial"/>
                <w:sz w:val="12"/>
                <w:szCs w:val="12"/>
                <w:color w:val="auto"/>
              </w:rPr>
              <w:t>John H. Briscoe</w:t>
            </w:r>
            <w:r>
              <w:rPr>
                <w:rFonts w:ascii="Arial" w:cs="Arial" w:eastAsia="Arial" w:hAnsi="Arial"/>
                <w:sz w:val="20"/>
                <w:szCs w:val="20"/>
                <w:color w:val="auto"/>
                <w:vertAlign w:val="superscript"/>
              </w:rPr>
              <w:t>(14)</w:t>
            </w: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2"/>
        </w:trPr>
        <w:tc>
          <w:tcPr>
            <w:tcW w:w="4260" w:type="dxa"/>
            <w:vAlign w:val="bottom"/>
          </w:tcPr>
          <w:p>
            <w:pPr>
              <w:spacing w:after="0"/>
              <w:rPr>
                <w:sz w:val="20"/>
                <w:szCs w:val="20"/>
                <w:color w:val="auto"/>
              </w:rPr>
            </w:pPr>
            <w:r>
              <w:rPr>
                <w:rFonts w:ascii="Arial" w:cs="Arial" w:eastAsia="Arial" w:hAnsi="Arial"/>
                <w:sz w:val="12"/>
                <w:szCs w:val="12"/>
                <w:color w:val="auto"/>
              </w:rPr>
              <w:t>Peter T. Fontana</w:t>
            </w:r>
            <w:r>
              <w:rPr>
                <w:rFonts w:ascii="Arial" w:cs="Arial" w:eastAsia="Arial" w:hAnsi="Arial"/>
                <w:sz w:val="20"/>
                <w:szCs w:val="20"/>
                <w:color w:val="auto"/>
                <w:vertAlign w:val="superscript"/>
              </w:rPr>
              <w:t>(15)</w:t>
            </w: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63"/>
        </w:trPr>
        <w:tc>
          <w:tcPr>
            <w:tcW w:w="4260" w:type="dxa"/>
            <w:vAlign w:val="bottom"/>
          </w:tcPr>
          <w:p>
            <w:pPr>
              <w:spacing w:after="0"/>
              <w:rPr>
                <w:sz w:val="20"/>
                <w:szCs w:val="20"/>
                <w:color w:val="auto"/>
              </w:rPr>
            </w:pPr>
            <w:r>
              <w:rPr>
                <w:rFonts w:ascii="Arial" w:cs="Arial" w:eastAsia="Arial" w:hAnsi="Arial"/>
                <w:sz w:val="12"/>
                <w:szCs w:val="12"/>
                <w:color w:val="auto"/>
              </w:rPr>
              <w:t>Joseph C. Henry</w:t>
            </w:r>
            <w:r>
              <w:rPr>
                <w:rFonts w:ascii="Arial" w:cs="Arial" w:eastAsia="Arial" w:hAnsi="Arial"/>
                <w:sz w:val="20"/>
                <w:szCs w:val="20"/>
                <w:color w:val="auto"/>
                <w:vertAlign w:val="superscript"/>
              </w:rPr>
              <w:t>(16)</w:t>
            </w: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38,000</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10.79</w:t>
            </w:r>
          </w:p>
        </w:tc>
        <w:tc>
          <w:tcPr>
            <w:tcW w:w="720" w:type="dxa"/>
            <w:vAlign w:val="bottom"/>
          </w:tcPr>
          <w:p>
            <w:pPr>
              <w:jc w:val="right"/>
              <w:spacing w:after="0"/>
              <w:rPr>
                <w:sz w:val="20"/>
                <w:szCs w:val="20"/>
                <w:color w:val="auto"/>
              </w:rPr>
            </w:pPr>
            <w:r>
              <w:rPr>
                <w:rFonts w:ascii="Arial" w:cs="Arial" w:eastAsia="Arial" w:hAnsi="Arial"/>
                <w:sz w:val="12"/>
                <w:szCs w:val="12"/>
                <w:color w:val="auto"/>
              </w:rPr>
              <w:t>06/15/16</w:t>
            </w:r>
          </w:p>
        </w:tc>
        <w:tc>
          <w:tcPr>
            <w:tcW w:w="300" w:type="dxa"/>
            <w:vAlign w:val="bottom"/>
          </w:tcPr>
          <w:p>
            <w:pPr>
              <w:spacing w:after="0"/>
              <w:rPr>
                <w:sz w:val="22"/>
                <w:szCs w:val="22"/>
                <w:color w:val="auto"/>
              </w:rPr>
            </w:pPr>
          </w:p>
        </w:tc>
        <w:tc>
          <w:tcPr>
            <w:tcW w:w="8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4260" w:type="dxa"/>
            <w:vAlign w:val="bottom"/>
          </w:tcPr>
          <w:p>
            <w:pPr>
              <w:spacing w:after="0"/>
              <w:rPr>
                <w:sz w:val="20"/>
                <w:szCs w:val="20"/>
                <w:color w:val="auto"/>
              </w:rPr>
            </w:pPr>
            <w:r>
              <w:rPr>
                <w:rFonts w:ascii="Arial" w:cs="Arial" w:eastAsia="Arial" w:hAnsi="Arial"/>
                <w:sz w:val="12"/>
                <w:szCs w:val="12"/>
                <w:color w:val="auto"/>
              </w:rPr>
              <w:t>William B. Jacobson</w:t>
            </w: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258</w:t>
            </w:r>
            <w:r>
              <w:rPr>
                <w:rFonts w:ascii="Arial" w:cs="Arial" w:eastAsia="Arial" w:hAnsi="Arial"/>
                <w:sz w:val="10"/>
                <w:szCs w:val="10"/>
                <w:color w:val="auto"/>
              </w:rPr>
              <w:t>(17)*</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3,996</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419</w:t>
            </w:r>
            <w:r>
              <w:rPr>
                <w:rFonts w:ascii="Arial" w:cs="Arial" w:eastAsia="Arial" w:hAnsi="Arial"/>
                <w:sz w:val="10"/>
                <w:szCs w:val="10"/>
                <w:color w:val="auto"/>
              </w:rPr>
              <w:t>(18)*</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6,490</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834</w:t>
            </w:r>
            <w:r>
              <w:rPr>
                <w:rFonts w:ascii="Arial" w:cs="Arial" w:eastAsia="Arial" w:hAnsi="Arial"/>
                <w:sz w:val="10"/>
                <w:szCs w:val="10"/>
                <w:color w:val="auto"/>
              </w:rPr>
              <w:t>(19)*</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12,919</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443</w:t>
            </w:r>
            <w:r>
              <w:rPr>
                <w:rFonts w:ascii="Arial" w:cs="Arial" w:eastAsia="Arial" w:hAnsi="Arial"/>
                <w:sz w:val="10"/>
                <w:szCs w:val="10"/>
                <w:color w:val="auto"/>
              </w:rPr>
              <w:t>(20)*</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6,862</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484</w:t>
            </w:r>
            <w:r>
              <w:rPr>
                <w:rFonts w:ascii="Arial" w:cs="Arial" w:eastAsia="Arial" w:hAnsi="Arial"/>
                <w:sz w:val="10"/>
                <w:szCs w:val="10"/>
                <w:color w:val="auto"/>
              </w:rPr>
              <w:t>(17)*</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7,497</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478</w:t>
            </w:r>
            <w:r>
              <w:rPr>
                <w:rFonts w:ascii="Arial" w:cs="Arial" w:eastAsia="Arial" w:hAnsi="Arial"/>
                <w:sz w:val="10"/>
                <w:szCs w:val="10"/>
                <w:color w:val="auto"/>
              </w:rPr>
              <w:t>(18)*</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7,404</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766</w:t>
            </w:r>
            <w:r>
              <w:rPr>
                <w:rFonts w:ascii="Arial" w:cs="Arial" w:eastAsia="Arial" w:hAnsi="Arial"/>
                <w:sz w:val="10"/>
                <w:szCs w:val="10"/>
                <w:color w:val="auto"/>
              </w:rPr>
              <w:t>(21)*</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11,865</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9,427</w:t>
            </w:r>
            <w:r>
              <w:rPr>
                <w:rFonts w:ascii="Arial" w:cs="Arial" w:eastAsia="Arial" w:hAnsi="Arial"/>
                <w:sz w:val="10"/>
                <w:szCs w:val="10"/>
                <w:color w:val="auto"/>
              </w:rPr>
              <w:t>(22)*</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146,024</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990</w:t>
            </w:r>
            <w:r>
              <w:rPr>
                <w:rFonts w:ascii="Arial" w:cs="Arial" w:eastAsia="Arial" w:hAnsi="Arial"/>
                <w:sz w:val="10"/>
                <w:szCs w:val="10"/>
                <w:color w:val="auto"/>
              </w:rPr>
              <w:t>(20)*</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15,335</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514</w:t>
            </w:r>
            <w:r>
              <w:rPr>
                <w:rFonts w:ascii="Arial" w:cs="Arial" w:eastAsia="Arial" w:hAnsi="Arial"/>
                <w:sz w:val="10"/>
                <w:szCs w:val="10"/>
                <w:color w:val="auto"/>
              </w:rPr>
              <w:t>(23)*</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7,962</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61,936</w:t>
            </w:r>
            <w:r>
              <w:rPr>
                <w:rFonts w:ascii="Arial" w:cs="Arial" w:eastAsia="Arial" w:hAnsi="Arial"/>
                <w:sz w:val="10"/>
                <w:szCs w:val="10"/>
                <w:color w:val="auto"/>
              </w:rPr>
              <w:t>(9)*</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959,389</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454</w:t>
            </w:r>
            <w:r>
              <w:rPr>
                <w:rFonts w:ascii="Arial" w:cs="Arial" w:eastAsia="Arial" w:hAnsi="Arial"/>
                <w:sz w:val="10"/>
                <w:szCs w:val="10"/>
                <w:color w:val="auto"/>
              </w:rPr>
              <w:t>(24)*</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7,032</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570</w:t>
            </w:r>
            <w:r>
              <w:rPr>
                <w:rFonts w:ascii="Arial" w:cs="Arial" w:eastAsia="Arial" w:hAnsi="Arial"/>
                <w:sz w:val="10"/>
                <w:szCs w:val="10"/>
                <w:color w:val="auto"/>
              </w:rPr>
              <w:t>(25)*</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8,829</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597</w:t>
            </w:r>
            <w:r>
              <w:rPr>
                <w:rFonts w:ascii="Arial" w:cs="Arial" w:eastAsia="Arial" w:hAnsi="Arial"/>
                <w:sz w:val="10"/>
                <w:szCs w:val="10"/>
                <w:color w:val="auto"/>
              </w:rPr>
              <w:t>(18)*</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9,248</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1,362</w:t>
            </w:r>
            <w:r>
              <w:rPr>
                <w:rFonts w:ascii="Arial" w:cs="Arial" w:eastAsia="Arial" w:hAnsi="Arial"/>
                <w:sz w:val="10"/>
                <w:szCs w:val="10"/>
                <w:color w:val="auto"/>
              </w:rPr>
              <w:t>(26)*</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21,097</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85,985</w:t>
            </w:r>
            <w:r>
              <w:rPr>
                <w:rFonts w:ascii="Arial" w:cs="Arial" w:eastAsia="Arial" w:hAnsi="Arial"/>
                <w:sz w:val="10"/>
                <w:szCs w:val="10"/>
                <w:color w:val="auto"/>
              </w:rPr>
              <w:t>(27)*</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1,331,908</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1,688</w:t>
            </w:r>
            <w:r>
              <w:rPr>
                <w:rFonts w:ascii="Arial" w:cs="Arial" w:eastAsia="Arial" w:hAnsi="Arial"/>
                <w:sz w:val="10"/>
                <w:szCs w:val="10"/>
                <w:color w:val="auto"/>
              </w:rPr>
              <w:t>(28)*</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26,147</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565</w:t>
            </w:r>
            <w:r>
              <w:rPr>
                <w:rFonts w:ascii="Arial" w:cs="Arial" w:eastAsia="Arial" w:hAnsi="Arial"/>
                <w:sz w:val="10"/>
                <w:szCs w:val="10"/>
                <w:color w:val="auto"/>
              </w:rPr>
              <w:t>(17)*</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8,752</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511</w:t>
            </w:r>
            <w:r>
              <w:rPr>
                <w:rFonts w:ascii="Arial" w:cs="Arial" w:eastAsia="Arial" w:hAnsi="Arial"/>
                <w:sz w:val="10"/>
                <w:szCs w:val="10"/>
                <w:color w:val="auto"/>
              </w:rPr>
              <w:t>(18)*</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7,915</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38"/>
              <w:spacing w:after="0"/>
              <w:rPr>
                <w:sz w:val="20"/>
                <w:szCs w:val="20"/>
                <w:color w:val="auto"/>
              </w:rPr>
            </w:pPr>
            <w:r>
              <w:rPr>
                <w:rFonts w:ascii="Arial" w:cs="Arial" w:eastAsia="Arial" w:hAnsi="Arial"/>
                <w:sz w:val="12"/>
                <w:szCs w:val="12"/>
                <w:color w:val="auto"/>
              </w:rPr>
              <w:t>14,141</w:t>
            </w:r>
            <w:r>
              <w:rPr>
                <w:rFonts w:ascii="Arial" w:cs="Arial" w:eastAsia="Arial" w:hAnsi="Arial"/>
                <w:sz w:val="10"/>
                <w:szCs w:val="10"/>
                <w:color w:val="auto"/>
              </w:rPr>
              <w:t>(4)*</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219,044</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480" w:type="dxa"/>
            <w:vAlign w:val="bottom"/>
          </w:tcPr>
          <w:p>
            <w:pPr>
              <w:jc w:val="right"/>
              <w:spacing w:after="0"/>
              <w:rPr>
                <w:sz w:val="20"/>
                <w:szCs w:val="20"/>
                <w:color w:val="auto"/>
              </w:rPr>
            </w:pPr>
            <w:r>
              <w:rPr>
                <w:rFonts w:ascii="Arial" w:cs="Arial" w:eastAsia="Arial" w:hAnsi="Arial"/>
                <w:sz w:val="12"/>
                <w:szCs w:val="12"/>
                <w:color w:val="auto"/>
              </w:rPr>
              <w:t>12,703</w:t>
            </w:r>
            <w:r>
              <w:rPr>
                <w:rFonts w:ascii="Arial" w:cs="Arial" w:eastAsia="Arial" w:hAnsi="Arial"/>
                <w:sz w:val="10"/>
                <w:szCs w:val="10"/>
                <w:color w:val="auto"/>
              </w:rPr>
              <w:t>(11)*</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196,769</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480" w:type="dxa"/>
            <w:vAlign w:val="bottom"/>
          </w:tcPr>
          <w:p>
            <w:pPr>
              <w:jc w:val="right"/>
              <w:spacing w:after="0"/>
              <w:rPr>
                <w:sz w:val="20"/>
                <w:szCs w:val="20"/>
                <w:color w:val="auto"/>
              </w:rPr>
            </w:pPr>
            <w:r>
              <w:rPr>
                <w:rFonts w:ascii="Arial" w:cs="Arial" w:eastAsia="Arial" w:hAnsi="Arial"/>
                <w:sz w:val="12"/>
                <w:szCs w:val="12"/>
                <w:color w:val="auto"/>
              </w:rPr>
              <w:t>12,703</w:t>
            </w:r>
            <w:r>
              <w:rPr>
                <w:rFonts w:ascii="Arial" w:cs="Arial" w:eastAsia="Arial" w:hAnsi="Arial"/>
                <w:sz w:val="10"/>
                <w:szCs w:val="10"/>
                <w:color w:val="auto"/>
              </w:rPr>
              <w:t>(11)*</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196,769</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38"/>
              <w:spacing w:after="0"/>
              <w:rPr>
                <w:sz w:val="20"/>
                <w:szCs w:val="20"/>
                <w:color w:val="auto"/>
              </w:rPr>
            </w:pPr>
            <w:r>
              <w:rPr>
                <w:rFonts w:ascii="Arial" w:cs="Arial" w:eastAsia="Arial" w:hAnsi="Arial"/>
                <w:sz w:val="12"/>
                <w:szCs w:val="12"/>
                <w:color w:val="auto"/>
              </w:rPr>
              <w:t>42,993</w:t>
            </w:r>
            <w:r>
              <w:rPr>
                <w:rFonts w:ascii="Arial" w:cs="Arial" w:eastAsia="Arial" w:hAnsi="Arial"/>
                <w:sz w:val="10"/>
                <w:szCs w:val="10"/>
                <w:color w:val="auto"/>
              </w:rPr>
              <w:t>(5)*</w:t>
            </w: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665,962</w:t>
            </w:r>
          </w:p>
        </w:tc>
        <w:tc>
          <w:tcPr>
            <w:tcW w:w="0" w:type="dxa"/>
            <w:vAlign w:val="bottom"/>
          </w:tcPr>
          <w:p>
            <w:pPr>
              <w:spacing w:after="0"/>
              <w:rPr>
                <w:sz w:val="1"/>
                <w:szCs w:val="1"/>
                <w:color w:val="auto"/>
              </w:rPr>
            </w:pPr>
          </w:p>
        </w:tc>
      </w:tr>
      <w:tr>
        <w:trPr>
          <w:trHeight w:val="43"/>
        </w:trPr>
        <w:tc>
          <w:tcPr>
            <w:tcW w:w="4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241" w:hanging="241"/>
        <w:spacing w:after="0"/>
        <w:tabs>
          <w:tab w:leader="none" w:pos="241" w:val="left"/>
        </w:tabs>
        <w:numPr>
          <w:ilvl w:val="0"/>
          <w:numId w:val="55"/>
        </w:numPr>
        <w:rPr>
          <w:rFonts w:ascii="Arial" w:cs="Arial" w:eastAsia="Arial" w:hAnsi="Arial"/>
          <w:sz w:val="12"/>
          <w:szCs w:val="12"/>
          <w:color w:val="auto"/>
        </w:rPr>
      </w:pPr>
      <w:r>
        <w:rPr>
          <w:rFonts w:ascii="Arial" w:cs="Arial" w:eastAsia="Arial" w:hAnsi="Arial"/>
          <w:sz w:val="12"/>
          <w:szCs w:val="12"/>
          <w:color w:val="auto"/>
        </w:rPr>
        <w:t>As the Company no longer grants options and due to the passage of time, all outstanding options are exercisable and none are subject to further vesting requirements.</w:t>
      </w:r>
    </w:p>
    <w:p>
      <w:pPr>
        <w:spacing w:after="0" w:line="97" w:lineRule="exact"/>
        <w:rPr>
          <w:rFonts w:ascii="Arial" w:cs="Arial" w:eastAsia="Arial" w:hAnsi="Arial"/>
          <w:sz w:val="12"/>
          <w:szCs w:val="12"/>
          <w:color w:val="auto"/>
        </w:rPr>
      </w:pPr>
    </w:p>
    <w:p>
      <w:pPr>
        <w:ind w:left="241" w:hanging="241"/>
        <w:spacing w:after="0"/>
        <w:tabs>
          <w:tab w:leader="none" w:pos="241"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 number of performance units reported and the payout value reported are based on achieving the threshold performance level.</w:t>
      </w:r>
    </w:p>
    <w:p>
      <w:pPr>
        <w:spacing w:after="0" w:line="196" w:lineRule="exact"/>
        <w:rPr>
          <w:sz w:val="20"/>
          <w:szCs w:val="20"/>
          <w:color w:val="auto"/>
        </w:rPr>
      </w:pPr>
    </w:p>
    <w:p>
      <w:pPr>
        <w:ind w:left="301" w:hanging="301"/>
        <w:spacing w:after="0"/>
        <w:tabs>
          <w:tab w:leader="none" w:pos="301" w:val="left"/>
        </w:tabs>
        <w:numPr>
          <w:ilvl w:val="0"/>
          <w:numId w:val="56"/>
        </w:numPr>
        <w:rPr>
          <w:rFonts w:ascii="Arial" w:cs="Arial" w:eastAsia="Arial" w:hAnsi="Arial"/>
          <w:sz w:val="12"/>
          <w:szCs w:val="12"/>
          <w:b w:val="1"/>
          <w:bCs w:val="1"/>
          <w:color w:val="auto"/>
        </w:rPr>
      </w:pPr>
      <w:r>
        <w:rPr>
          <w:rFonts w:ascii="Arial" w:cs="Arial" w:eastAsia="Arial" w:hAnsi="Arial"/>
          <w:sz w:val="12"/>
          <w:szCs w:val="12"/>
          <w:color w:val="auto"/>
        </w:rPr>
        <w:t>Weatherford International plc - 2014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8370" cy="203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sectPr>
      </w:pPr>
    </w:p>
    <w:bookmarkStart w:id="60" w:name="page61"/>
    <w:bookmarkEnd w:id="60"/>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9641"/>
        <w:spacing w:after="0"/>
        <w:rPr>
          <w:sz w:val="20"/>
          <w:szCs w:val="20"/>
          <w:color w:val="auto"/>
        </w:rPr>
      </w:pPr>
      <w:r>
        <w:rPr>
          <w:rFonts w:ascii="Arial" w:cs="Arial" w:eastAsia="Arial" w:hAnsi="Arial"/>
          <w:sz w:val="12"/>
          <w:szCs w:val="12"/>
          <w:b w:val="1"/>
          <w:bCs w:val="1"/>
          <w:color w:val="FFFFFF"/>
          <w:shd w:val="clear" w:color="auto" w:fill="BB1131"/>
        </w:rPr>
        <w:t>EXECUTIVE COMPENSATION</w:t>
      </w:r>
    </w:p>
    <w:p>
      <w:pPr>
        <w:spacing w:after="0" w:line="210" w:lineRule="exact"/>
        <w:rPr>
          <w:sz w:val="20"/>
          <w:szCs w:val="20"/>
          <w:color w:val="auto"/>
        </w:rPr>
      </w:pPr>
    </w:p>
    <w:p>
      <w:pPr>
        <w:ind w:left="241" w:hanging="241"/>
        <w:spacing w:after="0"/>
        <w:tabs>
          <w:tab w:leader="none" w:pos="241" w:val="left"/>
        </w:tabs>
        <w:numPr>
          <w:ilvl w:val="0"/>
          <w:numId w:val="57"/>
        </w:numPr>
        <w:rPr>
          <w:rFonts w:ascii="Arial" w:cs="Arial" w:eastAsia="Arial" w:hAnsi="Arial"/>
          <w:sz w:val="12"/>
          <w:szCs w:val="12"/>
          <w:color w:val="auto"/>
        </w:rPr>
      </w:pPr>
      <w:r>
        <w:rPr>
          <w:rFonts w:ascii="Arial" w:cs="Arial" w:eastAsia="Arial" w:hAnsi="Arial"/>
          <w:sz w:val="12"/>
          <w:szCs w:val="12"/>
          <w:color w:val="auto"/>
        </w:rPr>
        <w:t>Option has been transferred to a family limited partnership for estate planning purposes.</w:t>
      </w:r>
    </w:p>
    <w:p>
      <w:pPr>
        <w:spacing w:after="0" w:line="97" w:lineRule="exact"/>
        <w:rPr>
          <w:rFonts w:ascii="Arial" w:cs="Arial" w:eastAsia="Arial" w:hAnsi="Arial"/>
          <w:sz w:val="12"/>
          <w:szCs w:val="12"/>
          <w:color w:val="auto"/>
        </w:rPr>
      </w:pPr>
    </w:p>
    <w:p>
      <w:pPr>
        <w:ind w:left="241" w:hanging="241"/>
        <w:spacing w:after="0"/>
        <w:tabs>
          <w:tab w:leader="none" w:pos="241" w:val="left"/>
        </w:tabs>
        <w:numPr>
          <w:ilvl w:val="0"/>
          <w:numId w:val="57"/>
        </w:numPr>
        <w:rPr>
          <w:rFonts w:ascii="Arial" w:cs="Arial" w:eastAsia="Arial" w:hAnsi="Arial"/>
          <w:sz w:val="12"/>
          <w:szCs w:val="12"/>
          <w:color w:val="auto"/>
        </w:rPr>
      </w:pPr>
      <w:r>
        <w:rPr>
          <w:rFonts w:ascii="Arial" w:cs="Arial" w:eastAsia="Arial" w:hAnsi="Arial"/>
          <w:sz w:val="12"/>
          <w:szCs w:val="12"/>
          <w:color w:val="auto"/>
        </w:rPr>
        <w:t>Performance units vested on January 1, 2014.</w:t>
      </w:r>
    </w:p>
    <w:p>
      <w:pPr>
        <w:spacing w:after="0" w:line="97" w:lineRule="exact"/>
        <w:rPr>
          <w:rFonts w:ascii="Arial" w:cs="Arial" w:eastAsia="Arial" w:hAnsi="Arial"/>
          <w:sz w:val="12"/>
          <w:szCs w:val="12"/>
          <w:color w:val="auto"/>
        </w:rPr>
      </w:pPr>
    </w:p>
    <w:p>
      <w:pPr>
        <w:ind w:left="241" w:hanging="241"/>
        <w:spacing w:after="0"/>
        <w:tabs>
          <w:tab w:leader="none" w:pos="241" w:val="left"/>
        </w:tabs>
        <w:numPr>
          <w:ilvl w:val="0"/>
          <w:numId w:val="57"/>
        </w:numPr>
        <w:rPr>
          <w:rFonts w:ascii="Arial" w:cs="Arial" w:eastAsia="Arial" w:hAnsi="Arial"/>
          <w:sz w:val="12"/>
          <w:szCs w:val="12"/>
          <w:color w:val="auto"/>
        </w:rPr>
      </w:pPr>
      <w:r>
        <w:rPr>
          <w:rFonts w:ascii="Arial" w:cs="Arial" w:eastAsia="Arial" w:hAnsi="Arial"/>
          <w:sz w:val="12"/>
          <w:szCs w:val="12"/>
          <w:color w:val="auto"/>
        </w:rPr>
        <w:t>Performance units vest on January 1, 2016.</w:t>
      </w:r>
    </w:p>
    <w:p>
      <w:pPr>
        <w:spacing w:after="0" w:line="97" w:lineRule="exact"/>
        <w:rPr>
          <w:rFonts w:ascii="Arial" w:cs="Arial" w:eastAsia="Arial" w:hAnsi="Arial"/>
          <w:sz w:val="12"/>
          <w:szCs w:val="12"/>
          <w:color w:val="auto"/>
        </w:rPr>
      </w:pPr>
    </w:p>
    <w:p>
      <w:pPr>
        <w:ind w:left="241" w:hanging="241"/>
        <w:spacing w:after="0"/>
        <w:tabs>
          <w:tab w:leader="none" w:pos="241" w:val="left"/>
        </w:tabs>
        <w:numPr>
          <w:ilvl w:val="0"/>
          <w:numId w:val="57"/>
        </w:numPr>
        <w:rPr>
          <w:rFonts w:ascii="Arial" w:cs="Arial" w:eastAsia="Arial" w:hAnsi="Arial"/>
          <w:sz w:val="12"/>
          <w:szCs w:val="12"/>
          <w:color w:val="auto"/>
        </w:rPr>
      </w:pPr>
      <w:r>
        <w:rPr>
          <w:rFonts w:ascii="Arial" w:cs="Arial" w:eastAsia="Arial" w:hAnsi="Arial"/>
          <w:sz w:val="12"/>
          <w:szCs w:val="12"/>
          <w:color w:val="auto"/>
        </w:rPr>
        <w:t>Mr. Shivram joined the Company in November 2013 and did not have any unvested shares or performance units as of December 31, 2013.</w:t>
      </w:r>
    </w:p>
    <w:p>
      <w:pPr>
        <w:spacing w:after="0" w:line="97" w:lineRule="exact"/>
        <w:rPr>
          <w:rFonts w:ascii="Arial" w:cs="Arial" w:eastAsia="Arial" w:hAnsi="Arial"/>
          <w:sz w:val="12"/>
          <w:szCs w:val="12"/>
          <w:color w:val="auto"/>
        </w:rPr>
      </w:pPr>
    </w:p>
    <w:p>
      <w:pPr>
        <w:ind w:left="241" w:hanging="241"/>
        <w:spacing w:after="0"/>
        <w:tabs>
          <w:tab w:leader="none" w:pos="241" w:val="left"/>
        </w:tabs>
        <w:numPr>
          <w:ilvl w:val="0"/>
          <w:numId w:val="57"/>
        </w:numPr>
        <w:rPr>
          <w:rFonts w:ascii="Arial" w:cs="Arial" w:eastAsia="Arial" w:hAnsi="Arial"/>
          <w:sz w:val="12"/>
          <w:szCs w:val="12"/>
          <w:color w:val="auto"/>
        </w:rPr>
      </w:pPr>
      <w:r>
        <w:rPr>
          <w:rFonts w:ascii="Arial" w:cs="Arial" w:eastAsia="Arial" w:hAnsi="Arial"/>
          <w:sz w:val="12"/>
          <w:szCs w:val="12"/>
          <w:color w:val="auto"/>
        </w:rPr>
        <w:t>Half of these restricted shares vested on February 2, 2014, and half will vest on February 2, 2015.</w:t>
      </w:r>
    </w:p>
    <w:p>
      <w:pPr>
        <w:spacing w:after="0" w:line="97" w:lineRule="exact"/>
        <w:rPr>
          <w:rFonts w:ascii="Arial" w:cs="Arial" w:eastAsia="Arial" w:hAnsi="Arial"/>
          <w:sz w:val="12"/>
          <w:szCs w:val="12"/>
          <w:color w:val="auto"/>
        </w:rPr>
      </w:pPr>
    </w:p>
    <w:p>
      <w:pPr>
        <w:ind w:left="241" w:hanging="241"/>
        <w:spacing w:after="0"/>
        <w:tabs>
          <w:tab w:leader="none" w:pos="241" w:val="left"/>
        </w:tabs>
        <w:numPr>
          <w:ilvl w:val="0"/>
          <w:numId w:val="57"/>
        </w:numPr>
        <w:rPr>
          <w:rFonts w:ascii="Arial" w:cs="Arial" w:eastAsia="Arial" w:hAnsi="Arial"/>
          <w:sz w:val="12"/>
          <w:szCs w:val="12"/>
          <w:color w:val="auto"/>
        </w:rPr>
      </w:pPr>
      <w:r>
        <w:rPr>
          <w:rFonts w:ascii="Arial" w:cs="Arial" w:eastAsia="Arial" w:hAnsi="Arial"/>
          <w:sz w:val="12"/>
          <w:szCs w:val="12"/>
          <w:color w:val="auto"/>
        </w:rPr>
        <w:t>Restricted share units vested on April 12, 2014.</w:t>
      </w:r>
    </w:p>
    <w:p>
      <w:pPr>
        <w:spacing w:after="0" w:line="97" w:lineRule="exact"/>
        <w:rPr>
          <w:rFonts w:ascii="Arial" w:cs="Arial" w:eastAsia="Arial" w:hAnsi="Arial"/>
          <w:sz w:val="12"/>
          <w:szCs w:val="12"/>
          <w:color w:val="auto"/>
        </w:rPr>
      </w:pPr>
    </w:p>
    <w:p>
      <w:pPr>
        <w:ind w:left="241" w:hanging="241"/>
        <w:spacing w:after="0"/>
        <w:tabs>
          <w:tab w:leader="none" w:pos="241" w:val="left"/>
        </w:tabs>
        <w:numPr>
          <w:ilvl w:val="0"/>
          <w:numId w:val="57"/>
        </w:numPr>
        <w:rPr>
          <w:rFonts w:ascii="Arial" w:cs="Arial" w:eastAsia="Arial" w:hAnsi="Arial"/>
          <w:sz w:val="12"/>
          <w:szCs w:val="12"/>
          <w:color w:val="auto"/>
        </w:rPr>
      </w:pPr>
      <w:r>
        <w:rPr>
          <w:rFonts w:ascii="Arial" w:cs="Arial" w:eastAsia="Arial" w:hAnsi="Arial"/>
          <w:sz w:val="12"/>
          <w:szCs w:val="12"/>
          <w:color w:val="auto"/>
        </w:rPr>
        <w:t>Half of these restricted share units vested on March 23, 2014, and half will vest on March 23, 2015.</w:t>
      </w:r>
    </w:p>
    <w:p>
      <w:pPr>
        <w:spacing w:after="0" w:line="97" w:lineRule="exact"/>
        <w:rPr>
          <w:rFonts w:ascii="Arial" w:cs="Arial" w:eastAsia="Arial" w:hAnsi="Arial"/>
          <w:sz w:val="12"/>
          <w:szCs w:val="12"/>
          <w:color w:val="auto"/>
        </w:rPr>
      </w:pPr>
    </w:p>
    <w:p>
      <w:pPr>
        <w:ind w:left="241" w:hanging="241"/>
        <w:spacing w:after="0"/>
        <w:tabs>
          <w:tab w:leader="none" w:pos="241" w:val="left"/>
        </w:tabs>
        <w:numPr>
          <w:ilvl w:val="0"/>
          <w:numId w:val="57"/>
        </w:numPr>
        <w:rPr>
          <w:rFonts w:ascii="Arial" w:cs="Arial" w:eastAsia="Arial" w:hAnsi="Arial"/>
          <w:sz w:val="12"/>
          <w:szCs w:val="12"/>
          <w:color w:val="auto"/>
        </w:rPr>
      </w:pPr>
      <w:r>
        <w:rPr>
          <w:rFonts w:ascii="Arial" w:cs="Arial" w:eastAsia="Arial" w:hAnsi="Arial"/>
          <w:sz w:val="12"/>
          <w:szCs w:val="12"/>
          <w:color w:val="auto"/>
        </w:rPr>
        <w:t>One-third of the restricted share units vested on March 7, 2014 and one-third will vest on each of March 7, 2015 and 2016.</w:t>
      </w:r>
    </w:p>
    <w:p>
      <w:pPr>
        <w:spacing w:after="0" w:line="97" w:lineRule="exact"/>
        <w:rPr>
          <w:rFonts w:ascii="Arial" w:cs="Arial" w:eastAsia="Arial" w:hAnsi="Arial"/>
          <w:sz w:val="12"/>
          <w:szCs w:val="12"/>
          <w:color w:val="auto"/>
        </w:rPr>
      </w:pPr>
    </w:p>
    <w:p>
      <w:pPr>
        <w:ind w:left="241" w:hanging="241"/>
        <w:spacing w:after="0"/>
        <w:tabs>
          <w:tab w:leader="none" w:pos="241" w:val="left"/>
        </w:tabs>
        <w:numPr>
          <w:ilvl w:val="0"/>
          <w:numId w:val="57"/>
        </w:numPr>
        <w:rPr>
          <w:rFonts w:ascii="Arial" w:cs="Arial" w:eastAsia="Arial" w:hAnsi="Arial"/>
          <w:sz w:val="12"/>
          <w:szCs w:val="12"/>
          <w:color w:val="auto"/>
        </w:rPr>
      </w:pPr>
      <w:r>
        <w:rPr>
          <w:rFonts w:ascii="Arial" w:cs="Arial" w:eastAsia="Arial" w:hAnsi="Arial"/>
          <w:sz w:val="12"/>
          <w:szCs w:val="12"/>
          <w:color w:val="auto"/>
        </w:rPr>
        <w:t>Performance units vest on January 1, 2015.</w:t>
      </w:r>
    </w:p>
    <w:p>
      <w:pPr>
        <w:spacing w:after="0" w:line="97" w:lineRule="exact"/>
        <w:rPr>
          <w:rFonts w:ascii="Arial" w:cs="Arial" w:eastAsia="Arial" w:hAnsi="Arial"/>
          <w:sz w:val="12"/>
          <w:szCs w:val="12"/>
          <w:color w:val="auto"/>
        </w:rPr>
      </w:pPr>
    </w:p>
    <w:p>
      <w:pPr>
        <w:ind w:left="241" w:hanging="241"/>
        <w:spacing w:after="0" w:line="254" w:lineRule="auto"/>
        <w:tabs>
          <w:tab w:leader="none" w:pos="241"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The restricted share units were scheduled to vest during the period January 2, 2014, through April 1, 2016, however all unvested units vested on February 28, 2014, in connection with Mr. Gee’s separation from the Company.</w:t>
      </w:r>
    </w:p>
    <w:p>
      <w:pPr>
        <w:spacing w:after="0" w:line="79" w:lineRule="exact"/>
        <w:rPr>
          <w:rFonts w:ascii="Arial" w:cs="Arial" w:eastAsia="Arial" w:hAnsi="Arial"/>
          <w:sz w:val="12"/>
          <w:szCs w:val="12"/>
          <w:color w:val="auto"/>
        </w:rPr>
      </w:pPr>
    </w:p>
    <w:p>
      <w:pPr>
        <w:ind w:left="241" w:hanging="241"/>
        <w:spacing w:after="0" w:line="254" w:lineRule="auto"/>
        <w:tabs>
          <w:tab w:leader="none" w:pos="241"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The performance units were scheduled to vest during the period January 1, 2014, through January 1, 2016, however all eligible units vested on February 28, 2014, in connection with Mr. Gee’s separation from the Company.</w:t>
      </w:r>
    </w:p>
    <w:p>
      <w:pPr>
        <w:spacing w:after="0" w:line="79" w:lineRule="exact"/>
        <w:rPr>
          <w:rFonts w:ascii="Arial" w:cs="Arial" w:eastAsia="Arial" w:hAnsi="Arial"/>
          <w:sz w:val="12"/>
          <w:szCs w:val="12"/>
          <w:color w:val="auto"/>
        </w:rPr>
      </w:pPr>
    </w:p>
    <w:p>
      <w:pPr>
        <w:ind w:left="241" w:hanging="241"/>
        <w:spacing w:after="0"/>
        <w:tabs>
          <w:tab w:leader="none" w:pos="241" w:val="left"/>
        </w:tabs>
        <w:numPr>
          <w:ilvl w:val="0"/>
          <w:numId w:val="57"/>
        </w:numPr>
        <w:rPr>
          <w:rFonts w:ascii="Arial" w:cs="Arial" w:eastAsia="Arial" w:hAnsi="Arial"/>
          <w:sz w:val="12"/>
          <w:szCs w:val="12"/>
          <w:color w:val="auto"/>
        </w:rPr>
      </w:pPr>
      <w:r>
        <w:rPr>
          <w:rFonts w:ascii="Arial" w:cs="Arial" w:eastAsia="Arial" w:hAnsi="Arial"/>
          <w:sz w:val="12"/>
          <w:szCs w:val="12"/>
          <w:color w:val="auto"/>
        </w:rPr>
        <w:t>Mr. Briscoe left the Company on September 11, 2013. All of his share and unit awards vested in connection with his separation.</w:t>
      </w:r>
    </w:p>
    <w:p>
      <w:pPr>
        <w:spacing w:after="0" w:line="97" w:lineRule="exact"/>
        <w:rPr>
          <w:rFonts w:ascii="Arial" w:cs="Arial" w:eastAsia="Arial" w:hAnsi="Arial"/>
          <w:sz w:val="12"/>
          <w:szCs w:val="12"/>
          <w:color w:val="auto"/>
        </w:rPr>
      </w:pPr>
    </w:p>
    <w:p>
      <w:pPr>
        <w:ind w:left="241" w:hanging="241"/>
        <w:spacing w:after="0"/>
        <w:tabs>
          <w:tab w:leader="none" w:pos="241" w:val="left"/>
        </w:tabs>
        <w:numPr>
          <w:ilvl w:val="0"/>
          <w:numId w:val="57"/>
        </w:numPr>
        <w:rPr>
          <w:rFonts w:ascii="Arial" w:cs="Arial" w:eastAsia="Arial" w:hAnsi="Arial"/>
          <w:sz w:val="12"/>
          <w:szCs w:val="12"/>
          <w:color w:val="auto"/>
        </w:rPr>
      </w:pPr>
      <w:r>
        <w:rPr>
          <w:rFonts w:ascii="Arial" w:cs="Arial" w:eastAsia="Arial" w:hAnsi="Arial"/>
          <w:sz w:val="12"/>
          <w:szCs w:val="12"/>
          <w:color w:val="auto"/>
        </w:rPr>
        <w:t>Mr. Fontana left the Company on December 13, 2013. All of his share and unit awards vested in connection with his separation.</w:t>
      </w:r>
    </w:p>
    <w:p>
      <w:pPr>
        <w:spacing w:after="0" w:line="97" w:lineRule="exact"/>
        <w:rPr>
          <w:rFonts w:ascii="Arial" w:cs="Arial" w:eastAsia="Arial" w:hAnsi="Arial"/>
          <w:sz w:val="12"/>
          <w:szCs w:val="12"/>
          <w:color w:val="auto"/>
        </w:rPr>
      </w:pPr>
    </w:p>
    <w:p>
      <w:pPr>
        <w:ind w:left="241" w:hanging="241"/>
        <w:spacing w:after="0"/>
        <w:tabs>
          <w:tab w:leader="none" w:pos="241" w:val="left"/>
        </w:tabs>
        <w:numPr>
          <w:ilvl w:val="0"/>
          <w:numId w:val="57"/>
        </w:numPr>
        <w:rPr>
          <w:rFonts w:ascii="Arial" w:cs="Arial" w:eastAsia="Arial" w:hAnsi="Arial"/>
          <w:sz w:val="12"/>
          <w:szCs w:val="12"/>
          <w:color w:val="auto"/>
        </w:rPr>
      </w:pPr>
      <w:r>
        <w:rPr>
          <w:rFonts w:ascii="Arial" w:cs="Arial" w:eastAsia="Arial" w:hAnsi="Arial"/>
          <w:sz w:val="12"/>
          <w:szCs w:val="12"/>
          <w:color w:val="auto"/>
        </w:rPr>
        <w:t>Mr. Henry left the Company on June 30, 2013. All of his share and unit awards vested in connection with his separation.</w:t>
      </w:r>
    </w:p>
    <w:p>
      <w:pPr>
        <w:spacing w:after="0" w:line="97" w:lineRule="exact"/>
        <w:rPr>
          <w:rFonts w:ascii="Arial" w:cs="Arial" w:eastAsia="Arial" w:hAnsi="Arial"/>
          <w:sz w:val="12"/>
          <w:szCs w:val="12"/>
          <w:color w:val="auto"/>
        </w:rPr>
      </w:pPr>
    </w:p>
    <w:p>
      <w:pPr>
        <w:ind w:left="241" w:hanging="241"/>
        <w:spacing w:after="0"/>
        <w:tabs>
          <w:tab w:leader="none" w:pos="241" w:val="left"/>
        </w:tabs>
        <w:numPr>
          <w:ilvl w:val="0"/>
          <w:numId w:val="57"/>
        </w:numPr>
        <w:rPr>
          <w:rFonts w:ascii="Arial" w:cs="Arial" w:eastAsia="Arial" w:hAnsi="Arial"/>
          <w:sz w:val="12"/>
          <w:szCs w:val="12"/>
          <w:color w:val="auto"/>
        </w:rPr>
      </w:pPr>
      <w:r>
        <w:rPr>
          <w:rFonts w:ascii="Arial" w:cs="Arial" w:eastAsia="Arial" w:hAnsi="Arial"/>
          <w:sz w:val="12"/>
          <w:szCs w:val="12"/>
          <w:color w:val="auto"/>
        </w:rPr>
        <w:t>Restricted share units vested on July 1, 2014.</w:t>
      </w:r>
    </w:p>
    <w:p>
      <w:pPr>
        <w:spacing w:after="0" w:line="97" w:lineRule="exact"/>
        <w:rPr>
          <w:rFonts w:ascii="Arial" w:cs="Arial" w:eastAsia="Arial" w:hAnsi="Arial"/>
          <w:sz w:val="12"/>
          <w:szCs w:val="12"/>
          <w:color w:val="auto"/>
        </w:rPr>
      </w:pPr>
    </w:p>
    <w:p>
      <w:pPr>
        <w:ind w:left="241" w:hanging="241"/>
        <w:spacing w:after="0"/>
        <w:tabs>
          <w:tab w:leader="none" w:pos="241" w:val="left"/>
        </w:tabs>
        <w:numPr>
          <w:ilvl w:val="0"/>
          <w:numId w:val="57"/>
        </w:numPr>
        <w:rPr>
          <w:rFonts w:ascii="Arial" w:cs="Arial" w:eastAsia="Arial" w:hAnsi="Arial"/>
          <w:sz w:val="12"/>
          <w:szCs w:val="12"/>
          <w:color w:val="auto"/>
        </w:rPr>
      </w:pPr>
      <w:r>
        <w:rPr>
          <w:rFonts w:ascii="Arial" w:cs="Arial" w:eastAsia="Arial" w:hAnsi="Arial"/>
          <w:sz w:val="12"/>
          <w:szCs w:val="12"/>
          <w:color w:val="auto"/>
        </w:rPr>
        <w:t>Restricted share units vest on October 1, 2014.</w:t>
      </w:r>
    </w:p>
    <w:p>
      <w:pPr>
        <w:spacing w:after="0" w:line="97" w:lineRule="exact"/>
        <w:rPr>
          <w:rFonts w:ascii="Arial" w:cs="Arial" w:eastAsia="Arial" w:hAnsi="Arial"/>
          <w:sz w:val="12"/>
          <w:szCs w:val="12"/>
          <w:color w:val="auto"/>
        </w:rPr>
      </w:pPr>
    </w:p>
    <w:p>
      <w:pPr>
        <w:ind w:left="241" w:hanging="241"/>
        <w:spacing w:after="0"/>
        <w:tabs>
          <w:tab w:leader="none" w:pos="241" w:val="left"/>
        </w:tabs>
        <w:numPr>
          <w:ilvl w:val="0"/>
          <w:numId w:val="57"/>
        </w:numPr>
        <w:rPr>
          <w:rFonts w:ascii="Arial" w:cs="Arial" w:eastAsia="Arial" w:hAnsi="Arial"/>
          <w:sz w:val="12"/>
          <w:szCs w:val="12"/>
          <w:color w:val="auto"/>
        </w:rPr>
      </w:pPr>
      <w:r>
        <w:rPr>
          <w:rFonts w:ascii="Arial" w:cs="Arial" w:eastAsia="Arial" w:hAnsi="Arial"/>
          <w:sz w:val="12"/>
          <w:szCs w:val="12"/>
          <w:color w:val="auto"/>
        </w:rPr>
        <w:t>Half of the restricted share units vested on January 4, 2014, and half will vest on January 4, 2015.</w:t>
      </w:r>
    </w:p>
    <w:p>
      <w:pPr>
        <w:spacing w:after="0" w:line="97" w:lineRule="exact"/>
        <w:rPr>
          <w:rFonts w:ascii="Arial" w:cs="Arial" w:eastAsia="Arial" w:hAnsi="Arial"/>
          <w:sz w:val="12"/>
          <w:szCs w:val="12"/>
          <w:color w:val="auto"/>
        </w:rPr>
      </w:pPr>
    </w:p>
    <w:p>
      <w:pPr>
        <w:ind w:left="241" w:hanging="241"/>
        <w:spacing w:after="0"/>
        <w:tabs>
          <w:tab w:leader="none" w:pos="241"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The restricted share units vested on April 1, 2014.</w:t>
      </w:r>
    </w:p>
    <w:p>
      <w:pPr>
        <w:spacing w:after="0" w:line="97" w:lineRule="exact"/>
        <w:rPr>
          <w:rFonts w:ascii="Arial" w:cs="Arial" w:eastAsia="Arial" w:hAnsi="Arial"/>
          <w:sz w:val="12"/>
          <w:szCs w:val="12"/>
          <w:color w:val="auto"/>
        </w:rPr>
      </w:pPr>
    </w:p>
    <w:p>
      <w:pPr>
        <w:ind w:left="241" w:hanging="241"/>
        <w:spacing w:after="0"/>
        <w:tabs>
          <w:tab w:leader="none" w:pos="241" w:val="left"/>
        </w:tabs>
        <w:numPr>
          <w:ilvl w:val="0"/>
          <w:numId w:val="57"/>
        </w:numPr>
        <w:rPr>
          <w:rFonts w:ascii="Arial" w:cs="Arial" w:eastAsia="Arial" w:hAnsi="Arial"/>
          <w:sz w:val="12"/>
          <w:szCs w:val="12"/>
          <w:color w:val="auto"/>
        </w:rPr>
      </w:pPr>
      <w:r>
        <w:rPr>
          <w:rFonts w:ascii="Arial" w:cs="Arial" w:eastAsia="Arial" w:hAnsi="Arial"/>
          <w:sz w:val="12"/>
          <w:szCs w:val="12"/>
          <w:color w:val="auto"/>
        </w:rPr>
        <w:t>Half of the restricted share units vested on January 3, 2014, and half will vest on January 3, 2015.</w:t>
      </w:r>
    </w:p>
    <w:p>
      <w:pPr>
        <w:spacing w:after="0" w:line="97" w:lineRule="exact"/>
        <w:rPr>
          <w:rFonts w:ascii="Arial" w:cs="Arial" w:eastAsia="Arial" w:hAnsi="Arial"/>
          <w:sz w:val="12"/>
          <w:szCs w:val="12"/>
          <w:color w:val="auto"/>
        </w:rPr>
      </w:pPr>
    </w:p>
    <w:p>
      <w:pPr>
        <w:ind w:left="241" w:hanging="241"/>
        <w:spacing w:after="0"/>
        <w:tabs>
          <w:tab w:leader="none" w:pos="241"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The restricted share units vested on February 15, 2014.</w:t>
      </w:r>
    </w:p>
    <w:p>
      <w:pPr>
        <w:spacing w:after="0" w:line="97" w:lineRule="exact"/>
        <w:rPr>
          <w:rFonts w:ascii="Arial" w:cs="Arial" w:eastAsia="Arial" w:hAnsi="Arial"/>
          <w:sz w:val="12"/>
          <w:szCs w:val="12"/>
          <w:color w:val="auto"/>
        </w:rPr>
      </w:pPr>
    </w:p>
    <w:p>
      <w:pPr>
        <w:ind w:left="241" w:hanging="241"/>
        <w:spacing w:after="0"/>
        <w:tabs>
          <w:tab w:leader="none" w:pos="241"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The restricted share units vested on January 3, 2014.</w:t>
      </w:r>
    </w:p>
    <w:p>
      <w:pPr>
        <w:spacing w:after="0" w:line="97" w:lineRule="exact"/>
        <w:rPr>
          <w:rFonts w:ascii="Arial" w:cs="Arial" w:eastAsia="Arial" w:hAnsi="Arial"/>
          <w:sz w:val="12"/>
          <w:szCs w:val="12"/>
          <w:color w:val="auto"/>
        </w:rPr>
      </w:pPr>
    </w:p>
    <w:p>
      <w:pPr>
        <w:ind w:left="241" w:hanging="241"/>
        <w:spacing w:after="0"/>
        <w:tabs>
          <w:tab w:leader="none" w:pos="241"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The restricted share units vested on April 2, 2014.</w:t>
      </w:r>
    </w:p>
    <w:p>
      <w:pPr>
        <w:spacing w:after="0" w:line="97" w:lineRule="exact"/>
        <w:rPr>
          <w:rFonts w:ascii="Arial" w:cs="Arial" w:eastAsia="Arial" w:hAnsi="Arial"/>
          <w:sz w:val="12"/>
          <w:szCs w:val="12"/>
          <w:color w:val="auto"/>
        </w:rPr>
      </w:pPr>
    </w:p>
    <w:p>
      <w:pPr>
        <w:ind w:left="241" w:hanging="241"/>
        <w:spacing w:after="0"/>
        <w:tabs>
          <w:tab w:leader="none" w:pos="241"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The restricted share units vested on July 2, 2014.</w:t>
      </w:r>
    </w:p>
    <w:p>
      <w:pPr>
        <w:spacing w:after="0" w:line="97" w:lineRule="exact"/>
        <w:rPr>
          <w:rFonts w:ascii="Arial" w:cs="Arial" w:eastAsia="Arial" w:hAnsi="Arial"/>
          <w:sz w:val="12"/>
          <w:szCs w:val="12"/>
          <w:color w:val="auto"/>
        </w:rPr>
      </w:pPr>
    </w:p>
    <w:p>
      <w:pPr>
        <w:ind w:left="241" w:hanging="241"/>
        <w:spacing w:after="0"/>
        <w:tabs>
          <w:tab w:leader="none" w:pos="241" w:val="left"/>
        </w:tabs>
        <w:numPr>
          <w:ilvl w:val="0"/>
          <w:numId w:val="57"/>
        </w:numPr>
        <w:rPr>
          <w:rFonts w:ascii="Arial" w:cs="Arial" w:eastAsia="Arial" w:hAnsi="Arial"/>
          <w:sz w:val="12"/>
          <w:szCs w:val="12"/>
          <w:color w:val="auto"/>
        </w:rPr>
      </w:pPr>
      <w:r>
        <w:rPr>
          <w:rFonts w:ascii="Arial" w:cs="Arial" w:eastAsia="Arial" w:hAnsi="Arial"/>
          <w:sz w:val="12"/>
          <w:szCs w:val="12"/>
          <w:color w:val="auto"/>
        </w:rPr>
        <w:t>Half of the restricted share units vested on January 2, 2014, and half will vest on January 2, 2015.</w:t>
      </w:r>
    </w:p>
    <w:p>
      <w:pPr>
        <w:spacing w:after="0" w:line="97" w:lineRule="exact"/>
        <w:rPr>
          <w:rFonts w:ascii="Arial" w:cs="Arial" w:eastAsia="Arial" w:hAnsi="Arial"/>
          <w:sz w:val="12"/>
          <w:szCs w:val="12"/>
          <w:color w:val="auto"/>
        </w:rPr>
      </w:pPr>
    </w:p>
    <w:p>
      <w:pPr>
        <w:ind w:left="241" w:hanging="241"/>
        <w:spacing w:after="0"/>
        <w:tabs>
          <w:tab w:leader="none" w:pos="241" w:val="left"/>
        </w:tabs>
        <w:numPr>
          <w:ilvl w:val="0"/>
          <w:numId w:val="57"/>
        </w:numPr>
        <w:rPr>
          <w:rFonts w:ascii="Arial" w:cs="Arial" w:eastAsia="Arial" w:hAnsi="Arial"/>
          <w:sz w:val="12"/>
          <w:szCs w:val="12"/>
          <w:color w:val="auto"/>
        </w:rPr>
      </w:pPr>
      <w:r>
        <w:rPr>
          <w:rFonts w:ascii="Arial" w:cs="Arial" w:eastAsia="Arial" w:hAnsi="Arial"/>
          <w:sz w:val="12"/>
          <w:szCs w:val="12"/>
          <w:color w:val="auto"/>
        </w:rPr>
        <w:t>One third of the restricted share units vested on March 7, 2014, and one third will vest on each of March 7, 2015 and 2016.</w:t>
      </w:r>
    </w:p>
    <w:p>
      <w:pPr>
        <w:spacing w:after="0" w:line="97" w:lineRule="exact"/>
        <w:rPr>
          <w:rFonts w:ascii="Arial" w:cs="Arial" w:eastAsia="Arial" w:hAnsi="Arial"/>
          <w:sz w:val="12"/>
          <w:szCs w:val="12"/>
          <w:color w:val="auto"/>
        </w:rPr>
      </w:pPr>
    </w:p>
    <w:p>
      <w:pPr>
        <w:ind w:left="241" w:hanging="241"/>
        <w:spacing w:after="0"/>
        <w:tabs>
          <w:tab w:leader="none" w:pos="241" w:val="left"/>
        </w:tabs>
        <w:numPr>
          <w:ilvl w:val="0"/>
          <w:numId w:val="57"/>
        </w:numPr>
        <w:rPr>
          <w:rFonts w:ascii="Arial" w:cs="Arial" w:eastAsia="Arial" w:hAnsi="Arial"/>
          <w:sz w:val="12"/>
          <w:szCs w:val="12"/>
          <w:color w:val="auto"/>
        </w:rPr>
      </w:pPr>
      <w:r>
        <w:rPr>
          <w:rFonts w:ascii="Arial" w:cs="Arial" w:eastAsia="Arial" w:hAnsi="Arial"/>
          <w:sz w:val="12"/>
          <w:szCs w:val="12"/>
          <w:color w:val="auto"/>
        </w:rPr>
        <w:t>Half of the restricted share units vested on April 1, 2014, and half will vest on April 1, 2015.</w:t>
      </w:r>
    </w:p>
    <w:p>
      <w:pPr>
        <w:spacing w:after="0" w:line="97" w:lineRule="exact"/>
        <w:rPr>
          <w:sz w:val="20"/>
          <w:szCs w:val="20"/>
          <w:color w:val="auto"/>
        </w:rPr>
      </w:pPr>
    </w:p>
    <w:p>
      <w:pPr>
        <w:ind w:left="241" w:hanging="241"/>
        <w:spacing w:after="0"/>
        <w:tabs>
          <w:tab w:leader="none" w:pos="241" w:val="left"/>
        </w:tabs>
        <w:numPr>
          <w:ilvl w:val="0"/>
          <w:numId w:val="58"/>
        </w:numPr>
        <w:rPr>
          <w:rFonts w:ascii="Arial" w:cs="Arial" w:eastAsia="Arial" w:hAnsi="Arial"/>
          <w:sz w:val="12"/>
          <w:szCs w:val="12"/>
          <w:color w:val="auto"/>
        </w:rPr>
      </w:pPr>
      <w:r>
        <w:rPr>
          <w:rFonts w:ascii="Arial" w:cs="Arial" w:eastAsia="Arial" w:hAnsi="Arial"/>
          <w:sz w:val="12"/>
          <w:szCs w:val="12"/>
          <w:color w:val="auto"/>
        </w:rPr>
        <w:t>All of Mr. Jacobson’s previously unvested restricted share and performance unit awards vested on July 3, 2014, upon his departure from the Company.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
        <w:spacing w:after="0"/>
        <w:rPr>
          <w:sz w:val="20"/>
          <w:szCs w:val="20"/>
          <w:color w:val="auto"/>
        </w:rPr>
      </w:pPr>
      <w:r>
        <w:rPr>
          <w:rFonts w:ascii="Arial" w:cs="Arial" w:eastAsia="Arial" w:hAnsi="Arial"/>
          <w:sz w:val="30"/>
          <w:szCs w:val="30"/>
          <w:color w:val="BB1131"/>
        </w:rPr>
        <w:t>Option exercises and restricted shares/units vested in 2013</w:t>
      </w:r>
    </w:p>
    <w:p>
      <w:pPr>
        <w:spacing w:after="0" w:line="196" w:lineRule="exact"/>
        <w:rPr>
          <w:sz w:val="20"/>
          <w:szCs w:val="20"/>
          <w:color w:val="auto"/>
        </w:rPr>
      </w:pPr>
    </w:p>
    <w:p>
      <w:pPr>
        <w:ind w:left="8161" w:hanging="8164"/>
        <w:spacing w:after="0" w:line="340" w:lineRule="auto"/>
        <w:rPr>
          <w:sz w:val="20"/>
          <w:szCs w:val="20"/>
          <w:color w:val="auto"/>
        </w:rPr>
      </w:pPr>
      <w:r>
        <w:rPr>
          <w:rFonts w:ascii="Arial" w:cs="Arial" w:eastAsia="Arial" w:hAnsi="Arial"/>
          <w:sz w:val="12"/>
          <w:szCs w:val="12"/>
          <w:color w:val="auto"/>
        </w:rPr>
        <w:t>The following table provides information about restricted shares or RSUs that vested, and the value realized on exercise and vesting by our NEOs during 2013. No options were exercised by our NEOs in 2013. Restricted Share and Restricted Share Unit Awards</w:t>
      </w:r>
    </w:p>
    <w:tbl>
      <w:tblPr>
        <w:tblLayout w:type="fixed"/>
        <w:tblInd w:w="1" w:type="dxa"/>
        <w:tblCellMar>
          <w:top w:w="0" w:type="dxa"/>
          <w:left w:w="0" w:type="dxa"/>
          <w:bottom w:w="0" w:type="dxa"/>
          <w:right w:w="0" w:type="dxa"/>
        </w:tblCellMar>
      </w:tblPr>
      <w:tr>
        <w:trPr>
          <w:trHeight w:val="109"/>
        </w:trPr>
        <w:tc>
          <w:tcPr>
            <w:tcW w:w="7360" w:type="dxa"/>
            <w:vAlign w:val="bottom"/>
          </w:tcPr>
          <w:p>
            <w:pPr>
              <w:spacing w:after="0"/>
              <w:rPr>
                <w:sz w:val="9"/>
                <w:szCs w:val="9"/>
                <w:color w:val="auto"/>
              </w:rPr>
            </w:pPr>
          </w:p>
        </w:tc>
        <w:tc>
          <w:tcPr>
            <w:tcW w:w="2000" w:type="dxa"/>
            <w:vAlign w:val="bottom"/>
            <w:tcBorders>
              <w:top w:val="single" w:sz="8" w:color="auto"/>
            </w:tcBorders>
          </w:tcPr>
          <w:p>
            <w:pPr>
              <w:jc w:val="right"/>
              <w:ind w:right="78"/>
              <w:spacing w:after="0" w:line="109" w:lineRule="exact"/>
              <w:rPr>
                <w:sz w:val="20"/>
                <w:szCs w:val="20"/>
                <w:color w:val="auto"/>
              </w:rPr>
            </w:pPr>
            <w:r>
              <w:rPr>
                <w:rFonts w:ascii="Arial" w:cs="Arial" w:eastAsia="Arial" w:hAnsi="Arial"/>
                <w:sz w:val="12"/>
                <w:szCs w:val="12"/>
                <w:color w:val="auto"/>
              </w:rPr>
              <w:t>Number of Shares/Units Acquired</w:t>
            </w:r>
          </w:p>
        </w:tc>
        <w:tc>
          <w:tcPr>
            <w:tcW w:w="1620" w:type="dxa"/>
            <w:vAlign w:val="bottom"/>
            <w:tcBorders>
              <w:top w:val="single" w:sz="8" w:color="auto"/>
            </w:tcBorders>
          </w:tcPr>
          <w:p>
            <w:pPr>
              <w:spacing w:after="0"/>
              <w:rPr>
                <w:sz w:val="9"/>
                <w:szCs w:val="9"/>
                <w:color w:val="auto"/>
              </w:rPr>
            </w:pPr>
          </w:p>
        </w:tc>
        <w:tc>
          <w:tcPr>
            <w:tcW w:w="440" w:type="dxa"/>
            <w:vAlign w:val="bottom"/>
          </w:tcPr>
          <w:p>
            <w:pPr>
              <w:spacing w:after="0"/>
              <w:rPr>
                <w:sz w:val="9"/>
                <w:szCs w:val="9"/>
                <w:color w:val="auto"/>
              </w:rPr>
            </w:pPr>
          </w:p>
        </w:tc>
      </w:tr>
      <w:tr>
        <w:trPr>
          <w:trHeight w:val="130"/>
        </w:trPr>
        <w:tc>
          <w:tcPr>
            <w:tcW w:w="7360" w:type="dxa"/>
            <w:vAlign w:val="bottom"/>
          </w:tcPr>
          <w:p>
            <w:pPr>
              <w:spacing w:after="0"/>
              <w:rPr>
                <w:sz w:val="11"/>
                <w:szCs w:val="11"/>
                <w:color w:val="auto"/>
              </w:rPr>
            </w:pPr>
          </w:p>
        </w:tc>
        <w:tc>
          <w:tcPr>
            <w:tcW w:w="2000" w:type="dxa"/>
            <w:vAlign w:val="bottom"/>
          </w:tcPr>
          <w:p>
            <w:pPr>
              <w:jc w:val="right"/>
              <w:ind w:right="78"/>
              <w:spacing w:after="0" w:line="130" w:lineRule="exact"/>
              <w:rPr>
                <w:sz w:val="20"/>
                <w:szCs w:val="20"/>
                <w:color w:val="auto"/>
              </w:rPr>
            </w:pPr>
            <w:r>
              <w:rPr>
                <w:rFonts w:ascii="Arial" w:cs="Arial" w:eastAsia="Arial" w:hAnsi="Arial"/>
                <w:sz w:val="12"/>
                <w:szCs w:val="12"/>
                <w:color w:val="auto"/>
              </w:rPr>
              <w:t>on Vesting</w:t>
            </w:r>
          </w:p>
        </w:tc>
        <w:tc>
          <w:tcPr>
            <w:tcW w:w="2060" w:type="dxa"/>
            <w:vAlign w:val="bottom"/>
            <w:gridSpan w:val="2"/>
          </w:tcPr>
          <w:p>
            <w:pPr>
              <w:jc w:val="right"/>
              <w:ind w:right="440"/>
              <w:spacing w:after="0" w:line="130" w:lineRule="exact"/>
              <w:rPr>
                <w:sz w:val="20"/>
                <w:szCs w:val="20"/>
                <w:color w:val="auto"/>
              </w:rPr>
            </w:pPr>
            <w:r>
              <w:rPr>
                <w:rFonts w:ascii="Arial" w:cs="Arial" w:eastAsia="Arial" w:hAnsi="Arial"/>
                <w:sz w:val="12"/>
                <w:szCs w:val="12"/>
                <w:color w:val="auto"/>
              </w:rPr>
              <w:t>Value Realized On Vesting</w:t>
            </w:r>
          </w:p>
        </w:tc>
      </w:tr>
      <w:tr>
        <w:trPr>
          <w:trHeight w:val="143"/>
        </w:trPr>
        <w:tc>
          <w:tcPr>
            <w:tcW w:w="73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Name</w:t>
            </w:r>
          </w:p>
        </w:tc>
        <w:tc>
          <w:tcPr>
            <w:tcW w:w="200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w:t>
            </w:r>
          </w:p>
        </w:tc>
        <w:tc>
          <w:tcPr>
            <w:tcW w:w="2060" w:type="dxa"/>
            <w:vAlign w:val="bottom"/>
            <w:tcBorders>
              <w:bottom w:val="single" w:sz="8" w:color="auto"/>
            </w:tcBorders>
            <w:gridSpan w:val="2"/>
          </w:tcPr>
          <w:p>
            <w:pPr>
              <w:jc w:val="right"/>
              <w:ind w:right="320"/>
              <w:spacing w:after="0" w:line="143" w:lineRule="exact"/>
              <w:rPr>
                <w:sz w:val="20"/>
                <w:szCs w:val="20"/>
                <w:color w:val="auto"/>
              </w:rPr>
            </w:pPr>
            <w:r>
              <w:rPr>
                <w:rFonts w:ascii="Arial" w:cs="Arial" w:eastAsia="Arial" w:hAnsi="Arial"/>
                <w:sz w:val="16"/>
                <w:szCs w:val="16"/>
                <w:color w:val="auto"/>
                <w:vertAlign w:val="subscript"/>
              </w:rPr>
              <w:t>($)</w:t>
            </w:r>
            <w:r>
              <w:rPr>
                <w:rFonts w:ascii="Arial" w:cs="Arial" w:eastAsia="Arial" w:hAnsi="Arial"/>
                <w:sz w:val="8"/>
                <w:szCs w:val="8"/>
                <w:color w:val="auto"/>
              </w:rPr>
              <w:t>(a)</w:t>
            </w:r>
          </w:p>
        </w:tc>
      </w:tr>
      <w:tr>
        <w:trPr>
          <w:trHeight w:val="177"/>
        </w:trPr>
        <w:tc>
          <w:tcPr>
            <w:tcW w:w="7360" w:type="dxa"/>
            <w:vAlign w:val="bottom"/>
          </w:tcPr>
          <w:p>
            <w:pPr>
              <w:spacing w:after="0"/>
              <w:rPr>
                <w:sz w:val="20"/>
                <w:szCs w:val="20"/>
                <w:color w:val="auto"/>
              </w:rPr>
            </w:pPr>
            <w:r>
              <w:rPr>
                <w:rFonts w:ascii="Arial" w:cs="Arial" w:eastAsia="Arial" w:hAnsi="Arial"/>
                <w:sz w:val="12"/>
                <w:szCs w:val="12"/>
                <w:color w:val="auto"/>
              </w:rPr>
              <w:t>Bernard J. Duroc-Danner</w:t>
            </w:r>
          </w:p>
        </w:tc>
        <w:tc>
          <w:tcPr>
            <w:tcW w:w="2000" w:type="dxa"/>
            <w:vAlign w:val="bottom"/>
          </w:tcPr>
          <w:p>
            <w:pPr>
              <w:jc w:val="right"/>
              <w:ind w:right="78"/>
              <w:spacing w:after="0"/>
              <w:rPr>
                <w:sz w:val="20"/>
                <w:szCs w:val="20"/>
                <w:color w:val="auto"/>
              </w:rPr>
            </w:pPr>
            <w:r>
              <w:rPr>
                <w:rFonts w:ascii="Arial" w:cs="Arial" w:eastAsia="Arial" w:hAnsi="Arial"/>
                <w:sz w:val="12"/>
                <w:szCs w:val="12"/>
                <w:color w:val="auto"/>
              </w:rPr>
              <w:t>23,697</w:t>
            </w:r>
          </w:p>
        </w:tc>
        <w:tc>
          <w:tcPr>
            <w:tcW w:w="2060" w:type="dxa"/>
            <w:vAlign w:val="bottom"/>
            <w:gridSpan w:val="2"/>
          </w:tcPr>
          <w:p>
            <w:pPr>
              <w:jc w:val="right"/>
              <w:ind w:right="440"/>
              <w:spacing w:after="0"/>
              <w:rPr>
                <w:sz w:val="20"/>
                <w:szCs w:val="20"/>
                <w:color w:val="auto"/>
              </w:rPr>
            </w:pPr>
            <w:r>
              <w:rPr>
                <w:rFonts w:ascii="Arial" w:cs="Arial" w:eastAsia="Arial" w:hAnsi="Arial"/>
                <w:sz w:val="12"/>
                <w:szCs w:val="12"/>
                <w:color w:val="auto"/>
              </w:rPr>
              <w:t>306,485</w:t>
            </w:r>
          </w:p>
        </w:tc>
      </w:tr>
      <w:tr>
        <w:trPr>
          <w:trHeight w:val="223"/>
        </w:trPr>
        <w:tc>
          <w:tcPr>
            <w:tcW w:w="7360" w:type="dxa"/>
            <w:vAlign w:val="bottom"/>
          </w:tcPr>
          <w:p>
            <w:pPr>
              <w:spacing w:after="0"/>
              <w:rPr>
                <w:sz w:val="20"/>
                <w:szCs w:val="20"/>
                <w:color w:val="auto"/>
              </w:rPr>
            </w:pPr>
            <w:r>
              <w:rPr>
                <w:rFonts w:ascii="Arial" w:cs="Arial" w:eastAsia="Arial" w:hAnsi="Arial"/>
                <w:sz w:val="12"/>
                <w:szCs w:val="12"/>
                <w:color w:val="auto"/>
              </w:rPr>
              <w:t>Krishna Shivram</w:t>
            </w:r>
          </w:p>
        </w:tc>
        <w:tc>
          <w:tcPr>
            <w:tcW w:w="2000" w:type="dxa"/>
            <w:vAlign w:val="bottom"/>
          </w:tcPr>
          <w:p>
            <w:pPr>
              <w:jc w:val="right"/>
              <w:ind w:right="78"/>
              <w:spacing w:after="0"/>
              <w:rPr>
                <w:sz w:val="20"/>
                <w:szCs w:val="20"/>
                <w:color w:val="auto"/>
              </w:rPr>
            </w:pPr>
            <w:r>
              <w:rPr>
                <w:rFonts w:ascii="Arial" w:cs="Arial" w:eastAsia="Arial" w:hAnsi="Arial"/>
                <w:sz w:val="12"/>
                <w:szCs w:val="12"/>
                <w:color w:val="auto"/>
              </w:rPr>
              <w:t>231,024</w:t>
            </w:r>
          </w:p>
        </w:tc>
        <w:tc>
          <w:tcPr>
            <w:tcW w:w="1620" w:type="dxa"/>
            <w:vAlign w:val="bottom"/>
          </w:tcPr>
          <w:p>
            <w:pPr>
              <w:jc w:val="right"/>
              <w:spacing w:after="0"/>
              <w:rPr>
                <w:sz w:val="20"/>
                <w:szCs w:val="20"/>
                <w:color w:val="auto"/>
              </w:rPr>
            </w:pPr>
            <w:r>
              <w:rPr>
                <w:rFonts w:ascii="Arial" w:cs="Arial" w:eastAsia="Arial" w:hAnsi="Arial"/>
                <w:sz w:val="12"/>
                <w:szCs w:val="12"/>
                <w:color w:val="auto"/>
              </w:rPr>
              <w:t>3,936,649</w:t>
            </w:r>
          </w:p>
        </w:tc>
        <w:tc>
          <w:tcPr>
            <w:tcW w:w="440" w:type="dxa"/>
            <w:vAlign w:val="bottom"/>
          </w:tcPr>
          <w:p>
            <w:pPr>
              <w:spacing w:after="0"/>
              <w:rPr>
                <w:sz w:val="19"/>
                <w:szCs w:val="19"/>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2"/>
                <w:szCs w:val="12"/>
                <w:color w:val="auto"/>
              </w:rPr>
              <w:t>Dharmesh Mehta</w:t>
            </w:r>
          </w:p>
        </w:tc>
        <w:tc>
          <w:tcPr>
            <w:tcW w:w="2000" w:type="dxa"/>
            <w:vAlign w:val="bottom"/>
          </w:tcPr>
          <w:p>
            <w:pPr>
              <w:jc w:val="right"/>
              <w:ind w:right="78"/>
              <w:spacing w:after="0"/>
              <w:rPr>
                <w:sz w:val="20"/>
                <w:szCs w:val="20"/>
                <w:color w:val="auto"/>
              </w:rPr>
            </w:pPr>
            <w:r>
              <w:rPr>
                <w:rFonts w:ascii="Arial" w:cs="Arial" w:eastAsia="Arial" w:hAnsi="Arial"/>
                <w:sz w:val="12"/>
                <w:szCs w:val="12"/>
                <w:color w:val="auto"/>
              </w:rPr>
              <w:t>49,870</w:t>
            </w:r>
          </w:p>
        </w:tc>
        <w:tc>
          <w:tcPr>
            <w:tcW w:w="2060" w:type="dxa"/>
            <w:vAlign w:val="bottom"/>
            <w:gridSpan w:val="2"/>
          </w:tcPr>
          <w:p>
            <w:pPr>
              <w:jc w:val="right"/>
              <w:ind w:right="440"/>
              <w:spacing w:after="0"/>
              <w:rPr>
                <w:sz w:val="20"/>
                <w:szCs w:val="20"/>
                <w:color w:val="auto"/>
              </w:rPr>
            </w:pPr>
            <w:r>
              <w:rPr>
                <w:rFonts w:ascii="Arial" w:cs="Arial" w:eastAsia="Arial" w:hAnsi="Arial"/>
                <w:sz w:val="12"/>
                <w:szCs w:val="12"/>
                <w:color w:val="auto"/>
              </w:rPr>
              <w:t>601,494</w:t>
            </w:r>
          </w:p>
        </w:tc>
      </w:tr>
      <w:tr>
        <w:trPr>
          <w:trHeight w:val="223"/>
        </w:trPr>
        <w:tc>
          <w:tcPr>
            <w:tcW w:w="7360" w:type="dxa"/>
            <w:vAlign w:val="bottom"/>
          </w:tcPr>
          <w:p>
            <w:pPr>
              <w:spacing w:after="0"/>
              <w:rPr>
                <w:sz w:val="20"/>
                <w:szCs w:val="20"/>
                <w:color w:val="auto"/>
              </w:rPr>
            </w:pPr>
            <w:r>
              <w:rPr>
                <w:rFonts w:ascii="Arial" w:cs="Arial" w:eastAsia="Arial" w:hAnsi="Arial"/>
                <w:sz w:val="12"/>
                <w:szCs w:val="12"/>
                <w:color w:val="auto"/>
              </w:rPr>
              <w:t>Nicholas W. Gee</w:t>
            </w:r>
          </w:p>
        </w:tc>
        <w:tc>
          <w:tcPr>
            <w:tcW w:w="2000" w:type="dxa"/>
            <w:vAlign w:val="bottom"/>
          </w:tcPr>
          <w:p>
            <w:pPr>
              <w:jc w:val="right"/>
              <w:ind w:right="78"/>
              <w:spacing w:after="0"/>
              <w:rPr>
                <w:sz w:val="20"/>
                <w:szCs w:val="20"/>
                <w:color w:val="auto"/>
              </w:rPr>
            </w:pPr>
            <w:r>
              <w:rPr>
                <w:rFonts w:ascii="Arial" w:cs="Arial" w:eastAsia="Arial" w:hAnsi="Arial"/>
                <w:sz w:val="12"/>
                <w:szCs w:val="12"/>
                <w:color w:val="auto"/>
              </w:rPr>
              <w:t>60,625</w:t>
            </w:r>
          </w:p>
        </w:tc>
        <w:tc>
          <w:tcPr>
            <w:tcW w:w="2060" w:type="dxa"/>
            <w:vAlign w:val="bottom"/>
            <w:gridSpan w:val="2"/>
          </w:tcPr>
          <w:p>
            <w:pPr>
              <w:jc w:val="right"/>
              <w:ind w:right="440"/>
              <w:spacing w:after="0"/>
              <w:rPr>
                <w:sz w:val="20"/>
                <w:szCs w:val="20"/>
                <w:color w:val="auto"/>
              </w:rPr>
            </w:pPr>
            <w:r>
              <w:rPr>
                <w:rFonts w:ascii="Arial" w:cs="Arial" w:eastAsia="Arial" w:hAnsi="Arial"/>
                <w:sz w:val="12"/>
                <w:szCs w:val="12"/>
                <w:color w:val="auto"/>
              </w:rPr>
              <w:t>749,759</w:t>
            </w:r>
          </w:p>
        </w:tc>
      </w:tr>
      <w:tr>
        <w:trPr>
          <w:trHeight w:val="223"/>
        </w:trPr>
        <w:tc>
          <w:tcPr>
            <w:tcW w:w="7360" w:type="dxa"/>
            <w:vAlign w:val="bottom"/>
          </w:tcPr>
          <w:p>
            <w:pPr>
              <w:spacing w:after="0"/>
              <w:rPr>
                <w:sz w:val="20"/>
                <w:szCs w:val="20"/>
                <w:color w:val="auto"/>
              </w:rPr>
            </w:pPr>
            <w:r>
              <w:rPr>
                <w:rFonts w:ascii="Arial" w:cs="Arial" w:eastAsia="Arial" w:hAnsi="Arial"/>
                <w:sz w:val="12"/>
                <w:szCs w:val="12"/>
                <w:color w:val="auto"/>
              </w:rPr>
              <w:t>John H. Briscoe</w:t>
            </w:r>
          </w:p>
        </w:tc>
        <w:tc>
          <w:tcPr>
            <w:tcW w:w="2000" w:type="dxa"/>
            <w:vAlign w:val="bottom"/>
          </w:tcPr>
          <w:p>
            <w:pPr>
              <w:jc w:val="right"/>
              <w:ind w:right="78"/>
              <w:spacing w:after="0"/>
              <w:rPr>
                <w:sz w:val="20"/>
                <w:szCs w:val="20"/>
                <w:color w:val="auto"/>
              </w:rPr>
            </w:pPr>
            <w:r>
              <w:rPr>
                <w:rFonts w:ascii="Arial" w:cs="Arial" w:eastAsia="Arial" w:hAnsi="Arial"/>
                <w:sz w:val="12"/>
                <w:szCs w:val="12"/>
                <w:color w:val="auto"/>
              </w:rPr>
              <w:t>514,852</w:t>
            </w:r>
          </w:p>
        </w:tc>
        <w:tc>
          <w:tcPr>
            <w:tcW w:w="1620" w:type="dxa"/>
            <w:vAlign w:val="bottom"/>
          </w:tcPr>
          <w:p>
            <w:pPr>
              <w:jc w:val="right"/>
              <w:spacing w:after="0"/>
              <w:rPr>
                <w:sz w:val="20"/>
                <w:szCs w:val="20"/>
                <w:color w:val="auto"/>
              </w:rPr>
            </w:pPr>
            <w:r>
              <w:rPr>
                <w:rFonts w:ascii="Arial" w:cs="Arial" w:eastAsia="Arial" w:hAnsi="Arial"/>
                <w:sz w:val="12"/>
                <w:szCs w:val="12"/>
                <w:color w:val="auto"/>
              </w:rPr>
              <w:t>8,010,723</w:t>
            </w:r>
          </w:p>
        </w:tc>
        <w:tc>
          <w:tcPr>
            <w:tcW w:w="440" w:type="dxa"/>
            <w:vAlign w:val="bottom"/>
          </w:tcPr>
          <w:p>
            <w:pPr>
              <w:spacing w:after="0"/>
              <w:rPr>
                <w:sz w:val="19"/>
                <w:szCs w:val="19"/>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2"/>
                <w:szCs w:val="12"/>
                <w:color w:val="auto"/>
              </w:rPr>
              <w:t>Peter T. Fontana</w:t>
            </w:r>
          </w:p>
        </w:tc>
        <w:tc>
          <w:tcPr>
            <w:tcW w:w="2000" w:type="dxa"/>
            <w:vAlign w:val="bottom"/>
          </w:tcPr>
          <w:p>
            <w:pPr>
              <w:jc w:val="right"/>
              <w:ind w:right="78"/>
              <w:spacing w:after="0"/>
              <w:rPr>
                <w:sz w:val="20"/>
                <w:szCs w:val="20"/>
                <w:color w:val="auto"/>
              </w:rPr>
            </w:pPr>
            <w:r>
              <w:rPr>
                <w:rFonts w:ascii="Arial" w:cs="Arial" w:eastAsia="Arial" w:hAnsi="Arial"/>
                <w:sz w:val="12"/>
                <w:szCs w:val="12"/>
                <w:color w:val="auto"/>
              </w:rPr>
              <w:t>1,149,588</w:t>
            </w:r>
          </w:p>
        </w:tc>
        <w:tc>
          <w:tcPr>
            <w:tcW w:w="1620" w:type="dxa"/>
            <w:vAlign w:val="bottom"/>
          </w:tcPr>
          <w:p>
            <w:pPr>
              <w:jc w:val="right"/>
              <w:spacing w:after="0"/>
              <w:rPr>
                <w:sz w:val="20"/>
                <w:szCs w:val="20"/>
                <w:color w:val="auto"/>
              </w:rPr>
            </w:pPr>
            <w:r>
              <w:rPr>
                <w:rFonts w:ascii="Arial" w:cs="Arial" w:eastAsia="Arial" w:hAnsi="Arial"/>
                <w:sz w:val="12"/>
                <w:szCs w:val="12"/>
                <w:color w:val="auto"/>
              </w:rPr>
              <w:t>16,604,722</w:t>
            </w:r>
          </w:p>
        </w:tc>
        <w:tc>
          <w:tcPr>
            <w:tcW w:w="440" w:type="dxa"/>
            <w:vAlign w:val="bottom"/>
          </w:tcPr>
          <w:p>
            <w:pPr>
              <w:spacing w:after="0"/>
              <w:rPr>
                <w:sz w:val="19"/>
                <w:szCs w:val="19"/>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2"/>
                <w:szCs w:val="12"/>
                <w:color w:val="auto"/>
              </w:rPr>
              <w:t>Joseph C. Henry</w:t>
            </w:r>
          </w:p>
        </w:tc>
        <w:tc>
          <w:tcPr>
            <w:tcW w:w="2000" w:type="dxa"/>
            <w:vAlign w:val="bottom"/>
          </w:tcPr>
          <w:p>
            <w:pPr>
              <w:jc w:val="right"/>
              <w:ind w:right="78"/>
              <w:spacing w:after="0"/>
              <w:rPr>
                <w:sz w:val="20"/>
                <w:szCs w:val="20"/>
                <w:color w:val="auto"/>
              </w:rPr>
            </w:pPr>
            <w:r>
              <w:rPr>
                <w:rFonts w:ascii="Arial" w:cs="Arial" w:eastAsia="Arial" w:hAnsi="Arial"/>
                <w:sz w:val="12"/>
                <w:szCs w:val="12"/>
                <w:color w:val="auto"/>
              </w:rPr>
              <w:t>349,835</w:t>
            </w:r>
          </w:p>
        </w:tc>
        <w:tc>
          <w:tcPr>
            <w:tcW w:w="1620" w:type="dxa"/>
            <w:vAlign w:val="bottom"/>
          </w:tcPr>
          <w:p>
            <w:pPr>
              <w:jc w:val="right"/>
              <w:spacing w:after="0"/>
              <w:rPr>
                <w:sz w:val="20"/>
                <w:szCs w:val="20"/>
                <w:color w:val="auto"/>
              </w:rPr>
            </w:pPr>
            <w:r>
              <w:rPr>
                <w:rFonts w:ascii="Arial" w:cs="Arial" w:eastAsia="Arial" w:hAnsi="Arial"/>
                <w:sz w:val="12"/>
                <w:szCs w:val="12"/>
                <w:color w:val="auto"/>
              </w:rPr>
              <w:t>4,732,540</w:t>
            </w:r>
          </w:p>
        </w:tc>
        <w:tc>
          <w:tcPr>
            <w:tcW w:w="440" w:type="dxa"/>
            <w:vAlign w:val="bottom"/>
          </w:tcPr>
          <w:p>
            <w:pPr>
              <w:spacing w:after="0"/>
              <w:rPr>
                <w:sz w:val="19"/>
                <w:szCs w:val="19"/>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2"/>
                <w:szCs w:val="12"/>
                <w:color w:val="auto"/>
              </w:rPr>
              <w:t>William B. Jacobson</w:t>
            </w:r>
          </w:p>
        </w:tc>
        <w:tc>
          <w:tcPr>
            <w:tcW w:w="2000" w:type="dxa"/>
            <w:vAlign w:val="bottom"/>
          </w:tcPr>
          <w:p>
            <w:pPr>
              <w:jc w:val="right"/>
              <w:ind w:right="78"/>
              <w:spacing w:after="0"/>
              <w:rPr>
                <w:sz w:val="20"/>
                <w:szCs w:val="20"/>
                <w:color w:val="auto"/>
              </w:rPr>
            </w:pPr>
            <w:r>
              <w:rPr>
                <w:rFonts w:ascii="Arial" w:cs="Arial" w:eastAsia="Arial" w:hAnsi="Arial"/>
                <w:sz w:val="12"/>
                <w:szCs w:val="12"/>
                <w:color w:val="auto"/>
              </w:rPr>
              <w:t>81,107</w:t>
            </w:r>
          </w:p>
        </w:tc>
        <w:tc>
          <w:tcPr>
            <w:tcW w:w="2060" w:type="dxa"/>
            <w:vAlign w:val="bottom"/>
            <w:gridSpan w:val="2"/>
          </w:tcPr>
          <w:p>
            <w:pPr>
              <w:jc w:val="right"/>
              <w:ind w:right="440"/>
              <w:spacing w:after="0"/>
              <w:rPr>
                <w:sz w:val="20"/>
                <w:szCs w:val="20"/>
                <w:color w:val="auto"/>
              </w:rPr>
            </w:pPr>
            <w:r>
              <w:rPr>
                <w:rFonts w:ascii="Arial" w:cs="Arial" w:eastAsia="Arial" w:hAnsi="Arial"/>
                <w:sz w:val="12"/>
                <w:szCs w:val="12"/>
                <w:color w:val="auto"/>
              </w:rPr>
              <w:t>989,372</w:t>
            </w:r>
          </w:p>
        </w:tc>
      </w:tr>
      <w:tr>
        <w:trPr>
          <w:trHeight w:val="43"/>
        </w:trPr>
        <w:tc>
          <w:tcPr>
            <w:tcW w:w="736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r>
    </w:tbl>
    <w:p>
      <w:pPr>
        <w:spacing w:after="0" w:line="98" w:lineRule="exact"/>
        <w:rPr>
          <w:sz w:val="20"/>
          <w:szCs w:val="20"/>
          <w:color w:val="auto"/>
        </w:rPr>
      </w:pPr>
    </w:p>
    <w:p>
      <w:pPr>
        <w:ind w:left="1"/>
        <w:spacing w:after="0"/>
        <w:rPr>
          <w:sz w:val="20"/>
          <w:szCs w:val="20"/>
          <w:color w:val="auto"/>
        </w:rPr>
      </w:pPr>
      <w:r>
        <w:rPr>
          <w:rFonts w:ascii="Arial" w:cs="Arial" w:eastAsia="Arial" w:hAnsi="Arial"/>
          <w:sz w:val="12"/>
          <w:szCs w:val="12"/>
          <w:color w:val="auto"/>
        </w:rPr>
        <w:t>(a) Calculated using the closing price on date of vesting.</w:t>
      </w:r>
    </w:p>
    <w:p>
      <w:pPr>
        <w:spacing w:after="0" w:line="182"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auto"/>
        </w:rPr>
        <w:t>Weatherford International plc - www.WeatherfordAnnualMeeting.com</w:t>
      </w:r>
      <w:r>
        <w:rPr>
          <w:sz w:val="20"/>
          <w:szCs w:val="20"/>
          <w:color w:val="auto"/>
        </w:rPr>
        <w:tab/>
      </w:r>
      <w:r>
        <w:rPr>
          <w:rFonts w:ascii="Arial" w:cs="Arial" w:eastAsia="Arial" w:hAnsi="Arial"/>
          <w:sz w:val="10"/>
          <w:szCs w:val="10"/>
          <w:b w:val="1"/>
          <w:b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131445</wp:posOffset>
            </wp:positionV>
            <wp:extent cx="7278370" cy="203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sectPr>
      </w:pPr>
    </w:p>
    <w:bookmarkStart w:id="61" w:name="page62"/>
    <w:bookmarkEnd w:id="61"/>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41"/>
        <w:spacing w:after="0"/>
        <w:rPr>
          <w:sz w:val="20"/>
          <w:szCs w:val="20"/>
          <w:color w:val="auto"/>
        </w:rPr>
      </w:pPr>
      <w:r>
        <w:rPr>
          <w:rFonts w:ascii="Arial" w:cs="Arial" w:eastAsia="Arial" w:hAnsi="Arial"/>
          <w:sz w:val="12"/>
          <w:szCs w:val="12"/>
          <w:b w:val="1"/>
          <w:bCs w:val="1"/>
          <w:color w:val="FFFFFF"/>
          <w:shd w:val="clear" w:color="auto" w:fill="BB1131"/>
        </w:rPr>
        <w:t>EXECUTIVE COMPENSATION</w:t>
      </w:r>
    </w:p>
    <w:p>
      <w:pPr>
        <w:spacing w:after="0" w:line="214" w:lineRule="exact"/>
        <w:rPr>
          <w:sz w:val="20"/>
          <w:szCs w:val="20"/>
          <w:color w:val="auto"/>
        </w:rPr>
      </w:pPr>
    </w:p>
    <w:p>
      <w:pPr>
        <w:ind w:left="1"/>
        <w:spacing w:after="0"/>
        <w:rPr>
          <w:sz w:val="20"/>
          <w:szCs w:val="20"/>
          <w:color w:val="auto"/>
        </w:rPr>
      </w:pPr>
      <w:r>
        <w:rPr>
          <w:rFonts w:ascii="Arial" w:cs="Arial" w:eastAsia="Arial" w:hAnsi="Arial"/>
          <w:sz w:val="30"/>
          <w:szCs w:val="30"/>
          <w:color w:val="BB1131"/>
        </w:rPr>
        <w:t>Pension benefits</w:t>
      </w:r>
    </w:p>
    <w:p>
      <w:pPr>
        <w:spacing w:after="0" w:line="196" w:lineRule="exact"/>
        <w:rPr>
          <w:sz w:val="20"/>
          <w:szCs w:val="20"/>
          <w:color w:val="auto"/>
        </w:rPr>
      </w:pPr>
    </w:p>
    <w:p>
      <w:pPr>
        <w:jc w:val="both"/>
        <w:ind w:left="1"/>
        <w:spacing w:after="0" w:line="241" w:lineRule="auto"/>
        <w:rPr>
          <w:sz w:val="20"/>
          <w:szCs w:val="20"/>
          <w:color w:val="auto"/>
        </w:rPr>
      </w:pPr>
      <w:r>
        <w:rPr>
          <w:rFonts w:ascii="Arial" w:cs="Arial" w:eastAsia="Arial" w:hAnsi="Arial"/>
          <w:sz w:val="12"/>
          <w:szCs w:val="12"/>
          <w:color w:val="auto"/>
        </w:rPr>
        <w:t>The following table and the information below it contain information regarding the SERP at December 31, 2013. Of our NEOs, only Dr. Duroc-Danner participates in the SERP. As described in the Compensation Discussion and Analysis section in this proxy statement, the SERP has been suspended, and further benefit accruals under the SERP were frozen effective March 31, 2010. In May 2010, Dr. Duroc-Danner elected to convert his accrued pension benefit into approximately 4.4 million notional share units. Therefore, the actual benefit payable to Dr. Duroc-Danner on departure is that number of shares, not the amount reflected below. The actuarial value of the retirement benefit as of December 31, 2013 (using the same assumptions used for financial reporting purposes, with the exception of retirement age) is as follows:</w:t>
      </w:r>
    </w:p>
    <w:p>
      <w:pPr>
        <w:spacing w:after="0" w:line="224"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5040" w:type="dxa"/>
            <w:vAlign w:val="bottom"/>
          </w:tcPr>
          <w:p>
            <w:pPr>
              <w:spacing w:after="0"/>
              <w:rPr>
                <w:sz w:val="12"/>
                <w:szCs w:val="12"/>
                <w:color w:val="auto"/>
              </w:rPr>
            </w:pPr>
          </w:p>
        </w:tc>
        <w:tc>
          <w:tcPr>
            <w:tcW w:w="5320" w:type="dxa"/>
            <w:vAlign w:val="bottom"/>
          </w:tcPr>
          <w:p>
            <w:pPr>
              <w:jc w:val="right"/>
              <w:ind w:right="179"/>
              <w:spacing w:after="0"/>
              <w:rPr>
                <w:sz w:val="20"/>
                <w:szCs w:val="20"/>
                <w:color w:val="auto"/>
              </w:rPr>
            </w:pPr>
            <w:r>
              <w:rPr>
                <w:rFonts w:ascii="Arial" w:cs="Arial" w:eastAsia="Arial" w:hAnsi="Arial"/>
                <w:sz w:val="12"/>
                <w:szCs w:val="12"/>
                <w:color w:val="auto"/>
              </w:rPr>
              <w:t>Actuarial Present Value of</w:t>
            </w:r>
          </w:p>
        </w:tc>
        <w:tc>
          <w:tcPr>
            <w:tcW w:w="1060" w:type="dxa"/>
            <w:vAlign w:val="bottom"/>
          </w:tcPr>
          <w:p>
            <w:pPr>
              <w:jc w:val="right"/>
              <w:spacing w:after="0"/>
              <w:rPr>
                <w:sz w:val="20"/>
                <w:szCs w:val="20"/>
                <w:color w:val="auto"/>
              </w:rPr>
            </w:pPr>
            <w:r>
              <w:rPr>
                <w:rFonts w:ascii="Arial" w:cs="Arial" w:eastAsia="Arial" w:hAnsi="Arial"/>
                <w:sz w:val="12"/>
                <w:szCs w:val="12"/>
                <w:color w:val="auto"/>
              </w:rPr>
              <w:t>Payments During</w:t>
            </w:r>
          </w:p>
        </w:tc>
      </w:tr>
      <w:tr>
        <w:trPr>
          <w:trHeight w:val="112"/>
        </w:trPr>
        <w:tc>
          <w:tcPr>
            <w:tcW w:w="5040" w:type="dxa"/>
            <w:vAlign w:val="bottom"/>
          </w:tcPr>
          <w:p>
            <w:pPr>
              <w:spacing w:after="0"/>
              <w:rPr>
                <w:sz w:val="9"/>
                <w:szCs w:val="9"/>
                <w:color w:val="auto"/>
              </w:rPr>
            </w:pPr>
          </w:p>
        </w:tc>
        <w:tc>
          <w:tcPr>
            <w:tcW w:w="5320" w:type="dxa"/>
            <w:vAlign w:val="bottom"/>
          </w:tcPr>
          <w:p>
            <w:pPr>
              <w:jc w:val="right"/>
              <w:ind w:right="179"/>
              <w:spacing w:after="0" w:line="112" w:lineRule="exact"/>
              <w:rPr>
                <w:sz w:val="20"/>
                <w:szCs w:val="20"/>
                <w:color w:val="auto"/>
              </w:rPr>
            </w:pPr>
            <w:r>
              <w:rPr>
                <w:rFonts w:ascii="Arial" w:cs="Arial" w:eastAsia="Arial" w:hAnsi="Arial"/>
                <w:sz w:val="12"/>
                <w:szCs w:val="12"/>
                <w:color w:val="auto"/>
              </w:rPr>
              <w:t>Accumulated Benefit</w:t>
            </w:r>
          </w:p>
        </w:tc>
        <w:tc>
          <w:tcPr>
            <w:tcW w:w="1060" w:type="dxa"/>
            <w:vAlign w:val="bottom"/>
          </w:tcPr>
          <w:p>
            <w:pPr>
              <w:jc w:val="right"/>
              <w:spacing w:after="0" w:line="112" w:lineRule="exact"/>
              <w:rPr>
                <w:sz w:val="20"/>
                <w:szCs w:val="20"/>
                <w:color w:val="auto"/>
              </w:rPr>
            </w:pPr>
            <w:r>
              <w:rPr>
                <w:rFonts w:ascii="Arial" w:cs="Arial" w:eastAsia="Arial" w:hAnsi="Arial"/>
                <w:sz w:val="12"/>
                <w:szCs w:val="12"/>
                <w:color w:val="auto"/>
              </w:rPr>
              <w:t>Last Fiscal Year</w:t>
            </w:r>
          </w:p>
        </w:tc>
      </w:tr>
      <w:tr>
        <w:trPr>
          <w:trHeight w:val="161"/>
        </w:trPr>
        <w:tc>
          <w:tcPr>
            <w:tcW w:w="50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Name</w:t>
            </w:r>
          </w:p>
        </w:tc>
        <w:tc>
          <w:tcPr>
            <w:tcW w:w="5320" w:type="dxa"/>
            <w:vAlign w:val="bottom"/>
            <w:tcBorders>
              <w:bottom w:val="single" w:sz="8" w:color="auto"/>
            </w:tcBorders>
          </w:tcPr>
          <w:p>
            <w:pPr>
              <w:jc w:val="right"/>
              <w:ind w:right="59"/>
              <w:spacing w:after="0" w:line="161" w:lineRule="exact"/>
              <w:rPr>
                <w:sz w:val="20"/>
                <w:szCs w:val="20"/>
                <w:color w:val="auto"/>
              </w:rPr>
            </w:pPr>
            <w:r>
              <w:rPr>
                <w:rFonts w:ascii="Arial" w:cs="Arial" w:eastAsia="Arial" w:hAnsi="Arial"/>
                <w:sz w:val="11"/>
                <w:szCs w:val="11"/>
                <w:color w:val="auto"/>
              </w:rPr>
              <w:t>($)</w:t>
            </w:r>
            <w:r>
              <w:rPr>
                <w:rFonts w:ascii="Arial" w:cs="Arial" w:eastAsia="Arial" w:hAnsi="Arial"/>
                <w:sz w:val="18"/>
                <w:szCs w:val="18"/>
                <w:color w:val="auto"/>
                <w:vertAlign w:val="superscript"/>
              </w:rPr>
              <w:t>(1)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77"/>
        </w:trPr>
        <w:tc>
          <w:tcPr>
            <w:tcW w:w="5040" w:type="dxa"/>
            <w:vAlign w:val="bottom"/>
          </w:tcPr>
          <w:p>
            <w:pPr>
              <w:spacing w:after="0"/>
              <w:rPr>
                <w:sz w:val="20"/>
                <w:szCs w:val="20"/>
                <w:color w:val="auto"/>
              </w:rPr>
            </w:pPr>
            <w:r>
              <w:rPr>
                <w:rFonts w:ascii="Arial" w:cs="Arial" w:eastAsia="Arial" w:hAnsi="Arial"/>
                <w:sz w:val="12"/>
                <w:szCs w:val="12"/>
                <w:color w:val="auto"/>
              </w:rPr>
              <w:t>Bernard J. Duroc-Danner</w:t>
            </w:r>
          </w:p>
        </w:tc>
        <w:tc>
          <w:tcPr>
            <w:tcW w:w="5320" w:type="dxa"/>
            <w:vAlign w:val="bottom"/>
          </w:tcPr>
          <w:p>
            <w:pPr>
              <w:jc w:val="right"/>
              <w:ind w:right="179"/>
              <w:spacing w:after="0"/>
              <w:rPr>
                <w:sz w:val="20"/>
                <w:szCs w:val="20"/>
                <w:color w:val="auto"/>
              </w:rPr>
            </w:pPr>
            <w:r>
              <w:rPr>
                <w:rFonts w:ascii="Arial" w:cs="Arial" w:eastAsia="Arial" w:hAnsi="Arial"/>
                <w:sz w:val="12"/>
                <w:szCs w:val="12"/>
                <w:color w:val="auto"/>
              </w:rPr>
              <w:t>70,970,599</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43"/>
        </w:trPr>
        <w:tc>
          <w:tcPr>
            <w:tcW w:w="5040" w:type="dxa"/>
            <w:vAlign w:val="bottom"/>
            <w:tcBorders>
              <w:bottom w:val="single" w:sz="8" w:color="auto"/>
            </w:tcBorders>
          </w:tcPr>
          <w:p>
            <w:pPr>
              <w:spacing w:after="0"/>
              <w:rPr>
                <w:sz w:val="3"/>
                <w:szCs w:val="3"/>
                <w:color w:val="auto"/>
              </w:rPr>
            </w:pPr>
          </w:p>
        </w:tc>
        <w:tc>
          <w:tcPr>
            <w:tcW w:w="5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bl>
    <w:p>
      <w:pPr>
        <w:spacing w:after="0" w:line="98" w:lineRule="exact"/>
        <w:rPr>
          <w:sz w:val="20"/>
          <w:szCs w:val="20"/>
          <w:color w:val="auto"/>
        </w:rPr>
      </w:pPr>
    </w:p>
    <w:p>
      <w:pPr>
        <w:jc w:val="both"/>
        <w:ind w:left="181" w:hanging="181"/>
        <w:spacing w:after="0" w:line="245" w:lineRule="auto"/>
        <w:tabs>
          <w:tab w:leader="none" w:pos="181" w:val="left"/>
        </w:tabs>
        <w:numPr>
          <w:ilvl w:val="0"/>
          <w:numId w:val="59"/>
        </w:numPr>
        <w:rPr>
          <w:rFonts w:ascii="Arial" w:cs="Arial" w:eastAsia="Arial" w:hAnsi="Arial"/>
          <w:sz w:val="12"/>
          <w:szCs w:val="12"/>
          <w:color w:val="auto"/>
        </w:rPr>
      </w:pPr>
      <w:r>
        <w:rPr>
          <w:rFonts w:ascii="Arial" w:cs="Arial" w:eastAsia="Arial" w:hAnsi="Arial"/>
          <w:sz w:val="12"/>
          <w:szCs w:val="12"/>
          <w:color w:val="auto"/>
        </w:rPr>
        <w:t>Value was determined using the projected unit credit actuarial cost method. The present value number, however, does not reflect the actual value of the eventual payment of these benefits as the payment will be in shares. As Dr. Duroc-Danner has reached retirement age according to plan calculations, there is no further discount to be applied. As a result, the amount above reflects the full benefit value in accordance with pension accounting.</w:t>
      </w:r>
    </w:p>
    <w:p>
      <w:pPr>
        <w:spacing w:after="0" w:line="85" w:lineRule="exact"/>
        <w:rPr>
          <w:sz w:val="20"/>
          <w:szCs w:val="20"/>
          <w:color w:val="auto"/>
        </w:rPr>
      </w:pPr>
    </w:p>
    <w:p>
      <w:pPr>
        <w:ind w:left="1"/>
        <w:spacing w:after="0"/>
        <w:rPr>
          <w:sz w:val="20"/>
          <w:szCs w:val="20"/>
          <w:color w:val="auto"/>
        </w:rPr>
      </w:pPr>
      <w:r>
        <w:rPr>
          <w:rFonts w:ascii="Arial" w:cs="Arial" w:eastAsia="Arial" w:hAnsi="Arial"/>
          <w:sz w:val="12"/>
          <w:szCs w:val="12"/>
          <w:color w:val="auto"/>
        </w:rPr>
        <w:t>For more information on our retirement plans, see “Retirement Plans” on page 32 of this proxy statement.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
        <w:spacing w:after="0"/>
        <w:rPr>
          <w:sz w:val="20"/>
          <w:szCs w:val="20"/>
          <w:color w:val="auto"/>
        </w:rPr>
      </w:pPr>
      <w:r>
        <w:rPr>
          <w:rFonts w:ascii="Arial" w:cs="Arial" w:eastAsia="Arial" w:hAnsi="Arial"/>
          <w:sz w:val="30"/>
          <w:szCs w:val="30"/>
          <w:color w:val="BB1131"/>
        </w:rPr>
        <w:t>Nonqualified deferred compensation</w:t>
      </w:r>
    </w:p>
    <w:p>
      <w:pPr>
        <w:spacing w:after="0" w:line="196"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We terminated the EDC in May 2012. As a result of the termination of the EDC, participants who had accrued benefits under the EDC prior to December 31, 2004, including Dr. Duroc-Danner, received a partial distribution of shares in May 2012 in respect of their accrued benefits. All remaining amounts in the EDC will be payable to participants upon the occurrence of triggering events under the plan and, in any event, no later than January 1, 2017.</w:t>
      </w:r>
    </w:p>
    <w:p>
      <w:pPr>
        <w:spacing w:after="0" w:line="85" w:lineRule="exact"/>
        <w:rPr>
          <w:sz w:val="20"/>
          <w:szCs w:val="20"/>
          <w:color w:val="auto"/>
        </w:rPr>
      </w:pPr>
    </w:p>
    <w:p>
      <w:pPr>
        <w:jc w:val="both"/>
        <w:ind w:left="1"/>
        <w:spacing w:after="0" w:line="254" w:lineRule="auto"/>
        <w:rPr>
          <w:sz w:val="20"/>
          <w:szCs w:val="20"/>
          <w:color w:val="auto"/>
        </w:rPr>
      </w:pPr>
      <w:r>
        <w:rPr>
          <w:rFonts w:ascii="Arial" w:cs="Arial" w:eastAsia="Arial" w:hAnsi="Arial"/>
          <w:sz w:val="12"/>
          <w:szCs w:val="12"/>
          <w:color w:val="auto"/>
        </w:rPr>
        <w:t>We suspended the EDC in 2008 because of uncertainties concerning the application of Code Section 457, and no further benefits have accrued to participants since that time. All participants in the EDC are fully vested in their plan balances.</w:t>
      </w:r>
    </w:p>
    <w:p>
      <w:pPr>
        <w:spacing w:after="0" w:line="79" w:lineRule="exact"/>
        <w:rPr>
          <w:sz w:val="20"/>
          <w:szCs w:val="20"/>
          <w:color w:val="auto"/>
        </w:rPr>
      </w:pPr>
    </w:p>
    <w:p>
      <w:pPr>
        <w:ind w:left="1"/>
        <w:spacing w:after="0"/>
        <w:rPr>
          <w:sz w:val="20"/>
          <w:szCs w:val="20"/>
          <w:color w:val="auto"/>
        </w:rPr>
      </w:pPr>
      <w:r>
        <w:rPr>
          <w:rFonts w:ascii="Arial" w:cs="Arial" w:eastAsia="Arial" w:hAnsi="Arial"/>
          <w:sz w:val="12"/>
          <w:szCs w:val="12"/>
          <w:color w:val="auto"/>
        </w:rPr>
        <w:t>The following table and the information below it contain information regarding the NEOs who were participants under our deferred compensation plans in 2013.</w:t>
      </w:r>
    </w:p>
    <w:p>
      <w:pPr>
        <w:spacing w:after="0" w:line="96"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2820" w:type="dxa"/>
            <w:vAlign w:val="bottom"/>
          </w:tcPr>
          <w:p>
            <w:pPr>
              <w:spacing w:after="0"/>
              <w:rPr>
                <w:sz w:val="12"/>
                <w:szCs w:val="12"/>
                <w:color w:val="auto"/>
              </w:rPr>
            </w:pPr>
          </w:p>
        </w:tc>
        <w:tc>
          <w:tcPr>
            <w:tcW w:w="2880" w:type="dxa"/>
            <w:vAlign w:val="bottom"/>
          </w:tcPr>
          <w:p>
            <w:pPr>
              <w:jc w:val="right"/>
              <w:ind w:right="199"/>
              <w:spacing w:after="0"/>
              <w:rPr>
                <w:sz w:val="20"/>
                <w:szCs w:val="20"/>
                <w:color w:val="auto"/>
              </w:rPr>
            </w:pPr>
            <w:r>
              <w:rPr>
                <w:rFonts w:ascii="Arial" w:cs="Arial" w:eastAsia="Arial" w:hAnsi="Arial"/>
                <w:sz w:val="12"/>
                <w:szCs w:val="12"/>
                <w:color w:val="auto"/>
              </w:rPr>
              <w:t>Executive</w:t>
            </w:r>
          </w:p>
        </w:tc>
        <w:tc>
          <w:tcPr>
            <w:tcW w:w="1540" w:type="dxa"/>
            <w:vAlign w:val="bottom"/>
          </w:tcPr>
          <w:p>
            <w:pPr>
              <w:jc w:val="right"/>
              <w:ind w:right="199"/>
              <w:spacing w:after="0"/>
              <w:rPr>
                <w:sz w:val="20"/>
                <w:szCs w:val="20"/>
                <w:color w:val="auto"/>
              </w:rPr>
            </w:pPr>
            <w:r>
              <w:rPr>
                <w:rFonts w:ascii="Arial" w:cs="Arial" w:eastAsia="Arial" w:hAnsi="Arial"/>
                <w:sz w:val="12"/>
                <w:szCs w:val="12"/>
                <w:color w:val="auto"/>
              </w:rPr>
              <w:t>Registrant</w:t>
            </w:r>
          </w:p>
        </w:tc>
        <w:tc>
          <w:tcPr>
            <w:tcW w:w="1300" w:type="dxa"/>
            <w:vAlign w:val="bottom"/>
          </w:tcPr>
          <w:p>
            <w:pPr>
              <w:jc w:val="right"/>
              <w:ind w:right="199"/>
              <w:spacing w:after="0"/>
              <w:rPr>
                <w:sz w:val="20"/>
                <w:szCs w:val="20"/>
                <w:color w:val="auto"/>
              </w:rPr>
            </w:pPr>
            <w:r>
              <w:rPr>
                <w:rFonts w:ascii="Arial" w:cs="Arial" w:eastAsia="Arial" w:hAnsi="Arial"/>
                <w:sz w:val="12"/>
                <w:szCs w:val="12"/>
                <w:color w:val="auto"/>
              </w:rPr>
              <w:t>Aggregate</w:t>
            </w:r>
          </w:p>
        </w:tc>
        <w:tc>
          <w:tcPr>
            <w:tcW w:w="1580" w:type="dxa"/>
            <w:vAlign w:val="bottom"/>
          </w:tcPr>
          <w:p>
            <w:pPr>
              <w:jc w:val="right"/>
              <w:ind w:right="98"/>
              <w:spacing w:after="0"/>
              <w:rPr>
                <w:sz w:val="20"/>
                <w:szCs w:val="20"/>
                <w:color w:val="auto"/>
              </w:rPr>
            </w:pPr>
            <w:r>
              <w:rPr>
                <w:rFonts w:ascii="Arial" w:cs="Arial" w:eastAsia="Arial" w:hAnsi="Arial"/>
                <w:sz w:val="12"/>
                <w:szCs w:val="12"/>
                <w:color w:val="auto"/>
              </w:rPr>
              <w:t>Aggregate Withdrawals/</w:t>
            </w:r>
          </w:p>
        </w:tc>
        <w:tc>
          <w:tcPr>
            <w:tcW w:w="1300" w:type="dxa"/>
            <w:vAlign w:val="bottom"/>
          </w:tcPr>
          <w:p>
            <w:pPr>
              <w:jc w:val="right"/>
              <w:ind w:right="59"/>
              <w:spacing w:after="0"/>
              <w:rPr>
                <w:sz w:val="20"/>
                <w:szCs w:val="20"/>
                <w:color w:val="auto"/>
              </w:rPr>
            </w:pPr>
            <w:r>
              <w:rPr>
                <w:rFonts w:ascii="Arial" w:cs="Arial" w:eastAsia="Arial" w:hAnsi="Arial"/>
                <w:sz w:val="12"/>
                <w:szCs w:val="12"/>
                <w:color w:val="auto"/>
              </w:rPr>
              <w:t>Aggregate Balance</w:t>
            </w:r>
          </w:p>
        </w:tc>
      </w:tr>
      <w:tr>
        <w:trPr>
          <w:trHeight w:val="112"/>
        </w:trPr>
        <w:tc>
          <w:tcPr>
            <w:tcW w:w="2820" w:type="dxa"/>
            <w:vAlign w:val="bottom"/>
          </w:tcPr>
          <w:p>
            <w:pPr>
              <w:spacing w:after="0"/>
              <w:rPr>
                <w:sz w:val="9"/>
                <w:szCs w:val="9"/>
                <w:color w:val="auto"/>
              </w:rPr>
            </w:pPr>
          </w:p>
        </w:tc>
        <w:tc>
          <w:tcPr>
            <w:tcW w:w="2880" w:type="dxa"/>
            <w:vAlign w:val="bottom"/>
          </w:tcPr>
          <w:p>
            <w:pPr>
              <w:jc w:val="right"/>
              <w:ind w:right="199"/>
              <w:spacing w:after="0" w:line="112" w:lineRule="exact"/>
              <w:rPr>
                <w:sz w:val="20"/>
                <w:szCs w:val="20"/>
                <w:color w:val="auto"/>
              </w:rPr>
            </w:pPr>
            <w:r>
              <w:rPr>
                <w:rFonts w:ascii="Arial" w:cs="Arial" w:eastAsia="Arial" w:hAnsi="Arial"/>
                <w:sz w:val="12"/>
                <w:szCs w:val="12"/>
                <w:color w:val="auto"/>
              </w:rPr>
              <w:t>Contributions in 2013</w:t>
            </w:r>
          </w:p>
        </w:tc>
        <w:tc>
          <w:tcPr>
            <w:tcW w:w="1540" w:type="dxa"/>
            <w:vAlign w:val="bottom"/>
          </w:tcPr>
          <w:p>
            <w:pPr>
              <w:jc w:val="right"/>
              <w:ind w:right="199"/>
              <w:spacing w:after="0" w:line="112" w:lineRule="exact"/>
              <w:rPr>
                <w:sz w:val="20"/>
                <w:szCs w:val="20"/>
                <w:color w:val="auto"/>
              </w:rPr>
            </w:pPr>
            <w:r>
              <w:rPr>
                <w:rFonts w:ascii="Arial" w:cs="Arial" w:eastAsia="Arial" w:hAnsi="Arial"/>
                <w:sz w:val="12"/>
                <w:szCs w:val="12"/>
                <w:color w:val="auto"/>
              </w:rPr>
              <w:t>Contributions in 2013</w:t>
            </w:r>
          </w:p>
        </w:tc>
        <w:tc>
          <w:tcPr>
            <w:tcW w:w="1300" w:type="dxa"/>
            <w:vAlign w:val="bottom"/>
          </w:tcPr>
          <w:p>
            <w:pPr>
              <w:jc w:val="right"/>
              <w:ind w:right="199"/>
              <w:spacing w:after="0" w:line="112" w:lineRule="exact"/>
              <w:rPr>
                <w:sz w:val="20"/>
                <w:szCs w:val="20"/>
                <w:color w:val="auto"/>
              </w:rPr>
            </w:pPr>
            <w:r>
              <w:rPr>
                <w:rFonts w:ascii="Arial" w:cs="Arial" w:eastAsia="Arial" w:hAnsi="Arial"/>
                <w:sz w:val="12"/>
                <w:szCs w:val="12"/>
                <w:color w:val="auto"/>
              </w:rPr>
              <w:t>Earnings in 2013</w:t>
            </w:r>
          </w:p>
        </w:tc>
        <w:tc>
          <w:tcPr>
            <w:tcW w:w="1580" w:type="dxa"/>
            <w:vAlign w:val="bottom"/>
          </w:tcPr>
          <w:p>
            <w:pPr>
              <w:jc w:val="right"/>
              <w:ind w:right="98"/>
              <w:spacing w:after="0" w:line="112" w:lineRule="exact"/>
              <w:rPr>
                <w:sz w:val="20"/>
                <w:szCs w:val="20"/>
                <w:color w:val="auto"/>
              </w:rPr>
            </w:pPr>
            <w:r>
              <w:rPr>
                <w:rFonts w:ascii="Arial" w:cs="Arial" w:eastAsia="Arial" w:hAnsi="Arial"/>
                <w:sz w:val="12"/>
                <w:szCs w:val="12"/>
                <w:color w:val="auto"/>
              </w:rPr>
              <w:t>Distributions</w:t>
            </w:r>
          </w:p>
        </w:tc>
        <w:tc>
          <w:tcPr>
            <w:tcW w:w="1300" w:type="dxa"/>
            <w:vAlign w:val="bottom"/>
          </w:tcPr>
          <w:p>
            <w:pPr>
              <w:jc w:val="right"/>
              <w:ind w:right="59"/>
              <w:spacing w:after="0" w:line="112" w:lineRule="exact"/>
              <w:rPr>
                <w:sz w:val="20"/>
                <w:szCs w:val="20"/>
                <w:color w:val="auto"/>
              </w:rPr>
            </w:pPr>
            <w:r>
              <w:rPr>
                <w:rFonts w:ascii="Arial" w:cs="Arial" w:eastAsia="Arial" w:hAnsi="Arial"/>
                <w:sz w:val="12"/>
                <w:szCs w:val="12"/>
                <w:color w:val="auto"/>
              </w:rPr>
              <w:t>at 12/31/13</w:t>
            </w:r>
          </w:p>
        </w:tc>
      </w:tr>
      <w:tr>
        <w:trPr>
          <w:trHeight w:val="161"/>
        </w:trPr>
        <w:tc>
          <w:tcPr>
            <w:tcW w:w="28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Name</w:t>
            </w:r>
          </w:p>
        </w:tc>
        <w:tc>
          <w:tcPr>
            <w:tcW w:w="2880" w:type="dxa"/>
            <w:vAlign w:val="bottom"/>
            <w:tcBorders>
              <w:bottom w:val="single" w:sz="8" w:color="auto"/>
            </w:tcBorders>
          </w:tcPr>
          <w:p>
            <w:pPr>
              <w:jc w:val="right"/>
              <w:ind w:right="59"/>
              <w:spacing w:after="0" w:line="161" w:lineRule="exact"/>
              <w:rPr>
                <w:sz w:val="20"/>
                <w:szCs w:val="20"/>
                <w:color w:val="auto"/>
              </w:rPr>
            </w:pPr>
            <w:r>
              <w:rPr>
                <w:rFonts w:ascii="Arial" w:cs="Arial" w:eastAsia="Arial" w:hAnsi="Arial"/>
                <w:sz w:val="11"/>
                <w:szCs w:val="11"/>
                <w:color w:val="auto"/>
              </w:rPr>
              <w:t>($)</w:t>
            </w:r>
            <w:r>
              <w:rPr>
                <w:rFonts w:ascii="Arial" w:cs="Arial" w:eastAsia="Arial" w:hAnsi="Arial"/>
                <w:sz w:val="18"/>
                <w:szCs w:val="18"/>
                <w:color w:val="auto"/>
                <w:vertAlign w:val="superscript"/>
              </w:rPr>
              <w:t>(1)</w:t>
            </w:r>
          </w:p>
        </w:tc>
        <w:tc>
          <w:tcPr>
            <w:tcW w:w="1540" w:type="dxa"/>
            <w:vAlign w:val="bottom"/>
            <w:tcBorders>
              <w:bottom w:val="single" w:sz="8" w:color="auto"/>
            </w:tcBorders>
          </w:tcPr>
          <w:p>
            <w:pPr>
              <w:jc w:val="right"/>
              <w:ind w:right="59"/>
              <w:spacing w:after="0" w:line="161" w:lineRule="exact"/>
              <w:rPr>
                <w:sz w:val="20"/>
                <w:szCs w:val="20"/>
                <w:color w:val="auto"/>
              </w:rPr>
            </w:pPr>
            <w:r>
              <w:rPr>
                <w:rFonts w:ascii="Arial" w:cs="Arial" w:eastAsia="Arial" w:hAnsi="Arial"/>
                <w:sz w:val="11"/>
                <w:szCs w:val="11"/>
                <w:color w:val="auto"/>
              </w:rPr>
              <w:t>($)</w:t>
            </w:r>
            <w:r>
              <w:rPr>
                <w:rFonts w:ascii="Arial" w:cs="Arial" w:eastAsia="Arial" w:hAnsi="Arial"/>
                <w:sz w:val="18"/>
                <w:szCs w:val="18"/>
                <w:color w:val="auto"/>
                <w:vertAlign w:val="superscript"/>
              </w:rPr>
              <w:t>(1)</w:t>
            </w:r>
          </w:p>
        </w:tc>
        <w:tc>
          <w:tcPr>
            <w:tcW w:w="1300" w:type="dxa"/>
            <w:vAlign w:val="bottom"/>
            <w:tcBorders>
              <w:bottom w:val="single" w:sz="8" w:color="auto"/>
            </w:tcBorders>
          </w:tcPr>
          <w:p>
            <w:pPr>
              <w:jc w:val="right"/>
              <w:ind w:right="59"/>
              <w:spacing w:after="0" w:line="161" w:lineRule="exact"/>
              <w:rPr>
                <w:sz w:val="20"/>
                <w:szCs w:val="20"/>
                <w:color w:val="auto"/>
              </w:rPr>
            </w:pPr>
            <w:r>
              <w:rPr>
                <w:rFonts w:ascii="Arial" w:cs="Arial" w:eastAsia="Arial" w:hAnsi="Arial"/>
                <w:sz w:val="11"/>
                <w:szCs w:val="11"/>
                <w:color w:val="auto"/>
              </w:rPr>
              <w:t>($)</w:t>
            </w:r>
            <w:r>
              <w:rPr>
                <w:rFonts w:ascii="Arial" w:cs="Arial" w:eastAsia="Arial" w:hAnsi="Arial"/>
                <w:sz w:val="18"/>
                <w:szCs w:val="18"/>
                <w:color w:val="auto"/>
                <w:vertAlign w:val="superscript"/>
              </w:rPr>
              <w:t>(2)</w:t>
            </w:r>
          </w:p>
        </w:tc>
        <w:tc>
          <w:tcPr>
            <w:tcW w:w="158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w:t>
            </w:r>
          </w:p>
        </w:tc>
        <w:tc>
          <w:tcPr>
            <w:tcW w:w="130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1"/>
                <w:szCs w:val="11"/>
                <w:color w:val="auto"/>
              </w:rPr>
              <w:t>($)</w:t>
            </w:r>
            <w:r>
              <w:rPr>
                <w:rFonts w:ascii="Arial" w:cs="Arial" w:eastAsia="Arial" w:hAnsi="Arial"/>
                <w:sz w:val="18"/>
                <w:szCs w:val="18"/>
                <w:color w:val="auto"/>
                <w:vertAlign w:val="superscript"/>
              </w:rPr>
              <w:t>(3)</w:t>
            </w:r>
          </w:p>
        </w:tc>
      </w:tr>
      <w:tr>
        <w:trPr>
          <w:trHeight w:val="177"/>
        </w:trPr>
        <w:tc>
          <w:tcPr>
            <w:tcW w:w="2820" w:type="dxa"/>
            <w:vAlign w:val="bottom"/>
          </w:tcPr>
          <w:p>
            <w:pPr>
              <w:spacing w:after="0"/>
              <w:rPr>
                <w:sz w:val="20"/>
                <w:szCs w:val="20"/>
                <w:color w:val="auto"/>
              </w:rPr>
            </w:pPr>
            <w:r>
              <w:rPr>
                <w:rFonts w:ascii="Arial" w:cs="Arial" w:eastAsia="Arial" w:hAnsi="Arial"/>
                <w:sz w:val="12"/>
                <w:szCs w:val="12"/>
                <w:color w:val="auto"/>
              </w:rPr>
              <w:t>Bernard J. Duroc-Danner</w:t>
            </w:r>
          </w:p>
        </w:tc>
        <w:tc>
          <w:tcPr>
            <w:tcW w:w="2880" w:type="dxa"/>
            <w:vAlign w:val="bottom"/>
          </w:tcPr>
          <w:p>
            <w:pPr>
              <w:jc w:val="right"/>
              <w:ind w:right="199"/>
              <w:spacing w:after="0"/>
              <w:rPr>
                <w:sz w:val="20"/>
                <w:szCs w:val="20"/>
                <w:color w:val="auto"/>
              </w:rPr>
            </w:pPr>
            <w:r>
              <w:rPr>
                <w:rFonts w:ascii="Arial" w:cs="Arial" w:eastAsia="Arial" w:hAnsi="Arial"/>
                <w:sz w:val="12"/>
                <w:szCs w:val="12"/>
                <w:color w:val="auto"/>
              </w:rPr>
              <w:t>–</w:t>
            </w:r>
          </w:p>
        </w:tc>
        <w:tc>
          <w:tcPr>
            <w:tcW w:w="1540" w:type="dxa"/>
            <w:vAlign w:val="bottom"/>
          </w:tcPr>
          <w:p>
            <w:pPr>
              <w:jc w:val="right"/>
              <w:ind w:right="199"/>
              <w:spacing w:after="0"/>
              <w:rPr>
                <w:sz w:val="20"/>
                <w:szCs w:val="20"/>
                <w:color w:val="auto"/>
              </w:rPr>
            </w:pPr>
            <w:r>
              <w:rPr>
                <w:rFonts w:ascii="Arial" w:cs="Arial" w:eastAsia="Arial" w:hAnsi="Arial"/>
                <w:sz w:val="12"/>
                <w:szCs w:val="12"/>
                <w:color w:val="auto"/>
              </w:rPr>
              <w:t>–</w:t>
            </w:r>
          </w:p>
        </w:tc>
        <w:tc>
          <w:tcPr>
            <w:tcW w:w="1300" w:type="dxa"/>
            <w:vAlign w:val="bottom"/>
          </w:tcPr>
          <w:p>
            <w:pPr>
              <w:jc w:val="right"/>
              <w:ind w:right="199"/>
              <w:spacing w:after="0"/>
              <w:rPr>
                <w:sz w:val="20"/>
                <w:szCs w:val="20"/>
                <w:color w:val="auto"/>
              </w:rPr>
            </w:pPr>
            <w:r>
              <w:rPr>
                <w:rFonts w:ascii="Arial" w:cs="Arial" w:eastAsia="Arial" w:hAnsi="Arial"/>
                <w:sz w:val="12"/>
                <w:szCs w:val="12"/>
                <w:color w:val="auto"/>
              </w:rPr>
              <w:t>650,500</w:t>
            </w:r>
          </w:p>
        </w:tc>
        <w:tc>
          <w:tcPr>
            <w:tcW w:w="1580" w:type="dxa"/>
            <w:vAlign w:val="bottom"/>
          </w:tcPr>
          <w:p>
            <w:pPr>
              <w:jc w:val="right"/>
              <w:ind w:right="98"/>
              <w:spacing w:after="0"/>
              <w:rPr>
                <w:sz w:val="20"/>
                <w:szCs w:val="20"/>
                <w:color w:val="auto"/>
              </w:rPr>
            </w:pPr>
            <w:r>
              <w:rPr>
                <w:rFonts w:ascii="Arial" w:cs="Arial" w:eastAsia="Arial" w:hAnsi="Arial"/>
                <w:sz w:val="12"/>
                <w:szCs w:val="12"/>
                <w:color w:val="auto"/>
              </w:rPr>
              <w:t>–</w:t>
            </w:r>
          </w:p>
        </w:tc>
        <w:tc>
          <w:tcPr>
            <w:tcW w:w="1300" w:type="dxa"/>
            <w:vAlign w:val="bottom"/>
          </w:tcPr>
          <w:p>
            <w:pPr>
              <w:jc w:val="right"/>
              <w:ind w:right="59"/>
              <w:spacing w:after="0"/>
              <w:rPr>
                <w:sz w:val="20"/>
                <w:szCs w:val="20"/>
                <w:color w:val="auto"/>
              </w:rPr>
            </w:pPr>
            <w:r>
              <w:rPr>
                <w:rFonts w:ascii="Arial" w:cs="Arial" w:eastAsia="Arial" w:hAnsi="Arial"/>
                <w:sz w:val="12"/>
                <w:szCs w:val="12"/>
                <w:color w:val="auto"/>
              </w:rPr>
              <w:t>2,343,312</w:t>
            </w:r>
          </w:p>
        </w:tc>
      </w:tr>
      <w:tr>
        <w:trPr>
          <w:trHeight w:val="223"/>
        </w:trPr>
        <w:tc>
          <w:tcPr>
            <w:tcW w:w="2820" w:type="dxa"/>
            <w:vAlign w:val="bottom"/>
          </w:tcPr>
          <w:p>
            <w:pPr>
              <w:spacing w:after="0"/>
              <w:rPr>
                <w:sz w:val="20"/>
                <w:szCs w:val="20"/>
                <w:color w:val="auto"/>
              </w:rPr>
            </w:pPr>
            <w:r>
              <w:rPr>
                <w:rFonts w:ascii="Arial" w:cs="Arial" w:eastAsia="Arial" w:hAnsi="Arial"/>
                <w:sz w:val="12"/>
                <w:szCs w:val="12"/>
                <w:color w:val="auto"/>
              </w:rPr>
              <w:t>Dharmesh Mehta</w:t>
            </w:r>
          </w:p>
        </w:tc>
        <w:tc>
          <w:tcPr>
            <w:tcW w:w="2880" w:type="dxa"/>
            <w:vAlign w:val="bottom"/>
          </w:tcPr>
          <w:p>
            <w:pPr>
              <w:jc w:val="right"/>
              <w:ind w:right="199"/>
              <w:spacing w:after="0"/>
              <w:rPr>
                <w:sz w:val="20"/>
                <w:szCs w:val="20"/>
                <w:color w:val="auto"/>
              </w:rPr>
            </w:pPr>
            <w:r>
              <w:rPr>
                <w:rFonts w:ascii="Arial" w:cs="Arial" w:eastAsia="Arial" w:hAnsi="Arial"/>
                <w:sz w:val="12"/>
                <w:szCs w:val="12"/>
                <w:color w:val="auto"/>
              </w:rPr>
              <w:t>–</w:t>
            </w:r>
          </w:p>
        </w:tc>
        <w:tc>
          <w:tcPr>
            <w:tcW w:w="1540" w:type="dxa"/>
            <w:vAlign w:val="bottom"/>
          </w:tcPr>
          <w:p>
            <w:pPr>
              <w:jc w:val="right"/>
              <w:ind w:right="199"/>
              <w:spacing w:after="0"/>
              <w:rPr>
                <w:sz w:val="20"/>
                <w:szCs w:val="20"/>
                <w:color w:val="auto"/>
              </w:rPr>
            </w:pPr>
            <w:r>
              <w:rPr>
                <w:rFonts w:ascii="Arial" w:cs="Arial" w:eastAsia="Arial" w:hAnsi="Arial"/>
                <w:sz w:val="12"/>
                <w:szCs w:val="12"/>
                <w:color w:val="auto"/>
              </w:rPr>
              <w:t>–</w:t>
            </w:r>
          </w:p>
        </w:tc>
        <w:tc>
          <w:tcPr>
            <w:tcW w:w="1300" w:type="dxa"/>
            <w:vAlign w:val="bottom"/>
          </w:tcPr>
          <w:p>
            <w:pPr>
              <w:jc w:val="right"/>
              <w:ind w:right="199"/>
              <w:spacing w:after="0"/>
              <w:rPr>
                <w:sz w:val="20"/>
                <w:szCs w:val="20"/>
                <w:color w:val="auto"/>
              </w:rPr>
            </w:pPr>
            <w:r>
              <w:rPr>
                <w:rFonts w:ascii="Arial" w:cs="Arial" w:eastAsia="Arial" w:hAnsi="Arial"/>
                <w:sz w:val="12"/>
                <w:szCs w:val="12"/>
                <w:color w:val="auto"/>
              </w:rPr>
              <w:t>14,491</w:t>
            </w:r>
          </w:p>
        </w:tc>
        <w:tc>
          <w:tcPr>
            <w:tcW w:w="1580" w:type="dxa"/>
            <w:vAlign w:val="bottom"/>
          </w:tcPr>
          <w:p>
            <w:pPr>
              <w:jc w:val="right"/>
              <w:ind w:right="98"/>
              <w:spacing w:after="0"/>
              <w:rPr>
                <w:sz w:val="20"/>
                <w:szCs w:val="20"/>
                <w:color w:val="auto"/>
              </w:rPr>
            </w:pPr>
            <w:r>
              <w:rPr>
                <w:rFonts w:ascii="Arial" w:cs="Arial" w:eastAsia="Arial" w:hAnsi="Arial"/>
                <w:sz w:val="12"/>
                <w:szCs w:val="12"/>
                <w:color w:val="auto"/>
              </w:rPr>
              <w:t>–</w:t>
            </w:r>
          </w:p>
        </w:tc>
        <w:tc>
          <w:tcPr>
            <w:tcW w:w="1300" w:type="dxa"/>
            <w:vAlign w:val="bottom"/>
          </w:tcPr>
          <w:p>
            <w:pPr>
              <w:jc w:val="right"/>
              <w:ind w:right="59"/>
              <w:spacing w:after="0"/>
              <w:rPr>
                <w:sz w:val="20"/>
                <w:szCs w:val="20"/>
                <w:color w:val="auto"/>
              </w:rPr>
            </w:pPr>
            <w:r>
              <w:rPr>
                <w:rFonts w:ascii="Arial" w:cs="Arial" w:eastAsia="Arial" w:hAnsi="Arial"/>
                <w:sz w:val="12"/>
                <w:szCs w:val="12"/>
                <w:color w:val="auto"/>
              </w:rPr>
              <w:t>52,201</w:t>
            </w:r>
          </w:p>
        </w:tc>
      </w:tr>
      <w:tr>
        <w:trPr>
          <w:trHeight w:val="357"/>
        </w:trPr>
        <w:tc>
          <w:tcPr>
            <w:tcW w:w="2820" w:type="dxa"/>
            <w:vAlign w:val="bottom"/>
          </w:tcPr>
          <w:p>
            <w:pPr>
              <w:spacing w:after="0"/>
              <w:rPr>
                <w:sz w:val="20"/>
                <w:szCs w:val="20"/>
                <w:color w:val="auto"/>
              </w:rPr>
            </w:pPr>
            <w:r>
              <w:rPr>
                <w:rFonts w:ascii="Arial" w:cs="Arial" w:eastAsia="Arial" w:hAnsi="Arial"/>
                <w:sz w:val="12"/>
                <w:szCs w:val="12"/>
                <w:color w:val="auto"/>
              </w:rPr>
              <w:t>Peter T. Fontana</w:t>
            </w:r>
            <w:r>
              <w:rPr>
                <w:rFonts w:ascii="Arial" w:cs="Arial" w:eastAsia="Arial" w:hAnsi="Arial"/>
                <w:sz w:val="20"/>
                <w:szCs w:val="20"/>
                <w:color w:val="auto"/>
                <w:vertAlign w:val="superscript"/>
              </w:rPr>
              <w:t>(4)</w:t>
            </w:r>
          </w:p>
        </w:tc>
        <w:tc>
          <w:tcPr>
            <w:tcW w:w="2880" w:type="dxa"/>
            <w:vAlign w:val="bottom"/>
          </w:tcPr>
          <w:p>
            <w:pPr>
              <w:jc w:val="right"/>
              <w:ind w:right="199"/>
              <w:spacing w:after="0"/>
              <w:rPr>
                <w:sz w:val="20"/>
                <w:szCs w:val="20"/>
                <w:color w:val="auto"/>
              </w:rPr>
            </w:pPr>
            <w:r>
              <w:rPr>
                <w:rFonts w:ascii="Arial" w:cs="Arial" w:eastAsia="Arial" w:hAnsi="Arial"/>
                <w:sz w:val="12"/>
                <w:szCs w:val="12"/>
                <w:color w:val="auto"/>
              </w:rPr>
              <w:t>–</w:t>
            </w:r>
          </w:p>
        </w:tc>
        <w:tc>
          <w:tcPr>
            <w:tcW w:w="1540" w:type="dxa"/>
            <w:vAlign w:val="bottom"/>
          </w:tcPr>
          <w:p>
            <w:pPr>
              <w:jc w:val="right"/>
              <w:ind w:right="199"/>
              <w:spacing w:after="0"/>
              <w:rPr>
                <w:sz w:val="20"/>
                <w:szCs w:val="20"/>
                <w:color w:val="auto"/>
              </w:rPr>
            </w:pPr>
            <w:r>
              <w:rPr>
                <w:rFonts w:ascii="Arial" w:cs="Arial" w:eastAsia="Arial" w:hAnsi="Arial"/>
                <w:sz w:val="12"/>
                <w:szCs w:val="12"/>
                <w:color w:val="auto"/>
              </w:rPr>
              <w:t>–</w:t>
            </w:r>
          </w:p>
        </w:tc>
        <w:tc>
          <w:tcPr>
            <w:tcW w:w="1300" w:type="dxa"/>
            <w:vAlign w:val="bottom"/>
          </w:tcPr>
          <w:p>
            <w:pPr>
              <w:jc w:val="right"/>
              <w:ind w:right="199"/>
              <w:spacing w:after="0"/>
              <w:rPr>
                <w:sz w:val="20"/>
                <w:szCs w:val="20"/>
                <w:color w:val="auto"/>
              </w:rPr>
            </w:pPr>
            <w:r>
              <w:rPr>
                <w:rFonts w:ascii="Arial" w:cs="Arial" w:eastAsia="Arial" w:hAnsi="Arial"/>
                <w:sz w:val="12"/>
                <w:szCs w:val="12"/>
                <w:color w:val="auto"/>
              </w:rPr>
              <w:t>19,287</w:t>
            </w:r>
          </w:p>
        </w:tc>
        <w:tc>
          <w:tcPr>
            <w:tcW w:w="1580" w:type="dxa"/>
            <w:vAlign w:val="bottom"/>
          </w:tcPr>
          <w:p>
            <w:pPr>
              <w:jc w:val="right"/>
              <w:ind w:right="58"/>
              <w:spacing w:after="0"/>
              <w:rPr>
                <w:sz w:val="20"/>
                <w:szCs w:val="20"/>
                <w:color w:val="auto"/>
              </w:rPr>
            </w:pPr>
            <w:r>
              <w:rPr>
                <w:rFonts w:ascii="Arial" w:cs="Arial" w:eastAsia="Arial" w:hAnsi="Arial"/>
                <w:sz w:val="12"/>
                <w:szCs w:val="12"/>
                <w:color w:val="auto"/>
              </w:rPr>
              <w:t>(80,586)</w:t>
            </w:r>
          </w:p>
        </w:tc>
        <w:tc>
          <w:tcPr>
            <w:tcW w:w="1300" w:type="dxa"/>
            <w:vAlign w:val="bottom"/>
          </w:tcPr>
          <w:p>
            <w:pPr>
              <w:jc w:val="right"/>
              <w:ind w:right="59"/>
              <w:spacing w:after="0"/>
              <w:rPr>
                <w:sz w:val="20"/>
                <w:szCs w:val="20"/>
                <w:color w:val="auto"/>
              </w:rPr>
            </w:pPr>
            <w:r>
              <w:rPr>
                <w:rFonts w:ascii="Arial" w:cs="Arial" w:eastAsia="Arial" w:hAnsi="Arial"/>
                <w:sz w:val="12"/>
                <w:szCs w:val="12"/>
                <w:color w:val="auto"/>
              </w:rPr>
              <w:t>–</w:t>
            </w:r>
          </w:p>
        </w:tc>
      </w:tr>
      <w:tr>
        <w:trPr>
          <w:trHeight w:val="231"/>
        </w:trPr>
        <w:tc>
          <w:tcPr>
            <w:tcW w:w="2820" w:type="dxa"/>
            <w:vAlign w:val="bottom"/>
            <w:tcBorders>
              <w:bottom w:val="single" w:sz="8" w:color="auto"/>
            </w:tcBorders>
          </w:tcPr>
          <w:p>
            <w:pPr>
              <w:spacing w:after="0" w:line="227" w:lineRule="exact"/>
              <w:rPr>
                <w:sz w:val="20"/>
                <w:szCs w:val="20"/>
                <w:color w:val="auto"/>
              </w:rPr>
            </w:pPr>
            <w:r>
              <w:rPr>
                <w:rFonts w:ascii="Arial" w:cs="Arial" w:eastAsia="Arial" w:hAnsi="Arial"/>
                <w:sz w:val="12"/>
                <w:szCs w:val="12"/>
                <w:color w:val="auto"/>
              </w:rPr>
              <w:t>Joseph C. Henry</w:t>
            </w:r>
            <w:r>
              <w:rPr>
                <w:rFonts w:ascii="Arial" w:cs="Arial" w:eastAsia="Arial" w:hAnsi="Arial"/>
                <w:sz w:val="20"/>
                <w:szCs w:val="20"/>
                <w:color w:val="auto"/>
                <w:vertAlign w:val="superscript"/>
              </w:rPr>
              <w:t>(5)</w:t>
            </w:r>
          </w:p>
        </w:tc>
        <w:tc>
          <w:tcPr>
            <w:tcW w:w="288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color w:val="auto"/>
              </w:rPr>
              <w:t>–</w:t>
            </w:r>
          </w:p>
        </w:tc>
        <w:tc>
          <w:tcPr>
            <w:tcW w:w="154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color w:val="auto"/>
              </w:rPr>
              <w:t>–</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color w:val="auto"/>
              </w:rPr>
              <w:t>65,762</w:t>
            </w:r>
          </w:p>
        </w:tc>
        <w:tc>
          <w:tcPr>
            <w:tcW w:w="15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(236,104)</w:t>
            </w: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w:t>
            </w:r>
          </w:p>
        </w:tc>
      </w:tr>
    </w:tbl>
    <w:p>
      <w:pPr>
        <w:spacing w:after="0" w:line="98" w:lineRule="exact"/>
        <w:rPr>
          <w:sz w:val="20"/>
          <w:szCs w:val="20"/>
          <w:color w:val="auto"/>
        </w:rPr>
      </w:pPr>
    </w:p>
    <w:p>
      <w:pPr>
        <w:ind w:left="181" w:hanging="181"/>
        <w:spacing w:after="0" w:line="254" w:lineRule="auto"/>
        <w:tabs>
          <w:tab w:leader="none" w:pos="181" w:val="left"/>
        </w:tabs>
        <w:numPr>
          <w:ilvl w:val="0"/>
          <w:numId w:val="60"/>
        </w:numPr>
        <w:rPr>
          <w:rFonts w:ascii="Arial" w:cs="Arial" w:eastAsia="Arial" w:hAnsi="Arial"/>
          <w:sz w:val="12"/>
          <w:szCs w:val="12"/>
          <w:color w:val="auto"/>
        </w:rPr>
      </w:pPr>
      <w:r>
        <w:rPr>
          <w:rFonts w:ascii="Arial" w:cs="Arial" w:eastAsia="Arial" w:hAnsi="Arial"/>
          <w:sz w:val="12"/>
          <w:szCs w:val="12"/>
          <w:color w:val="auto"/>
        </w:rPr>
        <w:t>As the EDC has been suspended since 2008, there were no executive or Company contributions made during 2013, and, as a result, no corresponding amounts reported in the 2013 Summary Compensation Table.</w:t>
      </w:r>
    </w:p>
    <w:p>
      <w:pPr>
        <w:spacing w:after="0" w:line="79" w:lineRule="exact"/>
        <w:rPr>
          <w:rFonts w:ascii="Arial" w:cs="Arial" w:eastAsia="Arial" w:hAnsi="Arial"/>
          <w:sz w:val="12"/>
          <w:szCs w:val="12"/>
          <w:color w:val="auto"/>
        </w:rPr>
      </w:pPr>
    </w:p>
    <w:p>
      <w:pPr>
        <w:ind w:left="181" w:hanging="181"/>
        <w:spacing w:after="0"/>
        <w:tabs>
          <w:tab w:leader="none" w:pos="181" w:val="left"/>
        </w:tabs>
        <w:numPr>
          <w:ilvl w:val="0"/>
          <w:numId w:val="60"/>
        </w:numPr>
        <w:rPr>
          <w:rFonts w:ascii="Arial" w:cs="Arial" w:eastAsia="Arial" w:hAnsi="Arial"/>
          <w:sz w:val="12"/>
          <w:szCs w:val="12"/>
          <w:color w:val="auto"/>
        </w:rPr>
      </w:pPr>
      <w:r>
        <w:rPr>
          <w:rFonts w:ascii="Arial" w:cs="Arial" w:eastAsia="Arial" w:hAnsi="Arial"/>
          <w:sz w:val="12"/>
          <w:szCs w:val="12"/>
          <w:color w:val="auto"/>
        </w:rPr>
        <w:t>Amounts represent stock price appreciation based on normal share price fluctuation as experienced by all Company shareholders.</w:t>
      </w:r>
    </w:p>
    <w:p>
      <w:pPr>
        <w:spacing w:after="0" w:line="97" w:lineRule="exact"/>
        <w:rPr>
          <w:rFonts w:ascii="Arial" w:cs="Arial" w:eastAsia="Arial" w:hAnsi="Arial"/>
          <w:sz w:val="12"/>
          <w:szCs w:val="12"/>
          <w:color w:val="auto"/>
        </w:rPr>
      </w:pPr>
    </w:p>
    <w:p>
      <w:pPr>
        <w:jc w:val="both"/>
        <w:ind w:left="181" w:hanging="181"/>
        <w:spacing w:after="0" w:line="245" w:lineRule="auto"/>
        <w:tabs>
          <w:tab w:leader="none" w:pos="181"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 total current value at December 31, 2013 of the deferred salary of $2,343,312 for Dr. Duroc-Danner was comprised of executive contributions of $781,099 and Company contributions of $1,562,213 that were included as compensation in the Summary Compensation Table in previous years (before 2009). The total current value at December 31, 2013 of the deferred salary of $52,201 for Mr. Mehta was comprised of executive and Company contributions made prior to Mr. Mehta becoming an NEO and are therefore not disclosed herein.</w:t>
      </w:r>
    </w:p>
    <w:p>
      <w:pPr>
        <w:spacing w:after="0" w:line="85" w:lineRule="exact"/>
        <w:rPr>
          <w:rFonts w:ascii="Arial" w:cs="Arial" w:eastAsia="Arial" w:hAnsi="Arial"/>
          <w:sz w:val="12"/>
          <w:szCs w:val="12"/>
          <w:color w:val="auto"/>
        </w:rPr>
      </w:pPr>
    </w:p>
    <w:p>
      <w:pPr>
        <w:ind w:left="181" w:hanging="181"/>
        <w:spacing w:after="0"/>
        <w:tabs>
          <w:tab w:leader="none" w:pos="181" w:val="left"/>
        </w:tabs>
        <w:numPr>
          <w:ilvl w:val="0"/>
          <w:numId w:val="60"/>
        </w:numPr>
        <w:rPr>
          <w:rFonts w:ascii="Arial" w:cs="Arial" w:eastAsia="Arial" w:hAnsi="Arial"/>
          <w:sz w:val="12"/>
          <w:szCs w:val="12"/>
          <w:color w:val="auto"/>
        </w:rPr>
      </w:pPr>
      <w:r>
        <w:rPr>
          <w:rFonts w:ascii="Arial" w:cs="Arial" w:eastAsia="Arial" w:hAnsi="Arial"/>
          <w:sz w:val="12"/>
          <w:szCs w:val="12"/>
          <w:color w:val="auto"/>
        </w:rPr>
        <w:t>Mr. Fontana received a gross distribution of 5,478 shares in 2013 in conjunction with his departure from the Company.</w:t>
      </w:r>
    </w:p>
    <w:p>
      <w:pPr>
        <w:spacing w:after="0" w:line="97" w:lineRule="exact"/>
        <w:rPr>
          <w:rFonts w:ascii="Arial" w:cs="Arial" w:eastAsia="Arial" w:hAnsi="Arial"/>
          <w:sz w:val="12"/>
          <w:szCs w:val="12"/>
          <w:color w:val="auto"/>
        </w:rPr>
      </w:pPr>
    </w:p>
    <w:p>
      <w:pPr>
        <w:ind w:left="181" w:hanging="181"/>
        <w:spacing w:after="0"/>
        <w:tabs>
          <w:tab w:leader="none" w:pos="181" w:val="left"/>
        </w:tabs>
        <w:numPr>
          <w:ilvl w:val="0"/>
          <w:numId w:val="60"/>
        </w:numPr>
        <w:rPr>
          <w:rFonts w:ascii="Arial" w:cs="Arial" w:eastAsia="Arial" w:hAnsi="Arial"/>
          <w:sz w:val="12"/>
          <w:szCs w:val="12"/>
          <w:color w:val="auto"/>
        </w:rPr>
      </w:pPr>
      <w:r>
        <w:rPr>
          <w:rFonts w:ascii="Arial" w:cs="Arial" w:eastAsia="Arial" w:hAnsi="Arial"/>
          <w:sz w:val="12"/>
          <w:szCs w:val="12"/>
          <w:color w:val="auto"/>
        </w:rPr>
        <w:t>Mr. Henry received a gross distribution of 15,222 shares in 2013 in conjunction with his departure from the Company.</w:t>
      </w:r>
    </w:p>
    <w:p>
      <w:pPr>
        <w:spacing w:after="0" w:line="196" w:lineRule="exact"/>
        <w:rPr>
          <w:sz w:val="20"/>
          <w:szCs w:val="20"/>
          <w:color w:val="auto"/>
        </w:rPr>
      </w:pPr>
    </w:p>
    <w:p>
      <w:pPr>
        <w:ind w:left="301" w:hanging="301"/>
        <w:spacing w:after="0"/>
        <w:tabs>
          <w:tab w:leader="none" w:pos="301" w:val="left"/>
        </w:tabs>
        <w:numPr>
          <w:ilvl w:val="0"/>
          <w:numId w:val="61"/>
        </w:numPr>
        <w:rPr>
          <w:rFonts w:ascii="Arial" w:cs="Arial" w:eastAsia="Arial" w:hAnsi="Arial"/>
          <w:sz w:val="12"/>
          <w:szCs w:val="12"/>
          <w:b w:val="1"/>
          <w:bCs w:val="1"/>
          <w:color w:val="auto"/>
        </w:rPr>
      </w:pPr>
      <w:r>
        <w:rPr>
          <w:rFonts w:ascii="Arial" w:cs="Arial" w:eastAsia="Arial" w:hAnsi="Arial"/>
          <w:sz w:val="12"/>
          <w:szCs w:val="12"/>
          <w:color w:val="auto"/>
        </w:rPr>
        <w:t>Weatherford International plc - 2014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8370" cy="203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3" w:right="23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47" w:lineRule="exact"/>
        <w:rPr>
          <w:sz w:val="20"/>
          <w:szCs w:val="20"/>
          <w:color w:val="auto"/>
        </w:rPr>
      </w:pPr>
    </w:p>
    <w:p>
      <w:pPr>
        <w:ind w:left="100" w:right="3180" w:hanging="14"/>
        <w:spacing w:after="0" w:line="248" w:lineRule="auto"/>
        <w:rPr>
          <w:sz w:val="20"/>
          <w:szCs w:val="20"/>
          <w:color w:val="auto"/>
        </w:rPr>
      </w:pPr>
      <w:r>
        <w:rPr>
          <w:rFonts w:ascii="Arial" w:cs="Arial" w:eastAsia="Arial" w:hAnsi="Arial"/>
          <w:sz w:val="40"/>
          <w:szCs w:val="40"/>
          <w:b w:val="1"/>
          <w:bCs w:val="1"/>
          <w:color w:val="BB1131"/>
          <w:highlight w:val="darkGray"/>
        </w:rPr>
        <w:t>AGENDA ITEM 4</w:t>
      </w:r>
      <w:r>
        <w:rPr>
          <w:sz w:val="20"/>
          <w:szCs w:val="20"/>
          <w:color w:val="auto"/>
        </w:rPr>
        <w:t xml:space="preserve"> </w:t>
      </w:r>
      <w:r>
        <w:rPr>
          <w:rFonts w:ascii="Arial" w:cs="Arial" w:eastAsia="Arial" w:hAnsi="Arial"/>
          <w:sz w:val="40"/>
          <w:szCs w:val="40"/>
          <w:b w:val="1"/>
          <w:bCs w:val="1"/>
          <w:color w:val="BB1131"/>
          <w:highlight w:val="darkGray"/>
        </w:rPr>
        <w:t xml:space="preserve">AUTHORIZATION </w:t>
      </w:r>
      <w:r>
        <w:rPr>
          <w:rFonts w:ascii="Arial" w:cs="Arial" w:eastAsia="Arial" w:hAnsi="Arial"/>
          <w:sz w:val="40"/>
          <w:szCs w:val="40"/>
          <w:b w:val="1"/>
          <w:bCs w:val="1"/>
          <w:color w:val="BB1131"/>
        </w:rPr>
        <w:t xml:space="preserve">TO HOLD THE 2015 ANNUAL GENERAL </w:t>
      </w:r>
      <w:r>
        <w:rPr>
          <w:rFonts w:ascii="Arial" w:cs="Arial" w:eastAsia="Arial" w:hAnsi="Arial"/>
          <w:sz w:val="40"/>
          <w:szCs w:val="40"/>
          <w:b w:val="1"/>
          <w:bCs w:val="1"/>
          <w:color w:val="BB1131"/>
          <w:highlight w:val="darkGray"/>
        </w:rPr>
        <w:t xml:space="preserve">MEETING OF SHAREHOLDERS OF WEATHERFORD AT A LOCATION OUTSIDE </w:t>
      </w:r>
      <w:r>
        <w:rPr>
          <w:rFonts w:ascii="Arial" w:cs="Arial" w:eastAsia="Arial" w:hAnsi="Arial"/>
          <w:sz w:val="40"/>
          <w:szCs w:val="40"/>
          <w:b w:val="1"/>
          <w:bCs w:val="1"/>
          <w:color w:val="BB1131"/>
        </w:rPr>
        <w:t>OF 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-883920</wp:posOffset>
            </wp:positionV>
            <wp:extent cx="4899025" cy="28321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899025" cy="2832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-11430</wp:posOffset>
            </wp:positionV>
            <wp:extent cx="1675130" cy="28321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67513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BB1131"/>
        </w:rPr>
        <w:t>The Board of Directors recommends that you vote “FOR” this proposal.</w:t>
      </w:r>
    </w:p>
    <w:p>
      <w:pPr>
        <w:spacing w:after="0" w:line="97"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Under Section 140 of the Irish Companies Act, 1963, and in accordance with Article 48 of the Company's Articles of Association, the shareholders of the Company may authorize the holding of any Annual General Meeting of Shareholders at a location outside of Ireland. The Board may determine to hold the 2015 Annual General Meeting outside of Ireland, and is therefore asking our shareholders to authorize holding the 2015 Annual General Meeting at a location outside of Ireland.</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color w:val="auto"/>
        </w:rPr>
        <w:t>The text of the resolution in respect of Proposal 4 is as follows:</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color w:val="auto"/>
        </w:rPr>
        <w:t>"RESOLVED, that the Annual General Meeting of Shareholders for 2015 may be held at such place outside Ireland as may be determined by the Directors."</w:t>
      </w:r>
    </w:p>
    <w:p>
      <w:pPr>
        <w:spacing w:after="0" w:line="85" w:lineRule="exact"/>
        <w:rPr>
          <w:sz w:val="20"/>
          <w:szCs w:val="20"/>
          <w:color w:val="auto"/>
        </w:rPr>
      </w:pPr>
    </w:p>
    <w:p>
      <w:pPr>
        <w:jc w:val="both"/>
        <w:spacing w:after="0" w:line="275" w:lineRule="auto"/>
        <w:rPr>
          <w:sz w:val="20"/>
          <w:szCs w:val="20"/>
          <w:color w:val="auto"/>
        </w:rPr>
      </w:pPr>
      <w:r>
        <w:rPr>
          <w:rFonts w:ascii="Arial" w:cs="Arial" w:eastAsia="Arial" w:hAnsi="Arial"/>
          <w:sz w:val="12"/>
          <w:szCs w:val="12"/>
          <w:color w:val="auto"/>
        </w:rPr>
        <w:t>An ordinary resolution (</w:t>
      </w:r>
      <w:r>
        <w:rPr>
          <w:rFonts w:ascii="Arial" w:cs="Arial" w:eastAsia="Arial" w:hAnsi="Arial"/>
          <w:sz w:val="12"/>
          <w:szCs w:val="12"/>
          <w:i w:val="1"/>
          <w:iCs w:val="1"/>
          <w:color w:val="auto"/>
        </w:rPr>
        <w:t>i.e.</w:t>
      </w:r>
      <w:r>
        <w:rPr>
          <w:rFonts w:ascii="Arial" w:cs="Arial" w:eastAsia="Arial" w:hAnsi="Arial"/>
          <w:sz w:val="12"/>
          <w:szCs w:val="12"/>
          <w:color w:val="auto"/>
        </w:rPr>
        <w:t>, a simple majority of the votes cast “For” or “Against,” in person or by proxy, provided a quorum is present).is required to approve this proposal. If you properly give a proxy but do not indicate how you wish to vote, the persons named on the proxy card will vote for the proposal. Abstentions and “broker non-votes” will not affect the voting results.</w:t>
      </w:r>
    </w:p>
    <w:p>
      <w:pPr>
        <w:spacing w:after="0" w:line="152"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auto"/>
        </w:rPr>
        <w:t>Weatherford International plc - www.WeatherfordAnnualMeeting.com</w:t>
      </w:r>
      <w:r>
        <w:rPr>
          <w:sz w:val="20"/>
          <w:szCs w:val="20"/>
          <w:color w:val="auto"/>
        </w:rPr>
        <w:tab/>
      </w:r>
      <w:r>
        <w:rPr>
          <w:rFonts w:ascii="Arial" w:cs="Arial" w:eastAsia="Arial" w:hAnsi="Arial"/>
          <w:sz w:val="10"/>
          <w:szCs w:val="10"/>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131445</wp:posOffset>
            </wp:positionV>
            <wp:extent cx="7278370" cy="203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63" w:name="page64"/>
    <w:bookmarkEnd w:id="63"/>
    <w:p>
      <w:pPr>
        <w:ind w:left="1"/>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47" w:lineRule="exact"/>
        <w:rPr>
          <w:sz w:val="20"/>
          <w:szCs w:val="20"/>
          <w:color w:val="auto"/>
        </w:rPr>
      </w:pPr>
    </w:p>
    <w:p>
      <w:pPr>
        <w:ind w:left="101"/>
        <w:spacing w:after="0"/>
        <w:rPr>
          <w:sz w:val="20"/>
          <w:szCs w:val="20"/>
          <w:color w:val="auto"/>
        </w:rPr>
      </w:pPr>
      <w:r>
        <w:rPr>
          <w:rFonts w:ascii="Arial" w:cs="Arial" w:eastAsia="Arial" w:hAnsi="Arial"/>
          <w:sz w:val="40"/>
          <w:szCs w:val="40"/>
          <w:b w:val="1"/>
          <w:bCs w:val="1"/>
          <w:color w:val="BB1131"/>
          <w:highlight w:val="darkGray"/>
        </w:rPr>
        <w:t>OTHER INFORMATION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
        <w:spacing w:after="0"/>
        <w:rPr>
          <w:sz w:val="20"/>
          <w:szCs w:val="20"/>
          <w:color w:val="auto"/>
        </w:rPr>
      </w:pPr>
      <w:r>
        <w:rPr>
          <w:rFonts w:ascii="Arial" w:cs="Arial" w:eastAsia="Arial" w:hAnsi="Arial"/>
          <w:sz w:val="30"/>
          <w:szCs w:val="30"/>
          <w:color w:val="BB1131"/>
        </w:rPr>
        <w:t>Incorporation by reference</w:t>
      </w:r>
    </w:p>
    <w:p>
      <w:pPr>
        <w:spacing w:after="0" w:line="196" w:lineRule="exact"/>
        <w:rPr>
          <w:sz w:val="20"/>
          <w:szCs w:val="20"/>
          <w:color w:val="auto"/>
        </w:rPr>
      </w:pPr>
    </w:p>
    <w:p>
      <w:pPr>
        <w:jc w:val="both"/>
        <w:ind w:left="1"/>
        <w:spacing w:after="0" w:line="243" w:lineRule="auto"/>
        <w:rPr>
          <w:sz w:val="20"/>
          <w:szCs w:val="20"/>
          <w:color w:val="auto"/>
        </w:rPr>
      </w:pPr>
      <w:r>
        <w:rPr>
          <w:rFonts w:ascii="Arial" w:cs="Arial" w:eastAsia="Arial" w:hAnsi="Arial"/>
          <w:sz w:val="12"/>
          <w:szCs w:val="12"/>
          <w:color w:val="auto"/>
        </w:rPr>
        <w:t>The Audit Committee Report and the Compensation Committee Report contained in this proxy statement are not deemed to be soliciting material or filed with the SEC and shall not be deemed incorporated by reference into any prior or future filings we make under the Securities Act of 1933, as amended, or the Exchange Act, except to the extent that we specifically incorporate any of this information by reference. Information contained in or connected to our website is not incorporated by reference into this proxy statement and should not be considered part of this proxy statement or any other filing that we make with the SEC.</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
        <w:spacing w:after="0"/>
        <w:rPr>
          <w:sz w:val="20"/>
          <w:szCs w:val="20"/>
          <w:color w:val="auto"/>
        </w:rPr>
      </w:pPr>
      <w:r>
        <w:rPr>
          <w:rFonts w:ascii="Arial" w:cs="Arial" w:eastAsia="Arial" w:hAnsi="Arial"/>
          <w:sz w:val="30"/>
          <w:szCs w:val="30"/>
          <w:color w:val="BB1131"/>
        </w:rPr>
        <w:t>Section 16(a) beneficial ownership reporting compliance</w:t>
      </w:r>
    </w:p>
    <w:p>
      <w:pPr>
        <w:spacing w:after="0" w:line="196" w:lineRule="exact"/>
        <w:rPr>
          <w:sz w:val="20"/>
          <w:szCs w:val="20"/>
          <w:color w:val="auto"/>
        </w:rPr>
      </w:pPr>
    </w:p>
    <w:p>
      <w:pPr>
        <w:ind w:left="1"/>
        <w:spacing w:after="0"/>
        <w:rPr>
          <w:sz w:val="20"/>
          <w:szCs w:val="20"/>
          <w:color w:val="auto"/>
        </w:rPr>
      </w:pPr>
      <w:r>
        <w:rPr>
          <w:rFonts w:ascii="Arial" w:cs="Arial" w:eastAsia="Arial" w:hAnsi="Arial"/>
          <w:sz w:val="12"/>
          <w:szCs w:val="12"/>
          <w:color w:val="auto"/>
        </w:rPr>
        <w:t>All of our executive officers and directors are required to file initial reports of share ownership and reports of changes in ownership with the SEC pursuant to Section 16(a) of the Exchange Act.</w:t>
      </w:r>
    </w:p>
    <w:p>
      <w:pPr>
        <w:spacing w:after="0" w:line="97"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We have reviewed these reports, including any amendments, and written representations from the executive officers and directors of the Company. Based on this review, we believe that, except as set forth below, all filing requirements were met for the executive officers subject to Section 16(a) and our directors during 2013. Due to an administrative error by Dr. Guillermo Ortiz, a Form 4 that was required to be filed in January 2013 was not filed until April 11, 2013.</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
        <w:spacing w:after="0"/>
        <w:rPr>
          <w:sz w:val="20"/>
          <w:szCs w:val="20"/>
          <w:color w:val="auto"/>
        </w:rPr>
      </w:pPr>
      <w:r>
        <w:rPr>
          <w:rFonts w:ascii="Arial" w:cs="Arial" w:eastAsia="Arial" w:hAnsi="Arial"/>
          <w:sz w:val="30"/>
          <w:szCs w:val="30"/>
          <w:color w:val="BB1131"/>
        </w:rPr>
        <w:t>Proposals by shareholders</w:t>
      </w:r>
    </w:p>
    <w:p>
      <w:pPr>
        <w:spacing w:after="0" w:line="196"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Rule 14a-8 under the Exchange Act addresses when a company must include a shareholder’s proposal in its proxy statement and identify the proposal in its form of proxy when the company holds a meeting of shareholders. Under Rule 14a-8, in order for your proposals to be considered for inclusion in the proxy statement and proxy card relating to our 2015 Annual General Meeting, your proposals must be received by us by January 8, 2015, and must otherwise comply with Rule 14a-8. Any proposal received after such date will be considered untimely.</w:t>
      </w:r>
    </w:p>
    <w:p>
      <w:pPr>
        <w:spacing w:after="0" w:line="85" w:lineRule="exact"/>
        <w:rPr>
          <w:sz w:val="20"/>
          <w:szCs w:val="20"/>
          <w:color w:val="auto"/>
        </w:rPr>
      </w:pPr>
    </w:p>
    <w:p>
      <w:pPr>
        <w:jc w:val="both"/>
        <w:ind w:left="1"/>
        <w:spacing w:after="0" w:line="239" w:lineRule="auto"/>
        <w:rPr>
          <w:sz w:val="20"/>
          <w:szCs w:val="20"/>
          <w:color w:val="auto"/>
        </w:rPr>
      </w:pPr>
      <w:r>
        <w:rPr>
          <w:rFonts w:ascii="Arial" w:cs="Arial" w:eastAsia="Arial" w:hAnsi="Arial"/>
          <w:sz w:val="12"/>
          <w:szCs w:val="12"/>
          <w:color w:val="auto"/>
        </w:rPr>
        <w:t>If you desire to bring a matter before the 2015 Annual General Meeting and the proposal is submitted outside the process of Rule 14a-8, you may use the procedures set forth in our Articles of Association. Our Articles provide that any shareholders together representing not less than 860,000 shares may request for inclusion of an item on the agenda or a nominee. To be timely for an annual general meeting, a shareholder’s notice to the Corporate Secretary as to the business or nominations to be brought before the meeting must be delivered to or mailed and received by the Corporate Secretary at the address specified below not less than 60 calendar days nor more than 90 calendar days before the first anniversary of the notice convening the Company’s annual general meeting for the prior year; provided, however, that in the event that no annual general meeting was held the previous year or the date of the annual general meeting is not within 30 calendar days before or after such anniversary date, a member’s notice in</w:t>
      </w:r>
    </w:p>
    <w:p>
      <w:pPr>
        <w:jc w:val="both"/>
        <w:ind w:left="1"/>
        <w:spacing w:after="0" w:line="205" w:lineRule="auto"/>
        <w:rPr>
          <w:sz w:val="20"/>
          <w:szCs w:val="20"/>
          <w:color w:val="auto"/>
        </w:rPr>
      </w:pPr>
      <w:r>
        <w:rPr>
          <w:rFonts w:ascii="Arial" w:cs="Arial" w:eastAsia="Arial" w:hAnsi="Arial"/>
          <w:sz w:val="12"/>
          <w:szCs w:val="12"/>
          <w:color w:val="auto"/>
        </w:rPr>
        <w:t>order to be timely must be so received not later than the close of business on the 10</w:t>
      </w:r>
      <w:r>
        <w:rPr>
          <w:rFonts w:ascii="Arial" w:cs="Arial" w:eastAsia="Arial" w:hAnsi="Arial"/>
          <w:sz w:val="20"/>
          <w:szCs w:val="20"/>
          <w:color w:val="auto"/>
          <w:vertAlign w:val="superscript"/>
        </w:rPr>
        <w:t>th</w:t>
      </w:r>
      <w:r>
        <w:rPr>
          <w:rFonts w:ascii="Arial" w:cs="Arial" w:eastAsia="Arial" w:hAnsi="Arial"/>
          <w:sz w:val="12"/>
          <w:szCs w:val="12"/>
          <w:color w:val="auto"/>
        </w:rPr>
        <w:t xml:space="preserve"> calendar day after the date on which public announcement or other notification to the shareholders of the date of the contemplated annual general meeting is first made by the Company.</w:t>
      </w:r>
    </w:p>
    <w:p>
      <w:pPr>
        <w:spacing w:after="0" w:line="88"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In no event will the public announcement of an adjournment or postponement of an annual general meeting commence a new time period (or extend any time period) for the giving of a shareholder’s notice. The request must specify the relevant agenda items and motions, together with evidence of the required shareholdings recorded in the share register, as well as any other information that would be required to be included in a proxy statement pursuant to the rules of the SEC.</w:t>
      </w:r>
    </w:p>
    <w:p>
      <w:pPr>
        <w:spacing w:after="0" w:line="85" w:lineRule="exact"/>
        <w:rPr>
          <w:sz w:val="20"/>
          <w:szCs w:val="20"/>
          <w:color w:val="auto"/>
        </w:rPr>
      </w:pPr>
    </w:p>
    <w:p>
      <w:pPr>
        <w:jc w:val="both"/>
        <w:ind w:left="1"/>
        <w:spacing w:after="0" w:line="245" w:lineRule="auto"/>
        <w:rPr>
          <w:sz w:val="20"/>
          <w:szCs w:val="20"/>
          <w:color w:val="auto"/>
        </w:rPr>
      </w:pPr>
      <w:r>
        <w:rPr>
          <w:rFonts w:ascii="Arial" w:cs="Arial" w:eastAsia="Arial" w:hAnsi="Arial"/>
          <w:sz w:val="12"/>
          <w:szCs w:val="12"/>
          <w:color w:val="auto"/>
        </w:rPr>
        <w:t xml:space="preserve">We recommend that any shareholder desiring to make a nomination or submit a proposal for consideration obtain a copy of our Articles of Association. They are available on our website at </w:t>
      </w:r>
      <w:r>
        <w:rPr>
          <w:rFonts w:ascii="Arial" w:cs="Arial" w:eastAsia="Arial" w:hAnsi="Arial"/>
          <w:sz w:val="12"/>
          <w:szCs w:val="12"/>
          <w:i w:val="1"/>
          <w:iCs w:val="1"/>
          <w:color w:val="auto"/>
        </w:rPr>
        <w:t xml:space="preserve">www.weatherford.com, </w:t>
      </w:r>
      <w:r>
        <w:rPr>
          <w:rFonts w:ascii="Arial" w:cs="Arial" w:eastAsia="Arial" w:hAnsi="Arial"/>
          <w:sz w:val="12"/>
          <w:szCs w:val="12"/>
          <w:color w:val="auto"/>
        </w:rPr>
        <w:t>by clicking on “About Weatherford,” then “Corporate Governance,” then “Governing Documents.” Shareholders also may obtain a copy of these documents free of charge by submitting a</w:t>
      </w:r>
      <w:r>
        <w:rPr>
          <w:rFonts w:ascii="Arial" w:cs="Arial" w:eastAsia="Arial" w:hAnsi="Arial"/>
          <w:sz w:val="12"/>
          <w:szCs w:val="12"/>
          <w:i w:val="1"/>
          <w:iCs w:val="1"/>
          <w:color w:val="auto"/>
        </w:rPr>
        <w:t xml:space="preserve"> </w:t>
      </w:r>
      <w:r>
        <w:rPr>
          <w:rFonts w:ascii="Arial" w:cs="Arial" w:eastAsia="Arial" w:hAnsi="Arial"/>
          <w:sz w:val="12"/>
          <w:szCs w:val="12"/>
          <w:color w:val="auto"/>
        </w:rPr>
        <w:t>written request to our Corporate Secretary at Bahnhofstrasse 1, 6340 Baar, Switzerland.</w:t>
      </w:r>
    </w:p>
    <w:p>
      <w:pPr>
        <w:spacing w:after="0" w:line="85" w:lineRule="exact"/>
        <w:rPr>
          <w:sz w:val="20"/>
          <w:szCs w:val="20"/>
          <w:color w:val="auto"/>
        </w:rPr>
      </w:pPr>
    </w:p>
    <w:p>
      <w:pPr>
        <w:ind w:left="1"/>
        <w:spacing w:after="0"/>
        <w:rPr>
          <w:sz w:val="20"/>
          <w:szCs w:val="20"/>
          <w:color w:val="auto"/>
        </w:rPr>
      </w:pPr>
      <w:r>
        <w:rPr>
          <w:rFonts w:ascii="Arial" w:cs="Arial" w:eastAsia="Arial" w:hAnsi="Arial"/>
          <w:sz w:val="12"/>
          <w:szCs w:val="12"/>
          <w:color w:val="auto"/>
        </w:rPr>
        <w:t>Any shareholder proposal (including the nomination of any director), whether or not to be included in our proxy materials, must be sent to our Corporate Secretary at Bahnhofstrasse 1, 6340 Baar, Switzerland.</w:t>
      </w:r>
    </w:p>
    <w:p>
      <w:pPr>
        <w:spacing w:after="0" w:line="196" w:lineRule="exact"/>
        <w:rPr>
          <w:sz w:val="20"/>
          <w:szCs w:val="20"/>
          <w:color w:val="auto"/>
        </w:rPr>
      </w:pPr>
    </w:p>
    <w:p>
      <w:pPr>
        <w:ind w:left="301" w:hanging="301"/>
        <w:spacing w:after="0"/>
        <w:tabs>
          <w:tab w:leader="none" w:pos="301" w:val="left"/>
        </w:tabs>
        <w:numPr>
          <w:ilvl w:val="0"/>
          <w:numId w:val="62"/>
        </w:numPr>
        <w:rPr>
          <w:rFonts w:ascii="Arial" w:cs="Arial" w:eastAsia="Arial" w:hAnsi="Arial"/>
          <w:sz w:val="12"/>
          <w:szCs w:val="12"/>
          <w:b w:val="1"/>
          <w:bCs w:val="1"/>
          <w:color w:val="auto"/>
        </w:rPr>
      </w:pPr>
      <w:r>
        <w:rPr>
          <w:rFonts w:ascii="Arial" w:cs="Arial" w:eastAsia="Arial" w:hAnsi="Arial"/>
          <w:sz w:val="12"/>
          <w:szCs w:val="12"/>
          <w:color w:val="auto"/>
        </w:rPr>
        <w:t>Weatherford International plc - 2014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8370" cy="203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564" w:right="23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ind w:left="10040"/>
        <w:spacing w:after="0"/>
        <w:rPr>
          <w:sz w:val="20"/>
          <w:szCs w:val="20"/>
          <w:color w:val="auto"/>
        </w:rPr>
      </w:pPr>
      <w:r>
        <w:rPr>
          <w:rFonts w:ascii="Arial" w:cs="Arial" w:eastAsia="Arial" w:hAnsi="Arial"/>
          <w:sz w:val="12"/>
          <w:szCs w:val="12"/>
          <w:b w:val="1"/>
          <w:bCs w:val="1"/>
          <w:color w:val="FFFFFF"/>
          <w:shd w:val="clear" w:color="auto" w:fill="BB1131"/>
        </w:rPr>
        <w:t>OTHER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30"/>
          <w:szCs w:val="30"/>
          <w:color w:val="BB1131"/>
        </w:rPr>
        <w:t>Other business</w:t>
      </w:r>
    </w:p>
    <w:p>
      <w:pPr>
        <w:spacing w:after="0" w:line="196"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We know of no other business that will be brought before the Annual General Meeting. Under our Articles, shareholders may only bring business before a general meeting if it is requested within the time limits described above in the section entitled “Proposals by Shareholders” or if it is otherwise provided under Irish law or our Articles. If any other matters are properly presented, the persons named on the enclosed proxy card will vote the shares represented by proxies as they deem advisable.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30"/>
          <w:szCs w:val="30"/>
          <w:color w:val="BB1131"/>
        </w:rPr>
        <w:t>Householding</w:t>
      </w:r>
    </w:p>
    <w:p>
      <w:pPr>
        <w:spacing w:after="0" w:line="196"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The SEC permits a single proxy statement to be sent to any household at which two or more shareholders reside if they appear to be members of the same family. Each shareholder continues to receive a separate proxy card. This procedure, referred to as householding, reduces the volume of duplicate information shareholders receive and reduces mailing and printing expenses. A number of brokerage firms have instituted householding.</w:t>
      </w:r>
    </w:p>
    <w:p>
      <w:pPr>
        <w:spacing w:after="0" w:line="85" w:lineRule="exact"/>
        <w:rPr>
          <w:sz w:val="20"/>
          <w:szCs w:val="20"/>
          <w:color w:val="auto"/>
        </w:rPr>
      </w:pPr>
    </w:p>
    <w:p>
      <w:pPr>
        <w:jc w:val="both"/>
        <w:spacing w:after="0" w:line="241" w:lineRule="auto"/>
        <w:rPr>
          <w:sz w:val="20"/>
          <w:szCs w:val="20"/>
          <w:color w:val="auto"/>
        </w:rPr>
      </w:pPr>
      <w:r>
        <w:rPr>
          <w:rFonts w:ascii="Arial" w:cs="Arial" w:eastAsia="Arial" w:hAnsi="Arial"/>
          <w:sz w:val="12"/>
          <w:szCs w:val="12"/>
          <w:color w:val="auto"/>
        </w:rPr>
        <w:t>As a result, if you hold your shares through a broker and you reside at an address at which two or more shareholders reside, you will likely be receiving only one proxy statement unless any shareholder at that address has given the broker contrary instructions. However, if any such beneficial shareholder residing at such an address wishes to receive a separate proxy statement in the future, or if any such beneficial shareholder that elected to continue to receive separate proxy statement wishes to receive a single proxy statement in the future, that shareholder should contact their broker or send a request to our U.S. Investor Relations Department at 2000 St. James Place, Houston, Texas 77056. Telephone requests may be directed to +1(713) 836-4000. We will deliver, promptly upon written or oral request to our U.S. Investor Relations Department, a separate copy of this proxy statement to a beneficial shareholder at a shared address to which a single copy of the documents was delivered.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30"/>
          <w:szCs w:val="30"/>
          <w:color w:val="BB1131"/>
        </w:rPr>
        <w:t>Additional information available</w:t>
      </w:r>
    </w:p>
    <w:p>
      <w:pPr>
        <w:spacing w:after="0" w:line="196" w:lineRule="exact"/>
        <w:rPr>
          <w:sz w:val="20"/>
          <w:szCs w:val="20"/>
          <w:color w:val="auto"/>
        </w:rPr>
      </w:pPr>
    </w:p>
    <w:p>
      <w:pPr>
        <w:jc w:val="both"/>
        <w:spacing w:after="0" w:line="241" w:lineRule="auto"/>
        <w:rPr>
          <w:sz w:val="20"/>
          <w:szCs w:val="20"/>
          <w:color w:val="auto"/>
        </w:rPr>
      </w:pPr>
      <w:r>
        <w:rPr>
          <w:rFonts w:ascii="Arial" w:cs="Arial" w:eastAsia="Arial" w:hAnsi="Arial"/>
          <w:sz w:val="12"/>
          <w:szCs w:val="12"/>
          <w:color w:val="auto"/>
        </w:rPr>
        <w:t xml:space="preserve">The 2013 Annual Report on Form 10-K and the audited consolidated financial statements of Weatherford Switzerland, our predecessor company, for the year ended December 31, 2013 and accompanying auditors’ reports have been filed with the SEC. Complete copies of these materials are available on our website at </w:t>
      </w:r>
      <w:r>
        <w:rPr>
          <w:rFonts w:ascii="Arial" w:cs="Arial" w:eastAsia="Arial" w:hAnsi="Arial"/>
          <w:sz w:val="12"/>
          <w:szCs w:val="12"/>
          <w:i w:val="1"/>
          <w:iCs w:val="1"/>
          <w:color w:val="auto"/>
        </w:rPr>
        <w:t>www.weatherford.com</w:t>
      </w:r>
      <w:r>
        <w:rPr>
          <w:rFonts w:ascii="Arial" w:cs="Arial" w:eastAsia="Arial" w:hAnsi="Arial"/>
          <w:sz w:val="12"/>
          <w:szCs w:val="12"/>
          <w:color w:val="auto"/>
        </w:rPr>
        <w:t>. Any record shareholder may also obtain a copy of these documents free of charge by contacting our U.S. Investor Relations Department in writing at 2000 St. James Place, Houston, Texas 77056 or by telephone at +1 (713) 836-4000. Copies of any exhibits to Weatherford Switzerland’s Annual Report on Form 10-K also are available upon written request subject to a charge for copying and mailing. If you have any other questions about us, please contact our U.S. Investor Relations Department at the address or phone number above or visit our website.</w:t>
      </w:r>
    </w:p>
    <w:p>
      <w:pPr>
        <w:spacing w:after="0" w:line="172"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August</w:t>
        <w:tab/>
        <w:t>, 2014</w:t>
      </w:r>
    </w:p>
    <w:p>
      <w:pPr>
        <w:spacing w:after="0" w:line="210" w:lineRule="exact"/>
        <w:rPr>
          <w:sz w:val="20"/>
          <w:szCs w:val="20"/>
          <w:color w:val="auto"/>
        </w:rPr>
      </w:pPr>
    </w:p>
    <w:p>
      <w:pPr>
        <w:ind w:left="9560"/>
        <w:spacing w:after="0"/>
        <w:rPr>
          <w:sz w:val="20"/>
          <w:szCs w:val="20"/>
          <w:color w:val="auto"/>
        </w:rPr>
      </w:pPr>
      <w:r>
        <w:rPr>
          <w:rFonts w:ascii="Arial" w:cs="Arial" w:eastAsia="Arial" w:hAnsi="Arial"/>
          <w:sz w:val="12"/>
          <w:szCs w:val="12"/>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6408420</wp:posOffset>
            </wp:positionH>
            <wp:positionV relativeFrom="paragraph">
              <wp:posOffset>125095</wp:posOffset>
            </wp:positionV>
            <wp:extent cx="848995" cy="18859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48995" cy="18859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440"/>
        <w:spacing w:after="0"/>
        <w:rPr>
          <w:sz w:val="20"/>
          <w:szCs w:val="20"/>
          <w:color w:val="auto"/>
        </w:rPr>
      </w:pPr>
      <w:r>
        <w:rPr>
          <w:rFonts w:ascii="Arial" w:cs="Arial" w:eastAsia="Arial" w:hAnsi="Arial"/>
          <w:sz w:val="12"/>
          <w:szCs w:val="12"/>
          <w:i w:val="1"/>
          <w:iCs w:val="1"/>
          <w:color w:val="auto"/>
        </w:rPr>
        <w:t>Dianne B. Ralston</w:t>
      </w:r>
    </w:p>
    <w:p>
      <w:pPr>
        <w:spacing w:after="0" w:line="10" w:lineRule="exact"/>
        <w:rPr>
          <w:sz w:val="20"/>
          <w:szCs w:val="20"/>
          <w:color w:val="auto"/>
        </w:rPr>
      </w:pPr>
    </w:p>
    <w:p>
      <w:pPr>
        <w:ind w:left="10320"/>
        <w:spacing w:after="0"/>
        <w:rPr>
          <w:sz w:val="20"/>
          <w:szCs w:val="20"/>
          <w:color w:val="auto"/>
        </w:rPr>
      </w:pPr>
      <w:r>
        <w:rPr>
          <w:rFonts w:ascii="Arial" w:cs="Arial" w:eastAsia="Arial" w:hAnsi="Arial"/>
          <w:sz w:val="12"/>
          <w:szCs w:val="12"/>
          <w:i w:val="1"/>
          <w:iCs w:val="1"/>
          <w:color w:val="auto"/>
        </w:rPr>
        <w:t>Corporate Secretary</w:t>
      </w:r>
    </w:p>
    <w:p>
      <w:pPr>
        <w:spacing w:after="0" w:line="182"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auto"/>
        </w:rPr>
        <w:t>Weatherford International plc - www.WeatherfordAnnualMeeting.com</w:t>
      </w:r>
      <w:r>
        <w:rPr>
          <w:sz w:val="20"/>
          <w:szCs w:val="20"/>
          <w:color w:val="auto"/>
        </w:rPr>
        <w:tab/>
      </w:r>
      <w:r>
        <w:rPr>
          <w:rFonts w:ascii="Arial" w:cs="Arial" w:eastAsia="Arial" w:hAnsi="Arial"/>
          <w:sz w:val="10"/>
          <w:szCs w:val="10"/>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131445</wp:posOffset>
            </wp:positionV>
            <wp:extent cx="7278370" cy="203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300" w:right="1379"/>
        <w:spacing w:after="0" w:line="303" w:lineRule="auto"/>
        <w:rPr>
          <w:sz w:val="20"/>
          <w:szCs w:val="20"/>
          <w:color w:val="auto"/>
        </w:rPr>
      </w:pPr>
      <w:r>
        <w:rPr>
          <w:rFonts w:ascii="Arial" w:cs="Arial" w:eastAsia="Arial" w:hAnsi="Arial"/>
          <w:sz w:val="16"/>
          <w:szCs w:val="16"/>
          <w:color w:val="auto"/>
        </w:rPr>
        <w:t>The improved formatting of our Proxy Statement has reduced the number of pages we print, conserving the following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120015</wp:posOffset>
            </wp:positionV>
            <wp:extent cx="306705" cy="34607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06705" cy="34607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17 tons of wood, the equivalent of 78 trees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27940</wp:posOffset>
            </wp:positionV>
            <wp:extent cx="227965" cy="2749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27965" cy="274955"/>
                    </a:xfrm>
                    <a:prstGeom prst="rect">
                      <a:avLst/>
                    </a:prstGeom>
                    <a:noFill/>
                  </pic:spPr>
                </pic:pic>
              </a:graphicData>
            </a:graphic>
          </wp:anchor>
        </w:drawing>
      </w:r>
    </w:p>
    <w:p>
      <w:pPr>
        <w:spacing w:after="0" w:line="68"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63 million fewer BTUs, enough energy to operate</w:t>
      </w:r>
    </w:p>
    <w:p>
      <w:pPr>
        <w:spacing w:after="0" w:line="22"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one American home for 253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0</wp:posOffset>
            </wp:positionV>
            <wp:extent cx="251460" cy="5975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51460" cy="597535"/>
                    </a:xfrm>
                    <a:prstGeom prst="rect">
                      <a:avLst/>
                    </a:prstGeom>
                    <a:noFill/>
                  </pic:spPr>
                </pic:pic>
              </a:graphicData>
            </a:graphic>
          </wp:anchor>
        </w:drawing>
      </w:r>
    </w:p>
    <w:p>
      <w:pPr>
        <w:spacing w:after="0" w:line="234"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44,318 fewer gallons of water</w:t>
      </w:r>
    </w:p>
    <w:p>
      <w:pPr>
        <w:spacing w:after="0" w:line="274"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3,727 fewer pounds of solid waste</w:t>
      </w:r>
    </w:p>
    <w:p>
      <w:pPr>
        <w:spacing w:after="0" w:line="282" w:lineRule="exact"/>
        <w:rPr>
          <w:sz w:val="20"/>
          <w:szCs w:val="20"/>
          <w:color w:val="auto"/>
        </w:rPr>
      </w:pPr>
    </w:p>
    <w:p>
      <w:pPr>
        <w:ind w:left="2300" w:right="1519"/>
        <w:spacing w:after="0" w:line="303" w:lineRule="auto"/>
        <w:rPr>
          <w:sz w:val="20"/>
          <w:szCs w:val="20"/>
          <w:color w:val="auto"/>
        </w:rPr>
      </w:pPr>
      <w:r>
        <w:rPr>
          <w:rFonts w:ascii="Arial" w:cs="Arial" w:eastAsia="Arial" w:hAnsi="Arial"/>
          <w:sz w:val="16"/>
          <w:szCs w:val="16"/>
          <w:color w:val="auto"/>
        </w:rPr>
        <w:t xml:space="preserve">Environmental impact estimates calculated using the Environmental Paper Network Paper Calculator. For more information visit </w:t>
      </w:r>
      <w:r>
        <w:rPr>
          <w:rFonts w:ascii="Arial" w:cs="Arial" w:eastAsia="Arial" w:hAnsi="Arial"/>
          <w:sz w:val="16"/>
          <w:szCs w:val="16"/>
          <w:b w:val="1"/>
          <w:bCs w:val="1"/>
          <w:color w:val="auto"/>
        </w:rPr>
        <w:t>www.papercalculator.org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180340</wp:posOffset>
            </wp:positionV>
            <wp:extent cx="7278370" cy="203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219"/>
          </w:cols>
          <w:pgMar w:left="240" w:top="563" w:right="1440"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1777365" cy="8572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777365" cy="85725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3040"/>
        <w:spacing w:after="0"/>
        <w:rPr>
          <w:sz w:val="20"/>
          <w:szCs w:val="20"/>
          <w:color w:val="auto"/>
        </w:rPr>
      </w:pPr>
      <w:r>
        <w:rPr>
          <w:rFonts w:ascii="Arial" w:cs="Arial" w:eastAsia="Arial" w:hAnsi="Arial"/>
          <w:sz w:val="40"/>
          <w:szCs w:val="40"/>
          <w:b w:val="1"/>
          <w:bCs w:val="1"/>
          <w:color w:val="BB1131"/>
        </w:rPr>
        <w:t>Learn more about Weatherford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left="1400"/>
        <w:spacing w:after="0" w:line="377" w:lineRule="auto"/>
        <w:rPr>
          <w:sz w:val="20"/>
          <w:szCs w:val="20"/>
          <w:color w:val="auto"/>
        </w:rPr>
      </w:pPr>
      <w:r>
        <w:rPr>
          <w:rFonts w:ascii="Arial" w:cs="Arial" w:eastAsia="Arial" w:hAnsi="Arial"/>
          <w:sz w:val="40"/>
          <w:szCs w:val="40"/>
          <w:b w:val="1"/>
          <w:bCs w:val="1"/>
          <w:color w:val="auto"/>
        </w:rPr>
        <w:t>Please visit our Annual General Meeting website www.WeatherfordAnnualMeeting.com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1689735</wp:posOffset>
            </wp:positionH>
            <wp:positionV relativeFrom="paragraph">
              <wp:posOffset>1221105</wp:posOffset>
            </wp:positionV>
            <wp:extent cx="5567045" cy="550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567045" cy="550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140"/>
        <w:spacing w:after="0"/>
        <w:rPr>
          <w:sz w:val="20"/>
          <w:szCs w:val="20"/>
          <w:color w:val="auto"/>
        </w:rPr>
      </w:pPr>
      <w:r>
        <w:rPr>
          <w:sz w:val="1"/>
          <w:szCs w:val="1"/>
          <w:color w:val="auto"/>
        </w:rPr>
        <w:drawing>
          <wp:inline distT="0" distB="0" distL="0" distR="0">
            <wp:extent cx="455930" cy="212090"/>
            <wp:effectExtent l="0" t="0" r="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55930" cy="212090"/>
                    </a:xfrm>
                    <a:prstGeom prst="rect">
                      <a:avLst/>
                    </a:prstGeom>
                    <a:noFill/>
                    <a:ln>
                      <a:noFill/>
                    </a:ln>
                  </pic:spPr>
                </pic:pic>
              </a:graphicData>
            </a:graphic>
          </wp:inline>
        </w:drawing>
      </w:r>
      <w:r>
        <w:rPr>
          <w:rFonts w:ascii="Arial" w:cs="Arial" w:eastAsia="Arial" w:hAnsi="Arial"/>
          <w:sz w:val="16"/>
          <w:szCs w:val="16"/>
          <w:color w:val="auto"/>
        </w:rPr>
        <w:t xml:space="preserve"> youtube.com/weatherfordcorp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1996440</wp:posOffset>
            </wp:positionH>
            <wp:positionV relativeFrom="paragraph">
              <wp:posOffset>141605</wp:posOffset>
            </wp:positionV>
            <wp:extent cx="299085" cy="29908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99085" cy="299085"/>
                    </a:xfrm>
                    <a:prstGeom prst="rect">
                      <a:avLst/>
                    </a:prstGeom>
                    <a:noFill/>
                  </pic:spPr>
                </pic:pic>
              </a:graphicData>
            </a:graphic>
          </wp:anchor>
        </w:drawing>
      </w:r>
    </w:p>
    <w:p>
      <w:pPr>
        <w:spacing w:after="0" w:line="342" w:lineRule="exact"/>
        <w:rPr>
          <w:sz w:val="20"/>
          <w:szCs w:val="20"/>
          <w:color w:val="auto"/>
        </w:rPr>
      </w:pPr>
    </w:p>
    <w:p>
      <w:pPr>
        <w:ind w:left="3920"/>
        <w:spacing w:after="0"/>
        <w:rPr>
          <w:sz w:val="20"/>
          <w:szCs w:val="20"/>
          <w:color w:val="auto"/>
        </w:rPr>
      </w:pPr>
      <w:r>
        <w:rPr>
          <w:rFonts w:ascii="Arial" w:cs="Arial" w:eastAsia="Arial" w:hAnsi="Arial"/>
          <w:sz w:val="16"/>
          <w:szCs w:val="16"/>
          <w:color w:val="auto"/>
        </w:rPr>
        <w:t>facebook.com/weatherfordcorp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1996440</wp:posOffset>
            </wp:positionH>
            <wp:positionV relativeFrom="paragraph">
              <wp:posOffset>234950</wp:posOffset>
            </wp:positionV>
            <wp:extent cx="290830" cy="29083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90830" cy="29083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3920"/>
        <w:spacing w:after="0"/>
        <w:rPr>
          <w:sz w:val="20"/>
          <w:szCs w:val="20"/>
          <w:color w:val="auto"/>
        </w:rPr>
      </w:pPr>
      <w:r>
        <w:rPr>
          <w:rFonts w:ascii="Arial" w:cs="Arial" w:eastAsia="Arial" w:hAnsi="Arial"/>
          <w:sz w:val="16"/>
          <w:szCs w:val="16"/>
          <w:color w:val="auto"/>
        </w:rPr>
        <w:t>twitter.com/weatherfordcorp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1996440</wp:posOffset>
            </wp:positionH>
            <wp:positionV relativeFrom="paragraph">
              <wp:posOffset>234950</wp:posOffset>
            </wp:positionV>
            <wp:extent cx="299085" cy="29083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99085" cy="29083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3920"/>
        <w:spacing w:after="0"/>
        <w:rPr>
          <w:sz w:val="20"/>
          <w:szCs w:val="20"/>
          <w:color w:val="auto"/>
        </w:rPr>
      </w:pPr>
      <w:r>
        <w:rPr>
          <w:rFonts w:ascii="Arial" w:cs="Arial" w:eastAsia="Arial" w:hAnsi="Arial"/>
          <w:sz w:val="16"/>
          <w:szCs w:val="16"/>
          <w:color w:val="auto"/>
        </w:rPr>
        <w:t>linkedin.com/company/weatherford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440"/>
        <w:spacing w:after="0"/>
        <w:rPr>
          <w:sz w:val="20"/>
          <w:szCs w:val="20"/>
          <w:color w:val="auto"/>
        </w:rPr>
      </w:pPr>
      <w:r>
        <w:rPr>
          <w:rFonts w:ascii="Arial" w:cs="Arial" w:eastAsia="Arial" w:hAnsi="Arial"/>
          <w:sz w:val="12"/>
          <w:szCs w:val="12"/>
          <w:i w:val="1"/>
          <w:iCs w:val="1"/>
          <w:color w:val="auto"/>
        </w:rPr>
        <w:t>Core Sample, Weatherford Laboratories Evaluation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1199515</wp:posOffset>
            </wp:positionV>
            <wp:extent cx="7278370" cy="203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78370" cy="20320"/>
                    </a:xfrm>
                    <a:prstGeom prst="rect">
                      <a:avLst/>
                    </a:prstGeom>
                    <a:noFill/>
                  </pic:spPr>
                </pic:pic>
              </a:graphicData>
            </a:graphic>
          </wp:anchor>
        </w:drawing>
        <w:drawing>
          <wp:anchor simplePos="0" relativeHeight="251657728" behindDoc="1" locked="0" layoutInCell="0" allowOverlap="1">
            <wp:simplePos x="0" y="0"/>
            <wp:positionH relativeFrom="column">
              <wp:posOffset>809625</wp:posOffset>
            </wp:positionH>
            <wp:positionV relativeFrom="paragraph">
              <wp:posOffset>6985</wp:posOffset>
            </wp:positionV>
            <wp:extent cx="5645785" cy="9906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645785" cy="990600"/>
                    </a:xfrm>
                    <a:prstGeom prst="rect">
                      <a:avLst/>
                    </a:prstGeom>
                    <a:noFill/>
                  </pic:spPr>
                </pic:pic>
              </a:graphicData>
            </a:graphic>
          </wp:anchor>
        </w:drawing>
      </w:r>
    </w:p>
    <w:p>
      <w:pPr>
        <w:sectPr>
          <w:pgSz w:w="11900" w:h="16838" w:orient="portrait"/>
          <w:cols w:equalWidth="0" w:num="1">
            <w:col w:w="10280"/>
          </w:cols>
          <w:pgMar w:left="240" w:top="563" w:right="1379" w:bottom="1440" w:gutter="0" w:footer="0" w:header="0"/>
        </w:sectPr>
      </w:pPr>
    </w:p>
    <w:bookmarkStart w:id="67" w:name="page68"/>
    <w:bookmarkEnd w:id="67"/>
    <w:p>
      <w:pPr>
        <w:spacing w:after="0"/>
        <w:rPr>
          <w:rFonts w:ascii="Arial" w:cs="Arial" w:eastAsia="Arial" w:hAnsi="Arial"/>
          <w:sz w:val="15"/>
          <w:szCs w:val="15"/>
          <w:u w:val="single" w:color="auto"/>
          <w:color w:val="0000EE"/>
        </w:rPr>
      </w:pPr>
      <w:hyperlink w:anchor="page18">
        <w:r>
          <w:rPr>
            <w:rFonts w:ascii="Arial" w:cs="Arial" w:eastAsia="Arial" w:hAnsi="Arial"/>
            <w:sz w:val="15"/>
            <w:szCs w:val="15"/>
            <w:u w:val="single" w:color="auto"/>
            <w:color w:val="0000EE"/>
          </w:rPr>
          <w:t>Table of Contents</w:t>
        </w:r>
      </w:hyperlink>
    </w:p>
    <w:p>
      <w:pPr>
        <w:sectPr>
          <w:pgSz w:w="11900" w:h="16838" w:orient="portrait"/>
          <w:cols w:equalWidth="0" w:num="1">
            <w:col w:w="11520"/>
          </w:cols>
          <w:pgMar w:left="240" w:top="563" w:right="139" w:bottom="1440" w:gutter="0" w:footer="0" w:header="0"/>
        </w:sectPr>
      </w:pPr>
    </w:p>
    <w:p>
      <w:pPr>
        <w:spacing w:after="0" w:line="194"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WEATHERFORD INTERNATIONAL PLC</w:t>
      </w:r>
    </w:p>
    <w:p>
      <w:pPr>
        <w:spacing w:after="0" w:line="10"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ATTN: Dianne B. Ralston</w:t>
      </w:r>
    </w:p>
    <w:p>
      <w:pPr>
        <w:ind w:left="300"/>
        <w:spacing w:after="0" w:line="236" w:lineRule="auto"/>
        <w:rPr>
          <w:sz w:val="20"/>
          <w:szCs w:val="20"/>
          <w:color w:val="auto"/>
        </w:rPr>
      </w:pPr>
      <w:r>
        <w:rPr>
          <w:rFonts w:ascii="Arial" w:cs="Arial" w:eastAsia="Arial" w:hAnsi="Arial"/>
          <w:sz w:val="12"/>
          <w:szCs w:val="12"/>
          <w:b w:val="1"/>
          <w:bCs w:val="1"/>
          <w:i w:val="1"/>
          <w:iCs w:val="1"/>
          <w:color w:val="auto"/>
        </w:rPr>
        <w:t>2000 ST. JAMES PLACE</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HOUSTON, TX 77056</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VOTE BY INTERNET - </w:t>
      </w:r>
      <w:r>
        <w:rPr>
          <w:rFonts w:ascii="Arial" w:cs="Arial" w:eastAsia="Arial" w:hAnsi="Arial"/>
          <w:sz w:val="12"/>
          <w:szCs w:val="12"/>
          <w:b w:val="1"/>
          <w:bCs w:val="1"/>
          <w:color w:val="auto"/>
        </w:rPr>
        <w:t>www.proxyvote.com</w:t>
      </w:r>
    </w:p>
    <w:p>
      <w:pPr>
        <w:spacing w:after="0" w:line="10" w:lineRule="exact"/>
        <w:rPr>
          <w:sz w:val="20"/>
          <w:szCs w:val="20"/>
          <w:color w:val="auto"/>
        </w:rPr>
      </w:pPr>
    </w:p>
    <w:p>
      <w:pPr>
        <w:jc w:val="both"/>
        <w:spacing w:after="0" w:line="241" w:lineRule="auto"/>
        <w:rPr>
          <w:sz w:val="20"/>
          <w:szCs w:val="20"/>
          <w:color w:val="auto"/>
        </w:rPr>
      </w:pPr>
      <w:r>
        <w:rPr>
          <w:rFonts w:ascii="Arial" w:cs="Arial" w:eastAsia="Arial" w:hAnsi="Arial"/>
          <w:sz w:val="12"/>
          <w:szCs w:val="12"/>
          <w:color w:val="auto"/>
        </w:rPr>
        <w:t>Use the Internet to transmit your voting instructions and for electronic delivery of informa up until 5:59 a.m. Central European Time on September 23, 2014 (11:59 p.m. New York t on September 22, 2014). Have your proxy card in hand when you access the web site follow the instructions to obtain your records and to create an electronic voting instruc form.</w:t>
      </w:r>
    </w:p>
    <w:p>
      <w:pPr>
        <w:spacing w:after="0" w:line="26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PHONE - 1-800-690-6903</w:t>
      </w:r>
    </w:p>
    <w:p>
      <w:pPr>
        <w:spacing w:after="0" w:line="10"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Use any touch-tone telephone to transmit your voting instructions up until 5:59 a.m. Cen European Time on September 23, 2014 (11:59 p.m. New York time on September 22, 20 Have your proxy card in hand when you call and then follow the instructions.</w:t>
      </w:r>
    </w:p>
    <w:p>
      <w:pPr>
        <w:spacing w:after="0" w:line="124" w:lineRule="exact"/>
        <w:rPr>
          <w:sz w:val="20"/>
          <w:szCs w:val="20"/>
          <w:color w:val="auto"/>
        </w:rPr>
      </w:pPr>
    </w:p>
    <w:p>
      <w:pPr>
        <w:sectPr>
          <w:pgSz w:w="11900" w:h="16838" w:orient="portrait"/>
          <w:cols w:equalWidth="0" w:num="2">
            <w:col w:w="5860" w:space="720"/>
            <w:col w:w="4940"/>
          </w:cols>
          <w:pgMar w:left="240" w:top="563" w:right="139" w:bottom="1440" w:gutter="0" w:footer="0" w:header="0"/>
          <w:type w:val="continuous"/>
        </w:sectPr>
      </w:pPr>
    </w:p>
    <w:p>
      <w:pPr>
        <w:ind w:left="6580"/>
        <w:spacing w:after="0"/>
        <w:rPr>
          <w:sz w:val="20"/>
          <w:szCs w:val="20"/>
          <w:color w:val="auto"/>
        </w:rPr>
      </w:pPr>
      <w:r>
        <w:rPr>
          <w:rFonts w:ascii="Arial" w:cs="Arial" w:eastAsia="Arial" w:hAnsi="Arial"/>
          <w:sz w:val="13"/>
          <w:szCs w:val="13"/>
          <w:b w:val="1"/>
          <w:bCs w:val="1"/>
          <w:color w:val="auto"/>
        </w:rPr>
        <w:t>VOTE BY MAIL</w:t>
      </w:r>
    </w:p>
    <w:p>
      <w:pPr>
        <w:spacing w:after="0" w:line="8" w:lineRule="exact"/>
        <w:rPr>
          <w:sz w:val="20"/>
          <w:szCs w:val="20"/>
          <w:color w:val="auto"/>
        </w:rPr>
      </w:pPr>
    </w:p>
    <w:p>
      <w:pPr>
        <w:ind w:left="6580"/>
        <w:spacing w:after="0"/>
        <w:rPr>
          <w:sz w:val="20"/>
          <w:szCs w:val="20"/>
          <w:color w:val="auto"/>
        </w:rPr>
      </w:pPr>
      <w:r>
        <w:rPr>
          <w:rFonts w:ascii="Arial" w:cs="Arial" w:eastAsia="Arial" w:hAnsi="Arial"/>
          <w:sz w:val="12"/>
          <w:szCs w:val="12"/>
          <w:color w:val="auto"/>
        </w:rPr>
        <w:t>Mark, sign and date your proxy card and return it in the postage-paid envelope we h</w:t>
      </w:r>
    </w:p>
    <w:p>
      <w:pPr>
        <w:ind w:left="6580"/>
        <w:spacing w:after="0" w:line="236" w:lineRule="auto"/>
        <w:rPr>
          <w:sz w:val="20"/>
          <w:szCs w:val="20"/>
          <w:color w:val="auto"/>
        </w:rPr>
      </w:pPr>
      <w:r>
        <w:rPr>
          <w:rFonts w:ascii="Arial" w:cs="Arial" w:eastAsia="Arial" w:hAnsi="Arial"/>
          <w:sz w:val="12"/>
          <w:szCs w:val="12"/>
          <w:color w:val="auto"/>
        </w:rPr>
        <w:t>provided or return it to Vote Processing, c/o Broadridge, 51 Mercedes Way, Edgewood,</w:t>
      </w:r>
    </w:p>
    <w:p>
      <w:pPr>
        <w:spacing w:after="0" w:line="1" w:lineRule="exact"/>
        <w:rPr>
          <w:sz w:val="20"/>
          <w:szCs w:val="20"/>
          <w:color w:val="auto"/>
        </w:rPr>
      </w:pPr>
    </w:p>
    <w:p>
      <w:pPr>
        <w:ind w:left="6580"/>
        <w:spacing w:after="0"/>
        <w:rPr>
          <w:sz w:val="20"/>
          <w:szCs w:val="20"/>
          <w:color w:val="auto"/>
        </w:rPr>
      </w:pPr>
      <w:r>
        <w:rPr>
          <w:rFonts w:ascii="Arial" w:cs="Arial" w:eastAsia="Arial" w:hAnsi="Arial"/>
          <w:sz w:val="12"/>
          <w:szCs w:val="12"/>
          <w:color w:val="auto"/>
        </w:rPr>
        <w:t>11717.</w:t>
      </w:r>
    </w:p>
    <w:p>
      <w:pPr>
        <w:spacing w:after="0" w:line="4" w:lineRule="exact"/>
        <w:rPr>
          <w:sz w:val="20"/>
          <w:szCs w:val="20"/>
          <w:color w:val="auto"/>
        </w:rPr>
      </w:pPr>
    </w:p>
    <w:p>
      <w:pPr>
        <w:ind w:left="320"/>
        <w:spacing w:after="0"/>
        <w:tabs>
          <w:tab w:leader="none" w:pos="4780" w:val="left"/>
        </w:tabs>
        <w:rPr>
          <w:sz w:val="20"/>
          <w:szCs w:val="20"/>
          <w:color w:val="auto"/>
        </w:rPr>
      </w:pPr>
      <w:r>
        <w:rPr>
          <w:rFonts w:ascii="Arial" w:cs="Arial" w:eastAsia="Arial" w:hAnsi="Arial"/>
          <w:sz w:val="12"/>
          <w:szCs w:val="12"/>
          <w:color w:val="auto"/>
        </w:rPr>
        <w:t>TO VOTE, MARK BLOCKS BELOW IN BLUE OR BLACK INK AS FOLLOWS:</w:t>
      </w:r>
      <w:r>
        <w:rPr>
          <w:sz w:val="20"/>
          <w:szCs w:val="20"/>
          <w:color w:val="auto"/>
        </w:rPr>
        <w:tab/>
      </w:r>
      <w:r>
        <w:rPr>
          <w:rFonts w:ascii="Arial" w:cs="Arial" w:eastAsia="Arial" w:hAnsi="Arial"/>
          <w:sz w:val="14"/>
          <w:szCs w:val="14"/>
          <w:b w:val="1"/>
          <w:bCs w:val="1"/>
          <w:color w:val="auto"/>
        </w:rPr>
        <w:t>x</w:t>
      </w:r>
    </w:p>
    <w:p>
      <w:pPr>
        <w:spacing w:after="0" w:line="44" w:lineRule="exact"/>
        <w:rPr>
          <w:sz w:val="20"/>
          <w:szCs w:val="20"/>
          <w:color w:val="auto"/>
        </w:rPr>
      </w:pPr>
    </w:p>
    <w:p>
      <w:pPr>
        <w:ind w:left="8840"/>
        <w:spacing w:after="0"/>
        <w:rPr>
          <w:sz w:val="20"/>
          <w:szCs w:val="20"/>
          <w:color w:val="auto"/>
        </w:rPr>
      </w:pPr>
      <w:r>
        <w:rPr>
          <w:rFonts w:ascii="Arial" w:cs="Arial" w:eastAsia="Arial" w:hAnsi="Arial"/>
          <w:sz w:val="12"/>
          <w:szCs w:val="12"/>
          <w:color w:val="auto"/>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5325745</wp:posOffset>
            </wp:positionH>
            <wp:positionV relativeFrom="paragraph">
              <wp:posOffset>-12700</wp:posOffset>
            </wp:positionV>
            <wp:extent cx="1944370" cy="330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944370" cy="33020"/>
                    </a:xfrm>
                    <a:prstGeom prst="rect">
                      <a:avLst/>
                    </a:prstGeom>
                    <a:noFill/>
                  </pic:spPr>
                </pic:pic>
              </a:graphicData>
            </a:graphic>
          </wp:anchor>
        </w:drawing>
      </w:r>
    </w:p>
    <w:p>
      <w:pPr>
        <w:ind w:left="8640"/>
        <w:spacing w:after="0"/>
        <w:rPr>
          <w:sz w:val="20"/>
          <w:szCs w:val="20"/>
          <w:color w:val="auto"/>
        </w:rPr>
      </w:pPr>
      <w:r>
        <w:rPr>
          <w:rFonts w:ascii="Arial" w:cs="Arial" w:eastAsia="Arial" w:hAnsi="Arial"/>
          <w:sz w:val="13"/>
          <w:szCs w:val="13"/>
          <w:color w:val="auto"/>
        </w:rPr>
        <w:t>DETACH AND RETURN THIS PORTION ONLY</w:t>
      </w:r>
    </w:p>
    <w:p>
      <w:pPr>
        <w:jc w:val="center"/>
        <w:ind w:left="380"/>
        <w:spacing w:after="0"/>
        <w:rPr>
          <w:sz w:val="20"/>
          <w:szCs w:val="20"/>
          <w:color w:val="auto"/>
        </w:rPr>
      </w:pPr>
      <w:r>
        <w:rPr>
          <w:rFonts w:ascii="Arial" w:cs="Arial" w:eastAsia="Arial" w:hAnsi="Arial"/>
          <w:sz w:val="13"/>
          <w:szCs w:val="13"/>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1905</wp:posOffset>
            </wp:positionV>
            <wp:extent cx="7090410" cy="349631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090410" cy="3496310"/>
                    </a:xfrm>
                    <a:prstGeom prst="rect">
                      <a:avLst/>
                    </a:prstGeom>
                    <a:noFill/>
                  </pic:spPr>
                </pic:pic>
              </a:graphicData>
            </a:graphic>
          </wp:anchor>
        </w:drawing>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3"/>
          <w:szCs w:val="13"/>
          <w:b w:val="1"/>
          <w:bCs w:val="1"/>
          <w:color w:val="auto"/>
        </w:rPr>
        <w:t>The Board of Directors recommends you vote FOR</w:t>
      </w:r>
    </w:p>
    <w:p>
      <w:pPr>
        <w:spacing w:after="0" w:line="15" w:lineRule="exact"/>
        <w:rPr>
          <w:sz w:val="20"/>
          <w:szCs w:val="20"/>
          <w:color w:val="auto"/>
        </w:rPr>
      </w:pPr>
    </w:p>
    <w:p>
      <w:pPr>
        <w:ind w:left="600"/>
        <w:spacing w:after="0"/>
        <w:rPr>
          <w:sz w:val="20"/>
          <w:szCs w:val="20"/>
          <w:color w:val="auto"/>
        </w:rPr>
      </w:pPr>
      <w:r>
        <w:rPr>
          <w:rFonts w:ascii="Arial" w:cs="Arial" w:eastAsia="Arial" w:hAnsi="Arial"/>
          <w:sz w:val="13"/>
          <w:szCs w:val="13"/>
          <w:b w:val="1"/>
          <w:bCs w:val="1"/>
          <w:color w:val="auto"/>
        </w:rPr>
        <w:t>the following:</w:t>
      </w:r>
    </w:p>
    <w:p>
      <w:pPr>
        <w:spacing w:after="0" w:line="342" w:lineRule="exact"/>
        <w:rPr>
          <w:sz w:val="20"/>
          <w:szCs w:val="20"/>
          <w:color w:val="auto"/>
        </w:rPr>
      </w:pPr>
    </w:p>
    <w:tbl>
      <w:tblPr>
        <w:tblLayout w:type="fixed"/>
        <w:tblInd w:w="600" w:type="dxa"/>
        <w:tblCellMar>
          <w:top w:w="0" w:type="dxa"/>
          <w:left w:w="0" w:type="dxa"/>
          <w:bottom w:w="0" w:type="dxa"/>
          <w:right w:w="0" w:type="dxa"/>
        </w:tblCellMar>
      </w:tblPr>
      <w:tr>
        <w:trPr>
          <w:trHeight w:val="173"/>
        </w:trPr>
        <w:tc>
          <w:tcPr>
            <w:tcW w:w="200" w:type="dxa"/>
            <w:vAlign w:val="bottom"/>
          </w:tcPr>
          <w:p>
            <w:pPr>
              <w:spacing w:after="0"/>
              <w:rPr>
                <w:sz w:val="20"/>
                <w:szCs w:val="20"/>
                <w:color w:val="auto"/>
              </w:rPr>
            </w:pPr>
            <w:r>
              <w:rPr>
                <w:rFonts w:ascii="Arial" w:cs="Arial" w:eastAsia="Arial" w:hAnsi="Arial"/>
                <w:sz w:val="13"/>
                <w:szCs w:val="13"/>
                <w:color w:val="auto"/>
              </w:rPr>
              <w:t>1.</w:t>
            </w:r>
          </w:p>
        </w:tc>
        <w:tc>
          <w:tcPr>
            <w:tcW w:w="2580" w:type="dxa"/>
            <w:vAlign w:val="bottom"/>
          </w:tcPr>
          <w:p>
            <w:pPr>
              <w:ind w:left="20"/>
              <w:spacing w:after="0"/>
              <w:rPr>
                <w:sz w:val="20"/>
                <w:szCs w:val="20"/>
                <w:color w:val="auto"/>
              </w:rPr>
            </w:pPr>
            <w:r>
              <w:rPr>
                <w:rFonts w:ascii="Arial" w:cs="Arial" w:eastAsia="Arial" w:hAnsi="Arial"/>
                <w:sz w:val="13"/>
                <w:szCs w:val="13"/>
                <w:color w:val="auto"/>
              </w:rPr>
              <w:t>Election of Directors</w:t>
            </w:r>
          </w:p>
        </w:tc>
        <w:tc>
          <w:tcPr>
            <w:tcW w:w="1360" w:type="dxa"/>
            <w:vAlign w:val="bottom"/>
          </w:tcPr>
          <w:p>
            <w:pPr>
              <w:jc w:val="center"/>
              <w:ind w:left="941"/>
              <w:spacing w:after="0"/>
              <w:rPr>
                <w:sz w:val="20"/>
                <w:szCs w:val="20"/>
                <w:color w:val="auto"/>
              </w:rPr>
            </w:pPr>
            <w:r>
              <w:rPr>
                <w:rFonts w:ascii="Arial" w:cs="Arial" w:eastAsia="Arial" w:hAnsi="Arial"/>
                <w:sz w:val="13"/>
                <w:szCs w:val="13"/>
                <w:b w:val="1"/>
                <w:bCs w:val="1"/>
                <w:color w:val="auto"/>
              </w:rPr>
              <w:t>For</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rPr>
              <w:t>Against</w:t>
            </w:r>
          </w:p>
        </w:tc>
        <w:tc>
          <w:tcPr>
            <w:tcW w:w="640" w:type="dxa"/>
            <w:vAlign w:val="bottom"/>
          </w:tcPr>
          <w:p>
            <w:pPr>
              <w:jc w:val="center"/>
              <w:ind w:right="1"/>
              <w:spacing w:after="0"/>
              <w:rPr>
                <w:sz w:val="20"/>
                <w:szCs w:val="20"/>
                <w:color w:val="auto"/>
              </w:rPr>
            </w:pPr>
            <w:r>
              <w:rPr>
                <w:rFonts w:ascii="Arial" w:cs="Arial" w:eastAsia="Arial" w:hAnsi="Arial"/>
                <w:sz w:val="13"/>
                <w:szCs w:val="13"/>
                <w:b w:val="1"/>
                <w:bCs w:val="1"/>
                <w:color w:val="auto"/>
              </w:rPr>
              <w:t>Abstain</w:t>
            </w:r>
          </w:p>
        </w:tc>
        <w:tc>
          <w:tcPr>
            <w:tcW w:w="28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2"/>
        </w:trPr>
        <w:tc>
          <w:tcPr>
            <w:tcW w:w="200" w:type="dxa"/>
            <w:vAlign w:val="bottom"/>
          </w:tcPr>
          <w:p>
            <w:pPr>
              <w:spacing w:after="0"/>
              <w:rPr>
                <w:sz w:val="20"/>
                <w:szCs w:val="20"/>
                <w:color w:val="auto"/>
              </w:rPr>
            </w:pPr>
            <w:r>
              <w:rPr>
                <w:rFonts w:ascii="Arial" w:cs="Arial" w:eastAsia="Arial" w:hAnsi="Arial"/>
                <w:sz w:val="13"/>
                <w:szCs w:val="13"/>
                <w:color w:val="auto"/>
              </w:rPr>
              <w:t>1A</w:t>
            </w:r>
          </w:p>
        </w:tc>
        <w:tc>
          <w:tcPr>
            <w:tcW w:w="2580" w:type="dxa"/>
            <w:vAlign w:val="bottom"/>
          </w:tcPr>
          <w:p>
            <w:pPr>
              <w:ind w:left="20"/>
              <w:spacing w:after="0"/>
              <w:rPr>
                <w:sz w:val="20"/>
                <w:szCs w:val="20"/>
                <w:color w:val="auto"/>
              </w:rPr>
            </w:pPr>
            <w:r>
              <w:rPr>
                <w:rFonts w:ascii="Arial" w:cs="Arial" w:eastAsia="Arial" w:hAnsi="Arial"/>
                <w:sz w:val="13"/>
                <w:szCs w:val="13"/>
                <w:color w:val="auto"/>
              </w:rPr>
              <w:t>David J. Butters</w:t>
            </w:r>
          </w:p>
        </w:tc>
        <w:tc>
          <w:tcPr>
            <w:tcW w:w="1360" w:type="dxa"/>
            <w:vAlign w:val="bottom"/>
          </w:tcPr>
          <w:p>
            <w:pPr>
              <w:jc w:val="center"/>
              <w:ind w:left="921"/>
              <w:spacing w:after="0"/>
              <w:rPr>
                <w:sz w:val="20"/>
                <w:szCs w:val="20"/>
                <w:color w:val="auto"/>
              </w:rPr>
            </w:pPr>
            <w:r>
              <w:rPr>
                <w:rFonts w:ascii="Arial" w:cs="Arial" w:eastAsia="Arial" w:hAnsi="Arial"/>
                <w:sz w:val="16"/>
                <w:szCs w:val="16"/>
                <w:color w:val="auto"/>
                <w:w w:val="89"/>
              </w:rPr>
              <w:t>o</w:t>
            </w:r>
          </w:p>
        </w:tc>
        <w:tc>
          <w:tcPr>
            <w:tcW w:w="60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640" w:type="dxa"/>
            <w:vAlign w:val="bottom"/>
          </w:tcPr>
          <w:p>
            <w:pPr>
              <w:jc w:val="center"/>
              <w:ind w:right="1"/>
              <w:spacing w:after="0"/>
              <w:rPr>
                <w:sz w:val="20"/>
                <w:szCs w:val="20"/>
                <w:color w:val="auto"/>
              </w:rPr>
            </w:pPr>
            <w:r>
              <w:rPr>
                <w:rFonts w:ascii="Arial" w:cs="Arial" w:eastAsia="Arial" w:hAnsi="Arial"/>
                <w:sz w:val="16"/>
                <w:szCs w:val="16"/>
                <w:color w:val="auto"/>
                <w:w w:val="89"/>
              </w:rPr>
              <w:t>o</w:t>
            </w:r>
          </w:p>
        </w:tc>
        <w:tc>
          <w:tcPr>
            <w:tcW w:w="402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The Board of Directors recommends you vote FOR</w:t>
            </w: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0" w:type="dxa"/>
            <w:vAlign w:val="bottom"/>
          </w:tcPr>
          <w:p>
            <w:pPr>
              <w:spacing w:after="0"/>
              <w:rPr>
                <w:sz w:val="7"/>
                <w:szCs w:val="7"/>
                <w:color w:val="auto"/>
              </w:rPr>
            </w:pPr>
          </w:p>
        </w:tc>
        <w:tc>
          <w:tcPr>
            <w:tcW w:w="25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2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200" w:type="dxa"/>
            <w:vAlign w:val="bottom"/>
            <w:vMerge w:val="restart"/>
          </w:tcPr>
          <w:p>
            <w:pPr>
              <w:spacing w:after="0"/>
              <w:rPr>
                <w:sz w:val="20"/>
                <w:szCs w:val="20"/>
                <w:color w:val="auto"/>
              </w:rPr>
            </w:pPr>
            <w:r>
              <w:rPr>
                <w:rFonts w:ascii="Arial" w:cs="Arial" w:eastAsia="Arial" w:hAnsi="Arial"/>
                <w:sz w:val="13"/>
                <w:szCs w:val="13"/>
                <w:color w:val="auto"/>
              </w:rPr>
              <w:t>1B</w:t>
            </w:r>
          </w:p>
        </w:tc>
        <w:tc>
          <w:tcPr>
            <w:tcW w:w="2580" w:type="dxa"/>
            <w:vAlign w:val="bottom"/>
            <w:vMerge w:val="restart"/>
          </w:tcPr>
          <w:p>
            <w:pPr>
              <w:ind w:left="20"/>
              <w:spacing w:after="0"/>
              <w:rPr>
                <w:sz w:val="20"/>
                <w:szCs w:val="20"/>
                <w:color w:val="auto"/>
              </w:rPr>
            </w:pPr>
            <w:r>
              <w:rPr>
                <w:rFonts w:ascii="Arial" w:cs="Arial" w:eastAsia="Arial" w:hAnsi="Arial"/>
                <w:sz w:val="13"/>
                <w:szCs w:val="13"/>
                <w:color w:val="auto"/>
              </w:rPr>
              <w:t>Bernard J. Duroc-Danner</w:t>
            </w:r>
          </w:p>
        </w:tc>
        <w:tc>
          <w:tcPr>
            <w:tcW w:w="1360" w:type="dxa"/>
            <w:vAlign w:val="bottom"/>
            <w:vMerge w:val="restart"/>
          </w:tcPr>
          <w:p>
            <w:pPr>
              <w:jc w:val="center"/>
              <w:ind w:left="921"/>
              <w:spacing w:after="0"/>
              <w:rPr>
                <w:sz w:val="20"/>
                <w:szCs w:val="20"/>
                <w:color w:val="auto"/>
              </w:rPr>
            </w:pPr>
            <w:r>
              <w:rPr>
                <w:rFonts w:ascii="Arial" w:cs="Arial" w:eastAsia="Arial" w:hAnsi="Arial"/>
                <w:sz w:val="16"/>
                <w:szCs w:val="16"/>
                <w:color w:val="auto"/>
                <w:w w:val="89"/>
              </w:rPr>
              <w:t>o</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auto"/>
                <w:w w:val="89"/>
              </w:rPr>
              <w:t>o</w:t>
            </w:r>
          </w:p>
        </w:tc>
        <w:tc>
          <w:tcPr>
            <w:tcW w:w="640" w:type="dxa"/>
            <w:vAlign w:val="bottom"/>
            <w:vMerge w:val="restart"/>
          </w:tcPr>
          <w:p>
            <w:pPr>
              <w:jc w:val="center"/>
              <w:ind w:right="1"/>
              <w:spacing w:after="0"/>
              <w:rPr>
                <w:sz w:val="20"/>
                <w:szCs w:val="20"/>
                <w:color w:val="auto"/>
              </w:rPr>
            </w:pPr>
            <w:r>
              <w:rPr>
                <w:rFonts w:ascii="Arial" w:cs="Arial" w:eastAsia="Arial" w:hAnsi="Arial"/>
                <w:sz w:val="16"/>
                <w:szCs w:val="16"/>
                <w:color w:val="auto"/>
                <w:w w:val="89"/>
              </w:rPr>
              <w:t>o</w:t>
            </w:r>
          </w:p>
        </w:tc>
        <w:tc>
          <w:tcPr>
            <w:tcW w:w="4020" w:type="dxa"/>
            <w:vAlign w:val="bottom"/>
            <w:gridSpan w:val="2"/>
          </w:tcPr>
          <w:p>
            <w:pPr>
              <w:ind w:left="120"/>
              <w:spacing w:after="0"/>
              <w:rPr>
                <w:sz w:val="20"/>
                <w:szCs w:val="20"/>
                <w:color w:val="auto"/>
              </w:rPr>
            </w:pPr>
            <w:r>
              <w:rPr>
                <w:rFonts w:ascii="Arial" w:cs="Arial" w:eastAsia="Arial" w:hAnsi="Arial"/>
                <w:sz w:val="13"/>
                <w:szCs w:val="13"/>
                <w:b w:val="1"/>
                <w:bCs w:val="1"/>
                <w:color w:val="auto"/>
              </w:rPr>
              <w:t>proposals 2, 3 and 4:</w:t>
            </w:r>
          </w:p>
        </w:tc>
        <w:tc>
          <w:tcPr>
            <w:tcW w:w="400" w:type="dxa"/>
            <w:vAlign w:val="bottom"/>
          </w:tcPr>
          <w:p>
            <w:pPr>
              <w:jc w:val="center"/>
              <w:spacing w:after="0"/>
              <w:rPr>
                <w:sz w:val="20"/>
                <w:szCs w:val="20"/>
                <w:color w:val="auto"/>
              </w:rPr>
            </w:pPr>
            <w:r>
              <w:rPr>
                <w:rFonts w:ascii="Arial" w:cs="Arial" w:eastAsia="Arial" w:hAnsi="Arial"/>
                <w:sz w:val="13"/>
                <w:szCs w:val="13"/>
                <w:b w:val="1"/>
                <w:bCs w:val="1"/>
                <w:color w:val="auto"/>
              </w:rPr>
              <w:t>For</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rPr>
              <w:t>Against</w:t>
            </w: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rPr>
              <w:t>Abstain</w:t>
            </w:r>
          </w:p>
        </w:tc>
        <w:tc>
          <w:tcPr>
            <w:tcW w:w="0" w:type="dxa"/>
            <w:vAlign w:val="bottom"/>
          </w:tcPr>
          <w:p>
            <w:pPr>
              <w:spacing w:after="0"/>
              <w:rPr>
                <w:sz w:val="1"/>
                <w:szCs w:val="1"/>
                <w:color w:val="auto"/>
              </w:rPr>
            </w:pPr>
          </w:p>
        </w:tc>
      </w:tr>
      <w:tr>
        <w:trPr>
          <w:trHeight w:val="84"/>
        </w:trPr>
        <w:tc>
          <w:tcPr>
            <w:tcW w:w="200" w:type="dxa"/>
            <w:vAlign w:val="bottom"/>
            <w:vMerge w:val="continue"/>
          </w:tcPr>
          <w:p>
            <w:pPr>
              <w:spacing w:after="0"/>
              <w:rPr>
                <w:sz w:val="7"/>
                <w:szCs w:val="7"/>
                <w:color w:val="auto"/>
              </w:rPr>
            </w:pPr>
          </w:p>
        </w:tc>
        <w:tc>
          <w:tcPr>
            <w:tcW w:w="258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3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00" w:type="dxa"/>
            <w:vAlign w:val="bottom"/>
            <w:vMerge w:val="restart"/>
          </w:tcPr>
          <w:p>
            <w:pPr>
              <w:spacing w:after="0"/>
              <w:rPr>
                <w:sz w:val="20"/>
                <w:szCs w:val="20"/>
                <w:color w:val="auto"/>
              </w:rPr>
            </w:pPr>
            <w:r>
              <w:rPr>
                <w:rFonts w:ascii="Arial" w:cs="Arial" w:eastAsia="Arial" w:hAnsi="Arial"/>
                <w:sz w:val="13"/>
                <w:szCs w:val="13"/>
                <w:color w:val="auto"/>
              </w:rPr>
              <w:t>1C</w:t>
            </w:r>
          </w:p>
        </w:tc>
        <w:tc>
          <w:tcPr>
            <w:tcW w:w="2580" w:type="dxa"/>
            <w:vAlign w:val="bottom"/>
            <w:vMerge w:val="restart"/>
          </w:tcPr>
          <w:p>
            <w:pPr>
              <w:ind w:left="20"/>
              <w:spacing w:after="0"/>
              <w:rPr>
                <w:sz w:val="20"/>
                <w:szCs w:val="20"/>
                <w:color w:val="auto"/>
              </w:rPr>
            </w:pPr>
            <w:r>
              <w:rPr>
                <w:rFonts w:ascii="Arial" w:cs="Arial" w:eastAsia="Arial" w:hAnsi="Arial"/>
                <w:sz w:val="13"/>
                <w:szCs w:val="13"/>
                <w:color w:val="auto"/>
              </w:rPr>
              <w:t>John D. Gass</w:t>
            </w:r>
          </w:p>
        </w:tc>
        <w:tc>
          <w:tcPr>
            <w:tcW w:w="1360" w:type="dxa"/>
            <w:vAlign w:val="bottom"/>
            <w:vMerge w:val="restart"/>
          </w:tcPr>
          <w:p>
            <w:pPr>
              <w:jc w:val="center"/>
              <w:ind w:left="921"/>
              <w:spacing w:after="0"/>
              <w:rPr>
                <w:sz w:val="20"/>
                <w:szCs w:val="20"/>
                <w:color w:val="auto"/>
              </w:rPr>
            </w:pPr>
            <w:r>
              <w:rPr>
                <w:rFonts w:ascii="Arial" w:cs="Arial" w:eastAsia="Arial" w:hAnsi="Arial"/>
                <w:sz w:val="16"/>
                <w:szCs w:val="16"/>
                <w:color w:val="auto"/>
                <w:w w:val="89"/>
              </w:rPr>
              <w:t>o</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auto"/>
                <w:w w:val="89"/>
              </w:rPr>
              <w:t>o</w:t>
            </w:r>
          </w:p>
        </w:tc>
        <w:tc>
          <w:tcPr>
            <w:tcW w:w="640" w:type="dxa"/>
            <w:vAlign w:val="bottom"/>
            <w:vMerge w:val="restart"/>
          </w:tcPr>
          <w:p>
            <w:pPr>
              <w:jc w:val="center"/>
              <w:ind w:right="1"/>
              <w:spacing w:after="0"/>
              <w:rPr>
                <w:sz w:val="20"/>
                <w:szCs w:val="20"/>
                <w:color w:val="auto"/>
              </w:rPr>
            </w:pPr>
            <w:r>
              <w:rPr>
                <w:rFonts w:ascii="Arial" w:cs="Arial" w:eastAsia="Arial" w:hAnsi="Arial"/>
                <w:sz w:val="16"/>
                <w:szCs w:val="16"/>
                <w:color w:val="auto"/>
                <w:w w:val="89"/>
              </w:rPr>
              <w:t>o</w:t>
            </w:r>
          </w:p>
        </w:tc>
        <w:tc>
          <w:tcPr>
            <w:tcW w:w="280" w:type="dxa"/>
            <w:vAlign w:val="bottom"/>
          </w:tcPr>
          <w:p>
            <w:pPr>
              <w:ind w:left="120"/>
              <w:spacing w:after="0"/>
              <w:rPr>
                <w:sz w:val="20"/>
                <w:szCs w:val="20"/>
                <w:color w:val="auto"/>
              </w:rPr>
            </w:pPr>
            <w:r>
              <w:rPr>
                <w:rFonts w:ascii="Arial" w:cs="Arial" w:eastAsia="Arial" w:hAnsi="Arial"/>
                <w:sz w:val="13"/>
                <w:szCs w:val="13"/>
                <w:b w:val="1"/>
                <w:bCs w:val="1"/>
                <w:color w:val="auto"/>
              </w:rPr>
              <w:t>2.</w:t>
            </w:r>
          </w:p>
        </w:tc>
        <w:tc>
          <w:tcPr>
            <w:tcW w:w="3740" w:type="dxa"/>
            <w:vAlign w:val="bottom"/>
          </w:tcPr>
          <w:p>
            <w:pPr>
              <w:ind w:left="40"/>
              <w:spacing w:after="0"/>
              <w:rPr>
                <w:sz w:val="20"/>
                <w:szCs w:val="20"/>
                <w:color w:val="auto"/>
              </w:rPr>
            </w:pPr>
            <w:r>
              <w:rPr>
                <w:rFonts w:ascii="Arial" w:cs="Arial" w:eastAsia="Arial" w:hAnsi="Arial"/>
                <w:sz w:val="13"/>
                <w:szCs w:val="13"/>
                <w:color w:val="auto"/>
              </w:rPr>
              <w:t>To ratify the appointment of KPMG LLP as the Company's</w:t>
            </w:r>
          </w:p>
        </w:tc>
        <w:tc>
          <w:tcPr>
            <w:tcW w:w="400" w:type="dxa"/>
            <w:vAlign w:val="bottom"/>
          </w:tcPr>
          <w:p>
            <w:pPr>
              <w:jc w:val="center"/>
              <w:ind w:left="3"/>
              <w:spacing w:after="0"/>
              <w:rPr>
                <w:sz w:val="20"/>
                <w:szCs w:val="20"/>
                <w:color w:val="auto"/>
              </w:rPr>
            </w:pPr>
            <w:r>
              <w:rPr>
                <w:rFonts w:ascii="Arial" w:cs="Arial" w:eastAsia="Arial" w:hAnsi="Arial"/>
                <w:sz w:val="16"/>
                <w:szCs w:val="16"/>
                <w:color w:val="auto"/>
                <w:w w:val="89"/>
              </w:rPr>
              <w:t>o</w:t>
            </w:r>
          </w:p>
        </w:tc>
        <w:tc>
          <w:tcPr>
            <w:tcW w:w="60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52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0" w:type="dxa"/>
            <w:vAlign w:val="bottom"/>
          </w:tcPr>
          <w:p>
            <w:pPr>
              <w:spacing w:after="0"/>
              <w:rPr>
                <w:sz w:val="1"/>
                <w:szCs w:val="1"/>
                <w:color w:val="auto"/>
              </w:rPr>
            </w:pPr>
          </w:p>
        </w:tc>
      </w:tr>
      <w:tr>
        <w:trPr>
          <w:trHeight w:val="149"/>
        </w:trPr>
        <w:tc>
          <w:tcPr>
            <w:tcW w:w="200" w:type="dxa"/>
            <w:vAlign w:val="bottom"/>
            <w:vMerge w:val="continue"/>
          </w:tcPr>
          <w:p>
            <w:pPr>
              <w:spacing w:after="0"/>
              <w:rPr>
                <w:sz w:val="12"/>
                <w:szCs w:val="12"/>
                <w:color w:val="auto"/>
              </w:rPr>
            </w:pPr>
          </w:p>
        </w:tc>
        <w:tc>
          <w:tcPr>
            <w:tcW w:w="258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740" w:type="dxa"/>
            <w:vAlign w:val="bottom"/>
          </w:tcPr>
          <w:p>
            <w:pPr>
              <w:ind w:left="40"/>
              <w:spacing w:after="0"/>
              <w:rPr>
                <w:sz w:val="20"/>
                <w:szCs w:val="20"/>
                <w:color w:val="auto"/>
              </w:rPr>
            </w:pPr>
            <w:r>
              <w:rPr>
                <w:rFonts w:ascii="Arial" w:cs="Arial" w:eastAsia="Arial" w:hAnsi="Arial"/>
                <w:sz w:val="13"/>
                <w:szCs w:val="13"/>
                <w:color w:val="auto"/>
              </w:rPr>
              <w:t>independent registered public accounting firm for the financial</w:t>
            </w: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360" w:type="dxa"/>
            <w:vAlign w:val="bottom"/>
            <w:vMerge w:val="restart"/>
          </w:tcPr>
          <w:p>
            <w:pPr>
              <w:jc w:val="center"/>
              <w:ind w:left="921"/>
              <w:spacing w:after="0"/>
              <w:rPr>
                <w:sz w:val="20"/>
                <w:szCs w:val="20"/>
                <w:color w:val="auto"/>
              </w:rPr>
            </w:pPr>
            <w:r>
              <w:rPr>
                <w:rFonts w:ascii="Arial" w:cs="Arial" w:eastAsia="Arial" w:hAnsi="Arial"/>
                <w:sz w:val="16"/>
                <w:szCs w:val="16"/>
                <w:color w:val="auto"/>
                <w:w w:val="89"/>
              </w:rPr>
              <w:t>o</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auto"/>
                <w:w w:val="89"/>
              </w:rPr>
              <w:t>o</w:t>
            </w:r>
          </w:p>
        </w:tc>
        <w:tc>
          <w:tcPr>
            <w:tcW w:w="640" w:type="dxa"/>
            <w:vAlign w:val="bottom"/>
            <w:vMerge w:val="restart"/>
          </w:tcPr>
          <w:p>
            <w:pPr>
              <w:jc w:val="center"/>
              <w:ind w:right="1"/>
              <w:spacing w:after="0"/>
              <w:rPr>
                <w:sz w:val="20"/>
                <w:szCs w:val="20"/>
                <w:color w:val="auto"/>
              </w:rPr>
            </w:pPr>
            <w:r>
              <w:rPr>
                <w:rFonts w:ascii="Arial" w:cs="Arial" w:eastAsia="Arial" w:hAnsi="Arial"/>
                <w:sz w:val="16"/>
                <w:szCs w:val="16"/>
                <w:color w:val="auto"/>
                <w:w w:val="89"/>
              </w:rPr>
              <w:t>o</w:t>
            </w:r>
          </w:p>
        </w:tc>
        <w:tc>
          <w:tcPr>
            <w:tcW w:w="280" w:type="dxa"/>
            <w:vAlign w:val="bottom"/>
          </w:tcPr>
          <w:p>
            <w:pPr>
              <w:spacing w:after="0"/>
              <w:rPr>
                <w:sz w:val="12"/>
                <w:szCs w:val="12"/>
                <w:color w:val="auto"/>
              </w:rPr>
            </w:pPr>
          </w:p>
        </w:tc>
        <w:tc>
          <w:tcPr>
            <w:tcW w:w="3740" w:type="dxa"/>
            <w:vAlign w:val="bottom"/>
          </w:tcPr>
          <w:p>
            <w:pPr>
              <w:ind w:left="40"/>
              <w:spacing w:after="0"/>
              <w:rPr>
                <w:sz w:val="20"/>
                <w:szCs w:val="20"/>
                <w:color w:val="auto"/>
              </w:rPr>
            </w:pPr>
            <w:r>
              <w:rPr>
                <w:rFonts w:ascii="Arial" w:cs="Arial" w:eastAsia="Arial" w:hAnsi="Arial"/>
                <w:sz w:val="13"/>
                <w:szCs w:val="13"/>
                <w:color w:val="auto"/>
              </w:rPr>
              <w:t>year ending December 31, 2014, to hold office until the close</w:t>
            </w: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20"/>
                <w:szCs w:val="20"/>
                <w:color w:val="auto"/>
              </w:rPr>
            </w:pPr>
            <w:r>
              <w:rPr>
                <w:rFonts w:ascii="Arial" w:cs="Arial" w:eastAsia="Arial" w:hAnsi="Arial"/>
                <w:sz w:val="13"/>
                <w:szCs w:val="13"/>
                <w:color w:val="auto"/>
              </w:rPr>
              <w:t>1D</w:t>
            </w:r>
          </w:p>
        </w:tc>
        <w:tc>
          <w:tcPr>
            <w:tcW w:w="2580" w:type="dxa"/>
            <w:vAlign w:val="bottom"/>
          </w:tcPr>
          <w:p>
            <w:pPr>
              <w:ind w:left="20"/>
              <w:spacing w:after="0"/>
              <w:rPr>
                <w:sz w:val="20"/>
                <w:szCs w:val="20"/>
                <w:color w:val="auto"/>
              </w:rPr>
            </w:pPr>
            <w:r>
              <w:rPr>
                <w:rFonts w:ascii="Arial" w:cs="Arial" w:eastAsia="Arial" w:hAnsi="Arial"/>
                <w:sz w:val="13"/>
                <w:szCs w:val="13"/>
                <w:color w:val="auto"/>
              </w:rPr>
              <w:t>Francis S. Kalman</w:t>
            </w:r>
          </w:p>
        </w:tc>
        <w:tc>
          <w:tcPr>
            <w:tcW w:w="136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740" w:type="dxa"/>
            <w:vAlign w:val="bottom"/>
          </w:tcPr>
          <w:p>
            <w:pPr>
              <w:ind w:left="40"/>
              <w:spacing w:after="0"/>
              <w:rPr>
                <w:sz w:val="20"/>
                <w:szCs w:val="20"/>
                <w:color w:val="auto"/>
              </w:rPr>
            </w:pPr>
            <w:r>
              <w:rPr>
                <w:rFonts w:ascii="Arial" w:cs="Arial" w:eastAsia="Arial" w:hAnsi="Arial"/>
                <w:sz w:val="13"/>
                <w:szCs w:val="13"/>
                <w:color w:val="auto"/>
              </w:rPr>
              <w:t>of the 2015 Annual General Meeting, and to authorize the</w:t>
            </w: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740" w:type="dxa"/>
            <w:vAlign w:val="bottom"/>
          </w:tcPr>
          <w:p>
            <w:pPr>
              <w:ind w:left="40"/>
              <w:spacing w:after="0"/>
              <w:rPr>
                <w:sz w:val="20"/>
                <w:szCs w:val="20"/>
                <w:color w:val="auto"/>
              </w:rPr>
            </w:pPr>
            <w:r>
              <w:rPr>
                <w:rFonts w:ascii="Arial" w:cs="Arial" w:eastAsia="Arial" w:hAnsi="Arial"/>
                <w:sz w:val="13"/>
                <w:szCs w:val="13"/>
                <w:color w:val="auto"/>
              </w:rPr>
              <w:t>board of directors of the Company, acting through the Audit</w:t>
            </w: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0" w:type="dxa"/>
            <w:vAlign w:val="bottom"/>
            <w:vMerge w:val="restart"/>
          </w:tcPr>
          <w:p>
            <w:pPr>
              <w:spacing w:after="0"/>
              <w:rPr>
                <w:sz w:val="20"/>
                <w:szCs w:val="20"/>
                <w:color w:val="auto"/>
              </w:rPr>
            </w:pPr>
            <w:r>
              <w:rPr>
                <w:rFonts w:ascii="Arial" w:cs="Arial" w:eastAsia="Arial" w:hAnsi="Arial"/>
                <w:sz w:val="13"/>
                <w:szCs w:val="13"/>
                <w:color w:val="auto"/>
              </w:rPr>
              <w:t>1E</w:t>
            </w:r>
          </w:p>
        </w:tc>
        <w:tc>
          <w:tcPr>
            <w:tcW w:w="2580" w:type="dxa"/>
            <w:vAlign w:val="bottom"/>
            <w:vMerge w:val="restart"/>
          </w:tcPr>
          <w:p>
            <w:pPr>
              <w:ind w:left="20"/>
              <w:spacing w:after="0"/>
              <w:rPr>
                <w:sz w:val="20"/>
                <w:szCs w:val="20"/>
                <w:color w:val="auto"/>
              </w:rPr>
            </w:pPr>
            <w:r>
              <w:rPr>
                <w:rFonts w:ascii="Arial" w:cs="Arial" w:eastAsia="Arial" w:hAnsi="Arial"/>
                <w:sz w:val="13"/>
                <w:szCs w:val="13"/>
                <w:color w:val="auto"/>
              </w:rPr>
              <w:t>William E. Macaulay</w:t>
            </w:r>
          </w:p>
        </w:tc>
        <w:tc>
          <w:tcPr>
            <w:tcW w:w="1360" w:type="dxa"/>
            <w:vAlign w:val="bottom"/>
            <w:vMerge w:val="restart"/>
          </w:tcPr>
          <w:p>
            <w:pPr>
              <w:jc w:val="center"/>
              <w:ind w:left="921"/>
              <w:spacing w:after="0"/>
              <w:rPr>
                <w:sz w:val="20"/>
                <w:szCs w:val="20"/>
                <w:color w:val="auto"/>
              </w:rPr>
            </w:pPr>
            <w:r>
              <w:rPr>
                <w:rFonts w:ascii="Arial" w:cs="Arial" w:eastAsia="Arial" w:hAnsi="Arial"/>
                <w:sz w:val="16"/>
                <w:szCs w:val="16"/>
                <w:color w:val="auto"/>
                <w:w w:val="89"/>
              </w:rPr>
              <w:t>o</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auto"/>
                <w:w w:val="89"/>
              </w:rPr>
              <w:t>o</w:t>
            </w:r>
          </w:p>
        </w:tc>
        <w:tc>
          <w:tcPr>
            <w:tcW w:w="640" w:type="dxa"/>
            <w:vAlign w:val="bottom"/>
            <w:vMerge w:val="restart"/>
          </w:tcPr>
          <w:p>
            <w:pPr>
              <w:jc w:val="center"/>
              <w:ind w:right="1"/>
              <w:spacing w:after="0"/>
              <w:rPr>
                <w:sz w:val="20"/>
                <w:szCs w:val="20"/>
                <w:color w:val="auto"/>
              </w:rPr>
            </w:pPr>
            <w:r>
              <w:rPr>
                <w:rFonts w:ascii="Arial" w:cs="Arial" w:eastAsia="Arial" w:hAnsi="Arial"/>
                <w:sz w:val="16"/>
                <w:szCs w:val="16"/>
                <w:color w:val="auto"/>
                <w:w w:val="89"/>
              </w:rPr>
              <w:t>o</w:t>
            </w:r>
          </w:p>
        </w:tc>
        <w:tc>
          <w:tcPr>
            <w:tcW w:w="280" w:type="dxa"/>
            <w:vAlign w:val="bottom"/>
          </w:tcPr>
          <w:p>
            <w:pPr>
              <w:spacing w:after="0"/>
              <w:rPr>
                <w:sz w:val="13"/>
                <w:szCs w:val="13"/>
                <w:color w:val="auto"/>
              </w:rPr>
            </w:pPr>
          </w:p>
        </w:tc>
        <w:tc>
          <w:tcPr>
            <w:tcW w:w="3740" w:type="dxa"/>
            <w:vAlign w:val="bottom"/>
          </w:tcPr>
          <w:p>
            <w:pPr>
              <w:ind w:left="40"/>
              <w:spacing w:after="0"/>
              <w:rPr>
                <w:sz w:val="20"/>
                <w:szCs w:val="20"/>
                <w:color w:val="auto"/>
              </w:rPr>
            </w:pPr>
            <w:r>
              <w:rPr>
                <w:rFonts w:ascii="Arial" w:cs="Arial" w:eastAsia="Arial" w:hAnsi="Arial"/>
                <w:sz w:val="13"/>
                <w:szCs w:val="13"/>
                <w:color w:val="auto"/>
              </w:rPr>
              <w:t>Committee, to determine the auditors' remuneration.</w:t>
            </w: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0" w:type="dxa"/>
            <w:vAlign w:val="bottom"/>
            <w:vMerge w:val="continue"/>
          </w:tcPr>
          <w:p>
            <w:pPr>
              <w:spacing w:after="0"/>
              <w:rPr>
                <w:sz w:val="7"/>
                <w:szCs w:val="7"/>
                <w:color w:val="auto"/>
              </w:rPr>
            </w:pPr>
          </w:p>
        </w:tc>
        <w:tc>
          <w:tcPr>
            <w:tcW w:w="258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3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00" w:type="dxa"/>
            <w:vAlign w:val="bottom"/>
            <w:vMerge w:val="restart"/>
          </w:tcPr>
          <w:p>
            <w:pPr>
              <w:spacing w:after="0"/>
              <w:rPr>
                <w:sz w:val="20"/>
                <w:szCs w:val="20"/>
                <w:color w:val="auto"/>
              </w:rPr>
            </w:pPr>
            <w:r>
              <w:rPr>
                <w:rFonts w:ascii="Arial" w:cs="Arial" w:eastAsia="Arial" w:hAnsi="Arial"/>
                <w:sz w:val="13"/>
                <w:szCs w:val="13"/>
                <w:color w:val="auto"/>
              </w:rPr>
              <w:t>1F</w:t>
            </w:r>
          </w:p>
        </w:tc>
        <w:tc>
          <w:tcPr>
            <w:tcW w:w="2580" w:type="dxa"/>
            <w:vAlign w:val="bottom"/>
            <w:vMerge w:val="restart"/>
          </w:tcPr>
          <w:p>
            <w:pPr>
              <w:ind w:left="20"/>
              <w:spacing w:after="0"/>
              <w:rPr>
                <w:sz w:val="20"/>
                <w:szCs w:val="20"/>
                <w:color w:val="auto"/>
              </w:rPr>
            </w:pPr>
            <w:r>
              <w:rPr>
                <w:rFonts w:ascii="Arial" w:cs="Arial" w:eastAsia="Arial" w:hAnsi="Arial"/>
                <w:sz w:val="13"/>
                <w:szCs w:val="13"/>
                <w:color w:val="auto"/>
              </w:rPr>
              <w:t>Robert K. Moses, Jr.</w:t>
            </w:r>
          </w:p>
        </w:tc>
        <w:tc>
          <w:tcPr>
            <w:tcW w:w="1360" w:type="dxa"/>
            <w:vAlign w:val="bottom"/>
            <w:vMerge w:val="restart"/>
          </w:tcPr>
          <w:p>
            <w:pPr>
              <w:jc w:val="center"/>
              <w:ind w:left="921"/>
              <w:spacing w:after="0"/>
              <w:rPr>
                <w:sz w:val="20"/>
                <w:szCs w:val="20"/>
                <w:color w:val="auto"/>
              </w:rPr>
            </w:pPr>
            <w:r>
              <w:rPr>
                <w:rFonts w:ascii="Arial" w:cs="Arial" w:eastAsia="Arial" w:hAnsi="Arial"/>
                <w:sz w:val="16"/>
                <w:szCs w:val="16"/>
                <w:color w:val="auto"/>
                <w:w w:val="89"/>
              </w:rPr>
              <w:t>o</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auto"/>
                <w:w w:val="89"/>
              </w:rPr>
              <w:t>o</w:t>
            </w:r>
          </w:p>
        </w:tc>
        <w:tc>
          <w:tcPr>
            <w:tcW w:w="640" w:type="dxa"/>
            <w:vAlign w:val="bottom"/>
            <w:vMerge w:val="restart"/>
          </w:tcPr>
          <w:p>
            <w:pPr>
              <w:jc w:val="center"/>
              <w:ind w:right="1"/>
              <w:spacing w:after="0"/>
              <w:rPr>
                <w:sz w:val="20"/>
                <w:szCs w:val="20"/>
                <w:color w:val="auto"/>
              </w:rPr>
            </w:pPr>
            <w:r>
              <w:rPr>
                <w:rFonts w:ascii="Arial" w:cs="Arial" w:eastAsia="Arial" w:hAnsi="Arial"/>
                <w:sz w:val="16"/>
                <w:szCs w:val="16"/>
                <w:color w:val="auto"/>
                <w:w w:val="89"/>
              </w:rPr>
              <w:t>o</w:t>
            </w:r>
          </w:p>
        </w:tc>
        <w:tc>
          <w:tcPr>
            <w:tcW w:w="280" w:type="dxa"/>
            <w:vAlign w:val="bottom"/>
          </w:tcPr>
          <w:p>
            <w:pPr>
              <w:ind w:left="120"/>
              <w:spacing w:after="0"/>
              <w:rPr>
                <w:sz w:val="20"/>
                <w:szCs w:val="20"/>
                <w:color w:val="auto"/>
              </w:rPr>
            </w:pPr>
            <w:r>
              <w:rPr>
                <w:rFonts w:ascii="Arial" w:cs="Arial" w:eastAsia="Arial" w:hAnsi="Arial"/>
                <w:sz w:val="13"/>
                <w:szCs w:val="13"/>
                <w:b w:val="1"/>
                <w:bCs w:val="1"/>
                <w:color w:val="auto"/>
              </w:rPr>
              <w:t>3.</w:t>
            </w:r>
          </w:p>
        </w:tc>
        <w:tc>
          <w:tcPr>
            <w:tcW w:w="3740" w:type="dxa"/>
            <w:vAlign w:val="bottom"/>
          </w:tcPr>
          <w:p>
            <w:pPr>
              <w:ind w:left="40"/>
              <w:spacing w:after="0"/>
              <w:rPr>
                <w:sz w:val="20"/>
                <w:szCs w:val="20"/>
                <w:color w:val="auto"/>
              </w:rPr>
            </w:pPr>
            <w:r>
              <w:rPr>
                <w:rFonts w:ascii="Arial" w:cs="Arial" w:eastAsia="Arial" w:hAnsi="Arial"/>
                <w:sz w:val="13"/>
                <w:szCs w:val="13"/>
                <w:color w:val="auto"/>
              </w:rPr>
              <w:t>To adopt an advisory resolution approving the compensation</w:t>
            </w:r>
          </w:p>
        </w:tc>
        <w:tc>
          <w:tcPr>
            <w:tcW w:w="400" w:type="dxa"/>
            <w:vAlign w:val="bottom"/>
          </w:tcPr>
          <w:p>
            <w:pPr>
              <w:jc w:val="center"/>
              <w:ind w:left="3"/>
              <w:spacing w:after="0"/>
              <w:rPr>
                <w:sz w:val="20"/>
                <w:szCs w:val="20"/>
                <w:color w:val="auto"/>
              </w:rPr>
            </w:pPr>
            <w:r>
              <w:rPr>
                <w:rFonts w:ascii="Arial" w:cs="Arial" w:eastAsia="Arial" w:hAnsi="Arial"/>
                <w:sz w:val="16"/>
                <w:szCs w:val="16"/>
                <w:color w:val="auto"/>
                <w:w w:val="89"/>
              </w:rPr>
              <w:t>o</w:t>
            </w:r>
          </w:p>
        </w:tc>
        <w:tc>
          <w:tcPr>
            <w:tcW w:w="60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52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0" w:type="dxa"/>
            <w:vAlign w:val="bottom"/>
          </w:tcPr>
          <w:p>
            <w:pPr>
              <w:spacing w:after="0"/>
              <w:rPr>
                <w:sz w:val="1"/>
                <w:szCs w:val="1"/>
                <w:color w:val="auto"/>
              </w:rPr>
            </w:pPr>
          </w:p>
        </w:tc>
      </w:tr>
      <w:tr>
        <w:trPr>
          <w:trHeight w:val="157"/>
        </w:trPr>
        <w:tc>
          <w:tcPr>
            <w:tcW w:w="200" w:type="dxa"/>
            <w:vAlign w:val="bottom"/>
            <w:vMerge w:val="continue"/>
          </w:tcPr>
          <w:p>
            <w:pPr>
              <w:spacing w:after="0"/>
              <w:rPr>
                <w:sz w:val="13"/>
                <w:szCs w:val="13"/>
                <w:color w:val="auto"/>
              </w:rPr>
            </w:pPr>
          </w:p>
        </w:tc>
        <w:tc>
          <w:tcPr>
            <w:tcW w:w="2580" w:type="dxa"/>
            <w:vAlign w:val="bottom"/>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3740" w:type="dxa"/>
            <w:vAlign w:val="bottom"/>
          </w:tcPr>
          <w:p>
            <w:pPr>
              <w:ind w:left="40"/>
              <w:spacing w:after="0"/>
              <w:rPr>
                <w:sz w:val="20"/>
                <w:szCs w:val="20"/>
                <w:color w:val="auto"/>
              </w:rPr>
            </w:pPr>
            <w:r>
              <w:rPr>
                <w:rFonts w:ascii="Arial" w:cs="Arial" w:eastAsia="Arial" w:hAnsi="Arial"/>
                <w:sz w:val="13"/>
                <w:szCs w:val="13"/>
                <w:color w:val="auto"/>
              </w:rPr>
              <w:t>of the named executive officers.</w:t>
            </w: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0" w:type="dxa"/>
            <w:vAlign w:val="bottom"/>
          </w:tcPr>
          <w:p>
            <w:pPr>
              <w:spacing w:after="0"/>
              <w:rPr>
                <w:sz w:val="20"/>
                <w:szCs w:val="20"/>
                <w:color w:val="auto"/>
              </w:rPr>
            </w:pPr>
            <w:r>
              <w:rPr>
                <w:rFonts w:ascii="Arial" w:cs="Arial" w:eastAsia="Arial" w:hAnsi="Arial"/>
                <w:sz w:val="13"/>
                <w:szCs w:val="13"/>
                <w:color w:val="auto"/>
              </w:rPr>
              <w:t>1G</w:t>
            </w:r>
          </w:p>
        </w:tc>
        <w:tc>
          <w:tcPr>
            <w:tcW w:w="2580" w:type="dxa"/>
            <w:vAlign w:val="bottom"/>
          </w:tcPr>
          <w:p>
            <w:pPr>
              <w:ind w:left="20"/>
              <w:spacing w:after="0"/>
              <w:rPr>
                <w:sz w:val="20"/>
                <w:szCs w:val="20"/>
                <w:color w:val="auto"/>
              </w:rPr>
            </w:pPr>
            <w:r>
              <w:rPr>
                <w:rFonts w:ascii="Arial" w:cs="Arial" w:eastAsia="Arial" w:hAnsi="Arial"/>
                <w:sz w:val="13"/>
                <w:szCs w:val="13"/>
                <w:color w:val="auto"/>
              </w:rPr>
              <w:t>Guillermo Ortiz</w:t>
            </w:r>
          </w:p>
        </w:tc>
        <w:tc>
          <w:tcPr>
            <w:tcW w:w="1360" w:type="dxa"/>
            <w:vAlign w:val="bottom"/>
          </w:tcPr>
          <w:p>
            <w:pPr>
              <w:jc w:val="center"/>
              <w:ind w:left="921"/>
              <w:spacing w:after="0"/>
              <w:rPr>
                <w:sz w:val="20"/>
                <w:szCs w:val="20"/>
                <w:color w:val="auto"/>
              </w:rPr>
            </w:pPr>
            <w:r>
              <w:rPr>
                <w:rFonts w:ascii="Arial" w:cs="Arial" w:eastAsia="Arial" w:hAnsi="Arial"/>
                <w:sz w:val="16"/>
                <w:szCs w:val="16"/>
                <w:color w:val="auto"/>
                <w:w w:val="89"/>
              </w:rPr>
              <w:t>o</w:t>
            </w:r>
          </w:p>
        </w:tc>
        <w:tc>
          <w:tcPr>
            <w:tcW w:w="60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640" w:type="dxa"/>
            <w:vAlign w:val="bottom"/>
          </w:tcPr>
          <w:p>
            <w:pPr>
              <w:jc w:val="center"/>
              <w:ind w:right="1"/>
              <w:spacing w:after="0"/>
              <w:rPr>
                <w:sz w:val="20"/>
                <w:szCs w:val="20"/>
                <w:color w:val="auto"/>
              </w:rPr>
            </w:pPr>
            <w:r>
              <w:rPr>
                <w:rFonts w:ascii="Arial" w:cs="Arial" w:eastAsia="Arial" w:hAnsi="Arial"/>
                <w:sz w:val="16"/>
                <w:szCs w:val="16"/>
                <w:color w:val="auto"/>
                <w:w w:val="89"/>
              </w:rPr>
              <w:t>o</w:t>
            </w:r>
          </w:p>
        </w:tc>
        <w:tc>
          <w:tcPr>
            <w:tcW w:w="280" w:type="dxa"/>
            <w:vAlign w:val="bottom"/>
          </w:tcPr>
          <w:p>
            <w:pPr>
              <w:ind w:left="120"/>
              <w:spacing w:after="0"/>
              <w:rPr>
                <w:sz w:val="20"/>
                <w:szCs w:val="20"/>
                <w:color w:val="auto"/>
              </w:rPr>
            </w:pPr>
            <w:r>
              <w:rPr>
                <w:rFonts w:ascii="Arial" w:cs="Arial" w:eastAsia="Arial" w:hAnsi="Arial"/>
                <w:sz w:val="13"/>
                <w:szCs w:val="13"/>
                <w:b w:val="1"/>
                <w:bCs w:val="1"/>
                <w:color w:val="auto"/>
              </w:rPr>
              <w:t>4.</w:t>
            </w:r>
          </w:p>
        </w:tc>
        <w:tc>
          <w:tcPr>
            <w:tcW w:w="3740" w:type="dxa"/>
            <w:vAlign w:val="bottom"/>
          </w:tcPr>
          <w:p>
            <w:pPr>
              <w:ind w:left="40"/>
              <w:spacing w:after="0"/>
              <w:rPr>
                <w:sz w:val="20"/>
                <w:szCs w:val="20"/>
                <w:color w:val="auto"/>
              </w:rPr>
            </w:pPr>
            <w:r>
              <w:rPr>
                <w:rFonts w:ascii="Arial" w:cs="Arial" w:eastAsia="Arial" w:hAnsi="Arial"/>
                <w:sz w:val="13"/>
                <w:szCs w:val="13"/>
                <w:color w:val="auto"/>
              </w:rPr>
              <w:t>To authorize holding the 2015 Annual General Meeting at a</w:t>
            </w:r>
          </w:p>
        </w:tc>
        <w:tc>
          <w:tcPr>
            <w:tcW w:w="400" w:type="dxa"/>
            <w:vAlign w:val="bottom"/>
          </w:tcPr>
          <w:p>
            <w:pPr>
              <w:jc w:val="center"/>
              <w:ind w:left="3"/>
              <w:spacing w:after="0"/>
              <w:rPr>
                <w:sz w:val="20"/>
                <w:szCs w:val="20"/>
                <w:color w:val="auto"/>
              </w:rPr>
            </w:pPr>
            <w:r>
              <w:rPr>
                <w:rFonts w:ascii="Arial" w:cs="Arial" w:eastAsia="Arial" w:hAnsi="Arial"/>
                <w:sz w:val="16"/>
                <w:szCs w:val="16"/>
                <w:color w:val="auto"/>
                <w:w w:val="89"/>
              </w:rPr>
              <w:t>o</w:t>
            </w:r>
          </w:p>
        </w:tc>
        <w:tc>
          <w:tcPr>
            <w:tcW w:w="60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52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0" w:type="dxa"/>
            <w:vAlign w:val="bottom"/>
          </w:tcPr>
          <w:p>
            <w:pPr>
              <w:spacing w:after="0"/>
              <w:rPr>
                <w:sz w:val="1"/>
                <w:szCs w:val="1"/>
                <w:color w:val="auto"/>
              </w:rPr>
            </w:pPr>
          </w:p>
        </w:tc>
      </w:tr>
      <w:tr>
        <w:trPr>
          <w:trHeight w:val="157"/>
        </w:trPr>
        <w:tc>
          <w:tcPr>
            <w:tcW w:w="2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740" w:type="dxa"/>
            <w:vAlign w:val="bottom"/>
          </w:tcPr>
          <w:p>
            <w:pPr>
              <w:ind w:left="40"/>
              <w:spacing w:after="0"/>
              <w:rPr>
                <w:sz w:val="20"/>
                <w:szCs w:val="20"/>
                <w:color w:val="auto"/>
              </w:rPr>
            </w:pPr>
            <w:r>
              <w:rPr>
                <w:rFonts w:ascii="Arial" w:cs="Arial" w:eastAsia="Arial" w:hAnsi="Arial"/>
                <w:sz w:val="13"/>
                <w:szCs w:val="13"/>
                <w:color w:val="auto"/>
              </w:rPr>
              <w:t>location outside of Ireland as required under Irish law.</w:t>
            </w: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200" w:type="dxa"/>
            <w:vAlign w:val="bottom"/>
          </w:tcPr>
          <w:p>
            <w:pPr>
              <w:spacing w:after="0"/>
              <w:rPr>
                <w:sz w:val="20"/>
                <w:szCs w:val="20"/>
                <w:color w:val="auto"/>
              </w:rPr>
            </w:pPr>
            <w:r>
              <w:rPr>
                <w:rFonts w:ascii="Arial" w:cs="Arial" w:eastAsia="Arial" w:hAnsi="Arial"/>
                <w:sz w:val="13"/>
                <w:szCs w:val="13"/>
                <w:color w:val="auto"/>
              </w:rPr>
              <w:t>1H</w:t>
            </w:r>
          </w:p>
        </w:tc>
        <w:tc>
          <w:tcPr>
            <w:tcW w:w="2580" w:type="dxa"/>
            <w:vAlign w:val="bottom"/>
          </w:tcPr>
          <w:p>
            <w:pPr>
              <w:ind w:left="20"/>
              <w:spacing w:after="0"/>
              <w:rPr>
                <w:sz w:val="20"/>
                <w:szCs w:val="20"/>
                <w:color w:val="auto"/>
              </w:rPr>
            </w:pPr>
            <w:r>
              <w:rPr>
                <w:rFonts w:ascii="Arial" w:cs="Arial" w:eastAsia="Arial" w:hAnsi="Arial"/>
                <w:sz w:val="13"/>
                <w:szCs w:val="13"/>
                <w:color w:val="auto"/>
              </w:rPr>
              <w:t>Sir Emyr Jones Parry</w:t>
            </w:r>
          </w:p>
        </w:tc>
        <w:tc>
          <w:tcPr>
            <w:tcW w:w="1360" w:type="dxa"/>
            <w:vAlign w:val="bottom"/>
          </w:tcPr>
          <w:p>
            <w:pPr>
              <w:jc w:val="center"/>
              <w:ind w:left="921"/>
              <w:spacing w:after="0"/>
              <w:rPr>
                <w:sz w:val="20"/>
                <w:szCs w:val="20"/>
                <w:color w:val="auto"/>
              </w:rPr>
            </w:pPr>
            <w:r>
              <w:rPr>
                <w:rFonts w:ascii="Arial" w:cs="Arial" w:eastAsia="Arial" w:hAnsi="Arial"/>
                <w:sz w:val="16"/>
                <w:szCs w:val="16"/>
                <w:color w:val="auto"/>
                <w:w w:val="89"/>
              </w:rPr>
              <w:t>o</w:t>
            </w:r>
          </w:p>
        </w:tc>
        <w:tc>
          <w:tcPr>
            <w:tcW w:w="60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640" w:type="dxa"/>
            <w:vAlign w:val="bottom"/>
          </w:tcPr>
          <w:p>
            <w:pPr>
              <w:jc w:val="center"/>
              <w:ind w:right="1"/>
              <w:spacing w:after="0"/>
              <w:rPr>
                <w:sz w:val="20"/>
                <w:szCs w:val="20"/>
                <w:color w:val="auto"/>
              </w:rPr>
            </w:pPr>
            <w:r>
              <w:rPr>
                <w:rFonts w:ascii="Arial" w:cs="Arial" w:eastAsia="Arial" w:hAnsi="Arial"/>
                <w:sz w:val="16"/>
                <w:szCs w:val="16"/>
                <w:color w:val="auto"/>
                <w:w w:val="89"/>
              </w:rPr>
              <w:t>o</w:t>
            </w:r>
          </w:p>
        </w:tc>
        <w:tc>
          <w:tcPr>
            <w:tcW w:w="402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The foregoing items, including the votes required in</w:t>
            </w: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
        </w:trPr>
        <w:tc>
          <w:tcPr>
            <w:tcW w:w="200" w:type="dxa"/>
            <w:vAlign w:val="bottom"/>
          </w:tcPr>
          <w:p>
            <w:pPr>
              <w:spacing w:after="0"/>
              <w:rPr>
                <w:sz w:val="4"/>
                <w:szCs w:val="4"/>
                <w:color w:val="auto"/>
              </w:rPr>
            </w:pPr>
          </w:p>
        </w:tc>
        <w:tc>
          <w:tcPr>
            <w:tcW w:w="25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2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0" w:type="dxa"/>
            <w:vAlign w:val="bottom"/>
            <w:vMerge w:val="restart"/>
          </w:tcPr>
          <w:p>
            <w:pPr>
              <w:spacing w:after="0"/>
              <w:rPr>
                <w:sz w:val="20"/>
                <w:szCs w:val="20"/>
                <w:color w:val="auto"/>
              </w:rPr>
            </w:pPr>
            <w:r>
              <w:rPr>
                <w:rFonts w:ascii="Arial" w:cs="Arial" w:eastAsia="Arial" w:hAnsi="Arial"/>
                <w:sz w:val="13"/>
                <w:szCs w:val="13"/>
                <w:color w:val="auto"/>
              </w:rPr>
              <w:t>1I</w:t>
            </w:r>
          </w:p>
        </w:tc>
        <w:tc>
          <w:tcPr>
            <w:tcW w:w="2580" w:type="dxa"/>
            <w:vAlign w:val="bottom"/>
            <w:vMerge w:val="restart"/>
          </w:tcPr>
          <w:p>
            <w:pPr>
              <w:ind w:left="20"/>
              <w:spacing w:after="0"/>
              <w:rPr>
                <w:sz w:val="20"/>
                <w:szCs w:val="20"/>
                <w:color w:val="auto"/>
              </w:rPr>
            </w:pPr>
            <w:r>
              <w:rPr>
                <w:rFonts w:ascii="Arial" w:cs="Arial" w:eastAsia="Arial" w:hAnsi="Arial"/>
                <w:sz w:val="13"/>
                <w:szCs w:val="13"/>
                <w:color w:val="auto"/>
              </w:rPr>
              <w:t>Robert A. Rayne</w:t>
            </w:r>
          </w:p>
        </w:tc>
        <w:tc>
          <w:tcPr>
            <w:tcW w:w="1360" w:type="dxa"/>
            <w:vAlign w:val="bottom"/>
            <w:vMerge w:val="restart"/>
          </w:tcPr>
          <w:p>
            <w:pPr>
              <w:jc w:val="center"/>
              <w:ind w:left="921"/>
              <w:spacing w:after="0"/>
              <w:rPr>
                <w:sz w:val="20"/>
                <w:szCs w:val="20"/>
                <w:color w:val="auto"/>
              </w:rPr>
            </w:pPr>
            <w:r>
              <w:rPr>
                <w:rFonts w:ascii="Arial" w:cs="Arial" w:eastAsia="Arial" w:hAnsi="Arial"/>
                <w:sz w:val="16"/>
                <w:szCs w:val="16"/>
                <w:color w:val="auto"/>
                <w:w w:val="89"/>
              </w:rPr>
              <w:t>o</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auto"/>
                <w:w w:val="89"/>
              </w:rPr>
              <w:t>o</w:t>
            </w:r>
          </w:p>
        </w:tc>
        <w:tc>
          <w:tcPr>
            <w:tcW w:w="640" w:type="dxa"/>
            <w:vAlign w:val="bottom"/>
            <w:vMerge w:val="restart"/>
          </w:tcPr>
          <w:p>
            <w:pPr>
              <w:jc w:val="center"/>
              <w:ind w:right="1"/>
              <w:spacing w:after="0"/>
              <w:rPr>
                <w:sz w:val="20"/>
                <w:szCs w:val="20"/>
                <w:color w:val="auto"/>
              </w:rPr>
            </w:pPr>
            <w:r>
              <w:rPr>
                <w:rFonts w:ascii="Arial" w:cs="Arial" w:eastAsia="Arial" w:hAnsi="Arial"/>
                <w:sz w:val="16"/>
                <w:szCs w:val="16"/>
                <w:color w:val="auto"/>
                <w:w w:val="89"/>
              </w:rPr>
              <w:t>o</w:t>
            </w:r>
          </w:p>
        </w:tc>
        <w:tc>
          <w:tcPr>
            <w:tcW w:w="4020" w:type="dxa"/>
            <w:vAlign w:val="bottom"/>
            <w:gridSpan w:val="2"/>
          </w:tcPr>
          <w:p>
            <w:pPr>
              <w:ind w:left="120"/>
              <w:spacing w:after="0"/>
              <w:rPr>
                <w:sz w:val="20"/>
                <w:szCs w:val="20"/>
                <w:color w:val="auto"/>
              </w:rPr>
            </w:pPr>
            <w:r>
              <w:rPr>
                <w:rFonts w:ascii="Arial" w:cs="Arial" w:eastAsia="Arial" w:hAnsi="Arial"/>
                <w:sz w:val="13"/>
                <w:szCs w:val="13"/>
                <w:color w:val="auto"/>
              </w:rPr>
              <w:t>respect of each, are more fully described (and the full text of</w:t>
            </w: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0" w:type="dxa"/>
            <w:vAlign w:val="bottom"/>
            <w:vMerge w:val="continue"/>
          </w:tcPr>
          <w:p>
            <w:pPr>
              <w:spacing w:after="0"/>
              <w:rPr>
                <w:sz w:val="13"/>
                <w:szCs w:val="13"/>
                <w:color w:val="auto"/>
              </w:rPr>
            </w:pPr>
          </w:p>
        </w:tc>
        <w:tc>
          <w:tcPr>
            <w:tcW w:w="2580" w:type="dxa"/>
            <w:vAlign w:val="bottom"/>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4020" w:type="dxa"/>
            <w:vAlign w:val="bottom"/>
            <w:gridSpan w:val="2"/>
          </w:tcPr>
          <w:p>
            <w:pPr>
              <w:ind w:left="120"/>
              <w:spacing w:after="0"/>
              <w:rPr>
                <w:sz w:val="20"/>
                <w:szCs w:val="20"/>
                <w:color w:val="auto"/>
              </w:rPr>
            </w:pPr>
            <w:r>
              <w:rPr>
                <w:rFonts w:ascii="Arial" w:cs="Arial" w:eastAsia="Arial" w:hAnsi="Arial"/>
                <w:sz w:val="13"/>
                <w:szCs w:val="13"/>
                <w:color w:val="auto"/>
              </w:rPr>
              <w:t>each proposal is set out) in the accompanying proxy statement.</w:t>
            </w: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94615" cy="101409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94615" cy="1014095"/>
                    </a:xfrm>
                    <a:prstGeom prst="rect">
                      <a:avLst/>
                    </a:prstGeom>
                    <a:noFill/>
                  </pic:spPr>
                </pic:pic>
              </a:graphicData>
            </a:graphic>
          </wp:anchor>
        </w:drawing>
      </w:r>
    </w:p>
    <w:p>
      <w:pPr>
        <w:spacing w:after="0" w:line="120" w:lineRule="exact"/>
        <w:rPr>
          <w:sz w:val="20"/>
          <w:szCs w:val="20"/>
          <w:color w:val="auto"/>
        </w:rPr>
      </w:pPr>
    </w:p>
    <w:p>
      <w:pPr>
        <w:ind w:left="600" w:right="520"/>
        <w:spacing w:after="0" w:line="251" w:lineRule="auto"/>
        <w:rPr>
          <w:sz w:val="20"/>
          <w:szCs w:val="20"/>
          <w:color w:val="auto"/>
        </w:rPr>
      </w:pPr>
      <w:r>
        <w:rPr>
          <w:rFonts w:ascii="Arial" w:cs="Arial" w:eastAsia="Arial" w:hAnsi="Arial"/>
          <w:sz w:val="13"/>
          <w:szCs w:val="13"/>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00"/>
        <w:spacing w:after="0"/>
        <w:tabs>
          <w:tab w:leader="none" w:pos="3560" w:val="left"/>
          <w:tab w:leader="none" w:pos="6020" w:val="left"/>
          <w:tab w:leader="none" w:pos="904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434340</wp:posOffset>
            </wp:positionV>
            <wp:extent cx="7278370" cy="2032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520"/>
          </w:cols>
          <w:pgMar w:left="240" w:top="563" w:right="139" w:bottom="1440" w:gutter="0" w:footer="0" w:header="0"/>
          <w:type w:val="continuous"/>
        </w:sectPr>
      </w:pPr>
    </w:p>
    <w:bookmarkStart w:id="68" w:name="page69"/>
    <w:bookmarkEnd w:id="68"/>
    <w:p>
      <w:pPr>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0" w:right="180"/>
        <w:spacing w:after="0" w:line="281" w:lineRule="auto"/>
        <w:rPr>
          <w:sz w:val="20"/>
          <w:szCs w:val="20"/>
          <w:color w:val="auto"/>
        </w:rPr>
      </w:pPr>
      <w:r>
        <w:rPr>
          <w:rFonts w:ascii="Arial" w:cs="Arial" w:eastAsia="Arial" w:hAnsi="Arial"/>
          <w:sz w:val="16"/>
          <w:szCs w:val="16"/>
          <w:b w:val="1"/>
          <w:bCs w:val="1"/>
          <w:color w:val="auto"/>
        </w:rPr>
        <w:t xml:space="preserve">Important Notice Regarding the Availability of Proxy Materials for the Annual Meeting: </w:t>
      </w:r>
      <w:r>
        <w:rPr>
          <w:rFonts w:ascii="Arial" w:cs="Arial" w:eastAsia="Arial" w:hAnsi="Arial"/>
          <w:sz w:val="16"/>
          <w:szCs w:val="16"/>
          <w:color w:val="auto"/>
        </w:rPr>
        <w:t>The Annual Report, Notice &amp; Proxy Statement is/are available</w:t>
      </w:r>
      <w:r>
        <w:rPr>
          <w:rFonts w:ascii="Arial" w:cs="Arial" w:eastAsia="Arial" w:hAnsi="Arial"/>
          <w:sz w:val="16"/>
          <w:szCs w:val="16"/>
          <w:b w:val="1"/>
          <w:bCs w:val="1"/>
          <w:color w:val="auto"/>
        </w:rPr>
        <w:t xml:space="preserve"> </w:t>
      </w:r>
      <w:r>
        <w:rPr>
          <w:rFonts w:ascii="Arial" w:cs="Arial" w:eastAsia="Arial" w:hAnsi="Arial"/>
          <w:sz w:val="16"/>
          <w:szCs w:val="16"/>
          <w:color w:val="auto"/>
        </w:rPr>
        <w:t>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269875</wp:posOffset>
            </wp:positionV>
            <wp:extent cx="7090410" cy="269430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090410" cy="269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left="1420"/>
        <w:spacing w:after="0"/>
        <w:rPr>
          <w:sz w:val="20"/>
          <w:szCs w:val="20"/>
          <w:color w:val="auto"/>
        </w:rPr>
      </w:pPr>
      <w:r>
        <w:rPr>
          <w:rFonts w:ascii="Arial" w:cs="Arial" w:eastAsia="Arial" w:hAnsi="Arial"/>
          <w:sz w:val="16"/>
          <w:szCs w:val="16"/>
          <w:b w:val="1"/>
          <w:bCs w:val="1"/>
          <w:color w:val="auto"/>
        </w:rPr>
        <w:t>WEATHERFORD INTERNATIONAL PLC</w:t>
      </w:r>
    </w:p>
    <w:p>
      <w:pPr>
        <w:spacing w:after="0" w:line="22" w:lineRule="exact"/>
        <w:rPr>
          <w:sz w:val="20"/>
          <w:szCs w:val="20"/>
          <w:color w:val="auto"/>
        </w:rPr>
      </w:pPr>
    </w:p>
    <w:p>
      <w:pPr>
        <w:jc w:val="center"/>
        <w:ind w:left="1420"/>
        <w:spacing w:after="0"/>
        <w:rPr>
          <w:sz w:val="20"/>
          <w:szCs w:val="20"/>
          <w:color w:val="auto"/>
        </w:rPr>
      </w:pPr>
      <w:r>
        <w:rPr>
          <w:rFonts w:ascii="Arial" w:cs="Arial" w:eastAsia="Arial" w:hAnsi="Arial"/>
          <w:sz w:val="16"/>
          <w:szCs w:val="16"/>
          <w:b w:val="1"/>
          <w:bCs w:val="1"/>
          <w:color w:val="auto"/>
        </w:rPr>
        <w:t>Annual General Meeting of Shareholders</w:t>
      </w:r>
    </w:p>
    <w:p>
      <w:pPr>
        <w:spacing w:after="0" w:line="2" w:lineRule="exact"/>
        <w:rPr>
          <w:sz w:val="20"/>
          <w:szCs w:val="20"/>
          <w:color w:val="auto"/>
        </w:rPr>
      </w:pPr>
    </w:p>
    <w:p>
      <w:pPr>
        <w:jc w:val="center"/>
        <w:ind w:left="1420"/>
        <w:spacing w:after="0"/>
        <w:rPr>
          <w:sz w:val="20"/>
          <w:szCs w:val="20"/>
          <w:color w:val="auto"/>
        </w:rPr>
      </w:pPr>
      <w:r>
        <w:rPr>
          <w:rFonts w:ascii="Arial" w:cs="Arial" w:eastAsia="Arial" w:hAnsi="Arial"/>
          <w:sz w:val="16"/>
          <w:szCs w:val="16"/>
          <w:b w:val="1"/>
          <w:bCs w:val="1"/>
          <w:color w:val="auto"/>
        </w:rPr>
        <w:t>September 24, 2014 10:00 AM</w:t>
      </w:r>
    </w:p>
    <w:p>
      <w:pPr>
        <w:spacing w:after="0" w:line="2" w:lineRule="exact"/>
        <w:rPr>
          <w:sz w:val="20"/>
          <w:szCs w:val="20"/>
          <w:color w:val="auto"/>
        </w:rPr>
      </w:pPr>
    </w:p>
    <w:p>
      <w:pPr>
        <w:jc w:val="center"/>
        <w:ind w:left="1420"/>
        <w:spacing w:after="0"/>
        <w:rPr>
          <w:sz w:val="20"/>
          <w:szCs w:val="20"/>
          <w:color w:val="auto"/>
        </w:rPr>
      </w:pPr>
      <w:r>
        <w:rPr>
          <w:rFonts w:ascii="Arial" w:cs="Arial" w:eastAsia="Arial" w:hAnsi="Arial"/>
          <w:sz w:val="16"/>
          <w:szCs w:val="16"/>
          <w:b w:val="1"/>
          <w:bCs w:val="1"/>
          <w:color w:val="auto"/>
        </w:rPr>
        <w:t>This proxy is solicited by the Board of Directors</w:t>
      </w:r>
    </w:p>
    <w:p>
      <w:pPr>
        <w:spacing w:after="0" w:line="126" w:lineRule="exact"/>
        <w:rPr>
          <w:sz w:val="20"/>
          <w:szCs w:val="20"/>
          <w:color w:val="auto"/>
        </w:rPr>
      </w:pPr>
    </w:p>
    <w:p>
      <w:pPr>
        <w:jc w:val="both"/>
        <w:ind w:left="880"/>
        <w:spacing w:after="0" w:line="244" w:lineRule="auto"/>
        <w:rPr>
          <w:sz w:val="20"/>
          <w:szCs w:val="20"/>
          <w:color w:val="auto"/>
        </w:rPr>
      </w:pPr>
      <w:r>
        <w:rPr>
          <w:rFonts w:ascii="Arial" w:cs="Arial" w:eastAsia="Arial" w:hAnsi="Arial"/>
          <w:sz w:val="16"/>
          <w:szCs w:val="16"/>
          <w:color w:val="auto"/>
        </w:rPr>
        <w:t>The shareholder(s) hereby appoint(s) Dianne B. Ralston and Bernard J. Duroc-Danner, or either of them, as proxies, each with the power to appoint h substitute, and hereby authorizes them to represent and to vote, as designated on the reverse side of this ballot, all of the ordinary sha WEATHERFORD INTERNATIONAL PLC that the shareholder(s) is/are entitled to vote if personally present at the Annual General Meeting of Shareh to be held at 10:00 AM, Central European Time, on September 24, 2014, at The Mandarin Oriental Hotel, Quai Turrettini 1, 1201 Geneva, Switzerlan any adjournment or postponement thereof on the matters more particularly described in the Proxy Statement for the 2014 Annual General Meet Shareholders. The undersigned hereby revokes all proxies previously given by the undersigned to vote at the Annual General Meeting of Shareholder</w:t>
      </w:r>
    </w:p>
    <w:p>
      <w:pPr>
        <w:spacing w:after="0" w:line="108" w:lineRule="exact"/>
        <w:rPr>
          <w:sz w:val="20"/>
          <w:szCs w:val="20"/>
          <w:color w:val="auto"/>
        </w:rPr>
      </w:pPr>
    </w:p>
    <w:p>
      <w:pPr>
        <w:ind w:left="880" w:right="20"/>
        <w:spacing w:after="0" w:line="281" w:lineRule="auto"/>
        <w:rPr>
          <w:sz w:val="20"/>
          <w:szCs w:val="20"/>
          <w:color w:val="auto"/>
        </w:rPr>
      </w:pPr>
      <w:r>
        <w:rPr>
          <w:rFonts w:ascii="Arial" w:cs="Arial" w:eastAsia="Arial" w:hAnsi="Arial"/>
          <w:sz w:val="16"/>
          <w:szCs w:val="16"/>
          <w:b w:val="1"/>
          <w:bCs w:val="1"/>
          <w:color w:val="auto"/>
        </w:rPr>
        <w:t>This proxy, when properly executed, will be voted in the manner directed herein. If no such direction is made, this proxy will be vo accordance with the Board of Directors'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78740" cy="9988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8740" cy="998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740"/>
        <w:spacing w:after="0"/>
        <w:rPr>
          <w:sz w:val="20"/>
          <w:szCs w:val="20"/>
          <w:color w:val="auto"/>
        </w:rPr>
      </w:pPr>
      <w:r>
        <w:rPr>
          <w:rFonts w:ascii="Arial" w:cs="Arial" w:eastAsia="Arial" w:hAnsi="Arial"/>
          <w:sz w:val="16"/>
          <w:szCs w:val="16"/>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575945</wp:posOffset>
            </wp:positionV>
            <wp:extent cx="7278370" cy="2032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sectPr>
      <w:pgSz w:w="11900" w:h="16838" w:orient="portrait"/>
      <w:cols w:equalWidth="0" w:num="1">
        <w:col w:w="11520"/>
      </w:cols>
      <w:pgMar w:left="240" w:top="563"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37B8DDC"/>
    <w:multiLevelType w:val="hybridMultilevel"/>
    <w:lvl w:ilvl="0">
      <w:lvlJc w:val="left"/>
      <w:lvlText w:val="[%1]"/>
      <w:numFmt w:val="upperLetter"/>
      <w:start w:val="24"/>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1]"/>
      <w:numFmt w:val="upperLetter"/>
      <w:start w:val="24"/>
    </w:lvl>
  </w:abstractNum>
  <w:abstractNum w:abstractNumId="3">
    <w:nsid w:val="4516DDE9"/>
    <w:multiLevelType w:val="hybridMultilevel"/>
    <w:lvl w:ilvl="0">
      <w:lvlJc w:val="left"/>
      <w:lvlText w:val="["/>
      <w:numFmt w:val="bullet"/>
      <w:start w:val="1"/>
    </w:lvl>
    <w:lvl w:ilvl="1">
      <w:lvlJc w:val="left"/>
      <w:lvlText w:val="%2)"/>
      <w:numFmt w:val="decimal"/>
      <w:start w:val="1"/>
    </w:lvl>
  </w:abstractNum>
  <w:abstractNum w:abstractNumId="4">
    <w:nsid w:val="3006C83E"/>
    <w:multiLevelType w:val="hybridMultilevel"/>
    <w:lvl w:ilvl="0">
      <w:lvlJc w:val="left"/>
      <w:lvlText w:val="["/>
      <w:numFmt w:val="bullet"/>
      <w:start w:val="1"/>
    </w:lvl>
    <w:lvl w:ilvl="1">
      <w:lvlJc w:val="left"/>
      <w:lvlText w:val="%2)"/>
      <w:numFmt w:val="decimal"/>
      <w:start w:val="1"/>
    </w:lvl>
  </w:abstractNum>
  <w:abstractNum w:abstractNumId="5">
    <w:nsid w:val="614FD4A1"/>
    <w:multiLevelType w:val="hybridMultilevel"/>
    <w:lvl w:ilvl="0">
      <w:lvlJc w:val="left"/>
      <w:lvlText w:val="%1"/>
      <w:numFmt w:val="lowerRoman"/>
      <w:start w:val="2"/>
    </w:lvl>
  </w:abstractNum>
  <w:abstractNum w:abstractNumId="6">
    <w:nsid w:val="419AC241"/>
    <w:multiLevelType w:val="hybridMultilevel"/>
    <w:lvl w:ilvl="0">
      <w:lvlJc w:val="left"/>
      <w:lvlText w:val="%1"/>
      <w:numFmt w:val="lowerRoman"/>
      <w:start w:val="4"/>
    </w:lvl>
  </w:abstractNum>
  <w:abstractNum w:abstractNumId="7">
    <w:nsid w:val="5577F8E1"/>
    <w:multiLevelType w:val="hybridMultilevel"/>
    <w:lvl w:ilvl="0">
      <w:lvlJc w:val="left"/>
      <w:lvlText w:val="ü"/>
      <w:numFmt w:val="bullet"/>
      <w:start w:val="1"/>
    </w:lvl>
  </w:abstractNum>
  <w:abstractNum w:abstractNumId="8">
    <w:nsid w:val="440BADFC"/>
    <w:multiLevelType w:val="hybridMultilevel"/>
    <w:lvl w:ilvl="0">
      <w:lvlJc w:val="left"/>
      <w:lvlText w:val="%1"/>
      <w:numFmt w:val="lowerRoman"/>
      <w:start w:val="8"/>
    </w:lvl>
  </w:abstractNum>
  <w:abstractNum w:abstractNumId="9">
    <w:nsid w:val="5072367"/>
    <w:multiLevelType w:val="hybridMultilevel"/>
    <w:lvl w:ilvl="0">
      <w:lvlJc w:val="left"/>
      <w:lvlText w:val="x"/>
      <w:numFmt w:val="bullet"/>
      <w:start w:val="1"/>
    </w:lvl>
  </w:abstractNum>
  <w:abstractNum w:abstractNumId="10">
    <w:nsid w:val="3804823E"/>
    <w:multiLevelType w:val="hybridMultilevel"/>
    <w:lvl w:ilvl="0">
      <w:lvlJc w:val="left"/>
      <w:lvlText w:val="%1"/>
      <w:numFmt w:val="lowerRoman"/>
      <w:start w:val="12"/>
    </w:lvl>
  </w:abstractNum>
  <w:abstractNum w:abstractNumId="11">
    <w:nsid w:val="77465F01"/>
    <w:multiLevelType w:val="hybridMultilevel"/>
    <w:lvl w:ilvl="0">
      <w:lvlJc w:val="left"/>
      <w:lvlText w:val="%1."/>
      <w:numFmt w:val="decimal"/>
      <w:start w:val="1"/>
    </w:lvl>
  </w:abstractNum>
  <w:abstractNum w:abstractNumId="12">
    <w:nsid w:val="7724C67E"/>
    <w:multiLevelType w:val="hybridMultilevel"/>
    <w:lvl w:ilvl="0">
      <w:lvlJc w:val="left"/>
      <w:lvlText w:val="%1"/>
      <w:numFmt w:val="decimal"/>
      <w:start w:val="1"/>
    </w:lvl>
    <w:lvl w:ilvl="1">
      <w:lvlJc w:val="left"/>
      <w:lvlText w:val="(%2)"/>
      <w:numFmt w:val="decimal"/>
      <w:start w:val="5"/>
    </w:lvl>
  </w:abstractNum>
  <w:abstractNum w:abstractNumId="13">
    <w:nsid w:val="5C482A97"/>
    <w:multiLevelType w:val="hybridMultilevel"/>
    <w:lvl w:ilvl="0">
      <w:lvlJc w:val="left"/>
      <w:lvlText w:val="%1."/>
      <w:numFmt w:val="decimal"/>
      <w:start w:val="2"/>
    </w:lvl>
    <w:lvl w:ilvl="1">
      <w:lvlJc w:val="left"/>
      <w:lvlText w:val="%2"/>
      <w:numFmt w:val="decimal"/>
      <w:start w:val="1"/>
    </w:lvl>
  </w:abstractNum>
  <w:abstractNum w:abstractNumId="14">
    <w:nsid w:val="2463B9EA"/>
    <w:multiLevelType w:val="hybridMultilevel"/>
    <w:lvl w:ilvl="0">
      <w:lvlJc w:val="left"/>
      <w:lvlText w:val="1"/>
      <w:numFmt w:val="bullet"/>
      <w:start w:val="1"/>
    </w:lvl>
  </w:abstractNum>
  <w:abstractNum w:abstractNumId="15">
    <w:nsid w:val="5E884ADC"/>
    <w:multiLevelType w:val="hybridMultilevel"/>
    <w:lvl w:ilvl="0">
      <w:lvlJc w:val="left"/>
      <w:lvlText w:val="%1"/>
      <w:numFmt w:val="decimal"/>
      <w:start w:val="45"/>
    </w:lvl>
  </w:abstractNum>
  <w:abstractNum w:abstractNumId="16">
    <w:nsid w:val="51EAD36B"/>
    <w:multiLevelType w:val="hybridMultilevel"/>
    <w:lvl w:ilvl="0">
      <w:lvlJc w:val="left"/>
      <w:lvlText w:val="2"/>
      <w:numFmt w:val="bullet"/>
      <w:start w:val="1"/>
    </w:lvl>
  </w:abstractNum>
  <w:abstractNum w:abstractNumId="17">
    <w:nsid w:val="2D517796"/>
    <w:multiLevelType w:val="hybridMultilevel"/>
    <w:lvl w:ilvl="0">
      <w:lvlJc w:val="left"/>
      <w:lvlText w:val="4"/>
      <w:numFmt w:val="bullet"/>
      <w:start w:val="1"/>
    </w:lvl>
  </w:abstractNum>
  <w:abstractNum w:abstractNumId="18">
    <w:nsid w:val="580BD78F"/>
    <w:multiLevelType w:val="hybridMultilevel"/>
    <w:lvl w:ilvl="0">
      <w:lvlJc w:val="left"/>
      <w:lvlText w:val="6"/>
      <w:numFmt w:val="bullet"/>
      <w:start w:val="1"/>
    </w:lvl>
  </w:abstractNum>
  <w:abstractNum w:abstractNumId="19">
    <w:nsid w:val="153EA438"/>
    <w:multiLevelType w:val="hybridMultilevel"/>
    <w:lvl w:ilvl="0">
      <w:lvlJc w:val="left"/>
      <w:lvlText w:val="8"/>
      <w:numFmt w:val="bullet"/>
      <w:start w:val="1"/>
    </w:lvl>
  </w:abstractNum>
  <w:abstractNum w:abstractNumId="20">
    <w:nsid w:val="3855585C"/>
    <w:multiLevelType w:val="hybridMultilevel"/>
    <w:lvl w:ilvl="0">
      <w:lvlJc w:val="left"/>
      <w:lvlText w:val="%1"/>
      <w:numFmt w:val="decimal"/>
      <w:start w:val="10"/>
    </w:lvl>
  </w:abstractNum>
  <w:abstractNum w:abstractNumId="21">
    <w:nsid w:val="70A64E2A"/>
    <w:multiLevelType w:val="hybridMultilevel"/>
    <w:lvl w:ilvl="0">
      <w:lvlJc w:val="left"/>
      <w:lvlText w:val="(%1)"/>
      <w:numFmt w:val="decimal"/>
      <w:start w:val="1"/>
    </w:lvl>
  </w:abstractNum>
  <w:abstractNum w:abstractNumId="22">
    <w:nsid w:val="6A2342EC"/>
    <w:multiLevelType w:val="hybridMultilevel"/>
    <w:lvl w:ilvl="0">
      <w:lvlJc w:val="left"/>
      <w:lvlText w:val="%1"/>
      <w:numFmt w:val="decimal"/>
      <w:start w:val="12"/>
    </w:lvl>
  </w:abstractNum>
  <w:abstractNum w:abstractNumId="23">
    <w:nsid w:val="2A487CB0"/>
    <w:multiLevelType w:val="hybridMultilevel"/>
    <w:lvl w:ilvl="0">
      <w:lvlJc w:val="left"/>
      <w:lvlText w:val="%1"/>
      <w:numFmt w:val="decimal"/>
      <w:start w:val="14"/>
    </w:lvl>
  </w:abstractNum>
  <w:abstractNum w:abstractNumId="24">
    <w:nsid w:val="1D4ED43B"/>
    <w:multiLevelType w:val="hybridMultilevel"/>
    <w:lvl w:ilvl="0">
      <w:lvlJc w:val="left"/>
      <w:lvlText w:val="(%1)"/>
      <w:numFmt w:val="decimal"/>
      <w:start w:val="1"/>
    </w:lvl>
  </w:abstractNum>
  <w:abstractNum w:abstractNumId="25">
    <w:nsid w:val="725A06FB"/>
    <w:multiLevelType w:val="hybridMultilevel"/>
    <w:lvl w:ilvl="0">
      <w:lvlJc w:val="left"/>
      <w:lvlText w:val="(%1)"/>
      <w:numFmt w:val="decimal"/>
      <w:start w:val="1"/>
    </w:lvl>
  </w:abstractNum>
  <w:abstractNum w:abstractNumId="26">
    <w:nsid w:val="2CD89A32"/>
    <w:multiLevelType w:val="hybridMultilevel"/>
    <w:lvl w:ilvl="0">
      <w:lvlJc w:val="left"/>
      <w:lvlText w:val="%1"/>
      <w:numFmt w:val="decimal"/>
      <w:start w:val="16"/>
    </w:lvl>
  </w:abstractNum>
  <w:abstractNum w:abstractNumId="27">
    <w:nsid w:val="57E4CCAF"/>
    <w:multiLevelType w:val="hybridMultilevel"/>
    <w:lvl w:ilvl="0">
      <w:lvlJc w:val="left"/>
      <w:lvlText w:val="%1"/>
      <w:numFmt w:val="decimal"/>
      <w:start w:val="18"/>
    </w:lvl>
  </w:abstractNum>
  <w:abstractNum w:abstractNumId="28">
    <w:nsid w:val="7A6D8D3C"/>
    <w:multiLevelType w:val="hybridMultilevel"/>
    <w:lvl w:ilvl="0">
      <w:lvlJc w:val="left"/>
      <w:lvlText w:val="(%1)"/>
      <w:numFmt w:val="decimal"/>
      <w:start w:val="1"/>
    </w:lvl>
  </w:abstractNum>
  <w:abstractNum w:abstractNumId="29">
    <w:nsid w:val="4B588F54"/>
    <w:multiLevelType w:val="hybridMultilevel"/>
    <w:lvl w:ilvl="0">
      <w:lvlJc w:val="left"/>
      <w:lvlText w:val="%1"/>
      <w:numFmt w:val="decimal"/>
      <w:start w:val="20"/>
    </w:lvl>
  </w:abstractNum>
  <w:abstractNum w:abstractNumId="30">
    <w:nsid w:val="542289EC"/>
    <w:multiLevelType w:val="hybridMultilevel"/>
    <w:lvl w:ilvl="0">
      <w:lvlJc w:val="left"/>
      <w:lvlText w:val="%1"/>
      <w:numFmt w:val="decimal"/>
      <w:start w:val="22"/>
    </w:lvl>
  </w:abstractNum>
  <w:abstractNum w:abstractNumId="31">
    <w:nsid w:val="6DE91B18"/>
    <w:multiLevelType w:val="hybridMultilevel"/>
    <w:lvl w:ilvl="0">
      <w:lvlJc w:val="left"/>
      <w:lvlText w:val="(%1)"/>
      <w:numFmt w:val="decimal"/>
      <w:start w:val="1"/>
    </w:lvl>
  </w:abstractNum>
  <w:abstractNum w:abstractNumId="32">
    <w:nsid w:val="38437FDB"/>
    <w:multiLevelType w:val="hybridMultilevel"/>
    <w:lvl w:ilvl="0">
      <w:lvlJc w:val="left"/>
      <w:lvlText w:val="%1"/>
      <w:numFmt w:val="decimal"/>
      <w:start w:val="24"/>
    </w:lvl>
  </w:abstractNum>
  <w:abstractNum w:abstractNumId="33">
    <w:nsid w:val="7644A45C"/>
    <w:multiLevelType w:val="hybridMultilevel"/>
    <w:lvl w:ilvl="0">
      <w:lvlJc w:val="left"/>
      <w:lvlText w:val="(%1)"/>
      <w:numFmt w:val="lowerLetter"/>
      <w:start w:val="1"/>
    </w:lvl>
  </w:abstractNum>
  <w:abstractNum w:abstractNumId="34">
    <w:nsid w:val="32FFF902"/>
    <w:multiLevelType w:val="hybridMultilevel"/>
    <w:lvl w:ilvl="0">
      <w:lvlJc w:val="left"/>
      <w:lvlText w:val="%1"/>
      <w:numFmt w:val="decimal"/>
      <w:start w:val="26"/>
    </w:lvl>
  </w:abstractNum>
  <w:abstractNum w:abstractNumId="35">
    <w:nsid w:val="684A481A"/>
    <w:multiLevelType w:val="hybridMultilevel"/>
    <w:lvl w:ilvl="0">
      <w:lvlJc w:val="left"/>
      <w:lvlText w:val="(%1)"/>
      <w:numFmt w:val="lowerLetter"/>
      <w:start w:val="1"/>
    </w:lvl>
  </w:abstractNum>
  <w:abstractNum w:abstractNumId="36">
    <w:nsid w:val="579478FE"/>
    <w:multiLevelType w:val="hybridMultilevel"/>
    <w:lvl w:ilvl="0">
      <w:lvlJc w:val="left"/>
      <w:lvlText w:val="%1"/>
      <w:numFmt w:val="decimal"/>
      <w:start w:val="28"/>
    </w:lvl>
  </w:abstractNum>
  <w:abstractNum w:abstractNumId="37">
    <w:nsid w:val="749ABB43"/>
    <w:multiLevelType w:val="hybridMultilevel"/>
    <w:lvl w:ilvl="0">
      <w:lvlJc w:val="left"/>
      <w:lvlText w:val="(%1)"/>
      <w:numFmt w:val="lowerLetter"/>
      <w:start w:val="1"/>
    </w:lvl>
  </w:abstractNum>
  <w:abstractNum w:abstractNumId="38">
    <w:nsid w:val="3DC240FB"/>
    <w:multiLevelType w:val="hybridMultilevel"/>
    <w:lvl w:ilvl="0">
      <w:lvlJc w:val="left"/>
      <w:lvlText w:val="%1"/>
      <w:numFmt w:val="decimal"/>
      <w:start w:val="30"/>
    </w:lvl>
  </w:abstractNum>
  <w:abstractNum w:abstractNumId="39">
    <w:nsid w:val="1BA026FA"/>
    <w:multiLevelType w:val="hybridMultilevel"/>
    <w:lvl w:ilvl="0">
      <w:lvlJc w:val="left"/>
      <w:lvlText w:val="(%1)"/>
      <w:numFmt w:val="lowerLetter"/>
      <w:start w:val="1"/>
    </w:lvl>
  </w:abstractNum>
  <w:abstractNum w:abstractNumId="40">
    <w:nsid w:val="79A1DEAA"/>
    <w:multiLevelType w:val="hybridMultilevel"/>
    <w:lvl w:ilvl="0">
      <w:lvlJc w:val="left"/>
      <w:lvlText w:val="%1"/>
      <w:numFmt w:val="decimal"/>
      <w:start w:val="32"/>
    </w:lvl>
  </w:abstractNum>
  <w:abstractNum w:abstractNumId="41">
    <w:nsid w:val="75C6C33A"/>
    <w:multiLevelType w:val="hybridMultilevel"/>
    <w:lvl w:ilvl="0">
      <w:lvlJc w:val="left"/>
      <w:lvlText w:val="%1"/>
      <w:numFmt w:val="decimal"/>
      <w:start w:val="34"/>
    </w:lvl>
  </w:abstractNum>
  <w:abstractNum w:abstractNumId="42">
    <w:nsid w:val="12E685FB"/>
    <w:multiLevelType w:val="hybridMultilevel"/>
    <w:lvl w:ilvl="0">
      <w:lvlJc w:val="left"/>
      <w:lvlText w:val="(%1)"/>
      <w:numFmt w:val="lowerLetter"/>
      <w:start w:val="1"/>
    </w:lvl>
  </w:abstractNum>
  <w:abstractNum w:abstractNumId="43">
    <w:nsid w:val="70C6A529"/>
    <w:multiLevelType w:val="hybridMultilevel"/>
    <w:lvl w:ilvl="0">
      <w:lvlJc w:val="left"/>
      <w:lvlText w:val="(%1)"/>
      <w:numFmt w:val="lowerRoman"/>
      <w:start w:val="1"/>
    </w:lvl>
  </w:abstractNum>
  <w:abstractNum w:abstractNumId="44">
    <w:nsid w:val="520EEDD1"/>
    <w:multiLevelType w:val="hybridMultilevel"/>
    <w:lvl w:ilvl="0">
      <w:lvlJc w:val="left"/>
      <w:lvlText w:val="(%1)"/>
      <w:numFmt w:val="lowerLetter"/>
      <w:start w:val="10"/>
    </w:lvl>
  </w:abstractNum>
  <w:abstractNum w:abstractNumId="45">
    <w:nsid w:val="374A3FE6"/>
    <w:multiLevelType w:val="hybridMultilevel"/>
    <w:lvl w:ilvl="0">
      <w:lvlJc w:val="left"/>
      <w:lvlText w:val="(%1)"/>
      <w:numFmt w:val="decimal"/>
      <w:start w:val="1"/>
    </w:lvl>
  </w:abstractNum>
  <w:abstractNum w:abstractNumId="46">
    <w:nsid w:val="4F4EF005"/>
    <w:multiLevelType w:val="hybridMultilevel"/>
    <w:lvl w:ilvl="0">
      <w:lvlJc w:val="left"/>
      <w:lvlText w:val="%1"/>
      <w:numFmt w:val="decimal"/>
      <w:start w:val="36"/>
    </w:lvl>
  </w:abstractNum>
  <w:abstractNum w:abstractNumId="47">
    <w:nsid w:val="23F9C13C"/>
    <w:multiLevelType w:val="hybridMultilevel"/>
    <w:lvl w:ilvl="0">
      <w:lvlJc w:val="left"/>
      <w:lvlText w:val="(%1)"/>
      <w:numFmt w:val="decimal"/>
      <w:start w:val="1"/>
    </w:lvl>
  </w:abstractNum>
  <w:abstractNum w:abstractNumId="48">
    <w:nsid w:val="649BB77C"/>
    <w:multiLevelType w:val="hybridMultilevel"/>
    <w:lvl w:ilvl="0">
      <w:lvlJc w:val="left"/>
      <w:lvlText w:val="(%1)"/>
      <w:numFmt w:val="decimal"/>
      <w:start w:val="2"/>
    </w:lvl>
  </w:abstractNum>
  <w:abstractNum w:abstractNumId="49">
    <w:nsid w:val="275AC794"/>
    <w:multiLevelType w:val="hybridMultilevel"/>
    <w:lvl w:ilvl="0">
      <w:lvlJc w:val="left"/>
      <w:lvlText w:val="(%1)"/>
      <w:numFmt w:val="lowerRoman"/>
      <w:start w:val="1"/>
    </w:lvl>
  </w:abstractNum>
  <w:abstractNum w:abstractNumId="50">
    <w:nsid w:val="39386575"/>
    <w:multiLevelType w:val="hybridMultilevel"/>
    <w:lvl w:ilvl="0">
      <w:lvlJc w:val="left"/>
      <w:lvlText w:val="%1"/>
      <w:numFmt w:val="decimal"/>
      <w:start w:val="38"/>
    </w:lvl>
  </w:abstractNum>
  <w:abstractNum w:abstractNumId="51">
    <w:nsid w:val="1CF10FD8"/>
    <w:multiLevelType w:val="hybridMultilevel"/>
    <w:lvl w:ilvl="0">
      <w:lvlJc w:val="left"/>
      <w:lvlText w:val="(%1)"/>
      <w:numFmt w:val="lowerRoman"/>
      <w:start w:val="2"/>
    </w:lvl>
  </w:abstractNum>
  <w:abstractNum w:abstractNumId="52">
    <w:nsid w:val="180115BE"/>
    <w:multiLevelType w:val="hybridMultilevel"/>
    <w:lvl w:ilvl="0">
      <w:lvlJc w:val="left"/>
      <w:lvlText w:val="(%1)"/>
      <w:numFmt w:val="decimal"/>
      <w:start w:val="1"/>
    </w:lvl>
  </w:abstractNum>
  <w:abstractNum w:abstractNumId="53">
    <w:nsid w:val="235BA861"/>
    <w:multiLevelType w:val="hybridMultilevel"/>
    <w:lvl w:ilvl="0">
      <w:lvlJc w:val="left"/>
      <w:lvlText w:val="%1"/>
      <w:numFmt w:val="decimal"/>
      <w:start w:val="40"/>
    </w:lvl>
  </w:abstractNum>
  <w:abstractNum w:abstractNumId="54">
    <w:nsid w:val="47398C89"/>
    <w:multiLevelType w:val="hybridMultilevel"/>
    <w:lvl w:ilvl="0">
      <w:lvlJc w:val="left"/>
      <w:lvlText w:val="(%1)"/>
      <w:numFmt w:val="decimal"/>
      <w:start w:val="1"/>
    </w:lvl>
  </w:abstractNum>
  <w:abstractNum w:abstractNumId="55">
    <w:nsid w:val="354FE9F9"/>
    <w:multiLevelType w:val="hybridMultilevel"/>
    <w:lvl w:ilvl="0">
      <w:lvlJc w:val="left"/>
      <w:lvlText w:val="%1"/>
      <w:numFmt w:val="decimal"/>
      <w:start w:val="42"/>
    </w:lvl>
  </w:abstractNum>
  <w:abstractNum w:abstractNumId="56">
    <w:nsid w:val="15B5AF5C"/>
    <w:multiLevelType w:val="hybridMultilevel"/>
    <w:lvl w:ilvl="0">
      <w:lvlJc w:val="left"/>
      <w:lvlText w:val="(%1)"/>
      <w:numFmt w:val="decimal"/>
      <w:start w:val="3"/>
    </w:lvl>
  </w:abstractNum>
  <w:abstractNum w:abstractNumId="57">
    <w:nsid w:val="741226BB"/>
    <w:multiLevelType w:val="hybridMultilevel"/>
    <w:lvl w:ilvl="0">
      <w:lvlJc w:val="left"/>
      <w:lvlText w:val="*"/>
      <w:numFmt w:val="bullet"/>
      <w:start w:val="1"/>
    </w:lvl>
  </w:abstractNum>
  <w:abstractNum w:abstractNumId="58">
    <w:nsid w:val="D34B6A8"/>
    <w:multiLevelType w:val="hybridMultilevel"/>
    <w:lvl w:ilvl="0">
      <w:lvlJc w:val="left"/>
      <w:lvlText w:val="(%1)"/>
      <w:numFmt w:val="decimal"/>
      <w:start w:val="1"/>
    </w:lvl>
  </w:abstractNum>
  <w:abstractNum w:abstractNumId="59">
    <w:nsid w:val="10233C99"/>
    <w:multiLevelType w:val="hybridMultilevel"/>
    <w:lvl w:ilvl="0">
      <w:lvlJc w:val="left"/>
      <w:lvlText w:val="(%1)"/>
      <w:numFmt w:val="decimal"/>
      <w:start w:val="1"/>
    </w:lvl>
  </w:abstractNum>
  <w:abstractNum w:abstractNumId="60">
    <w:nsid w:val="3F6AB60F"/>
    <w:multiLevelType w:val="hybridMultilevel"/>
    <w:lvl w:ilvl="0">
      <w:lvlJc w:val="left"/>
      <w:lvlText w:val="%1"/>
      <w:numFmt w:val="decimal"/>
      <w:start w:val="44"/>
    </w:lvl>
  </w:abstractNum>
  <w:abstractNum w:abstractNumId="61">
    <w:nsid w:val="61574095"/>
    <w:multiLevelType w:val="hybridMultilevel"/>
    <w:lvl w:ilvl="0">
      <w:lvlJc w:val="left"/>
      <w:lvlText w:val="%1"/>
      <w:numFmt w:val="decimal"/>
      <w:start w:val="4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jpeg"/><Relationship Id="rId342" Type="http://schemas.openxmlformats.org/officeDocument/2006/relationships/image" Target="media/image335.jpeg"/><Relationship Id="rId343" Type="http://schemas.openxmlformats.org/officeDocument/2006/relationships/image" Target="media/image336.jpe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2019-12-08T10:29:04Z</dcterms:created>
  <dcterms:modified xsi:type="dcterms:W3CDTF">2019-12-08T10:29:04Z</dcterms:modified>
</cp:coreProperties>
</file>