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508000</wp:posOffset>
            </wp:positionH>
            <wp:positionV relativeFrom="page">
              <wp:posOffset>723265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12, 2024</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54"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3440" w:type="dxa"/>
            <w:vAlign w:val="bottom"/>
          </w:tcPr>
          <w:p>
            <w:pPr>
              <w:spacing w:after="0"/>
              <w:rPr>
                <w:sz w:val="20"/>
                <w:szCs w:val="20"/>
                <w:color w:val="auto"/>
              </w:rPr>
            </w:pPr>
          </w:p>
        </w:tc>
        <w:tc>
          <w:tcPr>
            <w:tcW w:w="4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320" w:type="dxa"/>
            <w:vAlign w:val="bottom"/>
          </w:tcPr>
          <w:p>
            <w:pPr>
              <w:spacing w:after="0"/>
              <w:rPr>
                <w:sz w:val="20"/>
                <w:szCs w:val="20"/>
                <w:color w:val="auto"/>
              </w:rPr>
            </w:pPr>
          </w:p>
        </w:tc>
      </w:tr>
      <w:tr>
        <w:trPr>
          <w:trHeight w:val="238"/>
        </w:trPr>
        <w:tc>
          <w:tcPr>
            <w:tcW w:w="34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4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332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8"/>
        </w:trPr>
        <w:tc>
          <w:tcPr>
            <w:tcW w:w="3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6"/>
        </w:trPr>
        <w:tc>
          <w:tcPr>
            <w:tcW w:w="34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4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332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28"/>
        </w:trPr>
        <w:tc>
          <w:tcPr>
            <w:tcW w:w="76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6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3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4"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338"/>
        </w:trPr>
        <w:tc>
          <w:tcPr>
            <w:tcW w:w="80" w:type="dxa"/>
            <w:vAlign w:val="bottom"/>
          </w:tcPr>
          <w:p>
            <w:pPr>
              <w:spacing w:after="0"/>
              <w:rPr>
                <w:sz w:val="24"/>
                <w:szCs w:val="24"/>
                <w:color w:val="auto"/>
              </w:rPr>
            </w:pPr>
          </w:p>
        </w:tc>
        <w:tc>
          <w:tcPr>
            <w:tcW w:w="43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80" w:type="dxa"/>
            <w:vAlign w:val="bottom"/>
          </w:tcPr>
          <w:p>
            <w:pPr>
              <w:spacing w:after="0"/>
              <w:rPr>
                <w:sz w:val="19"/>
                <w:szCs w:val="19"/>
                <w:color w:val="auto"/>
              </w:rPr>
            </w:pP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2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1"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3" w:right="39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5.07</w:t>
      </w:r>
      <w:r>
        <w:rPr>
          <w:sz w:val="20"/>
          <w:szCs w:val="20"/>
          <w:color w:val="auto"/>
        </w:rPr>
        <w:tab/>
      </w:r>
      <w:r>
        <w:rPr>
          <w:rFonts w:ascii="Times New Roman" w:cs="Times New Roman" w:eastAsia="Times New Roman" w:hAnsi="Times New Roman"/>
          <w:sz w:val="21"/>
          <w:szCs w:val="21"/>
          <w:b w:val="1"/>
          <w:bCs w:val="1"/>
          <w:color w:val="auto"/>
        </w:rPr>
        <w:t>Submission of Matters to a Vote of Security Holders.</w:t>
      </w:r>
    </w:p>
    <w:p>
      <w:pPr>
        <w:spacing w:after="0" w:line="224" w:lineRule="exact"/>
        <w:rPr>
          <w:sz w:val="20"/>
          <w:szCs w:val="20"/>
          <w:color w:val="auto"/>
        </w:rPr>
      </w:pPr>
    </w:p>
    <w:p>
      <w:pPr>
        <w:jc w:val="both"/>
        <w:ind w:right="300"/>
        <w:spacing w:after="0" w:line="256" w:lineRule="auto"/>
        <w:rPr>
          <w:sz w:val="20"/>
          <w:szCs w:val="20"/>
          <w:color w:val="auto"/>
        </w:rPr>
      </w:pPr>
      <w:r>
        <w:rPr>
          <w:rFonts w:ascii="Times New Roman" w:cs="Times New Roman" w:eastAsia="Times New Roman" w:hAnsi="Times New Roman"/>
          <w:sz w:val="22"/>
          <w:szCs w:val="22"/>
          <w:color w:val="auto"/>
        </w:rPr>
        <w:t>The 2024 Annual General Meeting of Shareholders (the “Annual Meeting”) of Weatherford International plc (the “Company”) was held on June 12, 2024. At the Annual Meeting holders of 70,512,998 ordinary shares, nominal value $0.001 per share, or approximately 96.38%, of the 73,154,140 issued and outstanding ordinary shares entitled to vote at the Annual Meeting, were present in person or by proxies.</w:t>
      </w:r>
    </w:p>
    <w:p>
      <w:pPr>
        <w:spacing w:after="0" w:line="176" w:lineRule="exact"/>
        <w:rPr>
          <w:sz w:val="20"/>
          <w:szCs w:val="20"/>
          <w:color w:val="auto"/>
        </w:rPr>
      </w:pPr>
    </w:p>
    <w:p>
      <w:pPr>
        <w:ind w:right="40" w:firstLine="413"/>
        <w:spacing w:after="0" w:line="271" w:lineRule="auto"/>
        <w:tabs>
          <w:tab w:leader="none" w:pos="779"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voted at the Annual Meeting as follows to elect each of the five nominees to serve a one-year term that is anticipated to expire at the Company’s 2025 Annual General Meeting of the Shareholders.</w:t>
      </w:r>
    </w:p>
    <w:p>
      <w:pPr>
        <w:spacing w:after="0" w:line="50" w:lineRule="exact"/>
        <w:rPr>
          <w:sz w:val="20"/>
          <w:szCs w:val="20"/>
          <w:color w:val="auto"/>
        </w:rPr>
      </w:pPr>
    </w:p>
    <w:tbl>
      <w:tblPr>
        <w:tblLayout w:type="fixed"/>
        <w:tblInd w:w="420" w:type="dxa"/>
        <w:tblCellMar>
          <w:top w:w="0" w:type="dxa"/>
          <w:left w:w="0" w:type="dxa"/>
          <w:bottom w:w="0" w:type="dxa"/>
          <w:right w:w="0" w:type="dxa"/>
        </w:tblCellMar>
      </w:tblPr>
      <w:tr>
        <w:trPr>
          <w:trHeight w:val="291"/>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 of Director</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8"/>
              </w:rPr>
              <w:t>For</w:t>
            </w: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22"/>
                <w:szCs w:val="22"/>
                <w:color w:val="auto"/>
              </w:rPr>
              <w:t>Against</w:t>
            </w: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Abstaining</w:t>
            </w:r>
          </w:p>
        </w:tc>
        <w:tc>
          <w:tcPr>
            <w:tcW w:w="1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Broker Non-Votes</w:t>
            </w:r>
          </w:p>
        </w:tc>
      </w:tr>
      <w:tr>
        <w:trPr>
          <w:trHeight w:val="41"/>
        </w:trPr>
        <w:tc>
          <w:tcPr>
            <w:tcW w:w="24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r>
      <w:tr>
        <w:trPr>
          <w:trHeight w:val="27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Benjamin C. Duster, IV</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6"/>
              </w:rPr>
              <w:t>64,611,370</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3,260,922</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9"/>
              </w:rPr>
              <w:t>41,174</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9"/>
              </w:rPr>
              <w:t>2,599,532</w:t>
            </w:r>
          </w:p>
        </w:tc>
      </w:tr>
      <w:tr>
        <w:trPr>
          <w:trHeight w:val="27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Neal P. Goldman</w:t>
            </w:r>
          </w:p>
        </w:tc>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52,712,680</w:t>
            </w:r>
          </w:p>
        </w:tc>
        <w:tc>
          <w:tcPr>
            <w:tcW w:w="12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14,998,721</w:t>
            </w:r>
          </w:p>
        </w:tc>
        <w:tc>
          <w:tcPr>
            <w:tcW w:w="12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202,065</w:t>
            </w:r>
          </w:p>
        </w:tc>
        <w:tc>
          <w:tcPr>
            <w:tcW w:w="12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2,599,532</w:t>
            </w:r>
          </w:p>
        </w:tc>
      </w:tr>
      <w:tr>
        <w:trPr>
          <w:trHeight w:val="27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Jacqueline C. Mutschler</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8"/>
              </w:rPr>
              <w:t>65,588,563</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2,304,067</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9"/>
              </w:rPr>
              <w:t>20,836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9"/>
              </w:rPr>
              <w:t>2,599,532</w:t>
            </w:r>
          </w:p>
        </w:tc>
      </w:tr>
      <w:tr>
        <w:trPr>
          <w:trHeight w:val="27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Girishchandra K. Saligram</w:t>
            </w:r>
          </w:p>
        </w:tc>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67,844,999</w:t>
            </w:r>
          </w:p>
        </w:tc>
        <w:tc>
          <w:tcPr>
            <w:tcW w:w="12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47,651</w:t>
            </w:r>
          </w:p>
        </w:tc>
        <w:tc>
          <w:tcPr>
            <w:tcW w:w="12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20,816</w:t>
            </w:r>
          </w:p>
        </w:tc>
        <w:tc>
          <w:tcPr>
            <w:tcW w:w="12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2,599,532</w:t>
            </w:r>
          </w:p>
        </w:tc>
      </w:tr>
      <w:tr>
        <w:trPr>
          <w:trHeight w:val="27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2"/>
                <w:szCs w:val="22"/>
                <w:color w:val="auto"/>
              </w:rPr>
              <w:t>Charles M. Sledge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8"/>
              </w:rPr>
              <w:t>67,077,780</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7"/>
              </w:rPr>
              <w:t>814,926</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9"/>
              </w:rPr>
              <w:t>20,760</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9"/>
              </w:rPr>
              <w:t>2,599,532</w:t>
            </w:r>
          </w:p>
        </w:tc>
      </w:tr>
    </w:tbl>
    <w:p>
      <w:pPr>
        <w:spacing w:after="0" w:line="297" w:lineRule="exact"/>
        <w:rPr>
          <w:sz w:val="20"/>
          <w:szCs w:val="20"/>
          <w:color w:val="auto"/>
        </w:rPr>
      </w:pPr>
    </w:p>
    <w:p>
      <w:pPr>
        <w:ind w:right="560" w:firstLine="413"/>
        <w:spacing w:after="0" w:line="266" w:lineRule="auto"/>
        <w:tabs>
          <w:tab w:leader="none" w:pos="779" w:val="left"/>
        </w:tabs>
        <w:numPr>
          <w:ilvl w:val="1"/>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shareholders voted at the Annual Meeting as follows to: (a) ratify the appointment of (i) KPMG LLP as the Company’s independent registered public accounting firm and auditor for the financial year ending December 31, 2024 and</w:t>
      </w:r>
    </w:p>
    <w:p>
      <w:pPr>
        <w:spacing w:after="0" w:line="1" w:lineRule="exact"/>
        <w:rPr>
          <w:rFonts w:ascii="Times New Roman" w:cs="Times New Roman" w:eastAsia="Times New Roman" w:hAnsi="Times New Roman"/>
          <w:sz w:val="21"/>
          <w:szCs w:val="21"/>
          <w:color w:val="auto"/>
        </w:rPr>
      </w:pPr>
    </w:p>
    <w:p>
      <w:pPr>
        <w:ind w:right="20" w:firstLine="8"/>
        <w:spacing w:after="0" w:line="252" w:lineRule="auto"/>
        <w:tabs>
          <w:tab w:leader="none" w:pos="318"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KPMG Chartered Accountants, Dublin, as the Company’s statutory auditor under Irish law to hold office until the close of the Company’s 2025 Annual General Meeting of the Shareholders; and (b) authorize the Board of Directors of the Company, acting through the Audit Committee, to determine the auditors’ remuneration.</w:t>
      </w:r>
    </w:p>
    <w:p>
      <w:pPr>
        <w:spacing w:after="0" w:line="43" w:lineRule="exact"/>
        <w:rPr>
          <w:sz w:val="20"/>
          <w:szCs w:val="20"/>
          <w:color w:val="auto"/>
        </w:rPr>
      </w:pPr>
    </w:p>
    <w:tbl>
      <w:tblPr>
        <w:tblLayout w:type="fixed"/>
        <w:tblInd w:w="420" w:type="dxa"/>
        <w:tblCellMar>
          <w:top w:w="0" w:type="dxa"/>
          <w:left w:w="0" w:type="dxa"/>
          <w:bottom w:w="0" w:type="dxa"/>
          <w:right w:w="0" w:type="dxa"/>
        </w:tblCellMar>
      </w:tblPr>
      <w:tr>
        <w:trPr>
          <w:trHeight w:val="283"/>
        </w:trPr>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8"/>
              </w:rPr>
              <w:t>For</w:t>
            </w: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Against</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9"/>
              </w:rPr>
              <w:t>Abstaining</w:t>
            </w: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5"/>
              </w:rPr>
              <w:t>Broker Non-Votes</w:t>
            </w:r>
          </w:p>
        </w:tc>
      </w:tr>
      <w:tr>
        <w:trPr>
          <w:trHeight w:val="35"/>
        </w:trPr>
        <w:tc>
          <w:tcPr>
            <w:tcW w:w="1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tcBorders>
              <w:top w:val="single" w:sz="8" w:color="auto"/>
            </w:tcBorders>
          </w:tcPr>
          <w:p>
            <w:pPr>
              <w:spacing w:after="0"/>
              <w:rPr>
                <w:sz w:val="3"/>
                <w:szCs w:val="3"/>
                <w:color w:val="auto"/>
              </w:rPr>
            </w:pPr>
          </w:p>
        </w:tc>
      </w:tr>
      <w:tr>
        <w:trPr>
          <w:trHeight w:val="270"/>
        </w:trPr>
        <w:tc>
          <w:tcPr>
            <w:tcW w:w="14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22"/>
                <w:szCs w:val="22"/>
                <w:color w:val="auto"/>
              </w:rPr>
              <w:t>70,125,368</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22"/>
                <w:szCs w:val="22"/>
                <w:color w:val="auto"/>
              </w:rPr>
              <w:t>364,644</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22"/>
                <w:szCs w:val="22"/>
                <w:color w:val="auto"/>
              </w:rPr>
              <w:t>22,986</w:t>
            </w:r>
          </w:p>
        </w:tc>
        <w:tc>
          <w:tcPr>
            <w:tcW w:w="120" w:type="dxa"/>
            <w:vAlign w:val="bottom"/>
            <w:shd w:val="clear" w:color="auto" w:fill="CCEEFF"/>
          </w:tcPr>
          <w:p>
            <w:pPr>
              <w:spacing w:after="0"/>
              <w:rPr>
                <w:sz w:val="23"/>
                <w:szCs w:val="23"/>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2"/>
                <w:szCs w:val="22"/>
                <w:color w:val="auto"/>
                <w:w w:val="90"/>
              </w:rPr>
              <w:t>—</w:t>
            </w:r>
          </w:p>
        </w:tc>
      </w:tr>
    </w:tbl>
    <w:p>
      <w:pPr>
        <w:spacing w:after="0" w:line="297" w:lineRule="exact"/>
        <w:rPr>
          <w:sz w:val="20"/>
          <w:szCs w:val="20"/>
          <w:color w:val="auto"/>
        </w:rPr>
      </w:pPr>
    </w:p>
    <w:p>
      <w:pPr>
        <w:ind w:right="120" w:firstLine="413"/>
        <w:spacing w:after="0" w:line="271" w:lineRule="auto"/>
        <w:tabs>
          <w:tab w:leader="none" w:pos="779"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voted at the Annual Meeting as follows to approve, on a nonbinding advisory basis, the compensation of the Company’s named executive officers.</w:t>
      </w:r>
    </w:p>
    <w:p>
      <w:pPr>
        <w:spacing w:after="0" w:line="23" w:lineRule="exact"/>
        <w:rPr>
          <w:sz w:val="20"/>
          <w:szCs w:val="20"/>
          <w:color w:val="auto"/>
        </w:rPr>
      </w:pPr>
    </w:p>
    <w:tbl>
      <w:tblPr>
        <w:tblLayout w:type="fixed"/>
        <w:tblInd w:w="420" w:type="dxa"/>
        <w:tblCellMar>
          <w:top w:w="0" w:type="dxa"/>
          <w:left w:w="0" w:type="dxa"/>
          <w:bottom w:w="0" w:type="dxa"/>
          <w:right w:w="0" w:type="dxa"/>
        </w:tblCellMar>
      </w:tblPr>
      <w:tr>
        <w:trPr>
          <w:trHeight w:val="283"/>
        </w:trPr>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8"/>
              </w:rPr>
              <w:t>For</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Against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w w:val="99"/>
              </w:rPr>
              <w:t>Abstaining</w:t>
            </w:r>
          </w:p>
        </w:tc>
        <w:tc>
          <w:tcPr>
            <w:tcW w:w="1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Broker Non-Votes</w:t>
            </w:r>
          </w:p>
        </w:tc>
      </w:tr>
      <w:tr>
        <w:trPr>
          <w:trHeight w:val="35"/>
        </w:trPr>
        <w:tc>
          <w:tcPr>
            <w:tcW w:w="1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r>
      <w:tr>
        <w:trPr>
          <w:trHeight w:val="270"/>
        </w:trPr>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rPr>
              <w:t>67,260,084</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22"/>
                <w:szCs w:val="22"/>
                <w:color w:val="auto"/>
              </w:rPr>
              <w:t>604,756</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22"/>
                <w:szCs w:val="22"/>
                <w:color w:val="auto"/>
              </w:rPr>
              <w:t>48,626</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22"/>
                <w:szCs w:val="22"/>
                <w:color w:val="auto"/>
              </w:rPr>
              <w:t>2,599,532</w:t>
            </w:r>
          </w:p>
        </w:tc>
      </w:tr>
    </w:tbl>
    <w:p>
      <w:pPr>
        <w:spacing w:after="0" w:line="297" w:lineRule="exact"/>
        <w:rPr>
          <w:sz w:val="20"/>
          <w:szCs w:val="20"/>
          <w:color w:val="auto"/>
        </w:rPr>
      </w:pPr>
    </w:p>
    <w:p>
      <w:pPr>
        <w:ind w:right="260" w:firstLine="413"/>
        <w:spacing w:after="0" w:line="271" w:lineRule="auto"/>
        <w:tabs>
          <w:tab w:leader="none" w:pos="77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voted at the Annual Meeting as follows to grant the Board of Directors the authority to issues shares under Irish law.</w:t>
      </w:r>
    </w:p>
    <w:p>
      <w:pPr>
        <w:spacing w:after="0" w:line="23" w:lineRule="exact"/>
        <w:rPr>
          <w:sz w:val="20"/>
          <w:szCs w:val="20"/>
          <w:color w:val="auto"/>
        </w:rPr>
      </w:pPr>
    </w:p>
    <w:tbl>
      <w:tblPr>
        <w:tblLayout w:type="fixed"/>
        <w:tblInd w:w="420" w:type="dxa"/>
        <w:tblCellMar>
          <w:top w:w="0" w:type="dxa"/>
          <w:left w:w="0" w:type="dxa"/>
          <w:bottom w:w="0" w:type="dxa"/>
          <w:right w:w="0" w:type="dxa"/>
        </w:tblCellMar>
      </w:tblPr>
      <w:tr>
        <w:trPr>
          <w:trHeight w:val="283"/>
        </w:trPr>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8"/>
              </w:rPr>
              <w:t>For</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Against</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color w:val="auto"/>
                <w:w w:val="99"/>
              </w:rPr>
              <w:t>Abstaining</w:t>
            </w:r>
          </w:p>
        </w:tc>
        <w:tc>
          <w:tcPr>
            <w:tcW w:w="17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Broker Non-Votes</w:t>
            </w:r>
          </w:p>
        </w:tc>
      </w:tr>
      <w:tr>
        <w:trPr>
          <w:trHeight w:val="35"/>
        </w:trPr>
        <w:tc>
          <w:tcPr>
            <w:tcW w:w="1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r>
      <w:tr>
        <w:trPr>
          <w:trHeight w:val="270"/>
        </w:trPr>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rPr>
              <w:t>67,450,471</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22"/>
                <w:szCs w:val="22"/>
                <w:color w:val="auto"/>
              </w:rPr>
              <w:t>451,088</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22"/>
                <w:szCs w:val="22"/>
                <w:color w:val="auto"/>
              </w:rPr>
              <w:t>11,907</w:t>
            </w: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22"/>
                <w:szCs w:val="22"/>
                <w:color w:val="auto"/>
              </w:rPr>
              <w:t>2,599,532</w:t>
            </w:r>
          </w:p>
        </w:tc>
      </w:tr>
    </w:tbl>
    <w:p>
      <w:pPr>
        <w:spacing w:after="0" w:line="200" w:lineRule="exact"/>
        <w:rPr>
          <w:sz w:val="20"/>
          <w:szCs w:val="20"/>
          <w:color w:val="auto"/>
        </w:rPr>
      </w:pPr>
    </w:p>
    <w:p>
      <w:pPr>
        <w:spacing w:after="0" w:line="232" w:lineRule="exact"/>
        <w:rPr>
          <w:sz w:val="20"/>
          <w:szCs w:val="20"/>
          <w:color w:val="auto"/>
        </w:rPr>
      </w:pPr>
    </w:p>
    <w:p>
      <w:pPr>
        <w:ind w:right="520" w:firstLine="413"/>
        <w:spacing w:after="0" w:line="271" w:lineRule="auto"/>
        <w:tabs>
          <w:tab w:leader="none" w:pos="77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voted at the Annual Meeting as follows to grant the Board of Directors the authority to opt-out of statutory preemption rights under Irish law.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20" w:type="dxa"/>
            <w:vAlign w:val="bottom"/>
          </w:tcPr>
          <w:p>
            <w:pPr>
              <w:spacing w:after="0"/>
              <w:rPr>
                <w:sz w:val="24"/>
                <w:szCs w:val="24"/>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8"/>
              </w:rPr>
              <w:t>For</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6"/>
              </w:rPr>
              <w:t>Against</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color w:val="auto"/>
                <w:w w:val="97"/>
              </w:rPr>
              <w:t>Abstaining</w:t>
            </w:r>
          </w:p>
        </w:tc>
        <w:tc>
          <w:tcPr>
            <w:tcW w:w="6320" w:type="dxa"/>
            <w:vAlign w:val="bottom"/>
            <w:gridSpan w:val="2"/>
          </w:tcPr>
          <w:p>
            <w:pPr>
              <w:jc w:val="center"/>
              <w:ind w:right="4620"/>
              <w:spacing w:after="0"/>
              <w:rPr>
                <w:sz w:val="20"/>
                <w:szCs w:val="20"/>
                <w:color w:val="auto"/>
              </w:rPr>
            </w:pPr>
            <w:r>
              <w:rPr>
                <w:rFonts w:ascii="Times New Roman" w:cs="Times New Roman" w:eastAsia="Times New Roman" w:hAnsi="Times New Roman"/>
                <w:sz w:val="22"/>
                <w:szCs w:val="22"/>
                <w:color w:val="auto"/>
                <w:w w:val="96"/>
              </w:rPr>
              <w:t>Broker Non-Votes</w:t>
            </w:r>
          </w:p>
        </w:tc>
        <w:tc>
          <w:tcPr>
            <w:tcW w:w="0" w:type="dxa"/>
            <w:vAlign w:val="bottom"/>
          </w:tcPr>
          <w:p>
            <w:pPr>
              <w:spacing w:after="0"/>
              <w:rPr>
                <w:sz w:val="1"/>
                <w:szCs w:val="1"/>
                <w:color w:val="auto"/>
              </w:rPr>
            </w:pPr>
          </w:p>
        </w:tc>
      </w:tr>
      <w:tr>
        <w:trPr>
          <w:trHeight w:val="35"/>
        </w:trPr>
        <w:tc>
          <w:tcPr>
            <w:tcW w:w="420" w:type="dxa"/>
            <w:vAlign w:val="bottom"/>
            <w:vMerge w:val="restart"/>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700" w:type="dxa"/>
            <w:vAlign w:val="bottom"/>
            <w:tcBorders>
              <w:top w:val="single" w:sz="8" w:color="auto"/>
            </w:tcBorders>
          </w:tcPr>
          <w:p>
            <w:pPr>
              <w:spacing w:after="0"/>
              <w:rPr>
                <w:sz w:val="3"/>
                <w:szCs w:val="3"/>
                <w:color w:val="auto"/>
              </w:rPr>
            </w:pPr>
          </w:p>
        </w:tc>
        <w:tc>
          <w:tcPr>
            <w:tcW w:w="4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20" w:type="dxa"/>
            <w:vAlign w:val="bottom"/>
            <w:vMerge w:val="continue"/>
          </w:tcPr>
          <w:p>
            <w:pPr>
              <w:spacing w:after="0"/>
              <w:rPr>
                <w:sz w:val="23"/>
                <w:szCs w:val="23"/>
                <w:color w:val="auto"/>
              </w:rPr>
            </w:pPr>
          </w:p>
        </w:tc>
        <w:tc>
          <w:tcPr>
            <w:tcW w:w="14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rPr>
              <w:t>64,361,054</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22"/>
                <w:szCs w:val="22"/>
                <w:color w:val="auto"/>
              </w:rPr>
              <w:t>3,538,923</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22"/>
                <w:szCs w:val="22"/>
                <w:color w:val="auto"/>
              </w:rPr>
              <w:t>13,489</w:t>
            </w:r>
          </w:p>
        </w:tc>
        <w:tc>
          <w:tcPr>
            <w:tcW w:w="12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22"/>
                <w:szCs w:val="22"/>
                <w:color w:val="auto"/>
              </w:rPr>
              <w:t>2,599,532</w:t>
            </w:r>
          </w:p>
        </w:tc>
        <w:tc>
          <w:tcPr>
            <w:tcW w:w="4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95"/>
        </w:trPr>
        <w:tc>
          <w:tcPr>
            <w:tcW w:w="4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24" w:lineRule="exact"/>
        <w:rPr>
          <w:sz w:val="20"/>
          <w:szCs w:val="20"/>
          <w:color w:val="auto"/>
        </w:rPr>
      </w:pPr>
    </w:p>
    <w:p>
      <w:pPr>
        <w:ind w:firstLine="445"/>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Weatherford International plc</w:t>
      </w:r>
    </w:p>
    <w:p>
      <w:pPr>
        <w:spacing w:after="0" w:line="200" w:lineRule="exact"/>
        <w:rPr>
          <w:sz w:val="20"/>
          <w:szCs w:val="20"/>
          <w:color w:val="auto"/>
        </w:rPr>
      </w:pPr>
    </w:p>
    <w:p>
      <w:pPr>
        <w:spacing w:after="0" w:line="240" w:lineRule="exact"/>
        <w:rPr>
          <w:sz w:val="20"/>
          <w:szCs w:val="20"/>
          <w:color w:val="auto"/>
        </w:rPr>
      </w:pPr>
    </w:p>
    <w:p>
      <w:pPr>
        <w:ind w:left="1020"/>
        <w:spacing w:after="0"/>
        <w:tabs>
          <w:tab w:leader="none" w:pos="3240" w:val="left"/>
          <w:tab w:leader="none" w:pos="3740" w:val="left"/>
        </w:tabs>
        <w:rPr>
          <w:sz w:val="20"/>
          <w:szCs w:val="20"/>
          <w:color w:val="auto"/>
        </w:rPr>
      </w:pPr>
      <w:r>
        <w:rPr>
          <w:rFonts w:ascii="Times New Roman" w:cs="Times New Roman" w:eastAsia="Times New Roman" w:hAnsi="Times New Roman"/>
          <w:sz w:val="22"/>
          <w:szCs w:val="22"/>
          <w:color w:val="auto"/>
        </w:rPr>
        <w:t>Date: June 14, 2024</w:t>
      </w:r>
      <w:r>
        <w:rPr>
          <w:sz w:val="20"/>
          <w:szCs w:val="20"/>
          <w:color w:val="auto"/>
        </w:rPr>
        <w:tab/>
      </w: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19685</wp:posOffset>
            </wp:positionV>
            <wp:extent cx="4123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3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Scott C. Weatherholt</w:t>
      </w:r>
    </w:p>
    <w:p>
      <w:pPr>
        <w:spacing w:after="0" w:line="5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Executive Vice President, General Counsel and Chief Compliance Officer</w:t>
      </w:r>
    </w:p>
    <w:sectPr>
      <w:pgSz w:w="11900" w:h="16838" w:orient="portrait"/>
      <w:cols w:equalWidth="0" w:num="1">
        <w:col w:w="11080"/>
      </w:cols>
      <w:pgMar w:left="320" w:top="89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Roman"/>
      <w:start w:val="1"/>
    </w:lvl>
    <w:lvl w:ilvl="1">
      <w:lvlJc w:val="left"/>
      <w:lvlText w:val="%2."/>
      <w:numFmt w:val="decimal"/>
      <w:start w:val="2"/>
    </w:lvl>
  </w:abstractNum>
  <w:abstractNum w:abstractNumId="3">
    <w:nsid w:val="3D1B58BA"/>
    <w:multiLevelType w:val="hybridMultilevel"/>
    <w:lvl w:ilvl="0">
      <w:lvlJc w:val="left"/>
      <w:lvlText w:val="(%1)"/>
      <w:numFmt w:val="lowerRoman"/>
      <w:start w:val="2"/>
    </w:lvl>
    <w:lvl w:ilvl="1">
      <w:lvlJc w:val="left"/>
      <w:lvlText w:val="%2"/>
      <w:numFmt w:val="decimal"/>
      <w:start w:val="1"/>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2024-06-14T16:12:52Z</dcterms:created>
  <dcterms:modified xsi:type="dcterms:W3CDTF">2024-06-14T16:12:52Z</dcterms:modified>
</cp:coreProperties>
</file>