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425450</wp:posOffset>
            </wp:positionH>
            <wp:positionV relativeFrom="page">
              <wp:posOffset>627380</wp:posOffset>
            </wp:positionV>
            <wp:extent cx="6907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7530" cy="8255"/>
                    </a:xfrm>
                    <a:prstGeom prst="rect">
                      <a:avLst/>
                    </a:prstGeom>
                    <a:noFill/>
                  </pic:spPr>
                </pic:pic>
              </a:graphicData>
            </a:graphic>
          </wp:anchor>
        </w:drawing>
        <w:t>UNITED STATES</w:t>
      </w:r>
    </w:p>
    <w:p>
      <w:pPr>
        <w:spacing w:after="0" w:line="2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4"/>
          <w:szCs w:val="24"/>
          <w:color w:val="auto"/>
        </w:rPr>
      </w:pPr>
    </w:p>
    <w:p>
      <w:pPr>
        <w:ind w:left="380"/>
        <w:spacing w:after="0"/>
        <w:tabs>
          <w:tab w:leader="none" w:pos="5340" w:val="left"/>
        </w:tabs>
        <w:rPr>
          <w:sz w:val="20"/>
          <w:szCs w:val="20"/>
          <w:color w:val="auto"/>
        </w:rPr>
      </w:pPr>
      <w:r>
        <w:rPr>
          <w:rFonts w:ascii="Times New Roman" w:cs="Times New Roman" w:eastAsia="Times New Roman" w:hAnsi="Times New Roman"/>
          <w:sz w:val="18"/>
          <w:szCs w:val="18"/>
          <w:color w:val="auto"/>
        </w:rPr>
        <w:t>(Mark One)</w:t>
      </w:r>
      <w:r>
        <w:rPr>
          <w:sz w:val="20"/>
          <w:szCs w:val="20"/>
          <w:color w:val="auto"/>
        </w:rPr>
        <w:tab/>
      </w:r>
      <w:r>
        <w:rPr>
          <w:rFonts w:ascii="Times New Roman" w:cs="Times New Roman" w:eastAsia="Times New Roman" w:hAnsi="Times New Roman"/>
          <w:sz w:val="17"/>
          <w:szCs w:val="17"/>
          <w:b w:val="1"/>
          <w:bCs w:val="1"/>
          <w:color w:val="auto"/>
        </w:rPr>
        <w:t>Form 10-Q</w:t>
      </w:r>
    </w:p>
    <w:p>
      <w:pPr>
        <w:spacing w:after="0" w:line="124" w:lineRule="exact"/>
        <w:rPr>
          <w:sz w:val="24"/>
          <w:szCs w:val="24"/>
          <w:color w:val="auto"/>
        </w:rPr>
      </w:pPr>
    </w:p>
    <w:p>
      <w:pPr>
        <w:ind w:left="700" w:hanging="358"/>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8" w:lineRule="exact"/>
        <w:rPr>
          <w:sz w:val="24"/>
          <w:szCs w:val="24"/>
          <w:color w:val="auto"/>
        </w:rPr>
      </w:pPr>
    </w:p>
    <w:p>
      <w:pPr>
        <w:ind w:left="700"/>
        <w:spacing w:after="0"/>
        <w:tabs>
          <w:tab w:leader="none" w:pos="366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7"/>
          <w:szCs w:val="17"/>
          <w:color w:val="auto"/>
        </w:rPr>
        <w:t>June 30, 2025</w:t>
      </w:r>
    </w:p>
    <w:p>
      <w:pPr>
        <w:spacing w:after="0" w:line="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or</w:t>
      </w:r>
    </w:p>
    <w:p>
      <w:pPr>
        <w:spacing w:after="0" w:line="18" w:lineRule="exact"/>
        <w:rPr>
          <w:sz w:val="24"/>
          <w:szCs w:val="24"/>
          <w:color w:val="auto"/>
        </w:rPr>
      </w:pPr>
    </w:p>
    <w:p>
      <w:pPr>
        <w:ind w:left="700" w:hanging="358"/>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__________________________________to __________________________________</w:t>
      </w:r>
    </w:p>
    <w:p>
      <w:pPr>
        <w:spacing w:after="0" w:line="4" w:lineRule="exact"/>
        <w:rPr>
          <w:sz w:val="24"/>
          <w:szCs w:val="24"/>
          <w:color w:val="auto"/>
        </w:rPr>
      </w:pPr>
    </w:p>
    <w:tbl>
      <w:tblPr>
        <w:tblLayout w:type="fixed"/>
        <w:tblInd w:w="700" w:type="dxa"/>
        <w:tblCellMar>
          <w:top w:w="0" w:type="dxa"/>
          <w:left w:w="0" w:type="dxa"/>
          <w:bottom w:w="0" w:type="dxa"/>
          <w:right w:w="0" w:type="dxa"/>
        </w:tblCellMar>
      </w:tblPr>
      <w:tr>
        <w:trPr>
          <w:trHeight w:val="23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001-36504</w:t>
            </w:r>
          </w:p>
        </w:tc>
      </w:tr>
    </w:tbl>
    <w:p>
      <w:pPr>
        <w:spacing w:after="0" w:line="6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6" w:lineRule="exact"/>
        <w:rPr>
          <w:sz w:val="24"/>
          <w:szCs w:val="24"/>
          <w:color w:val="auto"/>
        </w:rPr>
      </w:pPr>
    </w:p>
    <w:tbl>
      <w:tblPr>
        <w:tblLayout w:type="fixed"/>
        <w:tblInd w:w="440" w:type="dxa"/>
        <w:tblCellMar>
          <w:top w:w="0" w:type="dxa"/>
          <w:left w:w="0" w:type="dxa"/>
          <w:bottom w:w="0" w:type="dxa"/>
          <w:right w:w="0" w:type="dxa"/>
        </w:tblCellMar>
      </w:tblPr>
      <w:tr>
        <w:trPr>
          <w:trHeight w:val="232"/>
        </w:trPr>
        <w:tc>
          <w:tcPr>
            <w:tcW w:w="7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40" w:type="dxa"/>
            <w:vAlign w:val="bottom"/>
          </w:tcPr>
          <w:p>
            <w:pPr>
              <w:jc w:val="right"/>
              <w:ind w:right="1252"/>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378"/>
        </w:trPr>
        <w:tc>
          <w:tcPr>
            <w:tcW w:w="71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2000 St. James Place , Houston   , Texas</w:t>
            </w:r>
          </w:p>
        </w:tc>
        <w:tc>
          <w:tcPr>
            <w:tcW w:w="3540" w:type="dxa"/>
            <w:vAlign w:val="bottom"/>
          </w:tcPr>
          <w:p>
            <w:pPr>
              <w:jc w:val="right"/>
              <w:ind w:right="1452"/>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5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713.836.4000</w:t>
      </w:r>
    </w:p>
    <w:p>
      <w:pPr>
        <w:spacing w:after="0" w:line="13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15875</wp:posOffset>
            </wp:positionV>
            <wp:extent cx="6175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2" w:lineRule="exact"/>
        <w:rPr>
          <w:sz w:val="24"/>
          <w:szCs w:val="24"/>
          <w:color w:val="auto"/>
        </w:rPr>
      </w:pPr>
    </w:p>
    <w:tbl>
      <w:tblPr>
        <w:tblLayout w:type="fixed"/>
        <w:tblInd w:w="400" w:type="dxa"/>
        <w:tblCellMar>
          <w:top w:w="0" w:type="dxa"/>
          <w:left w:w="0" w:type="dxa"/>
          <w:bottom w:w="0" w:type="dxa"/>
          <w:right w:w="0" w:type="dxa"/>
        </w:tblCellMar>
      </w:tblPr>
      <w:tr>
        <w:trPr>
          <w:trHeight w:val="232"/>
        </w:trPr>
        <w:tc>
          <w:tcPr>
            <w:tcW w:w="38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4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5"/>
        </w:trPr>
        <w:tc>
          <w:tcPr>
            <w:tcW w:w="38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WFRD</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36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1300" w:type="dxa"/>
        <w:tblCellMar>
          <w:top w:w="0" w:type="dxa"/>
          <w:left w:w="0" w:type="dxa"/>
          <w:bottom w:w="0" w:type="dxa"/>
          <w:right w:w="0" w:type="dxa"/>
        </w:tblCellMar>
      </w:tblPr>
      <w:tr>
        <w:trPr>
          <w:trHeight w:val="26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3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tabs>
          <w:tab w:leader="none" w:pos="8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17, 2025, there were 71,835,002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372110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for the Second Quarter Ended June 30,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6"/>
        </w:trPr>
        <w:tc>
          <w:tcPr>
            <w:tcW w:w="34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Borders>
              <w:bottom w:val="single" w:sz="8" w:color="auto"/>
            </w:tcBorders>
          </w:tcPr>
          <w:p>
            <w:pPr>
              <w:spacing w:after="0"/>
              <w:rPr>
                <w:sz w:val="24"/>
                <w:szCs w:val="24"/>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3100" w:type="dxa"/>
            <w:vAlign w:val="bottom"/>
            <w:tcBorders>
              <w:bottom w:val="single" w:sz="8" w:color="0000FF"/>
            </w:tcBorders>
            <w:gridSpan w:val="12"/>
            <w:shd w:val="clear" w:color="auto" w:fill="CCEEFF"/>
          </w:tcPr>
          <w:p>
            <w:pPr>
              <w:spacing w:after="0" w:line="165"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6840" w:type="dxa"/>
            <w:vAlign w:val="bottom"/>
            <w:tcBorders>
              <w:bottom w:val="single" w:sz="8" w:color="CCEEFF"/>
            </w:tcBorders>
            <w:gridSpan w:val="3"/>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9940" w:type="dxa"/>
            <w:vAlign w:val="bottom"/>
            <w:gridSpan w:val="15"/>
          </w:tcPr>
          <w:p>
            <w:pPr>
              <w:spacing w:after="0" w:line="18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80" w:type="dxa"/>
            <w:vAlign w:val="bottom"/>
            <w:gridSpan w:val="2"/>
          </w:tcPr>
          <w:p>
            <w:pPr>
              <w:jc w:val="center"/>
              <w:ind w:left="492"/>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
        </w:trPr>
        <w:tc>
          <w:tcPr>
            <w:tcW w:w="3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20</w:t>
            </w:r>
          </w:p>
        </w:tc>
        <w:tc>
          <w:tcPr>
            <w:tcW w:w="100" w:type="dxa"/>
            <w:vAlign w:val="bottom"/>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6900" w:type="dxa"/>
            <w:vAlign w:val="bottom"/>
            <w:tcBorders>
              <w:top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4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35</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4860" w:type="dxa"/>
            <w:vAlign w:val="bottom"/>
            <w:tcBorders>
              <w:top w:val="single" w:sz="8" w:color="0000FF"/>
            </w:tcBorders>
            <w:gridSpan w:val="1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080" w:type="dxa"/>
            <w:vAlign w:val="bottom"/>
            <w:gridSpan w:val="2"/>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35</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2"/>
        </w:trPr>
        <w:tc>
          <w:tcPr>
            <w:tcW w:w="340" w:type="dxa"/>
            <w:vAlign w:val="bottom"/>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0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9940" w:type="dxa"/>
            <w:vAlign w:val="bottom"/>
            <w:gridSpan w:val="1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1900" w:type="dxa"/>
            <w:vAlign w:val="bottom"/>
            <w:tcBorders>
              <w:top w:val="single" w:sz="8" w:color="0000FF"/>
              <w:bottom w:val="single" w:sz="8" w:color="0000FF"/>
            </w:tcBorders>
            <w:gridSpan w:val="6"/>
          </w:tcPr>
          <w:p>
            <w:pPr>
              <w:spacing w:after="0" w:line="186" w:lineRule="exact"/>
              <w:rPr>
                <w:sz w:val="20"/>
                <w:szCs w:val="20"/>
                <w:color w:val="auto"/>
              </w:rPr>
            </w:pPr>
            <w:r>
              <w:rPr>
                <w:rFonts w:ascii="Times New Roman" w:cs="Times New Roman" w:eastAsia="Times New Roman" w:hAnsi="Times New Roman"/>
                <w:sz w:val="18"/>
                <w:szCs w:val="18"/>
                <w:color w:val="0000FF"/>
                <w:w w:val="97"/>
              </w:rPr>
              <w:t>Item 1. Legal Proceedings.</w:t>
            </w:r>
          </w:p>
        </w:tc>
        <w:tc>
          <w:tcPr>
            <w:tcW w:w="900" w:type="dxa"/>
            <w:vAlign w:val="bottom"/>
            <w:tcBorders>
              <w:top w:val="single" w:sz="8" w:color="0000FF"/>
            </w:tcBorders>
            <w:gridSpan w:val="4"/>
          </w:tcPr>
          <w:p>
            <w:pPr>
              <w:spacing w:after="0"/>
              <w:rPr>
                <w:sz w:val="16"/>
                <w:szCs w:val="16"/>
                <w:color w:val="auto"/>
              </w:rPr>
            </w:pPr>
          </w:p>
        </w:tc>
        <w:tc>
          <w:tcPr>
            <w:tcW w:w="7140" w:type="dxa"/>
            <w:vAlign w:val="bottom"/>
            <w:tcBorders>
              <w:top w:val="single" w:sz="8" w:color="CCEEFF"/>
            </w:tcBorders>
            <w:gridSpan w:val="5"/>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CCEE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36</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1A. Risk Factors.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36</w:t>
            </w:r>
          </w:p>
        </w:tc>
        <w:tc>
          <w:tcPr>
            <w:tcW w:w="100" w:type="dxa"/>
            <w:vAlign w:val="bottom"/>
            <w:shd w:val="clear" w:color="auto" w:fill="CCEEFF"/>
          </w:tcPr>
          <w:p>
            <w:pPr>
              <w:spacing w:after="0"/>
              <w:rPr>
                <w:sz w:val="16"/>
                <w:szCs w:val="16"/>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5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95"/>
        </w:trPr>
        <w:tc>
          <w:tcPr>
            <w:tcW w:w="340" w:type="dxa"/>
            <w:vAlign w:val="bottom"/>
          </w:tcPr>
          <w:p>
            <w:pPr>
              <w:spacing w:after="0"/>
              <w:rPr>
                <w:sz w:val="16"/>
                <w:szCs w:val="16"/>
                <w:color w:val="auto"/>
              </w:rPr>
            </w:pPr>
          </w:p>
        </w:tc>
        <w:tc>
          <w:tcPr>
            <w:tcW w:w="4860" w:type="dxa"/>
            <w:vAlign w:val="bottom"/>
            <w:tcBorders>
              <w:bottom w:val="single" w:sz="8" w:color="0000FF"/>
            </w:tcBorders>
            <w:gridSpan w:val="13"/>
          </w:tcPr>
          <w:p>
            <w:pPr>
              <w:spacing w:after="0" w:line="186" w:lineRule="exact"/>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08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Item 3.</w:t>
            </w:r>
          </w:p>
        </w:tc>
        <w:tc>
          <w:tcPr>
            <w:tcW w:w="2360" w:type="dxa"/>
            <w:vAlign w:val="bottom"/>
            <w:tcBorders>
              <w:bottom w:val="single" w:sz="8" w:color="0000FF"/>
            </w:tcBorders>
            <w:gridSpan w:val="10"/>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7060" w:type="dxa"/>
            <w:vAlign w:val="bottom"/>
            <w:tcBorders>
              <w:bottom w:val="single" w:sz="8" w:color="CCEEFF"/>
            </w:tcBorders>
            <w:gridSpan w:val="4"/>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36</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7"/>
              </w:rPr>
              <w:t>Item 4.</w:t>
            </w:r>
          </w:p>
        </w:tc>
        <w:tc>
          <w:tcPr>
            <w:tcW w:w="9420" w:type="dxa"/>
            <w:vAlign w:val="bottom"/>
            <w:gridSpan w:val="14"/>
          </w:tcPr>
          <w:p>
            <w:pPr>
              <w:ind w:left="2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960" w:type="dxa"/>
            <w:vAlign w:val="bottom"/>
            <w:gridSpan w:val="3"/>
          </w:tcPr>
          <w:p>
            <w:pPr>
              <w:jc w:val="center"/>
              <w:ind w:left="212"/>
              <w:spacing w:after="0" w:line="186" w:lineRule="exact"/>
              <w:rPr>
                <w:sz w:val="20"/>
                <w:szCs w:val="20"/>
                <w:color w:val="auto"/>
              </w:rPr>
            </w:pPr>
            <w:r>
              <w:rPr>
                <w:rFonts w:ascii="Times New Roman" w:cs="Times New Roman" w:eastAsia="Times New Roman" w:hAnsi="Times New Roman"/>
                <w:sz w:val="18"/>
                <w:szCs w:val="18"/>
                <w:color w:val="0000FF"/>
                <w:w w:val="99"/>
              </w:rPr>
              <w:t>36</w:t>
            </w: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Item 5.</w:t>
            </w:r>
          </w:p>
        </w:tc>
        <w:tc>
          <w:tcPr>
            <w:tcW w:w="1360" w:type="dxa"/>
            <w:vAlign w:val="bottom"/>
            <w:tcBorders>
              <w:top w:val="single" w:sz="8" w:color="0000FF"/>
              <w:bottom w:val="single" w:sz="8" w:color="0000FF"/>
            </w:tcBorders>
            <w:gridSpan w:val="4"/>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4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7660" w:type="dxa"/>
            <w:vAlign w:val="bottom"/>
            <w:tcBorders>
              <w:bottom w:val="single" w:sz="8" w:color="CCEEFF"/>
            </w:tcBorders>
            <w:gridSpan w:val="7"/>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36</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7"/>
              </w:rPr>
              <w:t>Item 6.</w:t>
            </w:r>
          </w:p>
        </w:tc>
        <w:tc>
          <w:tcPr>
            <w:tcW w:w="660" w:type="dxa"/>
            <w:vAlign w:val="bottom"/>
            <w:tcBorders>
              <w:bottom w:val="single" w:sz="8" w:color="0000FF"/>
            </w:tcBorders>
            <w:gridSpan w:val="2"/>
          </w:tcPr>
          <w:p>
            <w:pPr>
              <w:ind w:left="20"/>
              <w:spacing w:after="0" w:line="186" w:lineRule="exact"/>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shd w:val="clear" w:color="auto" w:fill="CCEEFF"/>
          </w:tcPr>
          <w:p>
            <w:pPr>
              <w:spacing w:after="0"/>
              <w:rPr>
                <w:sz w:val="18"/>
                <w:szCs w:val="18"/>
                <w:color w:val="auto"/>
              </w:rPr>
            </w:pPr>
          </w:p>
        </w:tc>
      </w:tr>
      <w:tr>
        <w:trPr>
          <w:trHeight w:val="889"/>
        </w:trPr>
        <w:tc>
          <w:tcPr>
            <w:tcW w:w="3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820" w:type="dxa"/>
            <w:vAlign w:val="bottom"/>
            <w:tcBorders>
              <w:top w:val="single" w:sz="8" w:color="CCEEFF"/>
            </w:tcBorders>
            <w:gridSpan w:val="12"/>
          </w:tcPr>
          <w:p>
            <w:pPr>
              <w:jc w:val="right"/>
              <w:ind w:right="1420"/>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8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198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2"/>
        </w:trPr>
        <w:tc>
          <w:tcPr>
            <w:tcW w:w="6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2"/>
        </w:trPr>
        <w:tc>
          <w:tcPr>
            <w:tcW w:w="6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42</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Charges (Credits), Net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9"/>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39"/>
        </w:trPr>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 of Interest Income of $14, $17, $25 and $31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(47)</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5"/>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5"/>
        </w:trPr>
        <w:tc>
          <w:tcPr>
            <w:tcW w:w="6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46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Pr>
          <w:p>
            <w:pPr>
              <w:spacing w:after="0"/>
              <w:rPr>
                <w:sz w:val="19"/>
                <w:szCs w:val="19"/>
                <w:color w:val="auto"/>
              </w:rPr>
            </w:pPr>
          </w:p>
        </w:tc>
        <w:tc>
          <w:tcPr>
            <w:tcW w:w="260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 w:type="dxa"/>
            <w:vAlign w:val="bottom"/>
          </w:tcPr>
          <w:p>
            <w:pPr>
              <w:spacing w:after="0"/>
              <w:rPr>
                <w:sz w:val="19"/>
                <w:szCs w:val="19"/>
                <w:color w:val="auto"/>
              </w:rPr>
            </w:pPr>
          </w:p>
        </w:tc>
      </w:tr>
      <w:tr>
        <w:trPr>
          <w:trHeight w:val="232"/>
        </w:trPr>
        <w:tc>
          <w:tcPr>
            <w:tcW w:w="5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bottom w:val="single" w:sz="8" w:color="auto"/>
            </w:tcBorders>
          </w:tcPr>
          <w:p>
            <w:pPr>
              <w:spacing w:after="0"/>
              <w:rPr>
                <w:sz w:val="20"/>
                <w:szCs w:val="20"/>
                <w:color w:val="auto"/>
              </w:rPr>
            </w:pPr>
          </w:p>
        </w:tc>
      </w:tr>
      <w:tr>
        <w:trPr>
          <w:trHeight w:val="218"/>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r>
      <w:tr>
        <w:trPr>
          <w:trHeight w:val="21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10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8"/>
        </w:trPr>
        <w:tc>
          <w:tcPr>
            <w:tcW w:w="5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244"/>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Weatherford</w:t>
            </w: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10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2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466" w:right="239"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par value)</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9"/>
        </w:trPr>
        <w:tc>
          <w:tcPr>
            <w:tcW w:w="7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8"/>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5"/>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5"/>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72"/>
        </w:trPr>
        <w:tc>
          <w:tcPr>
            <w:tcW w:w="7200" w:type="dxa"/>
            <w:vAlign w:val="bottom"/>
          </w:tcPr>
          <w:p>
            <w:pPr>
              <w:ind w:left="80"/>
              <w:spacing w:after="0" w:line="172"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 at June 30, 2025 and $8 at</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8"/>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5"/>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5"/>
        </w:trPr>
        <w:tc>
          <w:tcPr>
            <w:tcW w:w="7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8"/>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r>
      <w:tr>
        <w:trPr>
          <w:trHeight w:val="166"/>
        </w:trPr>
        <w:tc>
          <w:tcPr>
            <w:tcW w:w="7200" w:type="dxa"/>
            <w:vAlign w:val="bottom"/>
          </w:tcPr>
          <w:p>
            <w:pPr>
              <w:ind w:left="80"/>
              <w:spacing w:after="0" w:line="165"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$1,070 at June 30, 2025 and</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8"/>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$940 at December 31, 2024</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172"/>
        </w:trPr>
        <w:tc>
          <w:tcPr>
            <w:tcW w:w="720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8"/>
                <w:szCs w:val="18"/>
                <w:color w:val="auto"/>
                <w:w w:val="99"/>
              </w:rPr>
              <w:t>Intangibles, Net of Accumulated Amortization of $828 at June 30, 2025 and $793 at December 31,</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39"/>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5"/>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7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8"/>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8"/>
        </w:trPr>
        <w:tc>
          <w:tcPr>
            <w:tcW w:w="7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5"/>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5"/>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5"/>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5"/>
        </w:trPr>
        <w:tc>
          <w:tcPr>
            <w:tcW w:w="7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9"/>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18"/>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25"/>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 Taxes Payable</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5"/>
        </w:trPr>
        <w:tc>
          <w:tcPr>
            <w:tcW w:w="7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8"/>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25"/>
        </w:trPr>
        <w:tc>
          <w:tcPr>
            <w:tcW w:w="7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r>
      <w:tr>
        <w:trPr>
          <w:trHeight w:val="225"/>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2"/>
        </w:trPr>
        <w:tc>
          <w:tcPr>
            <w:tcW w:w="720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8"/>
                <w:szCs w:val="18"/>
                <w:color w:val="auto"/>
                <w:w w:val="98"/>
              </w:rPr>
              <w:t>Ordinary Shares - Par Value $0.001; Authorized 1,356 shares, Issued and Outstanding 71.8 shares at</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39"/>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June 30, 2025 and 72.1 at December 31, 2024</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25"/>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Retained Deficit</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25"/>
        </w:trPr>
        <w:tc>
          <w:tcPr>
            <w:tcW w:w="7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2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7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18"/>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440" w:top="4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3"/>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Exchange Losses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on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Accounts Receivable, Inventory, Accounts Payable and Accrued Salaries and Benefits: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4"/>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Changes, Net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 Vested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2"/>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05"/>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8"/>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844,702 Ordinary Shares Issued for Acquisitions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466"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1 – Basis of Presentation and Summary of Significant Accounting Policies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2024 (“2024 Form 10-K”).</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the opinion of management, the Condensed Consolidated Financial Statements reflect all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2024 Form 10-K for the discussion on our significant accounting policies. Certain reclassifications have been made to these Condensed Consolidated Financial Statements and accompanying footnotes for the three and six months ended June 30, 2024 to conform to the presentation for the three and six months ended June 30, 2025.</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2024 Form 10-K for the discussion on accounting pronouncements that have been issued but not yet effective for the interim periods presented that are not expected to have a material impact on our financial position or results of operations.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Financial information by segment is summarized below. The accounting policies of the segments are the same as those described in the summary of significant accounting policies as presented in our 2024 Form 10-K. We have three reportable segments: (1) Drilling and Evaluation “DRE,” (2) Well Construction and Completions “WCC,” and (3) Production and Intervention “PRI.”</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chief operating decision maker (“CODM”), our chief executive officer,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2025</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19</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4"/>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720" w:hanging="237"/>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720" w:hanging="237"/>
        <w:spacing w:after="0"/>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60"/>
        </w:trPr>
        <w:tc>
          <w:tcPr>
            <w:tcW w:w="5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2025</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DRE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6"/>
              </w:rPr>
              <w:t>897</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7"/>
              </w:rPr>
              <w:t>(537)</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w w:val="97"/>
              </w:rPr>
              <w:t>(114)</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6"/>
              </w:rPr>
              <w:t>246</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23</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9"/>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427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23</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556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Credits, Net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640" w:top="466" w:right="1059" w:bottom="1440" w:gutter="0" w:footer="0" w:header="0"/>
        </w:sectPr>
      </w:pPr>
    </w:p>
    <w:bookmarkStart w:id="9" w:name="page10"/>
    <w:bookmarkEnd w:id="9"/>
    <w:tbl>
      <w:tblPr>
        <w:tblLayout w:type="fixed"/>
        <w:tblInd w:w="80" w:type="dxa"/>
        <w:tblCellMar>
          <w:top w:w="0" w:type="dxa"/>
          <w:left w:w="0" w:type="dxa"/>
          <w:bottom w:w="0" w:type="dxa"/>
          <w:right w:w="0" w:type="dxa"/>
        </w:tblCellMar>
      </w:tblPr>
      <w:tr>
        <w:trPr>
          <w:trHeight w:val="231"/>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953"/>
        </w:trPr>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8"/>
              </w:rPr>
              <w:t>Six Months Ended June 30, 2024</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9"/>
        </w:trPr>
        <w:tc>
          <w:tcPr>
            <w:tcW w:w="550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7"/>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DRE</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849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6"/>
              </w:rPr>
              <w:t>962</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r>
      <w:tr>
        <w:trPr>
          <w:trHeight w:val="159"/>
        </w:trPr>
        <w:tc>
          <w:tcPr>
            <w:tcW w:w="55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0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7"/>
              </w:rPr>
              <w:t>(573)</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0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7"/>
              </w:rPr>
              <w:t>(124)</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6"/>
              </w:rPr>
              <w:t>260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5"/>
        </w:trPr>
        <w:tc>
          <w:tcPr>
            <w:tcW w:w="5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6"/>
              </w:rPr>
              <w:t>265</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5"/>
        </w:trPr>
        <w:tc>
          <w:tcPr>
            <w:tcW w:w="55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5"/>
        </w:trPr>
        <w:tc>
          <w:tcPr>
            <w:tcW w:w="5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50</w:t>
            </w:r>
          </w:p>
        </w:tc>
      </w:tr>
      <w:tr>
        <w:trPr>
          <w:trHeight w:val="225"/>
        </w:trPr>
        <w:tc>
          <w:tcPr>
            <w:tcW w:w="55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5"/>
        </w:trPr>
        <w:tc>
          <w:tcPr>
            <w:tcW w:w="55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50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r>
      <w:tr>
        <w:trPr>
          <w:trHeight w:val="20"/>
        </w:trPr>
        <w:tc>
          <w:tcPr>
            <w:tcW w:w="5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480" w:hanging="236"/>
        <w:spacing w:after="0"/>
        <w:tabs>
          <w:tab w:leader="none" w:pos="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80" w:hanging="236"/>
        <w:spacing w:after="0"/>
        <w:tabs>
          <w:tab w:leader="none" w:pos="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18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Six Months Ended June 30,</w:t>
            </w:r>
          </w:p>
        </w:tc>
      </w:tr>
      <w:tr>
        <w:trPr>
          <w:trHeight w:val="21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9"/>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1"/>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5"/>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2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5"/>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2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5"/>
        </w:trPr>
        <w:tc>
          <w:tcPr>
            <w:tcW w:w="3560" w:type="dxa"/>
            <w:vAlign w:val="bottom"/>
            <w:tcBorders>
              <w:bottom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2"/>
                <w:szCs w:val="22"/>
                <w:color w:val="auto"/>
                <w:vertAlign w:val="superscript"/>
              </w:rPr>
              <w:t>(a)</w:t>
            </w:r>
          </w:p>
        </w:tc>
        <w:tc>
          <w:tcPr>
            <w:tcW w:w="2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18"/>
        </w:trPr>
        <w:tc>
          <w:tcPr>
            <w:tcW w:w="3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ind w:left="180" w:right="1000" w:hanging="156"/>
        <w:spacing w:after="0" w:line="213" w:lineRule="auto"/>
        <w:tabs>
          <w:tab w:leader="none" w:pos="192"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and other total assets primarily include cash and cash equivalents, certain intangible assets, and centrally managed or shared facilities.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320" w:top="466" w:right="137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PP&amp;E, Net and Operating Lease Assets by Geographic Area</w:t>
      </w:r>
    </w:p>
    <w:p>
      <w:pPr>
        <w:spacing w:after="0" w:line="248" w:lineRule="exact"/>
        <w:rPr>
          <w:sz w:val="20"/>
          <w:szCs w:val="20"/>
          <w:color w:val="auto"/>
        </w:rPr>
      </w:pPr>
    </w:p>
    <w:p>
      <w:pPr>
        <w:jc w:val="both"/>
        <w:ind w:firstLine="238"/>
        <w:spacing w:after="0" w:line="255" w:lineRule="auto"/>
        <w:rPr>
          <w:sz w:val="20"/>
          <w:szCs w:val="20"/>
          <w:color w:val="auto"/>
        </w:rPr>
      </w:pPr>
      <w:r>
        <w:rPr>
          <w:rFonts w:ascii="Times New Roman" w:cs="Times New Roman" w:eastAsia="Times New Roman" w:hAnsi="Times New Roman"/>
          <w:sz w:val="18"/>
          <w:szCs w:val="18"/>
          <w:color w:val="auto"/>
        </w:rPr>
        <w:t>As of June 30, 2025 and December 31, 2024 the U.S. accounted for 22% in each period, and the Kingdom of Saudi Arabia accounted for 12% and 11%, respectively, of our PP&amp;E, Net and operating lease assets identifiable by geography. No other country accounted for more than 10% of our PP&amp;E, Net and operating lease assets identifiable by geography as of June 30, 2025 and December 31, 2024. We had no PP&amp;E, Net and operating lease assets in our country of domicile (Ireland) as of June 30, 2025 and December 31, 2024.</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470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5"/>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880" w:type="dxa"/>
            <w:vAlign w:val="bottom"/>
          </w:tcPr>
          <w:p>
            <w:pPr>
              <w:spacing w:after="0"/>
              <w:rPr>
                <w:sz w:val="19"/>
                <w:szCs w:val="19"/>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8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4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4700" w:type="dxa"/>
            <w:vAlign w:val="bottom"/>
            <w:tcBorders>
              <w:bottom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PP&amp;E, Net and Operating Lease Assets by Geography </w:t>
            </w:r>
            <w:r>
              <w:rPr>
                <w:rFonts w:ascii="Times New Roman" w:cs="Times New Roman" w:eastAsia="Times New Roman" w:hAnsi="Times New Roman"/>
                <w:sz w:val="22"/>
                <w:szCs w:val="22"/>
                <w:color w:val="auto"/>
                <w:vertAlign w:val="superscript"/>
              </w:rPr>
              <w:t>(b)</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ind w:left="440" w:hanging="178"/>
        <w:spacing w:after="0" w:line="205" w:lineRule="auto"/>
        <w:tabs>
          <w:tab w:leader="none" w:pos="4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14" w:lineRule="exact"/>
        <w:rPr>
          <w:rFonts w:ascii="Times New Roman" w:cs="Times New Roman" w:eastAsia="Times New Roman" w:hAnsi="Times New Roman"/>
          <w:sz w:val="23"/>
          <w:szCs w:val="23"/>
          <w:color w:val="auto"/>
          <w:vertAlign w:val="superscript"/>
        </w:rPr>
      </w:pPr>
    </w:p>
    <w:p>
      <w:pPr>
        <w:ind w:left="440" w:hanging="178"/>
        <w:spacing w:after="0" w:line="200" w:lineRule="auto"/>
        <w:tabs>
          <w:tab w:leader="none" w:pos="44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assets not allocated by geography are excluded from this total.</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of Business</w:t>
      </w:r>
    </w:p>
    <w:p>
      <w:pPr>
        <w:spacing w:after="0" w:line="248" w:lineRule="exact"/>
        <w:rPr>
          <w:sz w:val="20"/>
          <w:szCs w:val="20"/>
          <w:color w:val="auto"/>
        </w:rPr>
      </w:pPr>
    </w:p>
    <w:p>
      <w:pPr>
        <w:jc w:val="both"/>
        <w:ind w:firstLine="238"/>
        <w:spacing w:after="0" w:line="259" w:lineRule="auto"/>
        <w:rPr>
          <w:sz w:val="20"/>
          <w:szCs w:val="20"/>
          <w:color w:val="auto"/>
        </w:rPr>
      </w:pPr>
      <w:r>
        <w:rPr>
          <w:rFonts w:ascii="Times New Roman" w:cs="Times New Roman" w:eastAsia="Times New Roman" w:hAnsi="Times New Roman"/>
          <w:sz w:val="18"/>
          <w:szCs w:val="18"/>
          <w:color w:val="auto"/>
        </w:rPr>
        <w:t>In April 2025, we completed the sale of our pressure pumping business in Argentina for proceeds totaling $104 million consisting of $7 million of proceeds received in the fourth quarter of 2024 and $97 million of proceeds received in the second quarter of 2025. We recognized a gain of $70 million as a result of this transaction.</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disaggregates our revenue from contracts with customers by geographic area and includes equipment rental revenue. Equipment rental revenues were $32 million and $67 million in the three and six months ended June 30, 2025, respectively, and $39 million and $73 million for the three and six months ended June 30, 2024, respectively.</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three and six months ended June 30, 2025, the U.S. accounted for 16% of total revenue in each period, and the Kingdom of Saudi Arabia accounted for 11% of total revenue in each period. During the three and six months ended June 30, 2024, the U.S. accounted for 14% of total revenue in each period, and the Kingdom of Saudi Arabia accounted for 11% and 10% of total revenue, respectively. In addition, during the three and six months ended June 30, 2024, Mexico accounted for 12% and 13% of total revenue, respectively, driven by our largest customer, which accounted for 10% and 11% of our total revenue, respectively, in the same periods. No other country accounted for more than 10% of our revenue in the periods presented.</w:t>
      </w:r>
    </w:p>
    <w:p>
      <w:pPr>
        <w:sectPr>
          <w:pgSz w:w="11900" w:h="16838" w:orient="portrait"/>
          <w:cols w:equalWidth="0" w:num="1">
            <w:col w:w="11240"/>
          </w:cols>
          <w:pgMar w:left="320" w:top="466" w:right="339" w:bottom="1440" w:gutter="0" w:footer="0" w:header="0"/>
        </w:sectPr>
      </w:pPr>
    </w:p>
    <w:p>
      <w:pPr>
        <w:spacing w:after="0" w:line="104" w:lineRule="exact"/>
        <w:rPr>
          <w:sz w:val="20"/>
          <w:szCs w:val="20"/>
          <w:color w:val="auto"/>
        </w:rPr>
      </w:pPr>
    </w:p>
    <w:tbl>
      <w:tblPr>
        <w:tblLayout w:type="fixed"/>
        <w:tblInd w:w="360" w:type="dxa"/>
        <w:tblCellMar>
          <w:top w:w="0" w:type="dxa"/>
          <w:left w:w="0" w:type="dxa"/>
          <w:bottom w:w="0" w:type="dxa"/>
          <w:right w:w="0" w:type="dxa"/>
        </w:tblCellMar>
      </w:tblPr>
      <w:tr>
        <w:trPr>
          <w:trHeight w:val="232"/>
        </w:trPr>
        <w:tc>
          <w:tcPr>
            <w:tcW w:w="6040" w:type="dxa"/>
            <w:vAlign w:val="bottom"/>
          </w:tcPr>
          <w:p>
            <w:pPr>
              <w:spacing w:after="0"/>
              <w:rPr>
                <w:sz w:val="20"/>
                <w:szCs w:val="20"/>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1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02"/>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41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25"/>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5"/>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6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-1219200</wp:posOffset>
            </wp:positionV>
            <wp:extent cx="6882130" cy="15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151130"/>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-925195</wp:posOffset>
            </wp:positionV>
            <wp:extent cx="6882130"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2130" cy="1682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-613410</wp:posOffset>
            </wp:positionV>
            <wp:extent cx="688213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2130" cy="1428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-327660</wp:posOffset>
            </wp:positionV>
            <wp:extent cx="688213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2130" cy="142875"/>
                    </a:xfrm>
                    <a:prstGeom prst="rect">
                      <a:avLst/>
                    </a:prstGeom>
                    <a:noFill/>
                  </pic:spPr>
                </pic:pic>
              </a:graphicData>
            </a:graphic>
          </wp:anchor>
        </w:drawing>
      </w:r>
    </w:p>
    <w:p>
      <w:pPr>
        <w:spacing w:after="0" w:line="21" w:lineRule="exact"/>
        <w:rPr>
          <w:sz w:val="20"/>
          <w:szCs w:val="20"/>
          <w:color w:val="auto"/>
        </w:rPr>
      </w:pPr>
    </w:p>
    <w:p>
      <w:pPr>
        <w:ind w:left="560" w:hanging="179"/>
        <w:spacing w:after="0"/>
        <w:tabs>
          <w:tab w:leader="none" w:pos="5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45"/>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484"/>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25"/>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5"/>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8"/>
        </w:trPr>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505" w:lineRule="exact"/>
        <w:rPr>
          <w:sz w:val="20"/>
          <w:szCs w:val="20"/>
          <w:color w:val="auto"/>
        </w:rPr>
      </w:pPr>
    </w:p>
    <w:p>
      <w:pPr>
        <w:sectPr>
          <w:pgSz w:w="11900" w:h="16838" w:orient="portrait"/>
          <w:cols w:equalWidth="0" w:num="2">
            <w:col w:w="8820" w:space="100"/>
            <w:col w:w="2320"/>
          </w:cols>
          <w:pgMar w:left="320" w:top="466" w:right="339" w:bottom="1440" w:gutter="0" w:footer="0" w:header="0"/>
          <w:type w:val="continuous"/>
        </w:sectPr>
      </w:pP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8"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timing of our revenue recognition, billings, and cash collections results in the recording of accounts receivable, contract assets, and contract liabilities. The following table summarizes these balances as of June 30, 2025 and December 31,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5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5"/>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4"/>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60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1"/>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 – Restructuring Charges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Restructuring charges were $11 million and $40 million in the three and six months ended June 30, 2025, respectively, and $5 million and $8 million in the three and six months ended June 30, 2024, respectively, and presented as “Restructuring Charges” on the accompanying Condensed Consolidated Statements of Operations. These charges were related to optimization and efficiency initiatives throughout the organization and primarily relate to severance expenses.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Restructuring liabilities were $36 million as of June 30, 2025 and $35 million as of December 31, 2024. Of the restructuring liabilities, $30 million and $31 million are recorded in “Other Current Liabilities” on the accompanying Consolidated Balance Sheets as of June 30, 2025 and December 31, 2024, respectively. The remaining $6 million and $4 million are recorded in “Other Non-Current Liabilities” on the accompanying Consolidated Balance Sheets as of June 30, 2025 and December 31, 2024, respectively. Changes in the liabilities are primarily driven by restructuring charges and cash payments.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total restructuring charges by segment and All other in the three and six months ended June 30, 2025 and 2024:</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2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8"/>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12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12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5 – Inventories, Net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Inventories are reported net of reserves of $122 million and $115 million as of June 30, 2025 and December 31, 2024, respectively, and are presented by category in the table below:</w:t>
      </w:r>
    </w:p>
    <w:p>
      <w:pPr>
        <w:spacing w:after="0" w:line="69" w:lineRule="exact"/>
        <w:rPr>
          <w:sz w:val="20"/>
          <w:szCs w:val="20"/>
          <w:color w:val="auto"/>
        </w:rPr>
      </w:pPr>
    </w:p>
    <w:tbl>
      <w:tblPr>
        <w:tblLayout w:type="fixed"/>
        <w:tblInd w:w="460" w:type="dxa"/>
        <w:tblCellMar>
          <w:top w:w="0" w:type="dxa"/>
          <w:left w:w="0" w:type="dxa"/>
          <w:bottom w:w="0" w:type="dxa"/>
          <w:right w:w="0" w:type="dxa"/>
        </w:tblCellMar>
      </w:tblPr>
      <w:tr>
        <w:trPr>
          <w:trHeight w:val="232"/>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25"/>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1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4"/>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inventory reserves includes inventory charges, primarily offset by the disposal of inventory previously reserved. The charges are recorded in “Cost of Products” on our Condensed Consolidated Statements of Operations in the amount of $9 million and $14 million in the three and six months ended June 30, 2025, respectively, and $9 million and $15 million during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3" w:name="page14"/>
    <w:bookmarkEnd w:id="13"/>
    <w:tbl>
      <w:tblPr>
        <w:tblLayout w:type="fixed"/>
        <w:tblInd w:w="320" w:type="dxa"/>
        <w:tblCellMar>
          <w:top w:w="0" w:type="dxa"/>
          <w:left w:w="0" w:type="dxa"/>
          <w:bottom w:w="0" w:type="dxa"/>
          <w:right w:w="0" w:type="dxa"/>
        </w:tblCellMar>
      </w:tblPr>
      <w:tr>
        <w:trPr>
          <w:trHeight w:val="231"/>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82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 Intangibles, Net</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1"/>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43"/>
        </w:trPr>
        <w:tc>
          <w:tcPr>
            <w:tcW w:w="120" w:type="dxa"/>
            <w:vAlign w:val="bottom"/>
          </w:tcPr>
          <w:p>
            <w:pPr>
              <w:spacing w:after="0"/>
              <w:rPr>
                <w:sz w:val="24"/>
                <w:szCs w:val="24"/>
                <w:color w:val="auto"/>
              </w:rPr>
            </w:pPr>
          </w:p>
        </w:tc>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65"/>
        </w:trPr>
        <w:tc>
          <w:tcPr>
            <w:tcW w:w="120" w:type="dxa"/>
            <w:vAlign w:val="bottom"/>
          </w:tcPr>
          <w:p>
            <w:pPr>
              <w:spacing w:after="0"/>
              <w:rPr>
                <w:sz w:val="14"/>
                <w:szCs w:val="14"/>
                <w:color w:val="auto"/>
              </w:rPr>
            </w:pPr>
          </w:p>
        </w:tc>
        <w:tc>
          <w:tcPr>
            <w:tcW w:w="6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Developed and Acquired Technology, Net of Accumulated Amortization of $606 at June 30,</w:t>
            </w: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39"/>
        </w:trPr>
        <w:tc>
          <w:tcPr>
            <w:tcW w:w="120" w:type="dxa"/>
            <w:vAlign w:val="bottom"/>
          </w:tcPr>
          <w:p>
            <w:pPr>
              <w:spacing w:after="0"/>
              <w:rPr>
                <w:sz w:val="20"/>
                <w:szCs w:val="20"/>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$592 at December 31, 2024</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172"/>
        </w:trPr>
        <w:tc>
          <w:tcPr>
            <w:tcW w:w="120" w:type="dxa"/>
            <w:vAlign w:val="bottom"/>
          </w:tcPr>
          <w:p>
            <w:pPr>
              <w:spacing w:after="0"/>
              <w:rPr>
                <w:sz w:val="14"/>
                <w:szCs w:val="14"/>
                <w:color w:val="auto"/>
              </w:rPr>
            </w:pPr>
          </w:p>
        </w:tc>
        <w:tc>
          <w:tcPr>
            <w:tcW w:w="68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Trade Names, Net of Accumulated Amortization of $222 at June 30, 2025 and $201 at</w:t>
            </w: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38"/>
        </w:trPr>
        <w:tc>
          <w:tcPr>
            <w:tcW w:w="120" w:type="dxa"/>
            <w:vAlign w:val="bottom"/>
          </w:tcPr>
          <w:p>
            <w:pPr>
              <w:spacing w:after="0"/>
              <w:rPr>
                <w:sz w:val="20"/>
                <w:szCs w:val="20"/>
                <w:color w:val="auto"/>
              </w:rPr>
            </w:pPr>
          </w:p>
        </w:tc>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165"/>
        </w:trPr>
        <w:tc>
          <w:tcPr>
            <w:tcW w:w="120" w:type="dxa"/>
            <w:vAlign w:val="bottom"/>
          </w:tcPr>
          <w:p>
            <w:pPr>
              <w:spacing w:after="0"/>
              <w:rPr>
                <w:sz w:val="14"/>
                <w:szCs w:val="14"/>
                <w:color w:val="auto"/>
              </w:rPr>
            </w:pPr>
          </w:p>
        </w:tc>
        <w:tc>
          <w:tcPr>
            <w:tcW w:w="68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8"/>
                <w:szCs w:val="18"/>
                <w:color w:val="auto"/>
                <w:w w:val="98"/>
              </w:rPr>
              <w:t>Intangibles, Net of Accumulated Amortization of $828 at June 30, 2025 and $793 at December</w:t>
            </w: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64"/>
        </w:trPr>
        <w:tc>
          <w:tcPr>
            <w:tcW w:w="120" w:type="dxa"/>
            <w:vAlign w:val="bottom"/>
          </w:tcPr>
          <w:p>
            <w:pPr>
              <w:spacing w:after="0"/>
              <w:rPr>
                <w:sz w:val="22"/>
                <w:szCs w:val="22"/>
                <w:color w:val="auto"/>
              </w:rPr>
            </w:pPr>
          </w:p>
        </w:tc>
        <w:tc>
          <w:tcPr>
            <w:tcW w:w="68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31, 2024</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0"/>
        </w:trPr>
        <w:tc>
          <w:tcPr>
            <w:tcW w:w="120" w:type="dxa"/>
            <w:vAlign w:val="bottom"/>
          </w:tcPr>
          <w:p>
            <w:pPr>
              <w:spacing w:after="0" w:line="20" w:lineRule="exact"/>
              <w:rPr>
                <w:sz w:val="1"/>
                <w:szCs w:val="1"/>
                <w:color w:val="auto"/>
              </w:rPr>
            </w:pPr>
          </w:p>
        </w:tc>
        <w:tc>
          <w:tcPr>
            <w:tcW w:w="6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Amortization expense was $15 million and $29 million in the three and six months ended June 30, 2025, respectively, and $41 million and $82 million in the three and six months ended June 30, 2024, respectively, and is reported in “Selling, General and Administrative” on our Condensed Consolidated Statements of Operations. The decrease in amortization expense was primarily due to full amortization of certain intangible assets as of December 31, 2024.</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 Borrowings and Other Debt Obligations</w:t>
            </w: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43"/>
        </w:trPr>
        <w:tc>
          <w:tcPr>
            <w:tcW w:w="260" w:type="dxa"/>
            <w:vAlign w:val="bottom"/>
          </w:tcPr>
          <w:p>
            <w:pPr>
              <w:spacing w:after="0"/>
              <w:rPr>
                <w:sz w:val="24"/>
                <w:szCs w:val="24"/>
                <w:color w:val="auto"/>
              </w:rPr>
            </w:pP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26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6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260" w:type="dxa"/>
            <w:vAlign w:val="bottom"/>
          </w:tcPr>
          <w:p>
            <w:pPr>
              <w:spacing w:after="0"/>
              <w:rPr>
                <w:sz w:val="19"/>
                <w:szCs w:val="19"/>
                <w:color w:val="auto"/>
              </w:rPr>
            </w:pP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6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2"/>
        </w:trPr>
        <w:tc>
          <w:tcPr>
            <w:tcW w:w="26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5"/>
        </w:trPr>
        <w:tc>
          <w:tcPr>
            <w:tcW w:w="26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25"/>
        </w:trPr>
        <w:tc>
          <w:tcPr>
            <w:tcW w:w="26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8"/>
        </w:trPr>
        <w:tc>
          <w:tcPr>
            <w:tcW w:w="260" w:type="dxa"/>
            <w:vAlign w:val="bottom"/>
          </w:tcPr>
          <w:p>
            <w:pPr>
              <w:spacing w:after="0"/>
              <w:rPr>
                <w:sz w:val="19"/>
                <w:szCs w:val="19"/>
                <w:color w:val="auto"/>
              </w:rPr>
            </w:pP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0"/>
        </w:trPr>
        <w:tc>
          <w:tcPr>
            <w:tcW w:w="26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September 30, 2021, Weatherford International Ltd. (“Weatherford Bermuda”) issued 6.50% senior secured notes in aggregate principal amount of $500 million maturing September 15, 2028 (the “2028 Senior Secured Notes”). Interest was payable semiannually on September 15 and March 15 of each year, and commenced on March 15, 2022. Proceeds from the issuance were reduced by debt issuance costs. As of June, 30, 2024, we fully redeemed the remaining principal of our 2028 Senior Secured Notes.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27, 2021, Weatherford Bermuda issued 8.625% senior notes in aggregate principal amount of $1.6 billion maturing April 30, 2030 (the “2030 Senior Notes”). Interest is payable semiannually on June 1 and December 1 of each year, and commenced on June 1, 2022. On December 1, 2022, the indenture related to our 2030 Senior Notes was amended and supplemented to add Weatherford International, LLC (“Weatherford Delaware”) as co-issuer and co-obligor, and concurrently release the guarantee of Weatherford Delaware. In the second quarter of 2025 and for the six months ended June 30, 2025, we repurchased $27 million and $61 million in principal, respectively, of our 2030 Senior Notes. At June 30, 2025, the carrying value represents the remaining unpaid principal of $1.54 billion, offset by unamortized deferred issuance cost of $10 million. At December 31, 2024, the carrying value represented the remaining principal of $1.6 billion, offset by unamortized deferred issuance cost of $11 million.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6"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June 30, 2025 and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3"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As of June 30, 2025, we had zero borrowings outstanding under the Credit Agreement and $412 million of letters of credit outstanding. The letters of credit consisted of $253 million for performance letters of credit, $6 million for financial letters of credit under the Credit Agreement and $153 million letters of credit under various uncommitted bi-lateral facilities ($48 million of which was cash collateral held and recorded in “Restricted Cash” on the Condensed Consolidated Balance Sheets).</w:t>
      </w:r>
    </w:p>
    <w:p>
      <w:pPr>
        <w:spacing w:after="0" w:line="207"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2024, we had zero borrowings outstanding under the Credit Agreement and $382 million of letters of credit outstanding. The letters of credit consisted of $279 million for performance letters of credit, $12 million for financial letters of credit under the Credit Agreement and $91 million letters of credit under various uncommitted bi-lateral facilities ($49 million of which was cash collateral held and recorded in “Restricted Cash” on the Condensed Consolidated Balance Sheets).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6"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Pr>
          <w:p>
            <w:pPr>
              <w:spacing w:after="0"/>
              <w:rPr>
                <w:sz w:val="19"/>
                <w:szCs w:val="19"/>
                <w:color w:val="auto"/>
              </w:rPr>
            </w:pP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9"/>
                <w:szCs w:val="19"/>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Pr>
          <w:p>
            <w:pPr>
              <w:spacing w:after="0"/>
              <w:rPr>
                <w:sz w:val="19"/>
                <w:szCs w:val="19"/>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5"/>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18"/>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8 – Disputes, Litigation and Legal Contingencies</w:t>
      </w:r>
    </w:p>
    <w:p>
      <w:pPr>
        <w:spacing w:after="0" w:line="246"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9 – Shareholders’ Equity</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Shares issued and outstanding on our Condensed Consolidated Balance Sheets decreased from 72.1 million as of December 31, 2024 to 71.8 million as of June 30, 2025. The decrease was due to the cancellation of 1.6 million of our ordinary shares repurchased for $87 million. The decrease was partially offset by the issuance of 1.3 million of our ordinary shares for equity awards vested and delivered, net of shares withheld for taxes.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2025, we declared and paid $36 million in dividends and accrued an immaterial amount of dividend equivalent rights on share-based awards.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shareholders’ equity activity for the three and six months ended June 30, 2025 and 2024:</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Capital in</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9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13"/>
                <w:szCs w:val="13"/>
                <w:color w:val="auto"/>
              </w:rPr>
            </w:pPr>
          </w:p>
        </w:tc>
        <w:tc>
          <w:tcPr>
            <w:tcW w:w="1340" w:type="dxa"/>
            <w:vAlign w:val="bottom"/>
          </w:tcPr>
          <w:p>
            <w:pPr>
              <w:jc w:val="center"/>
              <w:ind w:right="101"/>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980" w:type="dxa"/>
            <w:vAlign w:val="bottom"/>
            <w:vMerge w:val="continue"/>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100" w:type="dxa"/>
            <w:vAlign w:val="bottom"/>
          </w:tcPr>
          <w:p>
            <w:pPr>
              <w:spacing w:after="0"/>
              <w:rPr>
                <w:sz w:val="13"/>
                <w:szCs w:val="13"/>
                <w:color w:val="auto"/>
              </w:rPr>
            </w:pPr>
          </w:p>
        </w:tc>
        <w:tc>
          <w:tcPr>
            <w:tcW w:w="1080" w:type="dxa"/>
            <w:vAlign w:val="bottom"/>
          </w:tcPr>
          <w:p>
            <w:pPr>
              <w:jc w:val="center"/>
              <w:ind w:right="101"/>
              <w:spacing w:after="0" w:line="159" w:lineRule="exact"/>
              <w:rPr>
                <w:sz w:val="20"/>
                <w:szCs w:val="20"/>
                <w:color w:val="auto"/>
              </w:rPr>
            </w:pPr>
            <w:r>
              <w:rPr>
                <w:rFonts w:ascii="Times New Roman" w:cs="Times New Roman" w:eastAsia="Times New Roman" w:hAnsi="Times New Roman"/>
                <w:sz w:val="16"/>
                <w:szCs w:val="16"/>
                <w:b w:val="1"/>
                <w:bCs w:val="1"/>
                <w:color w:val="auto"/>
                <w:w w:val="98"/>
              </w:rPr>
              <w:t>Excess of Par</w:t>
            </w:r>
          </w:p>
        </w:tc>
        <w:tc>
          <w:tcPr>
            <w:tcW w:w="2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21"/>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6"/>
                <w:szCs w:val="16"/>
                <w:b w:val="1"/>
                <w:bCs w:val="1"/>
                <w:color w:val="auto"/>
                <w:w w:val="99"/>
              </w:rPr>
              <w:t>Shareholders’</w:t>
            </w:r>
          </w:p>
        </w:tc>
        <w:tc>
          <w:tcPr>
            <w:tcW w:w="0" w:type="dxa"/>
            <w:vAlign w:val="bottom"/>
          </w:tcPr>
          <w:p>
            <w:pPr>
              <w:spacing w:after="0"/>
              <w:rPr>
                <w:sz w:val="1"/>
                <w:szCs w:val="1"/>
                <w:color w:val="auto"/>
              </w:rPr>
            </w:pPr>
          </w:p>
        </w:tc>
      </w:tr>
      <w:tr>
        <w:trPr>
          <w:trHeight w:val="211"/>
        </w:trPr>
        <w:tc>
          <w:tcPr>
            <w:tcW w:w="26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72.1</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2,921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0"/>
        </w:trPr>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61"/>
        </w:trPr>
        <w:tc>
          <w:tcPr>
            <w:tcW w:w="26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1"/>
        </w:trPr>
        <w:tc>
          <w:tcPr>
            <w:tcW w:w="26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Dividends Declared ($0.25 per share)</w:t>
            </w:r>
          </w:p>
        </w:tc>
        <w:tc>
          <w:tcPr>
            <w:tcW w:w="9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6"/>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72.6</w:t>
            </w:r>
          </w:p>
        </w:tc>
        <w:tc>
          <w:tcPr>
            <w:tcW w:w="3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2,834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04"/>
        </w:trPr>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tcPr>
          <w:p>
            <w:pPr>
              <w:spacing w:after="0"/>
              <w:rPr>
                <w:sz w:val="17"/>
                <w:szCs w:val="17"/>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161"/>
        </w:trPr>
        <w:tc>
          <w:tcPr>
            <w:tcW w:w="26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Repurchases</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61"/>
        </w:trPr>
        <w:tc>
          <w:tcPr>
            <w:tcW w:w="260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Dividends Declared ($0.25 per share)</w:t>
            </w:r>
          </w:p>
        </w:tc>
        <w:tc>
          <w:tcPr>
            <w:tcW w:w="9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CCEEFF"/>
            </w:tcBorders>
            <w:shd w:val="clear" w:color="auto" w:fill="CCEEFF"/>
          </w:tcPr>
          <w:p>
            <w:pPr>
              <w:ind w:left="100"/>
              <w:spacing w:after="0" w:line="106" w:lineRule="exact"/>
              <w:rPr>
                <w:sz w:val="20"/>
                <w:szCs w:val="20"/>
                <w:color w:val="auto"/>
              </w:rPr>
            </w:pPr>
            <w:r>
              <w:rPr>
                <w:rFonts w:ascii="Times New Roman" w:cs="Times New Roman" w:eastAsia="Times New Roman" w:hAnsi="Times New Roman"/>
                <w:sz w:val="10"/>
                <w:szCs w:val="10"/>
                <w:color w:val="auto"/>
              </w:rPr>
              <w:t>(1)</w:t>
            </w: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0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3"/>
                <w:szCs w:val="13"/>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9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34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6"/>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71.8</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2,810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21"/>
        </w:trPr>
        <w:tc>
          <w:tcPr>
            <w:tcW w:w="2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-15875</wp:posOffset>
            </wp:positionV>
            <wp:extent cx="6857365" cy="15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7365" cy="151130"/>
                    </a:xfrm>
                    <a:prstGeom prst="rect">
                      <a:avLst/>
                    </a:prstGeom>
                    <a:noFill/>
                  </pic:spPr>
                </pic:pic>
              </a:graphicData>
            </a:graphic>
          </wp:anchor>
        </w:drawing>
      </w:r>
    </w:p>
    <w:p>
      <w:pPr>
        <w:ind w:left="500" w:hanging="158"/>
        <w:spacing w:after="0" w:line="216" w:lineRule="auto"/>
        <w:tabs>
          <w:tab w:leader="none" w:pos="5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dividend equivalent rights on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Capital In</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9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60" w:type="dxa"/>
            <w:vAlign w:val="bottom"/>
          </w:tcPr>
          <w:p>
            <w:pPr>
              <w:spacing w:after="0"/>
              <w:rPr>
                <w:sz w:val="13"/>
                <w:szCs w:val="13"/>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Par</w:t>
            </w:r>
          </w:p>
        </w:tc>
        <w:tc>
          <w:tcPr>
            <w:tcW w:w="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3"/>
                <w:szCs w:val="13"/>
                <w:color w:val="auto"/>
              </w:rPr>
            </w:pPr>
          </w:p>
        </w:tc>
        <w:tc>
          <w:tcPr>
            <w:tcW w:w="1380" w:type="dxa"/>
            <w:vAlign w:val="bottom"/>
          </w:tcPr>
          <w:p>
            <w:pPr>
              <w:jc w:val="center"/>
              <w:ind w:right="141"/>
              <w:spacing w:after="0" w:line="159"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6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6"/>
                <w:szCs w:val="16"/>
                <w:b w:val="1"/>
                <w:bCs w:val="1"/>
                <w:color w:val="auto"/>
                <w:w w:val="98"/>
              </w:rPr>
              <w:t>Excess of Par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121"/>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41"/>
              <w:spacing w:after="0" w:line="159" w:lineRule="exact"/>
              <w:rPr>
                <w:sz w:val="20"/>
                <w:szCs w:val="20"/>
                <w:color w:val="auto"/>
              </w:rPr>
            </w:pPr>
            <w:r>
              <w:rPr>
                <w:rFonts w:ascii="Times New Roman" w:cs="Times New Roman" w:eastAsia="Times New Roman" w:hAnsi="Times New Roman"/>
                <w:sz w:val="16"/>
                <w:szCs w:val="16"/>
                <w:b w:val="1"/>
                <w:bCs w:val="1"/>
                <w:color w:val="auto"/>
                <w:w w:val="97"/>
              </w:rPr>
              <w:t>Shareholders’</w:t>
            </w:r>
          </w:p>
        </w:tc>
        <w:tc>
          <w:tcPr>
            <w:tcW w:w="0" w:type="dxa"/>
            <w:vAlign w:val="bottom"/>
          </w:tcPr>
          <w:p>
            <w:pPr>
              <w:spacing w:after="0"/>
              <w:rPr>
                <w:sz w:val="1"/>
                <w:szCs w:val="1"/>
                <w:color w:val="auto"/>
              </w:rPr>
            </w:pPr>
          </w:p>
        </w:tc>
      </w:tr>
      <w:tr>
        <w:trPr>
          <w:trHeight w:val="212"/>
        </w:trPr>
        <w:tc>
          <w:tcPr>
            <w:tcW w:w="25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4"/>
        </w:trPr>
        <w:tc>
          <w:tcPr>
            <w:tcW w:w="2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center"/>
              <w:ind w:left="881"/>
              <w:spacing w:after="0"/>
              <w:rPr>
                <w:sz w:val="20"/>
                <w:szCs w:val="20"/>
                <w:color w:val="auto"/>
              </w:rPr>
            </w:pPr>
            <w:r>
              <w:rPr>
                <w:rFonts w:ascii="Times New Roman" w:cs="Times New Roman" w:eastAsia="Times New Roman" w:hAnsi="Times New Roman"/>
                <w:sz w:val="16"/>
                <w:szCs w:val="16"/>
                <w:color w:val="auto"/>
                <w:w w:val="97"/>
              </w:rPr>
              <w:t>(28)</w:t>
            </w: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04"/>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7"/>
                <w:szCs w:val="17"/>
                <w:color w:val="auto"/>
              </w:rPr>
            </w:pPr>
          </w:p>
        </w:tc>
        <w:tc>
          <w:tcPr>
            <w:tcW w:w="1380" w:type="dxa"/>
            <w:vAlign w:val="bottom"/>
          </w:tcPr>
          <w:p>
            <w:pPr>
              <w:jc w:val="center"/>
              <w:ind w:left="90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61"/>
        </w:trPr>
        <w:tc>
          <w:tcPr>
            <w:tcW w:w="25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center"/>
              <w:ind w:left="90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80" w:type="dxa"/>
            <w:vAlign w:val="bottom"/>
          </w:tcPr>
          <w:p>
            <w:pPr>
              <w:jc w:val="center"/>
              <w:ind w:left="881"/>
              <w:spacing w:after="0"/>
              <w:rPr>
                <w:sz w:val="20"/>
                <w:szCs w:val="20"/>
                <w:color w:val="auto"/>
              </w:rPr>
            </w:pPr>
            <w:r>
              <w:rPr>
                <w:rFonts w:ascii="Times New Roman" w:cs="Times New Roman" w:eastAsia="Times New Roman" w:hAnsi="Times New Roman"/>
                <w:sz w:val="16"/>
                <w:szCs w:val="16"/>
                <w:color w:val="auto"/>
                <w:w w:val="97"/>
              </w:rPr>
              <w:t>(24)</w:t>
            </w:r>
          </w:p>
        </w:tc>
        <w:tc>
          <w:tcPr>
            <w:tcW w:w="2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2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Issued for Acquisitions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ind w:left="90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6"/>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(1,842)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center"/>
              <w:ind w:left="881"/>
              <w:spacing w:after="0"/>
              <w:rPr>
                <w:sz w:val="20"/>
                <w:szCs w:val="20"/>
                <w:color w:val="auto"/>
              </w:rPr>
            </w:pPr>
            <w:r>
              <w:rPr>
                <w:rFonts w:ascii="Times New Roman" w:cs="Times New Roman" w:eastAsia="Times New Roman" w:hAnsi="Times New Roman"/>
                <w:sz w:val="16"/>
                <w:szCs w:val="16"/>
                <w:color w:val="auto"/>
                <w:w w:val="97"/>
              </w:rPr>
              <w:t>(52)</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ind w:left="90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59"/>
        </w:trPr>
        <w:tc>
          <w:tcPr>
            <w:tcW w:w="256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Equity Awards, Granted and Vested,</w:t>
            </w:r>
          </w:p>
        </w:tc>
        <w:tc>
          <w:tcPr>
            <w:tcW w:w="9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04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3"/>
                <w:szCs w:val="13"/>
                <w:color w:val="auto"/>
              </w:rPr>
            </w:pPr>
          </w:p>
        </w:tc>
        <w:tc>
          <w:tcPr>
            <w:tcW w:w="8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380" w:type="dxa"/>
            <w:vAlign w:val="bottom"/>
            <w:vMerge w:val="restart"/>
          </w:tcPr>
          <w:p>
            <w:pPr>
              <w:jc w:val="center"/>
              <w:ind w:left="90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3"/>
                <w:szCs w:val="13"/>
                <w:color w:val="auto"/>
              </w:rPr>
            </w:pPr>
          </w:p>
        </w:tc>
        <w:tc>
          <w:tcPr>
            <w:tcW w:w="10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56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Distributions to Noncontrolling</w:t>
            </w:r>
          </w:p>
        </w:tc>
        <w:tc>
          <w:tcPr>
            <w:tcW w:w="9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center"/>
              <w:ind w:left="901"/>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25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Interests</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2,997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center"/>
              <w:ind w:left="881"/>
              <w:spacing w:after="0"/>
              <w:rPr>
                <w:sz w:val="20"/>
                <w:szCs w:val="20"/>
                <w:color w:val="auto"/>
              </w:rPr>
            </w:pPr>
            <w:r>
              <w:rPr>
                <w:rFonts w:ascii="Times New Roman" w:cs="Times New Roman" w:eastAsia="Times New Roman" w:hAnsi="Times New Roman"/>
                <w:sz w:val="16"/>
                <w:szCs w:val="16"/>
                <w:color w:val="auto"/>
                <w:w w:val="97"/>
              </w:rPr>
              <w:t>(52)</w:t>
            </w:r>
          </w:p>
        </w:tc>
        <w:tc>
          <w:tcPr>
            <w:tcW w:w="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income (loss) by component for the six months ended June 30, 2025 and 2024:</w:t>
      </w:r>
    </w:p>
    <w:p>
      <w:pPr>
        <w:spacing w:after="0" w:line="4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5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Currency Translation</w:t>
            </w:r>
          </w:p>
        </w:tc>
        <w:tc>
          <w:tcPr>
            <w:tcW w:w="180" w:type="dxa"/>
            <w:vAlign w:val="bottom"/>
          </w:tcPr>
          <w:p>
            <w:pPr>
              <w:spacing w:after="0"/>
              <w:rPr>
                <w:sz w:val="17"/>
                <w:szCs w:val="17"/>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400" w:type="dxa"/>
            <w:vAlign w:val="bottom"/>
          </w:tcPr>
          <w:p>
            <w:pPr>
              <w:spacing w:after="0"/>
              <w:rPr>
                <w:sz w:val="17"/>
                <w:szCs w:val="17"/>
                <w:color w:val="auto"/>
              </w:rPr>
            </w:pP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vMerge w:val="continue"/>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4"/>
        </w:trPr>
        <w:tc>
          <w:tcPr>
            <w:tcW w:w="3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9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9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10 – Income per Share</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number of shares used for the basic and diluted income per share calculation was as follows:</w:t>
      </w:r>
    </w:p>
    <w:p>
      <w:pPr>
        <w:spacing w:after="0" w:line="1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Three Months Ended June</w:t>
            </w:r>
          </w:p>
        </w:tc>
        <w:tc>
          <w:tcPr>
            <w:tcW w:w="2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65"/>
        </w:trPr>
        <w:tc>
          <w:tcPr>
            <w:tcW w:w="6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75.3</w:t>
            </w: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65"/>
        </w:trPr>
        <w:tc>
          <w:tcPr>
            <w:tcW w:w="6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Awards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8"/>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our weighted average shares outstanding during the period. Diluted income per share is computed by dividing net income available to shareholders by our weighted average shares outstanding during the period including potential dilutive ordinary shares. Anti-dilutive weighted average shares represent securities that could potentially dilute income per share in the future, and are excluded from the computation of income per share.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11 – Income Taxes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recognized a tax expense of $46 million and $56 million for the three and six months ended June 30, 2025, respectively, compared to three and six months ended June 30, 2024 where we recognized a tax expense of $73 million and $132 million, respectively. Income tax expense was lower in the three and six months ended June 30, 2025 compared to the same periods in 2024 primarily due to decreased earnings before taxes and the recognition of a benefit from previously uncertain tax positions of $26 million recognized in the first quarter of 2025. We calculate our income tax provision using the estimated annual effective tax rate method in accordance with Accounting Standards Codification “ASC” 740 - Income Taxes.</w:t>
      </w:r>
    </w:p>
    <w:p>
      <w:pPr>
        <w:spacing w:after="0" w:line="21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a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spacing w:after="0" w:line="2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routinely undergo tax examination in various jurisdictions. We cannot predict the timing or outcome regarding resolution of these tax examinations or if they will have a material impact on our financial statements. As of June 30, 2025, we anticipate that it is reasonably possible that our uncertain tax positions of $268 million, including interest and penalties offset by net operating losses and other tax attributes if settled, may decrease by up to $91 million in the next twelve months due to expiration of statutes of limitations, settlements and/or conclusions of tax examinations.</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4, 2025 the “One Big Beautiful Bill Act” was enacted in the United States. The bill is expected to have an immaterial impact on the Company through tax savings.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 – Credit Default Swap</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fourth quarter of 2024, we entered into a credit default swap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terms of the CDS, within five business days upon notification of a default by the customer, we could be required to pay the then outstanding notional balance net of recoveries. As of June 30, 2025, we had a notional balance of $20 million outstanding under the CDS and as of December 31, 2024, we had a notional balance of $25 million outstanding. The fair value of the derivative was not material as of June 30, 2025 and December 31, 2024.</w:t>
      </w:r>
    </w:p>
    <w:p>
      <w:pPr>
        <w:spacing w:after="0" w:line="20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 CDS was entered into during the fourth quarter of 2023 with the same parties for similar reasons as in the fourth quarter of 2024, and accordingly, in the first quarter of 2024, we received $142 million. The agreement was terminated in the third quarter of 2024, extinguishing the remaining notional balance.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13 – Blue Chip Swap Securities - Argentina</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 our ability to access U.S. dollars in Argentina and remit cash from our Argentine operations. As such, we have used an indirect foreign exchange mechanism known as a Blue Chip Swap (“BCS”) which allows entities to remit U.S. dollars from Argentina through the purchase and sale of securities. During the second quarter of 2025 and 2024, we completed a series of BCS transactions at implied exchange rates that were approximately 1% and 26% higher, respectively, than the official exchange rate, resulting in a loss of $1 million and $10 million, respectively. We continue to use the official exchange rate for remeasurement of our Argentine peso-denominated net monetary assets under U.S. GAAP as the BCS rates do not meet the criteria for remeasurement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14 – Subsequent Events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On July 17, 2025, our Board of Directors declared a cash dividend of $0.25 per share of the Company’s ordinary shares, payable on September 4, 2025 to shareholders of record as of August 6, 2025.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4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310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20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 reserves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and unconventional wells, deep water, and aging reservoirs. The primary offerings are intervention services &amp; drilling tools, artificial lift, digital solutions, sub-sea intervention and pressure pumping services in select markets.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0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can be significantly affected by oil and natural gas prices as well as rig counts. As shown in the following tables, as of June 30, 2025 oil prices and rig counts were notably lower than at June 30, 2024. The drop in oil prices and rig counts since June 30, 2024 has coincided with reduced activity levels across our industry. Although Henry Hub natural gas prices increased in 2025, gas rig counts in the first six months of 2025 remained below the levels of the first six months of 2024. Gas production additions were sourced from a backlog of drilled but uncompleted wells and deferred start-ups. Oil prices and rig counts may continue to trend lower throughout the remainder of 2025, resulting in flat to lower activity levels.</w:t>
      </w:r>
    </w:p>
    <w:p>
      <w:pPr>
        <w:spacing w:after="0" w:line="2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to the impact of lower commodity prices and reduced rig counts, there may be future impacts and effects on our industry or us relating to the U.S. Presidential administration and Congress, in areas such as trade policy and tariffs, global conflicts and sanctions, environmental regulations and others. For example, the U.S. Presidential administration announced sweeping new tariffs in early 2025 that prompted retaliatory actions by affected countries. Various modifications and delays have been announced to some of the new tariffs and further changes are expected to be made in the future. Since the tariff announcements, energy markets have been volatile. Trade disputes have had, and may continue to have, an adverse impact on the overall macroeconomic environment and may result in supply chain challenges and heightened economic pressure on our customers. The Company continues to monitor these developments, however the future impact and timing of these changes on our business remains uncertain and will depend on several factors, including whether additional or incremental tariffs or other measures are announced or imposed, to what extent other countries implement tariffs or other retaliatory measures in response, and the overall magnitude and duration of these measures.</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Brent North Sea (“Brent”) crude oil and Henry Hub natural gas.</w:t>
      </w:r>
    </w:p>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54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2"/>
        </w:trPr>
        <w:tc>
          <w:tcPr>
            <w:tcW w:w="3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19"/>
        </w:trPr>
        <w:tc>
          <w:tcPr>
            <w:tcW w:w="3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374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4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25"/>
        </w:trPr>
        <w:tc>
          <w:tcPr>
            <w:tcW w:w="374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r>
      <w:tr>
        <w:trPr>
          <w:trHeight w:val="225"/>
        </w:trPr>
        <w:tc>
          <w:tcPr>
            <w:tcW w:w="3740" w:type="dxa"/>
            <w:vAlign w:val="bottom"/>
            <w:tcBorders>
              <w:bottom w:val="single" w:sz="8" w:color="auto"/>
            </w:tcBorders>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Henry Hub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ind w:left="1380" w:hanging="151"/>
        <w:spacing w:after="0" w:line="227" w:lineRule="auto"/>
        <w:tabs>
          <w:tab w:leader="none" w:pos="13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Oil price measured in dollars per barrel (rounded to the nearest $0.01)</w:t>
      </w:r>
    </w:p>
    <w:p>
      <w:pPr>
        <w:spacing w:after="0" w:line="22" w:lineRule="exact"/>
        <w:rPr>
          <w:rFonts w:ascii="Times New Roman" w:cs="Times New Roman" w:eastAsia="Times New Roman" w:hAnsi="Times New Roman"/>
          <w:sz w:val="19"/>
          <w:szCs w:val="19"/>
          <w:color w:val="auto"/>
          <w:vertAlign w:val="superscript"/>
        </w:rPr>
      </w:pPr>
    </w:p>
    <w:p>
      <w:pPr>
        <w:ind w:left="1380" w:hanging="151"/>
        <w:spacing w:after="0" w:line="208" w:lineRule="auto"/>
        <w:tabs>
          <w:tab w:leader="none" w:pos="13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Natural gas price measured in dollars per million British thermal units (rounded to the nearest $0.01)</w:t>
      </w: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43" w:lineRule="exact"/>
        <w:rPr>
          <w:sz w:val="20"/>
          <w:szCs w:val="20"/>
          <w:color w:val="auto"/>
        </w:rPr>
      </w:pPr>
    </w:p>
    <w:tbl>
      <w:tblPr>
        <w:tblLayout w:type="fixed"/>
        <w:tblInd w:w="1220" w:type="dxa"/>
        <w:tblCellMar>
          <w:top w:w="0" w:type="dxa"/>
          <w:left w:w="0" w:type="dxa"/>
          <w:bottom w:w="0" w:type="dxa"/>
          <w:right w:w="0" w:type="dxa"/>
        </w:tblCellMar>
      </w:tblPr>
      <w:tr>
        <w:trPr>
          <w:trHeight w:val="225"/>
        </w:trPr>
        <w:tc>
          <w:tcPr>
            <w:tcW w:w="3840" w:type="dxa"/>
            <w:vAlign w:val="bottom"/>
          </w:tcPr>
          <w:p>
            <w:pPr>
              <w:spacing w:after="0"/>
              <w:rPr>
                <w:sz w:val="19"/>
                <w:szCs w:val="19"/>
                <w:color w:val="auto"/>
              </w:rPr>
            </w:pPr>
          </w:p>
        </w:tc>
        <w:tc>
          <w:tcPr>
            <w:tcW w:w="21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2"/>
        </w:trPr>
        <w:tc>
          <w:tcPr>
            <w:tcW w:w="38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r>
      <w:tr>
        <w:trPr>
          <w:trHeight w:val="219"/>
        </w:trPr>
        <w:tc>
          <w:tcPr>
            <w:tcW w:w="38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699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Pr>
          <w:p>
            <w:pPr>
              <w:spacing w:after="0"/>
              <w:rPr>
                <w:sz w:val="19"/>
                <w:szCs w:val="19"/>
                <w:color w:val="auto"/>
              </w:rPr>
            </w:pPr>
          </w:p>
        </w:tc>
        <w:tc>
          <w:tcPr>
            <w:tcW w:w="16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751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5"/>
        </w:trPr>
        <w:tc>
          <w:tcPr>
            <w:tcW w:w="4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897</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900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43"/>
        </w:trPr>
        <w:tc>
          <w:tcPr>
            <w:tcW w:w="46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13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93"/>
              </w:rPr>
              <w:t>1,596</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1,701</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1,651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February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Revenues in Russia were approximately 7% of our total revenues for the three and six months ended June 30, 2025, compared to 5% of our total revenue for the three and six months ended June 30, 2024. As of June 30, 2025, our Russia operations included $103 million in cash, $151 million in other current assets, $78 million in property, plant and equipment and other non-current assets, and $67 million in liabilities. As of December 31, 2024, our Russia operations included $82 million in cash, $95 million in other current assets, $56 million in property, plant and equipment and other non-current assets, and $45 million in liabilities.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204" w:lineRule="exact"/>
        <w:rPr>
          <w:sz w:val="20"/>
          <w:szCs w:val="20"/>
          <w:color w:val="auto"/>
        </w:rPr>
      </w:pPr>
    </w:p>
    <w:p>
      <w:pPr>
        <w:ind w:left="1280" w:hanging="320"/>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24" w:lineRule="exact"/>
        <w:rPr>
          <w:rFonts w:ascii="Times New Roman" w:cs="Times New Roman" w:eastAsia="Times New Roman" w:hAnsi="Times New Roman"/>
          <w:sz w:val="18"/>
          <w:szCs w:val="18"/>
          <w:color w:val="auto"/>
        </w:rPr>
      </w:pPr>
    </w:p>
    <w:p>
      <w:pPr>
        <w:ind w:left="1280" w:right="2320" w:hanging="320"/>
        <w:spacing w:after="0" w:line="245" w:lineRule="auto"/>
        <w:tabs>
          <w:tab w:leader="none" w:pos="1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spacing w:after="0" w:line="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5" w:lineRule="exact"/>
        <w:rPr>
          <w:rFonts w:ascii="Times New Roman" w:cs="Times New Roman" w:eastAsia="Times New Roman" w:hAnsi="Times New Roman"/>
          <w:sz w:val="18"/>
          <w:szCs w:val="18"/>
          <w:color w:val="auto"/>
        </w:rPr>
      </w:pPr>
    </w:p>
    <w:p>
      <w:pPr>
        <w:ind w:left="1280" w:hanging="320"/>
        <w:spacing w:after="0" w:line="245" w:lineRule="auto"/>
        <w:tabs>
          <w:tab w:leader="none" w:pos="1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spacing w:after="0" w:line="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Summary</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Revenues of $1.2 billion and $2.4 billion in the three and six months ended June 30, 2025, respectively, decreased 14% and 13% compared to $1.4 billion and $2.8 billion in the three and six months ended June 30, 2024, respectively. Year-over-year in the second quarter, product revenues decreased 13% and service revenues decreased 15%. Revenues declined in all segments with DRE, WCC and PRI impacting 46%, 24%, and 21% of the decrease, respectively, with the remaining decrease from lower activity in integrated services and projects. Year-over-year in the six months ended June 30, 2025, product revenues decreased 11% and services revenue decreased 15%. Revenues declined in all segments with DRE, WCC and PRI impacting 45%, 18% and 15% of the decrease, respectively, with the remaining decrease from lower activity in integrated services and projects.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Geographically, the year-over-year second quarter revenue decrease was led by a decline in the Latin America, Middle East/North Africa/Asia, Europe/Sub-Sahara Africa/Russia and North America regions, which impacted 79%, 9%, 7% and 5% of the decrease, respectively. Year-over-year in the six months ended June 30, 2025, the revenue decrease was led by a decline in the Latin America, Europe/Sub-Sahara Africa/Russia, North America and Middle East/North Africa/Asia regions, which impacted 78%, 11%, 8% and 3% of the decrease. Year-over-year revenue decreases were primarily caused by a softening of the overall market which drove a decline in activity across segments and geographies.</w:t>
      </w:r>
    </w:p>
    <w:p>
      <w:pPr>
        <w:spacing w:after="0" w:line="21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Operating income of $237 million and $379 million in the three and six months ended June 30, 2025, respectively, decreased 10% and 24% compared to $264 million and $497 million in the three and six months ended June 30, 2024, respectively, due to the decline in revenue, with a partial offset from lower cost of products and services, lower selling general, administrative and research and development costs and a gain on the sale of our pressure pumping business in Argentina. Cost of products and services of $829 million and $1.6 billion in the three and six months ended June 30, 2025, respectively, decreased 7% in each period compared to $891 million and $1.8 billion in the three and six months ended June 30, 2024, respectively. Our cost of products and services as a percentage of revenues was 69% in both the three and six months ended June 30, 2025 compared to 63% and 64% in the three and six months ended June 30, 2024, respectively.</w:t>
      </w:r>
    </w:p>
    <w:p>
      <w:pPr>
        <w:spacing w:after="0" w:line="2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$194 million and $384 million in the three and six months ended June 30, 2025, respectively, decreased 21% and 20% compared to $247 million and $483 million in the three and six months ended June 30, 2024, respectively. The year-over-year decrease was primarily due to a decline in amortization expense, a decline in the cost of employee incentive programs and a reduction in headcount leading to lower personnel costs. Selling, general, administrative and research and development costs as a percentage of revenues was 16% in both the three and six months ended June 30, 2025, and 18% in both the three and six months ended June 30, 2024.</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Gain on Sale of Business was $70 million in both the three and six months ended June 30, 2025 due to the sale of our pressure pumping business in Argentina during the second quarter of 2025.</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Restructuring charges were $11 million and $40 million in the three and six months ended June 30, 2025, respectively, and $5 million and $8 million in the three and six months ended June 30, 2024, respectively. See “Note 4 – Restructuring Charges” for additional information.</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Other Charges (Credits), Net in the three and six months ended June 30, 2025 were $3 million and $16 million in net charges, respectively, and primarily include fees to third-party financial institutions related to collections of certain receivables from our largest customer in Mexico as well as other miscellaneous charges and credits. Other Charges (Credits), Net in the three and six months ended June 30, 2024 were $2 million in net credits and nil in net charges, respectively.</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Net was $21 million and $47 million in the three and six months ended June 30, 2025 , respectively, and $24 million and $53 million in the three and six months ended June 30, 2024, respectively. Interest Expense, Net is interest expense net of interest income.</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expense was $35 million and $72 million in the three and six months ended June 30, 2025, respectively, and $41 million $84 million in the three and six months ended June 30, 2024, respectively. The decrease was primarily due to the reduction in our outstanding long-term debt. Interest income was $14 million and $25 million in the three and six months ended June 30, 2025, respectively, and $17 million and $31 million in the three and six months ended June 30, 2024, respectively.</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Loss on Blue Chip Swap Securities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indirect foreign exchange mechanism known as the Blue Chip Swap (“BCS”) allows entities to remit U.S. dollars from operations in Argentina. During the second quarter of 2025 and 2024, we entered into a series of BCS securities transactions that resulted in a “Loss on Blue Chip Swap Securities” of $1 million in the six months ended June 30, 2025 and $10 million in the six months ended June 30, 2024, respectively. See “Note 13 – Blue Chip Swap Securities - Argentina” to our Condensed Consolidated Financial Statements for additional details.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Other Expense, Net was $24 million and $44 million in the three and six months ended June 30, 2025, respectively, and $20 million and $42 million in the three and six months ended June 30, 2024, respectively. Other Expense, Net primarily represents foreign exchange losses in countries with no or limited markets to hedge, letter of credit fees and other financing charges, including bond redemption premiums partially offset by certain investment gains and losses. When economically advantageous, we enter into foreign currency forward contracts to mitigate the risk of future cash flows denominated in a foreign currency.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11 – Income Taxes” to our Condensed Consolidated Financial Statements for additional details.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21"/>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information by segment is summarized below.</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89"/>
        </w:trPr>
        <w:tc>
          <w:tcPr>
            <w:tcW w:w="5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2025</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19</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4"/>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2025</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DRE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6"/>
              </w:rPr>
              <w:t>897</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7"/>
              </w:rPr>
              <w:t>(537)</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w w:val="97"/>
              </w:rPr>
              <w:t>(114)</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8"/>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6"/>
              </w:rPr>
              <w:t>246</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23</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640" w:top="466" w:right="10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1"/>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60"/>
        </w:trPr>
        <w:tc>
          <w:tcPr>
            <w:tcW w:w="5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2024</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9"/>
        </w:trPr>
        <w:tc>
          <w:tcPr>
            <w:tcW w:w="558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8"/>
        </w:trPr>
        <w:tc>
          <w:tcPr>
            <w:tcW w:w="5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DRE</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WCC</w:t>
            </w:r>
          </w:p>
        </w:tc>
        <w:tc>
          <w:tcPr>
            <w:tcW w:w="940" w:type="dxa"/>
            <w:vAlign w:val="bottom"/>
            <w:tcBorders>
              <w:bottom w:val="single" w:sz="8" w:color="auto"/>
              <w:right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PRI</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427</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r>
      <w:tr>
        <w:trPr>
          <w:trHeight w:val="159"/>
        </w:trPr>
        <w:tc>
          <w:tcPr>
            <w:tcW w:w="55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8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8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5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5"/>
        </w:trPr>
        <w:tc>
          <w:tcPr>
            <w:tcW w:w="55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5"/>
        </w:trPr>
        <w:tc>
          <w:tcPr>
            <w:tcW w:w="5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23</w:t>
            </w:r>
          </w:p>
        </w:tc>
      </w:tr>
      <w:tr>
        <w:trPr>
          <w:trHeight w:val="225"/>
        </w:trPr>
        <w:tc>
          <w:tcPr>
            <w:tcW w:w="55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5"/>
        </w:trPr>
        <w:tc>
          <w:tcPr>
            <w:tcW w:w="55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5580" w:type="dxa"/>
            <w:vAlign w:val="bottom"/>
            <w:tcBorders>
              <w:bottom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Net</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5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2024</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8"/>
        </w:trPr>
        <w:tc>
          <w:tcPr>
            <w:tcW w:w="556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7"/>
              </w:rPr>
              <w:t>Reportable Segments</w:t>
            </w:r>
          </w:p>
        </w:tc>
        <w:tc>
          <w:tcPr>
            <w:tcW w:w="52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DRE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WCC</w:t>
            </w:r>
          </w:p>
        </w:tc>
        <w:tc>
          <w:tcPr>
            <w:tcW w:w="960" w:type="dxa"/>
            <w:vAlign w:val="bottom"/>
            <w:tcBorders>
              <w:bottom w:val="single" w:sz="8" w:color="auto"/>
              <w:right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PRI</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rPr>
              <w:t>849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6"/>
              </w:rPr>
              <w:t>962</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r>
      <w:tr>
        <w:trPr>
          <w:trHeight w:val="159"/>
        </w:trPr>
        <w:tc>
          <w:tcPr>
            <w:tcW w:w="55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5"/>
        </w:trPr>
        <w:tc>
          <w:tcPr>
            <w:tcW w:w="5560" w:type="dxa"/>
            <w:vAlign w:val="bottom"/>
            <w:tcBorders>
              <w:right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Direct Costs</w:t>
            </w:r>
            <w:r>
              <w:rPr>
                <w:rFonts w:ascii="Times New Roman" w:cs="Times New Roman" w:eastAsia="Times New Roman" w:hAnsi="Times New Roman"/>
                <w:sz w:val="22"/>
                <w:szCs w:val="22"/>
                <w:color w:val="auto"/>
                <w:vertAlign w:val="superscript"/>
              </w:rPr>
              <w:t>(a)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7"/>
              </w:rPr>
              <w:t>(480)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7"/>
              </w:rPr>
              <w:t>(573)</w:t>
            </w: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5"/>
        </w:trPr>
        <w:tc>
          <w:tcPr>
            <w:tcW w:w="5560" w:type="dxa"/>
            <w:vAlign w:val="bottom"/>
            <w:tcBorders>
              <w:bottom w:val="single" w:sz="8" w:color="auto"/>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2"/>
                <w:szCs w:val="22"/>
                <w:color w:val="auto"/>
                <w:vertAlign w:val="superscript"/>
              </w:rPr>
              <w:t>(b)</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7"/>
              </w:rPr>
              <w:t>(109)</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w w:val="97"/>
              </w:rPr>
              <w:t>(124)</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9"/>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5"/>
        </w:trPr>
        <w:tc>
          <w:tcPr>
            <w:tcW w:w="5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6"/>
              </w:rPr>
              <w:t>265</w:t>
            </w:r>
          </w:p>
        </w:tc>
        <w:tc>
          <w:tcPr>
            <w:tcW w:w="4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5"/>
        </w:trPr>
        <w:tc>
          <w:tcPr>
            <w:tcW w:w="55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50</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5"/>
        </w:trPr>
        <w:tc>
          <w:tcPr>
            <w:tcW w:w="55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00" w:hanging="237"/>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cost of sales and direct operating costs.</w:t>
      </w:r>
    </w:p>
    <w:p>
      <w:pPr>
        <w:spacing w:after="0" w:line="23" w:lineRule="exact"/>
        <w:rPr>
          <w:rFonts w:ascii="Times New Roman" w:cs="Times New Roman" w:eastAsia="Times New Roman" w:hAnsi="Times New Roman"/>
          <w:sz w:val="16"/>
          <w:szCs w:val="16"/>
          <w:color w:val="auto"/>
        </w:rPr>
      </w:pPr>
    </w:p>
    <w:p>
      <w:pPr>
        <w:ind w:left="400" w:hanging="237"/>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selling, general and administrative and research and development costs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200"/>
          </w:cols>
          <w:pgMar w:left="640" w:top="466" w:right="1059" w:bottom="1440" w:gutter="0" w:footer="0" w:header="0"/>
        </w:sectPr>
      </w:pPr>
    </w:p>
    <w:bookmarkStart w:id="27" w:name="page28"/>
    <w:bookmarkEnd w:id="27"/>
    <w:tbl>
      <w:tblPr>
        <w:tblLayout w:type="fixed"/>
        <w:tblInd w:w="320" w:type="dxa"/>
        <w:tblCellMar>
          <w:top w:w="0" w:type="dxa"/>
          <w:left w:w="0" w:type="dxa"/>
          <w:bottom w:w="0" w:type="dxa"/>
          <w:right w:w="0" w:type="dxa"/>
        </w:tblCellMar>
      </w:tblPr>
      <w:tr>
        <w:trPr>
          <w:trHeight w:val="231"/>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82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DRE Results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89"/>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178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40" w:type="dxa"/>
            <w:vAlign w:val="bottom"/>
          </w:tcPr>
          <w:p>
            <w:pPr>
              <w:spacing w:after="0"/>
              <w:rPr>
                <w:sz w:val="24"/>
                <w:szCs w:val="24"/>
                <w:color w:val="auto"/>
              </w:rPr>
            </w:pPr>
          </w:p>
        </w:tc>
      </w:tr>
      <w:tr>
        <w:trPr>
          <w:trHeight w:val="218"/>
        </w:trPr>
        <w:tc>
          <w:tcPr>
            <w:tcW w:w="2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40" w:type="dxa"/>
            <w:vAlign w:val="bottom"/>
            <w:tcBorders>
              <w:top w:val="single" w:sz="8" w:color="auto"/>
              <w:bottom w:val="single" w:sz="8" w:color="auto"/>
            </w:tcBorders>
          </w:tcPr>
          <w:p>
            <w:pPr>
              <w:spacing w:after="0"/>
              <w:rPr>
                <w:sz w:val="19"/>
                <w:szCs w:val="19"/>
                <w:color w:val="auto"/>
              </w:rPr>
            </w:pPr>
          </w:p>
        </w:tc>
      </w:tr>
      <w:tr>
        <w:trPr>
          <w:trHeight w:val="218"/>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9"/>
                <w:szCs w:val="19"/>
                <w:color w:val="auto"/>
              </w:rPr>
            </w:pP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18"/>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 bps</w:t>
            </w:r>
          </w:p>
        </w:tc>
      </w:tr>
      <w:tr>
        <w:trPr>
          <w:trHeight w:val="821"/>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Pr>
          <w:p>
            <w:pPr>
              <w:spacing w:after="0"/>
              <w:rPr>
                <w:sz w:val="24"/>
                <w:szCs w:val="24"/>
                <w:color w:val="auto"/>
              </w:rPr>
            </w:pPr>
          </w:p>
        </w:tc>
        <w:tc>
          <w:tcPr>
            <w:tcW w:w="1780" w:type="dxa"/>
            <w:vAlign w:val="bottom"/>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40" w:type="dxa"/>
            <w:vAlign w:val="bottom"/>
          </w:tcPr>
          <w:p>
            <w:pPr>
              <w:spacing w:after="0"/>
              <w:rPr>
                <w:sz w:val="24"/>
                <w:szCs w:val="24"/>
                <w:color w:val="auto"/>
              </w:rPr>
            </w:pPr>
          </w:p>
        </w:tc>
      </w:tr>
      <w:tr>
        <w:trPr>
          <w:trHeight w:val="219"/>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40" w:type="dxa"/>
            <w:vAlign w:val="bottom"/>
            <w:tcBorders>
              <w:top w:val="single" w:sz="8" w:color="auto"/>
              <w:bottom w:val="single" w:sz="8" w:color="auto"/>
            </w:tcBorders>
          </w:tcPr>
          <w:p>
            <w:pPr>
              <w:spacing w:after="0"/>
              <w:rPr>
                <w:sz w:val="19"/>
                <w:szCs w:val="19"/>
                <w:color w:val="auto"/>
              </w:rPr>
            </w:pPr>
          </w:p>
        </w:tc>
      </w:tr>
      <w:tr>
        <w:trPr>
          <w:trHeight w:val="218"/>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Pr>
          <w:p>
            <w:pPr>
              <w:spacing w:after="0"/>
              <w:rPr>
                <w:sz w:val="19"/>
                <w:szCs w:val="19"/>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18"/>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 bps</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DRE revenues of $335 million and $685 million in the three and six months ended June 30, 2025, decreased $92 million or 22%, and decreased $164 million or 19% compared to $427 million and $849 million in the three and six months ended June 30, 2024, respectively.</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second quarter year-over-year revenue decrease, approximately 45% of the decrease was from lower activity in managed pressure drilling and approximately 30% of the decrease was attributable to a decline in activity for drilling-related services. The remaining decrease of approximately 25% was attributable to a decline in wireline activity. Geographically, approximately 80% of the revenue decrease was from the Latin America region.</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year-to-date year-over-year revenue decrease, approximately 55% of the decrease was from lower activity in drilling-related service and approximately 25% decrease was attributable to a decline in activity for managed pressure drilling. The remaining decrease of approximately 20% was attributable to a decline in wireline activity. Geographically, approximately 85% of the revenue decrease was from the Latin America region.</w:t>
      </w:r>
    </w:p>
    <w:p>
      <w:pPr>
        <w:spacing w:after="0" w:line="2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DRE segment adjusted EBITDA of $69 million and $143 million in the three and six months ended June 30, 2025, decreased $61 million or 47%, and decreased $117 million or 45%, compared to $130 million and $260 million in the three and six months ended June 30, 2024, respectively. DRE segment adjusted EBITDA margin was 20.6% and 20.9% in the three and six months ended June 30, 2025 compared to 30.4% and 30.6% in the three and six months ended June 30, 2024, respectively. The second quarter and year-to-date segment adjusted EBITDA decreased year-over-year primarily due to a decline of activity in Latin America. Both direct costs and other expense generally decreased in line with the decrease in activity. However, the rate of decrease in direct costs and other expense was lower than the rate of decrease in revenue, contributing to the decrease in margin.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8" w:name="page29"/>
    <w:bookmarkEnd w:id="28"/>
    <w:tbl>
      <w:tblPr>
        <w:tblLayout w:type="fixed"/>
        <w:tblInd w:w="320" w:type="dxa"/>
        <w:tblCellMar>
          <w:top w:w="0" w:type="dxa"/>
          <w:left w:w="0" w:type="dxa"/>
          <w:bottom w:w="0" w:type="dxa"/>
          <w:right w:w="0" w:type="dxa"/>
        </w:tblCellMar>
      </w:tblPr>
      <w:tr>
        <w:trPr>
          <w:trHeight w:val="23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822"/>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WCC Results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9"/>
        </w:trPr>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5"/>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4"/>
                <w:szCs w:val="24"/>
                <w:color w:val="auto"/>
              </w:rPr>
            </w:pPr>
          </w:p>
        </w:tc>
      </w:tr>
      <w:tr>
        <w:trPr>
          <w:trHeight w:val="218"/>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2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19"/>
                <w:szCs w:val="19"/>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n/m</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bps</w:t>
            </w:r>
          </w:p>
        </w:tc>
      </w:tr>
      <w:tr>
        <w:trPr>
          <w:trHeight w:val="822"/>
        </w:trPr>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5"/>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4"/>
                <w:szCs w:val="24"/>
                <w:color w:val="auto"/>
              </w:rPr>
            </w:pPr>
          </w:p>
        </w:tc>
      </w:tr>
      <w:tr>
        <w:trPr>
          <w:trHeight w:val="218"/>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2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9"/>
                <w:szCs w:val="19"/>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n/m</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bps</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WCC revenues of $456 million and $897 million in the three and six months ended June 30, 2025, decreased $48 million or 10%, and decreased $65 million or 7%, compared to $504 million and $962 million in the three and six months ended June 30, 2024, respectively.</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second quarter year-over-year revenue decrease was primarily due to a decline in activity for completions which impacted approximately 80% of the decrease. This was partly offset by revenue increases from liner hangers and well services activity. Geographically, of the regions with revenue decreases, approximately 60% of the decrease was from Latin America and approximately 30% was from the Europe/Sub-Sahara Africa/Russia region. This was partly offset by a revenue increase in the Middle East/North Africa/Asia region.</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year-to-date year-over-year revenue decrease was primarily due to a decline in activity for completions and cementation products with each one impacting approximately 40% of the decrease for product lines which decreased year-over-year. This was partly offset by revenue increases from well services and liner hangers activity. Geographically, of the regions with revenue decreases, approximately 45% of the decrease was from Latin America and the remaining decrease from near equal declines in the North America and Europe/Sub-Sahara Africa/Russia regions. This was partly offset by a revenue increase in the Middle East/North Africa/Asia region.</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WCC segment adjusted EBITDA of $118 million and $246 million in the three and six months ended June 30, 2025, decreased $27 million or 19% , and decreased $19 million or 7%, compared to $145 million and $265 million in the three and six months ended June 30, 2024, respectively. WCC segment adjusted EBITDA margin was 25.9% and 27.4% in the three and six months ended June 30, 2025, compared to 28.8% and 27.5% in the three and six months ended June 30, 2024, respectively. The second quarter and year-to-date segment adjusted EBITDA decreased year-over-year primarily due to a decline in overall activity partly offset by higher margin activity in the Middle East/North Africa/Asia region. In the second quarter, both direct costs and other expense decreased along with the decrease in activity. However, the rate of decrease in direct costs and other expense was lower than the rate of decrease in revenue, contributing to the decrease in margin. Year-to-date, both direct costs and other expense decreased along with the decrease in activity. However, the decrease in margin was driven by the rate of decrease for direct costs being lower than the rate of decrease in revenue, partly offset by the rate of decrease for other expense being higher than the rate of decrease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9" w:name="page30"/>
    <w:bookmarkEnd w:id="29"/>
    <w:tbl>
      <w:tblPr>
        <w:tblLayout w:type="fixed"/>
        <w:tblInd w:w="320" w:type="dxa"/>
        <w:tblCellMar>
          <w:top w:w="0" w:type="dxa"/>
          <w:left w:w="0" w:type="dxa"/>
          <w:bottom w:w="0" w:type="dxa"/>
          <w:right w:w="0" w:type="dxa"/>
        </w:tblCellMar>
      </w:tblPr>
      <w:tr>
        <w:trPr>
          <w:trHeight w:val="23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822"/>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 Results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89"/>
        </w:trPr>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40" w:type="dxa"/>
            <w:vAlign w:val="bottom"/>
          </w:tcPr>
          <w:p>
            <w:pPr>
              <w:spacing w:after="0"/>
              <w:rPr>
                <w:sz w:val="24"/>
                <w:szCs w:val="24"/>
                <w:color w:val="auto"/>
              </w:rPr>
            </w:pPr>
          </w:p>
        </w:tc>
        <w:tc>
          <w:tcPr>
            <w:tcW w:w="16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4"/>
                <w:szCs w:val="24"/>
                <w:color w:val="auto"/>
              </w:rPr>
            </w:pP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2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9"/>
                <w:szCs w:val="19"/>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n/m</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bps</w:t>
            </w:r>
          </w:p>
        </w:tc>
      </w:tr>
      <w:tr>
        <w:trPr>
          <w:trHeight w:val="583"/>
        </w:trPr>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Pr>
          <w:p>
            <w:pPr>
              <w:spacing w:after="0"/>
              <w:rPr>
                <w:sz w:val="24"/>
                <w:szCs w:val="24"/>
                <w:color w:val="auto"/>
              </w:rPr>
            </w:pPr>
          </w:p>
        </w:tc>
        <w:tc>
          <w:tcPr>
            <w:tcW w:w="16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tcPr>
          <w:p>
            <w:pPr>
              <w:spacing w:after="0"/>
              <w:rPr>
                <w:sz w:val="24"/>
                <w:szCs w:val="24"/>
                <w:color w:val="auto"/>
              </w:rPr>
            </w:pP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or bps</w:t>
            </w:r>
          </w:p>
        </w:tc>
        <w:tc>
          <w:tcPr>
            <w:tcW w:w="200" w:type="dxa"/>
            <w:vAlign w:val="bottom"/>
            <w:tcBorders>
              <w:top w:val="single" w:sz="8" w:color="auto"/>
              <w:bottom w:val="single" w:sz="8" w:color="auto"/>
            </w:tcBorders>
          </w:tcPr>
          <w:p>
            <w:pPr>
              <w:spacing w:after="0"/>
              <w:rPr>
                <w:sz w:val="19"/>
                <w:szCs w:val="19"/>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20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n/m</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bps</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 revenues of $327 million and $661 million in the three and six months ended June 30, 2025, decreased $42 million or 11% and decreased $56 million or 8% compared to $369 million and $717 million in the three and six months ended June 30, 2024, respectively.</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second quarter year-over-year revenue decrease was primarily due to a decline in activity for intervention services and drilling tools and pressure pumping which impacted approximately 50% and 45% of the decrease, respectively, for product lines which decreased year-over-year. The sale of our pressure pumping business in Argentina was the primary contributor to the decline in pressure pumping activity. The decrease in revenue was partly offset by revenue increase from sub sea intervention activity. Geographically, approximately 70% of the revenue decrease was from the Latin America region.</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year-to-date year-over-year revenue decrease was primarily due to a decline in activity for intervention services and drilling tools which impacted approximately 60% of the decrease with remaining decrease primarily from lower pressure pumping activity which impacted approximately 30% of the decrease. This was partly offset by revenue increase from sub sea intervention activity. Geographically, approximately 75% of the revenue decrease was from the Latin America region.</w:t>
      </w:r>
    </w:p>
    <w:p>
      <w:pPr>
        <w:spacing w:after="0" w:line="2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PRI segment adjusted EBITDA of $63 million and $125 million in the three and six months ended June 30, 2025, decreased $22 million or 26% and decreased $33 million or 21% compared to $85 million and $158 million in the three and six months ended June 30, 2024, respectively. PRI segment adjusted EBITDA margin was 19.3% and 18.9% in the three and six months ended June 30, 2025, compared to 23.0% and 22.0% in the three and six months ended June 30, 2024. The second quarter and year-to-date segment adjusted EBITDA decreased year-over-year primarily due to a decline in overall activity. Both direct costs and other expense generally decreased in line with the decrease in activity. However, the rate of decrease in direct costs and other expense was lower than the rate of decrease in revenue, contributing to the decrease in margin.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Other results were from non-core business activities that do not individually meet the criteria for segment reporting, including integrated services and projects, which includes pass through and project management services.</w:t>
      </w:r>
    </w:p>
    <w:p>
      <w:pPr>
        <w:spacing w:after="0" w:line="19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All Other revenues were $86 million and $154 million in the three and six months ended June 30, 2025, compared to $105 million and $235 million in the three and six months ended June 30, 2024. The year-over-year decrease was due to a decline in international activity for integrated services and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Corporate was a net expense of $15 million and $30 million in the three and six months ended June 30, 2025 compared to $18 million and $32 million in the three and six months ended June 30, 2024. The year-over-year decreases in expense were primarily due to reduced costs in certain professional fees.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and amortization expense was $64 million and $126 million in the three and six months ended June 30, 2025 compared to $86 million and $171 million in the three and six months ended June 30, 2024. The year-over-year decreases were primarily due to certain intangible assets reaching full amortization in the fourth quarter of 2024.</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recognized $9 million and $16 million of share-based compensation in the three and six months ended June 30, 2025 compared to $12 million and $25 million in the three and six months ended June 30, 2024. The year-over-year decreases were primarily due to the vesting of previously granted equity awards, resulting in a lower number of unvested awards subject to expense recognition.</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Growth and spending in the energy services industry is highly dependent on many external factors. These include but are not limited to; the impact from geopolitical conflicts; our customers’ capital expenditures; environmental, social and other sustainability policies and initiatives; world economic, political, trade, and weather conditions; the price of oil, natural gas, and alternatives; member-country quota compliance within the Organization of Petroleum Exporting Countries and the expanded alliance (OPEC+); and, non-OPEC+ investments and project timing. Imbalances across geographies driven by geopolitical conflicts, investment variances and supply disruptions are driving a greater focus on energy security and resiliency, which in turn is creating a shift towards national oil companies and diversification across multiple energy sources (oil, gas, coal, renewables, etc.) to meet domestic and global demand.</w:t>
      </w:r>
    </w:p>
    <w:p>
      <w:pPr>
        <w:spacing w:after="0" w:line="19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market has softened over the past six months due to uncertainty around the impact of tariffs and trade policies, continued geopolitical instability and additional supply volumes coming to the market from both OPEC+ accelerating the rollback of its voluntary oil production cuts and non-OPEC+ projects coming online. The industry has witnessed substantial oilfield services spend and activity reductions in Mexico and North America, slower growth in parts of the Middle East, and project delays in various regions. In the near term, we anticipate an ongoing emphasis on capital discipline and operational efficiencies worldwide, coupled with reduced demand from our primary customer in Mexico and moderated growth in the Middle East. Collectively, these factors are expected to exert continued downward pressure on demand for our services and products throughout the remainder of 2025 as customers adjust their activity timelines and oilfield services expenditures in response to prevailing macroeconomic trends. Additionally, trade concerns such as recent U.S. tariff actions and potential retaliatory responses have increased uncertainty in our industry and in relation to global economic outlook, which may contribute to an economic slowdown and negatively impact both domestic and international crude demand and increase cost pressure on the sector.</w:t>
      </w:r>
    </w:p>
    <w:p>
      <w:pPr>
        <w:spacing w:after="0" w:line="2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Over the mid to long-term, we expect demand for oil and natural gas exploration and production as well as new energy platforms to continue to require more advanced technology from the energy service industry. While we remain cautious on our activity profile as we calibrate macroeconomic conditions with customer demand, we are confident that adoption of our differentiated technologies and market penetration will provide a pathway to long-cycle growth. We continue to closely monitor and adapt to macroeconomic and trade conditions, potential supply chain disruptions, inflationary factors, and other labor and logistical constraints that could impact our operations and results.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30, 2025, we had cash and cash equivalents of $943 million and $60 million in restricted cash, compared to $916 million of cash and cash equivalents and $59 million in restricted cash at December 31, 2024.</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in) each type of business activity in the periods presented:</w:t>
      </w:r>
    </w:p>
    <w:p>
      <w:pPr>
        <w:spacing w:after="0" w:line="136" w:lineRule="exact"/>
        <w:rPr>
          <w:sz w:val="20"/>
          <w:szCs w:val="20"/>
          <w:color w:val="auto"/>
        </w:rPr>
      </w:pPr>
    </w:p>
    <w:tbl>
      <w:tblPr>
        <w:tblLayout w:type="fixed"/>
        <w:tblInd w:w="980" w:type="dxa"/>
        <w:tblCellMar>
          <w:top w:w="0" w:type="dxa"/>
          <w:left w:w="0" w:type="dxa"/>
          <w:bottom w:w="0" w:type="dxa"/>
          <w:right w:w="0" w:type="dxa"/>
        </w:tblCellMar>
      </w:tblPr>
      <w:tr>
        <w:trPr>
          <w:trHeight w:val="232"/>
        </w:trPr>
        <w:tc>
          <w:tcPr>
            <w:tcW w:w="712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8"/>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6"/>
              </w:rPr>
              <w:t>281</w:t>
            </w: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(115)</w:t>
            </w:r>
          </w:p>
        </w:tc>
      </w:tr>
      <w:tr>
        <w:trPr>
          <w:trHeight w:val="22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(230)</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(289)</w:t>
            </w:r>
          </w:p>
        </w:tc>
      </w:tr>
    </w:tbl>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was $270 million for the six months ended June 30, 2025 compared to cash provided by operating activities of $281 million for the six months ended June 30, 2024. The decrease in cash provided by operating activities in 2025 over 2024 was primarily due to a decrease in collections as a result of decreased revenue, partially offset by lower employee costs. During both the six months ended June 30, 2025 and June 30, 2024, we had arrangements with third-party financial institutions related to collections of certain receivables from our largest customer in Mexico. Pursuant to such arrangements, we received $93 million and $142 million during the six months ended June 30, 2025 and June 30, 2024, respectively. Factoring arrangements related to certain receivables during both the six months ended June 30, 2025 and June 30, 2024 resulted in cash proceeds at the time of factoring of $141 million and $50 million, respectively.</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was $36 million for the six months ended June 30, 2025. The primary investing use of cash was for capital expenditures of $131 million, partially offset by $97 million of proceeds received from the sale of our pressure pumping business in Argentina (see “Note 2 – Segment Information”). Cash used in investing activities also includes the use of the Blue Chip Swap mechanism in Argentina, of which the purchases of $83 million offset the proceeds of $82 million, resulting in a loss of $1 million during the six months ended June 30, 2025 (see “Note 13 – Blue Chip Swap Securities - Argentina”).</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was $115 million for the six months ended June 30, 2024. The primary investing activities were cash used for capital expenditures of $121 million and cash used for acquisitions net of cash acquired, of $36 million. Cash used in investing activities also includes the use of the Blue Chip Swap mechanism in Argentina, of which the purchases of $50 million offset the proceeds of $40 million, resulting in a loss of $10 million during the six months ended June 30, 2024. The uses of cash were primarily offset by proceeds from sale of investments of $41 million from our marketable securities in Argentina.</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was $230 million for the six months ended June 30, 2025. The primary financing uses of cash were for share repurchases of $87 million (see “Note 9 – Shareholders’ Equity”), repayments and repurchases of long-term debt of $73 million (including $61 million in repurchases of our 2030 Senior Notes, see “Note 7 – Borrowings and Other Debt Obligations”), cash dividends of $36 million and tax remittances on equity awards vested of $20 million.</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used in financing activities was $289 million for the six months ended June 30, 2024. The primary financing uses of cash were for repayments and repurchases of long-term debt of $259 million.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4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cash requirements will continue to include payments for principal and interest on our long-term debt, capital expenditures, payments on our finance and operating leases, payments for short-term working capital needs, operating costs and restructuring payments.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2024 (“2024 Form 10-K”) and “Note 12 – Credit Default Swap.” Our cash requirements also include payments for our shareholder returns programs described in “Note 9 – Shareholders’ Equity.”</w:t>
      </w:r>
    </w:p>
    <w:p>
      <w:pPr>
        <w:spacing w:after="0" w:line="2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2025, the aggregate principal amount of our primary debt outstanding was $1.54 billion of our 2030 Senior Notes. We expect to pay $134 million in interest payments in 2025 specific to this note, of which we have paid $68 million during the six months ended June 30, 2025. See “Note 7 – Borrowings and Other Debt Obligations” for additional information.</w:t>
      </w:r>
    </w:p>
    <w:p>
      <w:pPr>
        <w:spacing w:after="0" w:line="20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capital spend is expected to be 3-5% of revenue over a 12 to 18 month rolling period and our 2025 capital spend is projected to be within the same framework. Our payments on our operating and finance leases in 2025 are expected to be approximately $62 million and $35 million, respectively.</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June 30, 2025 and December 31, 2024, we had approximately $66 million and $127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losses.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December 31, 2024 have been maintained as follows:</w:t>
      </w:r>
    </w:p>
    <w:p>
      <w:pPr>
        <w:spacing w:after="0" w:line="24" w:lineRule="exact"/>
        <w:rPr>
          <w:sz w:val="20"/>
          <w:szCs w:val="20"/>
          <w:color w:val="auto"/>
        </w:rPr>
      </w:pPr>
    </w:p>
    <w:p>
      <w:pPr>
        <w:ind w:left="640" w:right="740" w:hanging="316"/>
        <w:spacing w:after="0" w:line="24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 (“S&amp;P) and Fitch Ratings (“Fitch”) maintain issuer credit ratings of ‘BB-;’ S&amp;P maintained a positive outlook and Fitch maintained a stable outlook</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Moody's Investors Service (Moody's) maintained a Corporate Family Rating of Ba3 and a positive outlook</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net accounts receivables in Mexico were 33% and 31% of our total net accounts receivables, as of June 30, 2025 and December 31, 2024, respectively, of which our largest customer in the country accounted for 30% and 26% of our total net outstanding accounts receivables, respectively. Mexico continues to account for a large percentage of our receivables despite dropping below 10% of total revenues for the three months ended June 30, 2025.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w:t>
      </w:r>
    </w:p>
    <w:p>
      <w:pPr>
        <w:spacing w:after="0" w:line="19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2025 we paid an immaterial amount of fees to third-party financial institutions related to collections of certain receivables from our largest customer in Mexico. Pursuant to such arrangements, we received $93 million during the six months ended June 30, 2025.</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for the above, no other country accounted for more than 10% of our net accounts receivables balance.</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From time to time, we participate in factoring arrangements to sell accounts receivable to third-party financial institutions for cash proceeds net of discounts and hold-back. During the three and six months ended June 30, 2025, we sold accounts receivable balances of $88 million and $143 million, and received cash proceeds of $86 million and $141 million, respectively, at the time of factoring. During the three and six months ended June 30, 2024, we sold accounts receivable balances of $43 million and $51 million, and received cash proceeds of $42 million and $50 million, respectively, at the time of factoring.</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above factoring proceeds were included in Net Cash Provided by Operating Activities in the Condensed Consolidated Statements of Cash Flows.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2030 Senior Notes were issued by Weatherford International Ltd. (“Weatherford Bermuda”) and guaranteed by the Company and other subsidiary guarantors party thereto. On December 1, 2022, the indenture related to our 2030 Senior Notes was amended and supplemented to add Weatherford International, LLC (“Weatherford Delaware”) as co-issuer and co-obligor, and concurrently released the guarantee of Weatherford Delaware.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8" w:lineRule="exact"/>
        <w:rPr>
          <w:sz w:val="20"/>
          <w:szCs w:val="20"/>
          <w:color w:val="auto"/>
        </w:rPr>
      </w:pPr>
    </w:p>
    <w:p>
      <w:pPr>
        <w:jc w:val="both"/>
        <w:ind w:firstLine="318"/>
        <w:spacing w:after="0" w:line="246"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June 30, 2025 and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2025, we had zero borrowings outstanding under the Credit Agreement and $412 million of letters of credit outstanding. The letters of credit consisted of $253 million for performance letters of credit, $6 million for financial letters of credit under the Credit Agreement and $153 million letters of credit under various uncommitted bi-lateral facilities ($48 million of which was cash collateral held and recorded in “Restricted Cash” on the Condensed Consolidated Balance Sheets).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2024, we had zero borrowings outstanding under the Credit Agreement and $382 million of letters of credit. The letters of credit consisted of $279 million for performance letters of credit and $12 million for financial letters of credit under the Credit Agreement and $91 million of letters of credit under various uncommitted bi-lateral facilities ($49 million of which was cash collateral held and recorded in “Restricted Cash”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certain regions, primarily Latin America. As of June 30, 2025 and December 31, 2024, we had surety bonds outstanding of $499 million and $520 million, respectively. Any of our outstanding letters of credit or surety bonds could be called by the beneficiaries should we breach certain contractual or performance obligations and could reduce our available liquidity if we are unable to mitigate the issue.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the heading “Item 1A. Risk Factors” in our 2024 Form 10-K, Part I, and “Part II – Other Information – Item 1A. Risk Factors” of this Form 10-Q, sets forth certain risks and uncertainties relating to our forward-looking statements that may cause actual results to be materially different from our present expectations or projections:</w:t>
      </w:r>
    </w:p>
    <w:p>
      <w:pPr>
        <w:spacing w:after="0" w:line="217" w:lineRule="exact"/>
        <w:rPr>
          <w:sz w:val="20"/>
          <w:szCs w:val="20"/>
          <w:color w:val="auto"/>
        </w:rPr>
      </w:pPr>
    </w:p>
    <w:p>
      <w:pPr>
        <w:jc w:val="both"/>
        <w:ind w:left="640" w:hanging="316"/>
        <w:spacing w:after="0" w:line="253"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and conflicts in the Middle East);</w:t>
      </w: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lead times, and the lack of availability of our procured products and services, including due to macroeconomic and geopolitical conditions such as tariffs and changes in trade policies;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capital allocation framework;</w:t>
      </w: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on terms that are commercially acceptable to the Company;</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 and</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December 31, 2024. For additional information, see “Note 7 – Borrowings and Other Debt Obligations”, “Note 12 – Credit Default Swap” and “Note 13 – Blue Chip Swap Securities - Argentina” in the Notes to Condensed Consolidated Financial Statements, as well as “Other Expense, Net” and “Liquidity and Capital Resources” under Item 2. Management’s Discussion and Analysis of Financial Condition and Results of Operations.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4"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Disclosure controls and procedures (as defined in Rules 13a-15(e) and 15d-15(e) under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CEO and CFO, evaluated the effectiveness of the design and operation of our disclosure controls and procedures at June 30, 2025. Based on that evaluation, our CEO and CFO concluded that our disclosure controls and procedures were effective as of June 30, 2025.</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management identified no change in our internal control over financial reporting that occurred during the three months ended June 30,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8 – Disputes, Litigation and Legal Contingencies” in our Notes to Condensed Consolidated Financial Statements for details regarding our ongoing disputes and litigation.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of the risk factors described in our 2024 Form 10-K, Part I, under the heading “Item 1A. Risk Factors” and other information included and incorporated by reference in this report. As of June 30, 2025, there have been no material changes in our assessment of our risk factors from the aforementioned.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Following is a summary of our repurchases of our ordinary shares during the three months ended June 30, 2025.</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Maximum Dollar Value of</w:t>
            </w:r>
          </w:p>
        </w:tc>
        <w:tc>
          <w:tcPr>
            <w:tcW w:w="0" w:type="dxa"/>
            <w:vAlign w:val="bottom"/>
          </w:tcPr>
          <w:p>
            <w:pPr>
              <w:spacing w:after="0"/>
              <w:rPr>
                <w:sz w:val="1"/>
                <w:szCs w:val="1"/>
                <w:color w:val="auto"/>
              </w:rPr>
            </w:pPr>
          </w:p>
        </w:tc>
      </w:tr>
      <w:tr>
        <w:trPr>
          <w:trHeight w:val="172"/>
        </w:trPr>
        <w:tc>
          <w:tcPr>
            <w:tcW w:w="1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1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86"/>
        </w:trPr>
        <w:tc>
          <w:tcPr>
            <w:tcW w:w="18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Period</w:t>
            </w:r>
          </w:p>
        </w:tc>
        <w:tc>
          <w:tcPr>
            <w:tcW w:w="2540" w:type="dxa"/>
            <w:vAlign w:val="bottom"/>
          </w:tcPr>
          <w:p>
            <w:pPr>
              <w:jc w:val="right"/>
              <w:ind w:right="232"/>
              <w:spacing w:after="0" w:line="186" w:lineRule="exact"/>
              <w:rPr>
                <w:sz w:val="20"/>
                <w:szCs w:val="20"/>
                <w:color w:val="auto"/>
              </w:rPr>
            </w:pPr>
            <w:r>
              <w:rPr>
                <w:rFonts w:ascii="Times New Roman" w:cs="Times New Roman" w:eastAsia="Times New Roman" w:hAnsi="Times New Roman"/>
                <w:sz w:val="18"/>
                <w:szCs w:val="18"/>
                <w:color w:val="auto"/>
              </w:rPr>
              <w:t>Total Number of Shares</w:t>
            </w:r>
          </w:p>
        </w:tc>
        <w:tc>
          <w:tcPr>
            <w:tcW w:w="1980" w:type="dxa"/>
            <w:vAlign w:val="bottom"/>
          </w:tcPr>
          <w:p>
            <w:pPr>
              <w:jc w:val="right"/>
              <w:ind w:right="152"/>
              <w:spacing w:after="0" w:line="186" w:lineRule="exact"/>
              <w:rPr>
                <w:sz w:val="20"/>
                <w:szCs w:val="20"/>
                <w:color w:val="auto"/>
              </w:rPr>
            </w:pPr>
            <w:r>
              <w:rPr>
                <w:rFonts w:ascii="Times New Roman" w:cs="Times New Roman" w:eastAsia="Times New Roman" w:hAnsi="Times New Roman"/>
                <w:sz w:val="18"/>
                <w:szCs w:val="18"/>
                <w:color w:val="auto"/>
              </w:rPr>
              <w:t>Average Price Paid per</w:t>
            </w:r>
          </w:p>
        </w:tc>
        <w:tc>
          <w:tcPr>
            <w:tcW w:w="22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Purchased as Part of a Publicly</w:t>
            </w:r>
          </w:p>
        </w:tc>
        <w:tc>
          <w:tcPr>
            <w:tcW w:w="21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Purchased Under the Program</w:t>
            </w:r>
          </w:p>
        </w:tc>
        <w:tc>
          <w:tcPr>
            <w:tcW w:w="0" w:type="dxa"/>
            <w:vAlign w:val="bottom"/>
          </w:tcPr>
          <w:p>
            <w:pPr>
              <w:spacing w:after="0"/>
              <w:rPr>
                <w:sz w:val="1"/>
                <w:szCs w:val="1"/>
                <w:color w:val="auto"/>
              </w:rPr>
            </w:pPr>
          </w:p>
        </w:tc>
      </w:tr>
      <w:tr>
        <w:trPr>
          <w:trHeight w:val="199"/>
        </w:trPr>
        <w:tc>
          <w:tcPr>
            <w:tcW w:w="186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tcPr>
          <w:p>
            <w:pPr>
              <w:jc w:val="right"/>
              <w:ind w:right="712"/>
              <w:spacing w:after="0" w:line="199" w:lineRule="exact"/>
              <w:rPr>
                <w:sz w:val="20"/>
                <w:szCs w:val="20"/>
                <w:color w:val="auto"/>
              </w:rPr>
            </w:pPr>
            <w:r>
              <w:rPr>
                <w:rFonts w:ascii="Times New Roman" w:cs="Times New Roman" w:eastAsia="Times New Roman" w:hAnsi="Times New Roman"/>
                <w:sz w:val="18"/>
                <w:szCs w:val="18"/>
                <w:color w:val="auto"/>
              </w:rPr>
              <w:t>Purchased</w:t>
            </w:r>
          </w:p>
        </w:tc>
        <w:tc>
          <w:tcPr>
            <w:tcW w:w="1980" w:type="dxa"/>
            <w:vAlign w:val="bottom"/>
            <w:tcBorders>
              <w:bottom w:val="single" w:sz="8" w:color="auto"/>
            </w:tcBorders>
          </w:tcPr>
          <w:p>
            <w:pPr>
              <w:jc w:val="right"/>
              <w:ind w:right="752"/>
              <w:spacing w:after="0" w:line="199" w:lineRule="exact"/>
              <w:rPr>
                <w:sz w:val="20"/>
                <w:szCs w:val="20"/>
                <w:color w:val="auto"/>
              </w:rPr>
            </w:pPr>
            <w:r>
              <w:rPr>
                <w:rFonts w:ascii="Times New Roman" w:cs="Times New Roman" w:eastAsia="Times New Roman" w:hAnsi="Times New Roman"/>
                <w:sz w:val="18"/>
                <w:szCs w:val="18"/>
                <w:color w:val="auto"/>
              </w:rPr>
              <w:t>Share</w:t>
            </w:r>
          </w:p>
        </w:tc>
        <w:tc>
          <w:tcPr>
            <w:tcW w:w="228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8"/>
                <w:szCs w:val="18"/>
                <w:color w:val="auto"/>
                <w:w w:val="97"/>
              </w:rPr>
              <w:t xml:space="preserve">Announced Program </w:t>
            </w:r>
            <w:r>
              <w:rPr>
                <w:rFonts w:ascii="Times New Roman" w:cs="Times New Roman" w:eastAsia="Times New Roman" w:hAnsi="Times New Roman"/>
                <w:sz w:val="14"/>
                <w:szCs w:val="14"/>
                <w:color w:val="auto"/>
                <w:w w:val="97"/>
              </w:rPr>
              <w:t>(1)</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218"/>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w:t>
            </w:r>
          </w:p>
        </w:tc>
        <w:tc>
          <w:tcPr>
            <w:tcW w:w="25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105,162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105,162</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$342,873,352</w:t>
            </w:r>
          </w:p>
        </w:tc>
        <w:tc>
          <w:tcPr>
            <w:tcW w:w="0" w:type="dxa"/>
            <w:vAlign w:val="bottom"/>
          </w:tcPr>
          <w:p>
            <w:pPr>
              <w:spacing w:after="0"/>
              <w:rPr>
                <w:sz w:val="1"/>
                <w:szCs w:val="1"/>
                <w:color w:val="auto"/>
              </w:rPr>
            </w:pPr>
          </w:p>
        </w:tc>
      </w:tr>
      <w:tr>
        <w:trPr>
          <w:trHeight w:val="225"/>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1 - 31</w:t>
            </w:r>
          </w:p>
        </w:tc>
        <w:tc>
          <w:tcPr>
            <w:tcW w:w="2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555,031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555,031</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$317,455,454</w:t>
            </w:r>
          </w:p>
        </w:tc>
        <w:tc>
          <w:tcPr>
            <w:tcW w:w="0" w:type="dxa"/>
            <w:vAlign w:val="bottom"/>
          </w:tcPr>
          <w:p>
            <w:pPr>
              <w:spacing w:after="0"/>
              <w:rPr>
                <w:sz w:val="1"/>
                <w:szCs w:val="1"/>
                <w:color w:val="auto"/>
              </w:rPr>
            </w:pPr>
          </w:p>
        </w:tc>
      </w:tr>
      <w:tr>
        <w:trPr>
          <w:trHeight w:val="225"/>
        </w:trPr>
        <w:tc>
          <w:tcPr>
            <w:tcW w:w="1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w:t>
            </w:r>
          </w:p>
        </w:tc>
        <w:tc>
          <w:tcPr>
            <w:tcW w:w="25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81,593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81,593</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$313,800,776</w:t>
            </w:r>
          </w:p>
        </w:tc>
        <w:tc>
          <w:tcPr>
            <w:tcW w:w="0" w:type="dxa"/>
            <w:vAlign w:val="bottom"/>
          </w:tcPr>
          <w:p>
            <w:pPr>
              <w:spacing w:after="0"/>
              <w:rPr>
                <w:sz w:val="1"/>
                <w:szCs w:val="1"/>
                <w:color w:val="auto"/>
              </w:rPr>
            </w:pPr>
          </w:p>
        </w:tc>
      </w:tr>
      <w:tr>
        <w:trPr>
          <w:trHeight w:val="219"/>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741,786</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741,786</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ind w:left="340" w:right="140" w:firstLine="2"/>
        <w:spacing w:after="0" w:line="207" w:lineRule="auto"/>
        <w:tabs>
          <w:tab w:leader="none" w:pos="529"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23, 2024, we announced a program under which we may repurchase our ordinary shares from time to time, up to $500 million through June 2027. Approximately $314 million remained authorized for repurchases as of June 30, 2025. From the inception of this program in July of 2024 through June 30, 2025, we have repurchased approximately 2.7 million ordinary shares for $186 million.</w:t>
      </w: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2025, no director or executive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exhibits designated with a dagger (†) are filed herewith or double dagger (††) are furnished herewith.</w:t>
      </w:r>
    </w:p>
    <w:p>
      <w:pPr>
        <w:spacing w:after="0" w:line="43" w:lineRule="exact"/>
        <w:rPr>
          <w:sz w:val="20"/>
          <w:szCs w:val="20"/>
          <w:color w:val="auto"/>
        </w:rPr>
      </w:pPr>
    </w:p>
    <w:p>
      <w:pPr>
        <w:ind w:left="40"/>
        <w:spacing w:after="0"/>
        <w:tabs>
          <w:tab w:leader="none" w:pos="1440" w:val="left"/>
          <w:tab w:leader="none" w:pos="7100" w:val="left"/>
          <w:tab w:leader="none" w:pos="9840" w:val="left"/>
        </w:tabs>
        <w:rPr>
          <w:sz w:val="20"/>
          <w:szCs w:val="20"/>
          <w:color w:val="auto"/>
        </w:rPr>
      </w:pPr>
      <w:r>
        <w:rPr>
          <w:rFonts w:ascii="Times New Roman" w:cs="Times New Roman" w:eastAsia="Times New Roman" w:hAnsi="Times New Roman"/>
          <w:sz w:val="18"/>
          <w:szCs w:val="18"/>
          <w:b w:val="1"/>
          <w:bCs w:val="1"/>
          <w:color w:val="auto"/>
        </w:rPr>
        <w:t>Exhibit Number</w:t>
        <w:tab/>
        <w:t>Description</w:t>
      </w:r>
      <w:r>
        <w:rPr>
          <w:sz w:val="20"/>
          <w:szCs w:val="20"/>
          <w:color w:val="auto"/>
        </w:rPr>
        <w:tab/>
      </w:r>
      <w:r>
        <w:rPr>
          <w:rFonts w:ascii="Times New Roman" w:cs="Times New Roman" w:eastAsia="Times New Roman" w:hAnsi="Times New Roman"/>
          <w:sz w:val="18"/>
          <w:szCs w:val="18"/>
          <w:b w:val="1"/>
          <w:bCs w:val="1"/>
          <w:color w:val="auto"/>
        </w:rPr>
        <w:t>Original Filed Exhibit</w:t>
      </w:r>
      <w:r>
        <w:rPr>
          <w:sz w:val="20"/>
          <w:szCs w:val="20"/>
          <w:color w:val="auto"/>
        </w:rPr>
        <w:tab/>
      </w:r>
      <w:r>
        <w:rPr>
          <w:rFonts w:ascii="Times New Roman" w:cs="Times New Roman" w:eastAsia="Times New Roman" w:hAnsi="Times New Roman"/>
          <w:sz w:val="17"/>
          <w:szCs w:val="17"/>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260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93"/>
              </w:rPr>
              <w:t>*10.1</w:t>
            </w:r>
          </w:p>
        </w:tc>
        <w:tc>
          <w:tcPr>
            <w:tcW w:w="4700" w:type="dxa"/>
            <w:vAlign w:val="bottom"/>
            <w:gridSpan w:val="3"/>
          </w:tcPr>
          <w:p>
            <w:pPr>
              <w:spacing w:after="0"/>
              <w:rPr>
                <w:rFonts w:ascii="Times New Roman" w:cs="Times New Roman" w:eastAsia="Times New Roman" w:hAnsi="Times New Roman"/>
                <w:sz w:val="18"/>
                <w:szCs w:val="18"/>
                <w:color w:val="0000FF"/>
                <w:w w:val="97"/>
              </w:rPr>
            </w:pPr>
            <w:hyperlink r:id="rId54">
              <w:r>
                <w:rPr>
                  <w:rFonts w:ascii="Times New Roman" w:cs="Times New Roman" w:eastAsia="Times New Roman" w:hAnsi="Times New Roman"/>
                  <w:sz w:val="18"/>
                  <w:szCs w:val="18"/>
                  <w:color w:val="0000FF"/>
                  <w:w w:val="97"/>
                </w:rPr>
                <w:t>Weatherford International plc Fourth Amended and Restated 2019</w:t>
              </w:r>
            </w:hyperlink>
          </w:p>
        </w:tc>
      </w:tr>
      <w:tr>
        <w:trPr>
          <w:trHeight w:val="152"/>
        </w:trPr>
        <w:tc>
          <w:tcPr>
            <w:tcW w:w="1440" w:type="dxa"/>
            <w:vAlign w:val="bottom"/>
          </w:tcPr>
          <w:p>
            <w:pPr>
              <w:spacing w:after="0"/>
              <w:rPr>
                <w:sz w:val="13"/>
                <w:szCs w:val="13"/>
                <w:color w:val="auto"/>
              </w:rPr>
            </w:pPr>
          </w:p>
        </w:tc>
        <w:tc>
          <w:tcPr>
            <w:tcW w:w="4680" w:type="dxa"/>
            <w:vAlign w:val="bottom"/>
            <w:tcBorders>
              <w:top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Equity Incentive Plan</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Exhibit 10.1 to Current Report on Form</w:t>
            </w: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File No. 1-36504</w:t>
            </w:r>
          </w:p>
        </w:tc>
      </w:tr>
      <w:tr>
        <w:trPr>
          <w:trHeight w:val="174"/>
        </w:trPr>
        <w:tc>
          <w:tcPr>
            <w:tcW w:w="290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8-K filed June 13, 2025.</w:t>
            </w:r>
          </w:p>
        </w:tc>
        <w:tc>
          <w:tcPr>
            <w:tcW w:w="130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2">
            <w:col w:w="6140" w:space="340"/>
            <w:col w:w="4760"/>
          </w:cols>
          <w:pgMar w:left="320" w:top="466"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14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†10.2</w:t>
            </w:r>
          </w:p>
        </w:tc>
        <w:tc>
          <w:tcPr>
            <w:tcW w:w="7200" w:type="dxa"/>
            <w:vAlign w:val="bottom"/>
            <w:gridSpan w:val="11"/>
          </w:tcPr>
          <w:p>
            <w:pPr>
              <w:spacing w:after="0" w:line="170" w:lineRule="exact"/>
              <w:rPr>
                <w:sz w:val="20"/>
                <w:szCs w:val="20"/>
                <w:color w:val="auto"/>
              </w:rPr>
            </w:pPr>
            <w:r>
              <w:rPr>
                <w:rFonts w:ascii="Times New Roman" w:cs="Times New Roman" w:eastAsia="Times New Roman" w:hAnsi="Times New Roman"/>
                <w:sz w:val="18"/>
                <w:szCs w:val="18"/>
                <w:color w:val="0000FF"/>
              </w:rPr>
              <w:t>Ninth Amendment to Amended and Restated Credit Agreement, dated</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4980" w:type="dxa"/>
            <w:vAlign w:val="bottom"/>
            <w:tcBorders>
              <w:top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7"/>
                <w:szCs w:val="17"/>
                <w:color w:val="0000FF"/>
              </w:rPr>
              <w:t>as of May 2, 2025, by and among Weatherford International Ltd.,</w:t>
            </w:r>
          </w:p>
        </w:tc>
        <w:tc>
          <w:tcPr>
            <w:tcW w:w="2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460" w:type="dxa"/>
            <w:vAlign w:val="bottom"/>
          </w:tcPr>
          <w:p>
            <w:pPr>
              <w:spacing w:after="0"/>
              <w:rPr>
                <w:sz w:val="14"/>
                <w:szCs w:val="14"/>
                <w:color w:val="auto"/>
              </w:rPr>
            </w:pPr>
          </w:p>
        </w:tc>
        <w:tc>
          <w:tcPr>
            <w:tcW w:w="4620" w:type="dxa"/>
            <w:vAlign w:val="bottom"/>
            <w:tcBorders>
              <w:top w:val="single" w:sz="8" w:color="0000FF"/>
              <w:bottom w:val="single" w:sz="8" w:color="0000FF"/>
            </w:tcBorders>
            <w:gridSpan w:val="5"/>
          </w:tcPr>
          <w:p>
            <w:pPr>
              <w:spacing w:after="0" w:line="165" w:lineRule="exact"/>
              <w:rPr>
                <w:sz w:val="20"/>
                <w:szCs w:val="20"/>
                <w:color w:val="auto"/>
              </w:rPr>
            </w:pPr>
            <w:r>
              <w:rPr>
                <w:rFonts w:ascii="Times New Roman" w:cs="Times New Roman" w:eastAsia="Times New Roman" w:hAnsi="Times New Roman"/>
                <w:sz w:val="18"/>
                <w:szCs w:val="18"/>
                <w:color w:val="0000FF"/>
                <w:w w:val="95"/>
              </w:rPr>
              <w:t>Weatherford International, LLC, Weatherford Canada Ltd., WOFS</w:t>
            </w:r>
          </w:p>
        </w:tc>
        <w:tc>
          <w:tcPr>
            <w:tcW w:w="8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gridSpan w:val="2"/>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4700" w:type="dxa"/>
            <w:vAlign w:val="bottom"/>
            <w:gridSpan w:val="6"/>
          </w:tcPr>
          <w:p>
            <w:pPr>
              <w:spacing w:after="0" w:line="152" w:lineRule="exact"/>
              <w:rPr>
                <w:sz w:val="20"/>
                <w:szCs w:val="20"/>
                <w:color w:val="auto"/>
              </w:rPr>
            </w:pPr>
            <w:r>
              <w:rPr>
                <w:rFonts w:ascii="Times New Roman" w:cs="Times New Roman" w:eastAsia="Times New Roman" w:hAnsi="Times New Roman"/>
                <w:sz w:val="17"/>
                <w:szCs w:val="17"/>
                <w:color w:val="0000FF"/>
              </w:rPr>
              <w:t>International Finance GmbH, Weatherford International plc, the</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gridSpan w:val="2"/>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4520" w:type="dxa"/>
            <w:vAlign w:val="bottom"/>
            <w:tcBorders>
              <w:top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7"/>
                <w:szCs w:val="17"/>
                <w:color w:val="0000FF"/>
                <w:w w:val="99"/>
              </w:rPr>
              <w:t>lenders party thereto and Wells Fargo Bank, National Association,</w:t>
            </w:r>
          </w:p>
        </w:tc>
        <w:tc>
          <w:tcPr>
            <w:tcW w:w="2680" w:type="dxa"/>
            <w:vAlign w:val="bottom"/>
            <w:gridSpan w:val="7"/>
          </w:tcPr>
          <w:p>
            <w:pPr>
              <w:ind w:left="220"/>
              <w:spacing w:after="0" w:line="152" w:lineRule="exact"/>
              <w:rPr>
                <w:sz w:val="20"/>
                <w:szCs w:val="20"/>
                <w:color w:val="auto"/>
              </w:rPr>
            </w:pPr>
            <w:r>
              <w:rPr>
                <w:rFonts w:ascii="Times New Roman" w:cs="Times New Roman" w:eastAsia="Times New Roman" w:hAnsi="Times New Roman"/>
                <w:sz w:val="17"/>
                <w:szCs w:val="17"/>
                <w:color w:val="0000FF"/>
              </w:rPr>
              <w:t>as</w:t>
            </w: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460" w:type="dxa"/>
            <w:vAlign w:val="bottom"/>
          </w:tcPr>
          <w:p>
            <w:pPr>
              <w:spacing w:after="0"/>
              <w:rPr>
                <w:sz w:val="14"/>
                <w:szCs w:val="14"/>
                <w:color w:val="auto"/>
              </w:rPr>
            </w:pPr>
          </w:p>
        </w:tc>
        <w:tc>
          <w:tcPr>
            <w:tcW w:w="4880" w:type="dxa"/>
            <w:vAlign w:val="bottom"/>
            <w:tcBorders>
              <w:top w:val="single" w:sz="8" w:color="0000FF"/>
            </w:tcBorders>
            <w:gridSpan w:val="8"/>
          </w:tcPr>
          <w:p>
            <w:pPr>
              <w:spacing w:after="0" w:line="165" w:lineRule="exact"/>
              <w:rPr>
                <w:sz w:val="20"/>
                <w:szCs w:val="20"/>
                <w:color w:val="auto"/>
              </w:rPr>
            </w:pPr>
            <w:r>
              <w:rPr>
                <w:rFonts w:ascii="Times New Roman" w:cs="Times New Roman" w:eastAsia="Times New Roman" w:hAnsi="Times New Roman"/>
                <w:sz w:val="18"/>
                <w:szCs w:val="18"/>
                <w:color w:val="0000FF"/>
              </w:rPr>
              <w:t>administrative agent</w:t>
            </w:r>
            <w:r>
              <w:rPr>
                <w:rFonts w:ascii="Times New Roman" w:cs="Times New Roman" w:eastAsia="Times New Roman" w:hAnsi="Times New Roman"/>
                <w:sz w:val="18"/>
                <w:szCs w:val="18"/>
                <w:color w:val="000000"/>
              </w:rPr>
              <w:t>.</w:t>
            </w:r>
          </w:p>
        </w:tc>
        <w:tc>
          <w:tcPr>
            <w:tcW w:w="60" w:type="dxa"/>
            <w:vAlign w:val="bottom"/>
          </w:tcPr>
          <w:p>
            <w:pPr>
              <w:spacing w:after="0"/>
              <w:rPr>
                <w:sz w:val="14"/>
                <w:szCs w:val="14"/>
                <w:color w:val="auto"/>
              </w:rPr>
            </w:pPr>
          </w:p>
        </w:tc>
        <w:tc>
          <w:tcPr>
            <w:tcW w:w="2260" w:type="dxa"/>
            <w:vAlign w:val="bottom"/>
            <w:gridSpan w:val="2"/>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460" w:type="dxa"/>
            <w:vAlign w:val="bottom"/>
          </w:tcPr>
          <w:p>
            <w:pPr>
              <w:spacing w:after="0"/>
              <w:rPr>
                <w:sz w:val="2"/>
                <w:szCs w:val="2"/>
                <w:color w:val="auto"/>
              </w:rPr>
            </w:pPr>
          </w:p>
        </w:tc>
        <w:tc>
          <w:tcPr>
            <w:tcW w:w="144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46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†31.1</w:t>
            </w:r>
          </w:p>
        </w:tc>
        <w:tc>
          <w:tcPr>
            <w:tcW w:w="4740" w:type="dxa"/>
            <w:vAlign w:val="bottom"/>
            <w:tcBorders>
              <w:bottom w:val="single" w:sz="8" w:color="0000FF"/>
            </w:tcBorders>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w:t>
            </w:r>
          </w:p>
        </w:tc>
        <w:tc>
          <w:tcPr>
            <w:tcW w:w="2460" w:type="dxa"/>
            <w:vAlign w:val="bottom"/>
            <w:tcBorders>
              <w:bottom w:val="single" w:sz="8" w:color="CCEEFF"/>
            </w:tcBorders>
            <w:gridSpan w:val="4"/>
            <w:shd w:val="clear" w:color="auto" w:fill="CCEEFF"/>
          </w:tcPr>
          <w:p>
            <w:pPr>
              <w:spacing w:after="0"/>
              <w:rPr>
                <w:sz w:val="16"/>
                <w:szCs w:val="16"/>
                <w:color w:val="auto"/>
              </w:rPr>
            </w:pPr>
          </w:p>
        </w:tc>
        <w:tc>
          <w:tcPr>
            <w:tcW w:w="2580" w:type="dxa"/>
            <w:vAlign w:val="bottom"/>
            <w:tcBorders>
              <w:bottom w:val="single" w:sz="8" w:color="CCEEFF"/>
            </w:tcBorders>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1460" w:type="dxa"/>
            <w:vAlign w:val="bottom"/>
            <w:shd w:val="clear" w:color="auto" w:fill="CCEEFF"/>
          </w:tcPr>
          <w:p>
            <w:pPr>
              <w:spacing w:after="0"/>
              <w:rPr>
                <w:sz w:val="8"/>
                <w:szCs w:val="8"/>
                <w:color w:val="auto"/>
              </w:rPr>
            </w:pPr>
          </w:p>
        </w:tc>
        <w:tc>
          <w:tcPr>
            <w:tcW w:w="7200" w:type="dxa"/>
            <w:vAlign w:val="bottom"/>
            <w:gridSpan w:val="11"/>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60" w:type="dxa"/>
            <w:vAlign w:val="bottom"/>
            <w:shd w:val="clear" w:color="auto" w:fill="CCEEFF"/>
          </w:tcPr>
          <w:p>
            <w:pPr>
              <w:spacing w:after="0"/>
              <w:rPr>
                <w:sz w:val="4"/>
                <w:szCs w:val="4"/>
                <w:color w:val="auto"/>
              </w:rPr>
            </w:pPr>
          </w:p>
        </w:tc>
        <w:tc>
          <w:tcPr>
            <w:tcW w:w="7200" w:type="dxa"/>
            <w:vAlign w:val="bottom"/>
            <w:gridSpan w:val="11"/>
            <w:vMerge w:val="continue"/>
            <w:shd w:val="clear" w:color="auto" w:fill="CCEEFF"/>
          </w:tcPr>
          <w:p>
            <w:pPr>
              <w:spacing w:after="0"/>
              <w:rPr>
                <w:sz w:val="4"/>
                <w:szCs w:val="4"/>
                <w:color w:val="auto"/>
              </w:rPr>
            </w:pPr>
          </w:p>
        </w:tc>
        <w:tc>
          <w:tcPr>
            <w:tcW w:w="2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4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†31.2</w:t>
            </w:r>
          </w:p>
        </w:tc>
        <w:tc>
          <w:tcPr>
            <w:tcW w:w="7200" w:type="dxa"/>
            <w:vAlign w:val="bottom"/>
            <w:gridSpan w:val="11"/>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w:t>
            </w:r>
          </w:p>
        </w:tc>
        <w:tc>
          <w:tcPr>
            <w:tcW w:w="258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1460" w:type="dxa"/>
            <w:vAlign w:val="bottom"/>
          </w:tcPr>
          <w:p>
            <w:pPr>
              <w:spacing w:after="0"/>
              <w:rPr>
                <w:sz w:val="8"/>
                <w:szCs w:val="8"/>
                <w:color w:val="auto"/>
              </w:rPr>
            </w:pPr>
          </w:p>
        </w:tc>
        <w:tc>
          <w:tcPr>
            <w:tcW w:w="4940" w:type="dxa"/>
            <w:vAlign w:val="bottom"/>
            <w:tcBorders>
              <w:top w:val="single" w:sz="8" w:color="0000FF"/>
            </w:tcBorders>
            <w:gridSpan w:val="9"/>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260" w:type="dxa"/>
            <w:vAlign w:val="bottom"/>
            <w:gridSpan w:val="2"/>
            <w:vMerge w:val="restart"/>
          </w:tcPr>
          <w:p>
            <w:pPr>
              <w:spacing w:after="0"/>
              <w:rPr>
                <w:sz w:val="8"/>
                <w:szCs w:val="8"/>
                <w:color w:val="auto"/>
              </w:rPr>
            </w:pP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60" w:type="dxa"/>
            <w:vAlign w:val="bottom"/>
          </w:tcPr>
          <w:p>
            <w:pPr>
              <w:spacing w:after="0"/>
              <w:rPr>
                <w:sz w:val="4"/>
                <w:szCs w:val="4"/>
                <w:color w:val="auto"/>
              </w:rPr>
            </w:pPr>
          </w:p>
        </w:tc>
        <w:tc>
          <w:tcPr>
            <w:tcW w:w="4940" w:type="dxa"/>
            <w:vAlign w:val="bottom"/>
            <w:gridSpan w:val="9"/>
            <w:vMerge w:val="continue"/>
          </w:tcPr>
          <w:p>
            <w:pPr>
              <w:spacing w:after="0"/>
              <w:rPr>
                <w:sz w:val="4"/>
                <w:szCs w:val="4"/>
                <w:color w:val="auto"/>
              </w:rPr>
            </w:pPr>
          </w:p>
        </w:tc>
        <w:tc>
          <w:tcPr>
            <w:tcW w:w="2260" w:type="dxa"/>
            <w:vAlign w:val="bottom"/>
            <w:gridSpan w:val="2"/>
            <w:vMerge w:val="continue"/>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††32.1</w:t>
            </w:r>
          </w:p>
        </w:tc>
        <w:tc>
          <w:tcPr>
            <w:tcW w:w="4740" w:type="dxa"/>
            <w:vAlign w:val="bottom"/>
            <w:tcBorders>
              <w:bottom w:val="single" w:sz="8" w:color="0000FF"/>
            </w:tcBorders>
            <w:gridSpan w:val="7"/>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906 of</w:t>
            </w:r>
          </w:p>
        </w:tc>
        <w:tc>
          <w:tcPr>
            <w:tcW w:w="2460" w:type="dxa"/>
            <w:vAlign w:val="bottom"/>
            <w:tcBorders>
              <w:bottom w:val="single" w:sz="8" w:color="CCEEFF"/>
            </w:tcBorders>
            <w:gridSpan w:val="4"/>
            <w:shd w:val="clear" w:color="auto" w:fill="CCEEFF"/>
          </w:tcPr>
          <w:p>
            <w:pPr>
              <w:spacing w:after="0"/>
              <w:rPr>
                <w:sz w:val="16"/>
                <w:szCs w:val="16"/>
                <w:color w:val="auto"/>
              </w:rPr>
            </w:pPr>
          </w:p>
        </w:tc>
        <w:tc>
          <w:tcPr>
            <w:tcW w:w="2580" w:type="dxa"/>
            <w:vAlign w:val="bottom"/>
            <w:tcBorders>
              <w:bottom w:val="single" w:sz="8" w:color="CCEEFF"/>
            </w:tcBorders>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1460" w:type="dxa"/>
            <w:vAlign w:val="bottom"/>
            <w:shd w:val="clear" w:color="auto" w:fill="CCEEFF"/>
          </w:tcPr>
          <w:p>
            <w:pPr>
              <w:spacing w:after="0"/>
              <w:rPr>
                <w:sz w:val="8"/>
                <w:szCs w:val="8"/>
                <w:color w:val="auto"/>
              </w:rPr>
            </w:pPr>
          </w:p>
        </w:tc>
        <w:tc>
          <w:tcPr>
            <w:tcW w:w="7200" w:type="dxa"/>
            <w:vAlign w:val="bottom"/>
            <w:gridSpan w:val="11"/>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60" w:type="dxa"/>
            <w:vAlign w:val="bottom"/>
            <w:shd w:val="clear" w:color="auto" w:fill="CCEEFF"/>
          </w:tcPr>
          <w:p>
            <w:pPr>
              <w:spacing w:after="0"/>
              <w:rPr>
                <w:sz w:val="4"/>
                <w:szCs w:val="4"/>
                <w:color w:val="auto"/>
              </w:rPr>
            </w:pPr>
          </w:p>
        </w:tc>
        <w:tc>
          <w:tcPr>
            <w:tcW w:w="7200" w:type="dxa"/>
            <w:vAlign w:val="bottom"/>
            <w:gridSpan w:val="11"/>
            <w:vMerge w:val="continue"/>
            <w:shd w:val="clear" w:color="auto" w:fill="CCEEFF"/>
          </w:tcPr>
          <w:p>
            <w:pPr>
              <w:spacing w:after="0"/>
              <w:rPr>
                <w:sz w:val="4"/>
                <w:szCs w:val="4"/>
                <w:color w:val="auto"/>
              </w:rPr>
            </w:pPr>
          </w:p>
        </w:tc>
        <w:tc>
          <w:tcPr>
            <w:tcW w:w="2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4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4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††32.2</w:t>
            </w:r>
          </w:p>
        </w:tc>
        <w:tc>
          <w:tcPr>
            <w:tcW w:w="7200" w:type="dxa"/>
            <w:vAlign w:val="bottom"/>
            <w:gridSpan w:val="11"/>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258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1460" w:type="dxa"/>
            <w:vAlign w:val="bottom"/>
          </w:tcPr>
          <w:p>
            <w:pPr>
              <w:spacing w:after="0"/>
              <w:rPr>
                <w:sz w:val="8"/>
                <w:szCs w:val="8"/>
                <w:color w:val="auto"/>
              </w:rPr>
            </w:pPr>
          </w:p>
        </w:tc>
        <w:tc>
          <w:tcPr>
            <w:tcW w:w="4940" w:type="dxa"/>
            <w:vAlign w:val="bottom"/>
            <w:tcBorders>
              <w:top w:val="single" w:sz="8" w:color="0000FF"/>
            </w:tcBorders>
            <w:gridSpan w:val="9"/>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260" w:type="dxa"/>
            <w:vAlign w:val="bottom"/>
            <w:gridSpan w:val="2"/>
            <w:vMerge w:val="restart"/>
          </w:tcPr>
          <w:p>
            <w:pPr>
              <w:spacing w:after="0"/>
              <w:rPr>
                <w:sz w:val="8"/>
                <w:szCs w:val="8"/>
                <w:color w:val="auto"/>
              </w:rPr>
            </w:pP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60" w:type="dxa"/>
            <w:vAlign w:val="bottom"/>
          </w:tcPr>
          <w:p>
            <w:pPr>
              <w:spacing w:after="0"/>
              <w:rPr>
                <w:sz w:val="4"/>
                <w:szCs w:val="4"/>
                <w:color w:val="auto"/>
              </w:rPr>
            </w:pPr>
          </w:p>
        </w:tc>
        <w:tc>
          <w:tcPr>
            <w:tcW w:w="4940" w:type="dxa"/>
            <w:vAlign w:val="bottom"/>
            <w:gridSpan w:val="9"/>
            <w:vMerge w:val="continue"/>
          </w:tcPr>
          <w:p>
            <w:pPr>
              <w:spacing w:after="0"/>
              <w:rPr>
                <w:sz w:val="4"/>
                <w:szCs w:val="4"/>
                <w:color w:val="auto"/>
              </w:rPr>
            </w:pPr>
          </w:p>
        </w:tc>
        <w:tc>
          <w:tcPr>
            <w:tcW w:w="2260" w:type="dxa"/>
            <w:vAlign w:val="bottom"/>
            <w:gridSpan w:val="2"/>
            <w:vMerge w:val="continue"/>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460" w:type="dxa"/>
            <w:vAlign w:val="bottom"/>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1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8"/>
        </w:trPr>
        <w:tc>
          <w:tcPr>
            <w:tcW w:w="1460" w:type="dxa"/>
            <w:vAlign w:val="bottom"/>
            <w:shd w:val="clear" w:color="auto" w:fill="CCEEFF"/>
          </w:tcPr>
          <w:p>
            <w:pPr>
              <w:spacing w:after="0"/>
              <w:rPr>
                <w:sz w:val="20"/>
                <w:szCs w:val="20"/>
                <w:color w:val="auto"/>
              </w:rPr>
            </w:pPr>
          </w:p>
        </w:tc>
        <w:tc>
          <w:tcPr>
            <w:tcW w:w="72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2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2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2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38" w:name="page39"/>
    <w:bookmarkEnd w:id="38"/>
    <w:p>
      <w:pPr>
        <w:ind w:left="3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right="76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tbl>
      <w:tblPr>
        <w:tblLayout w:type="fixed"/>
        <w:tblInd w:w="600" w:type="dxa"/>
        <w:tblCellMar>
          <w:top w:w="0" w:type="dxa"/>
          <w:left w:w="0" w:type="dxa"/>
          <w:bottom w:w="0" w:type="dxa"/>
          <w:right w:w="0" w:type="dxa"/>
        </w:tblCellMar>
      </w:tblPr>
      <w:tr>
        <w:trPr>
          <w:trHeight w:val="231"/>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r>
      <w:tr>
        <w:trPr>
          <w:trHeight w:val="48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2025</w:t>
            </w:r>
          </w:p>
        </w:tc>
        <w:tc>
          <w:tcPr>
            <w:tcW w:w="73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Anuj Dhruv</w:t>
            </w:r>
          </w:p>
        </w:tc>
      </w:tr>
      <w:tr>
        <w:trPr>
          <w:trHeight w:val="213"/>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Anuj Dhruv</w:t>
            </w:r>
          </w:p>
        </w:tc>
      </w:tr>
      <w:tr>
        <w:trPr>
          <w:trHeight w:val="231"/>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5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2025</w:t>
            </w:r>
          </w:p>
        </w:tc>
        <w:tc>
          <w:tcPr>
            <w:tcW w:w="73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Desmond J. Mills</w:t>
            </w:r>
          </w:p>
        </w:tc>
      </w:tr>
      <w:tr>
        <w:trPr>
          <w:trHeight w:val="213"/>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r>
      <w:tr>
        <w:trPr>
          <w:trHeight w:val="231"/>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60"/>
          </w:cols>
          <w:pgMar w:left="320" w:top="466" w:right="419" w:bottom="1440" w:gutter="0" w:footer="0" w:header="0"/>
        </w:sectPr>
      </w:pPr>
    </w:p>
    <w:bookmarkStart w:id="39" w:name="page40"/>
    <w:bookmarkEnd w:id="39"/>
    <w:p>
      <w:pPr>
        <w:ind w:left="7320"/>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NINTH AMENDMENT TO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AMENDED AND RESTATED CREDIT AGREEMENT</w:t>
      </w:r>
    </w:p>
    <w:p>
      <w:pPr>
        <w:spacing w:after="0" w:line="225" w:lineRule="exact"/>
        <w:rPr>
          <w:sz w:val="20"/>
          <w:szCs w:val="20"/>
          <w:color w:val="auto"/>
        </w:rPr>
      </w:pPr>
    </w:p>
    <w:p>
      <w:pPr>
        <w:jc w:val="both"/>
        <w:ind w:left="80" w:right="99" w:firstLine="716"/>
        <w:spacing w:after="0" w:line="257" w:lineRule="auto"/>
        <w:rPr>
          <w:sz w:val="20"/>
          <w:szCs w:val="20"/>
          <w:color w:val="auto"/>
        </w:rPr>
      </w:pPr>
      <w:r>
        <w:rPr>
          <w:rFonts w:ascii="Times New Roman" w:cs="Times New Roman" w:eastAsia="Times New Roman" w:hAnsi="Times New Roman"/>
          <w:sz w:val="21"/>
          <w:szCs w:val="21"/>
          <w:color w:val="auto"/>
        </w:rPr>
        <w:t>This NINTH AMENDMENT TO AMENDED AND RESTATED CREDIT AGREEMENT (this “Amendment”), dated as of May 2, 2025, is entered into among WEATHERFORD INTERNATIONAL LTD., a Bermuda exempted company (“WIL-Bermuda”), WEATHERFORD CANADA LTD., an Alberta corporation (“WIL-Canada”), WEATHERFORD INTERNATIONAL, LLC, a Delaware limited liability company (“WIL-Delaware”), WOFS INTERNATIONAL FINANCE GMBH, a Swiss limited liability company (“WIL-Switzerland” and together with WIL-Bermuda, WIL-Canada and WIL-Delaware, the “Borrowers”), WEATHERFORD INTERNATIONAL PLC, as Parent (“Parent”), WELLS FARGO BANK, NATIONAL ASSOCIATION, as administrative agent for the Lenders (the “Administrative Agent”), and the Lenders party hereto.</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22" w:lineRule="exact"/>
        <w:rPr>
          <w:sz w:val="20"/>
          <w:szCs w:val="20"/>
          <w:color w:val="auto"/>
        </w:rPr>
      </w:pPr>
    </w:p>
    <w:p>
      <w:pPr>
        <w:jc w:val="both"/>
        <w:ind w:left="160" w:right="159" w:firstLine="636"/>
        <w:spacing w:after="0" w:line="259" w:lineRule="auto"/>
        <w:rPr>
          <w:sz w:val="20"/>
          <w:szCs w:val="20"/>
          <w:color w:val="auto"/>
        </w:rPr>
      </w:pPr>
      <w:r>
        <w:rPr>
          <w:rFonts w:ascii="Times New Roman" w:cs="Times New Roman" w:eastAsia="Times New Roman" w:hAnsi="Times New Roman"/>
          <w:sz w:val="21"/>
          <w:szCs w:val="21"/>
          <w:color w:val="auto"/>
        </w:rPr>
        <w:t>WHEREAS, the Borrowers, Parent, the Administrative Agent, and the Lenders and Issuing Banks party thereto from time to time are party to that certain Amended and Restated Credit Agreement, dated as of October 17, 2022 (as amended, supplemented or otherwise modified prior to the date hereof,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and as amended by this Amendment and as may be further amended, restated, amended and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left="160" w:right="179" w:firstLine="636"/>
        <w:spacing w:after="0" w:line="285" w:lineRule="auto"/>
        <w:rPr>
          <w:sz w:val="20"/>
          <w:szCs w:val="20"/>
          <w:color w:val="auto"/>
        </w:rPr>
      </w:pPr>
      <w:r>
        <w:rPr>
          <w:rFonts w:ascii="Times New Roman" w:cs="Times New Roman" w:eastAsia="Times New Roman" w:hAnsi="Times New Roman"/>
          <w:sz w:val="21"/>
          <w:szCs w:val="21"/>
          <w:color w:val="auto"/>
        </w:rPr>
        <w:t>WHEREAS, Parent and the Borrowers have requested certain amendments to the Existing Credit Agreement;</w:t>
      </w:r>
    </w:p>
    <w:p>
      <w:pPr>
        <w:spacing w:after="0" w:line="155" w:lineRule="exact"/>
        <w:rPr>
          <w:sz w:val="20"/>
          <w:szCs w:val="20"/>
          <w:color w:val="auto"/>
        </w:rPr>
      </w:pPr>
    </w:p>
    <w:p>
      <w:pPr>
        <w:jc w:val="both"/>
        <w:ind w:left="160" w:right="179" w:firstLine="636"/>
        <w:spacing w:after="0" w:line="267" w:lineRule="auto"/>
        <w:rPr>
          <w:sz w:val="20"/>
          <w:szCs w:val="20"/>
          <w:color w:val="auto"/>
        </w:rPr>
      </w:pPr>
      <w:r>
        <w:rPr>
          <w:rFonts w:ascii="Times New Roman" w:cs="Times New Roman" w:eastAsia="Times New Roman" w:hAnsi="Times New Roman"/>
          <w:sz w:val="21"/>
          <w:szCs w:val="21"/>
          <w:color w:val="auto"/>
        </w:rPr>
        <w:t>WHEREAS, subject to the terms and conditions contained herein, the Administrative Agent, the Lenders party hereto, Parent and the Borrowers have agreed to amend the Existing Credit Agreement as hereinafter set forth to address the foregoing.</w:t>
      </w:r>
    </w:p>
    <w:p>
      <w:pPr>
        <w:spacing w:after="0" w:line="161" w:lineRule="exact"/>
        <w:rPr>
          <w:sz w:val="20"/>
          <w:szCs w:val="20"/>
          <w:color w:val="auto"/>
        </w:rPr>
      </w:pPr>
    </w:p>
    <w:p>
      <w:pPr>
        <w:jc w:val="both"/>
        <w:ind w:left="160" w:right="179" w:firstLine="636"/>
        <w:spacing w:after="0" w:line="274"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53" w:lineRule="exact"/>
        <w:rPr>
          <w:sz w:val="20"/>
          <w:szCs w:val="20"/>
          <w:color w:val="auto"/>
        </w:rPr>
      </w:pPr>
    </w:p>
    <w:p>
      <w:pPr>
        <w:ind w:left="160" w:right="279" w:firstLine="634"/>
        <w:spacing w:after="0" w:line="285" w:lineRule="auto"/>
        <w:tabs>
          <w:tab w:leader="none" w:pos="143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 Section References</w:t>
      </w:r>
      <w:r>
        <w:rPr>
          <w:rFonts w:ascii="Times New Roman" w:cs="Times New Roman" w:eastAsia="Times New Roman" w:hAnsi="Times New Roman"/>
          <w:sz w:val="21"/>
          <w:szCs w:val="21"/>
          <w:color w:val="auto"/>
        </w:rPr>
        <w:t>. Capitalized terms used herein but not otherwise defined herein shall have the meanings provided to such terms in the Credit Agreement.</w:t>
      </w:r>
    </w:p>
    <w:p>
      <w:pPr>
        <w:spacing w:after="0" w:line="141" w:lineRule="exact"/>
        <w:rPr>
          <w:rFonts w:ascii="Times New Roman" w:cs="Times New Roman" w:eastAsia="Times New Roman" w:hAnsi="Times New Roman"/>
          <w:sz w:val="21"/>
          <w:szCs w:val="21"/>
          <w:color w:val="auto"/>
        </w:rPr>
      </w:pPr>
    </w:p>
    <w:p>
      <w:pPr>
        <w:ind w:left="1420" w:hanging="626"/>
        <w:spacing w:after="0"/>
        <w:tabs>
          <w:tab w:leader="none" w:pos="14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to Existing Credit Agreement</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2060" w:hanging="630"/>
        <w:spacing w:after="0"/>
        <w:tabs>
          <w:tab w:leader="none" w:pos="206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terms are hereby added to Section 1.01 of the Existing Credit</w:t>
      </w:r>
    </w:p>
    <w:p>
      <w:pPr>
        <w:spacing w:after="0" w:line="35" w:lineRule="exact"/>
        <w:rPr>
          <w:rFonts w:ascii="Times New Roman" w:cs="Times New Roman" w:eastAsia="Times New Roman" w:hAnsi="Times New Roman"/>
          <w:sz w:val="21"/>
          <w:szCs w:val="21"/>
          <w:color w:val="auto"/>
        </w:rPr>
      </w:pPr>
    </w:p>
    <w:p>
      <w:pPr>
        <w:ind w:left="8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210" w:lineRule="exact"/>
        <w:rPr>
          <w:sz w:val="20"/>
          <w:szCs w:val="20"/>
          <w:color w:val="auto"/>
        </w:rPr>
      </w:pPr>
    </w:p>
    <w:p>
      <w:pPr>
        <w:jc w:val="both"/>
        <w:ind w:left="1440" w:right="179" w:firstLine="63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Ninth Amendment</w:t>
      </w:r>
      <w:r>
        <w:rPr>
          <w:rFonts w:ascii="Times New Roman" w:cs="Times New Roman" w:eastAsia="Times New Roman" w:hAnsi="Times New Roman"/>
          <w:sz w:val="21"/>
          <w:szCs w:val="21"/>
          <w:color w:val="auto"/>
        </w:rPr>
        <w:t>” means that certain Ninth Amendment to Amended and Restated Credit Agreement, dated as of May 2, 2025, among the Borrowers, Parent, the Administrative Agent and the Lenders party thereto.</w:t>
      </w:r>
    </w:p>
    <w:p>
      <w:pPr>
        <w:spacing w:after="0" w:line="161" w:lineRule="exact"/>
        <w:rPr>
          <w:sz w:val="20"/>
          <w:szCs w:val="20"/>
          <w:color w:val="auto"/>
        </w:rPr>
      </w:pPr>
    </w:p>
    <w:p>
      <w:pPr>
        <w:ind w:left="1440" w:right="579" w:firstLine="636"/>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Ninth Amendment Effective Date</w:t>
      </w:r>
      <w:r>
        <w:rPr>
          <w:rFonts w:ascii="Times New Roman" w:cs="Times New Roman" w:eastAsia="Times New Roman" w:hAnsi="Times New Roman"/>
          <w:sz w:val="21"/>
          <w:szCs w:val="21"/>
          <w:color w:val="auto"/>
        </w:rPr>
        <w:t>” has the meaning specified in the Ninth Amendment.</w:t>
      </w:r>
    </w:p>
    <w:p>
      <w:pPr>
        <w:sectPr>
          <w:pgSz w:w="11900" w:h="16838" w:orient="portrait"/>
          <w:cols w:equalWidth="0" w:num="1">
            <w:col w:w="9019"/>
          </w:cols>
          <w:pgMar w:left="1440" w:top="759" w:right="1440" w:bottom="1440" w:gutter="0" w:footer="0" w:header="0"/>
        </w:sectPr>
      </w:pPr>
    </w:p>
    <w:bookmarkStart w:id="40" w:name="page41"/>
    <w:bookmarkEnd w:id="40"/>
    <w:p>
      <w:pPr>
        <w:spacing w:after="0" w:line="196" w:lineRule="exact"/>
        <w:rPr>
          <w:sz w:val="20"/>
          <w:szCs w:val="20"/>
          <w:color w:val="auto"/>
        </w:rPr>
      </w:pPr>
    </w:p>
    <w:p>
      <w:pPr>
        <w:ind w:left="800" w:right="179" w:firstLine="630"/>
        <w:spacing w:after="0" w:line="298" w:lineRule="auto"/>
        <w:tabs>
          <w:tab w:leader="none" w:pos="2067"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terms under Section 1.01 of the Existing Credit Agreement are hereby amended and restated in their entirety as set forth below:</w:t>
      </w:r>
    </w:p>
    <w:p>
      <w:pPr>
        <w:spacing w:after="0" w:line="129" w:lineRule="exact"/>
        <w:rPr>
          <w:sz w:val="20"/>
          <w:szCs w:val="20"/>
          <w:color w:val="auto"/>
        </w:rPr>
      </w:pPr>
    </w:p>
    <w:p>
      <w:pPr>
        <w:jc w:val="both"/>
        <w:ind w:left="1440" w:right="159" w:firstLine="636"/>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Account</w:t>
      </w:r>
      <w:r>
        <w:rPr>
          <w:rFonts w:ascii="Times New Roman" w:cs="Times New Roman" w:eastAsia="Times New Roman" w:hAnsi="Times New Roman"/>
          <w:sz w:val="21"/>
          <w:szCs w:val="21"/>
          <w:color w:val="auto"/>
        </w:rPr>
        <w:t>” means (a) any deposit account of an Obligor, including the funds on deposit therein, that is used solely for payroll funding and other employee wage and benefit payments (including flexible spending accounts), tax payments, escrow or trust purposes, or any other fiduciary purpose, (b) any zero balance account,</w:t>
      </w:r>
    </w:p>
    <w:p>
      <w:pPr>
        <w:spacing w:after="0" w:line="2" w:lineRule="exact"/>
        <w:rPr>
          <w:sz w:val="20"/>
          <w:szCs w:val="20"/>
          <w:color w:val="auto"/>
        </w:rPr>
      </w:pPr>
    </w:p>
    <w:p>
      <w:pPr>
        <w:jc w:val="both"/>
        <w:ind w:left="1440" w:right="159" w:hanging="10"/>
        <w:spacing w:after="0" w:line="255" w:lineRule="auto"/>
        <w:tabs>
          <w:tab w:leader="none" w:pos="1742"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deposit account of an Obligor, including the funds on deposit therein, that has been pledged to secure Indebtedness (other than Indebtedness in respect of the Senior Secured Notes and this Agreement) or other obligations, in each case, to the extent such cash collateral is expressly permitted by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and is exclusively used for such purpose, (d) any Specified Eligible Deposit Account, (e) any Specified Ineligible Deposit Account, and (f) other deposit accounts of the Obligors to the extent the aggregate cash or Cash Equivalent balance of all such other deposit accounts described in this clause (f) does not at any time exceed $10,000,000.</w:t>
      </w:r>
    </w:p>
    <w:p>
      <w:pPr>
        <w:spacing w:after="0" w:line="175" w:lineRule="exact"/>
        <w:rPr>
          <w:sz w:val="20"/>
          <w:szCs w:val="20"/>
          <w:color w:val="auto"/>
        </w:rPr>
      </w:pPr>
    </w:p>
    <w:p>
      <w:pPr>
        <w:jc w:val="both"/>
        <w:ind w:left="1440" w:right="159" w:firstLine="63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Real Property</w:t>
      </w:r>
      <w:r>
        <w:rPr>
          <w:rFonts w:ascii="Times New Roman" w:cs="Times New Roman" w:eastAsia="Times New Roman" w:hAnsi="Times New Roman"/>
          <w:sz w:val="21"/>
          <w:szCs w:val="21"/>
          <w:color w:val="auto"/>
        </w:rPr>
        <w:t xml:space="preserve">” means real property located in the United States of America, Canada or the United Kingdom owned by any Obligor with a net book value in excess of $40,000,000 and that is not an Excluded Asset and each Effective Date Real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avoidance of doubt, any real property subject to a mortgage immediately prior to the Ninth Amendment Effective Date shall constitute and remain Material Real Property for all purposes hereof.</w:t>
      </w:r>
    </w:p>
    <w:p>
      <w:pPr>
        <w:spacing w:after="0" w:line="199" w:lineRule="exact"/>
        <w:rPr>
          <w:sz w:val="20"/>
          <w:szCs w:val="20"/>
          <w:color w:val="auto"/>
        </w:rPr>
      </w:pPr>
    </w:p>
    <w:p>
      <w:pPr>
        <w:jc w:val="both"/>
        <w:ind w:left="1440" w:right="179" w:firstLine="636"/>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Swap Transaction</w:t>
      </w:r>
      <w:r>
        <w:rPr>
          <w:rFonts w:ascii="Times New Roman" w:cs="Times New Roman" w:eastAsia="Times New Roman" w:hAnsi="Times New Roman"/>
          <w:sz w:val="21"/>
          <w:szCs w:val="21"/>
          <w:color w:val="auto"/>
        </w:rPr>
        <w:t>” has the meaning assigned thereto in the annex titled “Specified Swap Transaction” dated May 2, 2025 and provided separately to the Administrative Agent and each Lender prior to the Ninth Amendment Effective Date.</w:t>
      </w:r>
    </w:p>
    <w:p>
      <w:pPr>
        <w:spacing w:after="0" w:line="180" w:lineRule="exact"/>
        <w:rPr>
          <w:sz w:val="20"/>
          <w:szCs w:val="20"/>
          <w:color w:val="auto"/>
        </w:rPr>
      </w:pPr>
    </w:p>
    <w:p>
      <w:pPr>
        <w:jc w:val="both"/>
        <w:ind w:left="160" w:right="179" w:firstLine="634"/>
        <w:spacing w:after="0" w:line="267" w:lineRule="auto"/>
        <w:tabs>
          <w:tab w:leader="none" w:pos="143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Precedent</w:t>
      </w:r>
      <w:r>
        <w:rPr>
          <w:rFonts w:ascii="Times New Roman" w:cs="Times New Roman" w:eastAsia="Times New Roman" w:hAnsi="Times New Roman"/>
          <w:sz w:val="21"/>
          <w:szCs w:val="21"/>
          <w:color w:val="auto"/>
        </w:rPr>
        <w:t>. The effectiveness of this Amendment is subject to the satisfaction, or waiver, of each of the following conditions (the date of the satisfaction or waiver of all such conditions, the “</w:t>
      </w:r>
      <w:r>
        <w:rPr>
          <w:rFonts w:ascii="Times New Roman" w:cs="Times New Roman" w:eastAsia="Times New Roman" w:hAnsi="Times New Roman"/>
          <w:sz w:val="21"/>
          <w:szCs w:val="21"/>
          <w:u w:val="single" w:color="auto"/>
          <w:color w:val="auto"/>
        </w:rPr>
        <w:t>Ninth Amendment Effective Date</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left="800" w:right="179" w:firstLine="630"/>
        <w:spacing w:after="0" w:line="274" w:lineRule="auto"/>
        <w:tabs>
          <w:tab w:leader="none" w:pos="2069"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duly executed counterparts of this Amendment from Parent, each of the Borrowers, the Administrative Agent and Lenders constituting at least the Required Lenders.</w:t>
      </w:r>
    </w:p>
    <w:p>
      <w:pPr>
        <w:spacing w:after="0" w:line="153" w:lineRule="exact"/>
        <w:rPr>
          <w:sz w:val="20"/>
          <w:szCs w:val="20"/>
          <w:color w:val="auto"/>
        </w:rPr>
      </w:pPr>
    </w:p>
    <w:p>
      <w:pPr>
        <w:jc w:val="both"/>
        <w:ind w:left="160" w:right="179"/>
        <w:spacing w:after="0" w:line="262" w:lineRule="auto"/>
        <w:rPr>
          <w:sz w:val="20"/>
          <w:szCs w:val="20"/>
          <w:color w:val="auto"/>
        </w:rPr>
      </w:pPr>
      <w:r>
        <w:rPr>
          <w:rFonts w:ascii="Times New Roman" w:cs="Times New Roman" w:eastAsia="Times New Roman" w:hAnsi="Times New Roman"/>
          <w:sz w:val="21"/>
          <w:szCs w:val="21"/>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or the waiver of such conditions as permitted hereby. Such declaration shall be final, conclusive and binding upon all parties to the Credit Agreement (including as amended hereby) for all purposes.</w:t>
      </w:r>
    </w:p>
    <w:p>
      <w:pPr>
        <w:sectPr>
          <w:pgSz w:w="11900" w:h="16838" w:orient="portrait"/>
          <w:cols w:equalWidth="0" w:num="1">
            <w:col w:w="9019"/>
          </w:cols>
          <w:pgMar w:left="1440" w:top="1440" w:right="1440" w:bottom="1440" w:gutter="0" w:footer="0" w:header="0"/>
        </w:sectPr>
      </w:pPr>
    </w:p>
    <w:bookmarkStart w:id="41" w:name="page42"/>
    <w:bookmarkEnd w:id="41"/>
    <w:p>
      <w:pPr>
        <w:spacing w:after="0" w:line="342" w:lineRule="exact"/>
        <w:rPr>
          <w:sz w:val="20"/>
          <w:szCs w:val="20"/>
          <w:color w:val="auto"/>
        </w:rPr>
      </w:pPr>
    </w:p>
    <w:p>
      <w:pPr>
        <w:jc w:val="both"/>
        <w:ind w:left="160" w:right="159" w:firstLine="634"/>
        <w:spacing w:after="0" w:line="285" w:lineRule="auto"/>
        <w:tabs>
          <w:tab w:leader="none" w:pos="143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Parent and each of the Borrowers represents and warrants to the Administrative Agent and the Lenders that, as of the Ninth Amendment Effective Date:</w:t>
      </w:r>
    </w:p>
    <w:p>
      <w:pPr>
        <w:sectPr>
          <w:pgSz w:w="11900" w:h="16838" w:orient="portrait"/>
          <w:cols w:equalWidth="0" w:num="1">
            <w:col w:w="9019"/>
          </w:cols>
          <w:pgMar w:left="1440" w:top="1440" w:right="1440" w:bottom="1440" w:gutter="0" w:footer="0" w:header="0"/>
        </w:sectPr>
      </w:pPr>
    </w:p>
    <w:bookmarkStart w:id="42" w:name="page43"/>
    <w:bookmarkEnd w:id="42"/>
    <w:p>
      <w:pPr>
        <w:jc w:val="both"/>
        <w:ind w:left="800" w:right="159" w:firstLine="630"/>
        <w:spacing w:after="0" w:line="255" w:lineRule="auto"/>
        <w:tabs>
          <w:tab w:leader="none" w:pos="2069"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set forth in Article VII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Ninth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77" w:lineRule="exact"/>
        <w:rPr>
          <w:rFonts w:ascii="Times New Roman" w:cs="Times New Roman" w:eastAsia="Times New Roman" w:hAnsi="Times New Roman"/>
          <w:sz w:val="21"/>
          <w:szCs w:val="21"/>
          <w:color w:val="auto"/>
        </w:rPr>
      </w:pPr>
    </w:p>
    <w:p>
      <w:pPr>
        <w:ind w:left="800" w:right="179" w:firstLine="630"/>
        <w:spacing w:after="0" w:line="298" w:lineRule="auto"/>
        <w:tabs>
          <w:tab w:leader="none" w:pos="2067"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 as of the Ninth Amendment Effective Date, and</w:t>
      </w:r>
    </w:p>
    <w:p>
      <w:pPr>
        <w:spacing w:after="0" w:line="129" w:lineRule="exact"/>
        <w:rPr>
          <w:rFonts w:ascii="Times New Roman" w:cs="Times New Roman" w:eastAsia="Times New Roman" w:hAnsi="Times New Roman"/>
          <w:sz w:val="21"/>
          <w:szCs w:val="21"/>
          <w:color w:val="auto"/>
        </w:rPr>
      </w:pPr>
    </w:p>
    <w:p>
      <w:pPr>
        <w:jc w:val="both"/>
        <w:ind w:left="800" w:right="159" w:firstLine="630"/>
        <w:spacing w:after="0" w:line="262" w:lineRule="auto"/>
        <w:tabs>
          <w:tab w:leader="none" w:pos="2069"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constitutes the legal, valid and binding obligation of each of the Obligors party hereto, enforceable against each such Obligor in accordance with its terms, except as enforceability may be limited by applicable bankruptcy, insolvency, rescue process or similar laws affecting the enforcement of creditors’ rights generally or by equitable principles of general applicability.</w:t>
      </w:r>
    </w:p>
    <w:p>
      <w:pPr>
        <w:spacing w:after="0" w:line="165" w:lineRule="exact"/>
        <w:rPr>
          <w:rFonts w:ascii="Times New Roman" w:cs="Times New Roman" w:eastAsia="Times New Roman" w:hAnsi="Times New Roman"/>
          <w:sz w:val="21"/>
          <w:szCs w:val="21"/>
          <w:color w:val="auto"/>
        </w:rPr>
      </w:pPr>
    </w:p>
    <w:p>
      <w:pPr>
        <w:ind w:left="1420" w:hanging="626"/>
        <w:spacing w:after="0"/>
        <w:tabs>
          <w:tab w:leader="none" w:pos="14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Reaffirmation; Reference to and Effect on the Loan Documents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800" w:right="159" w:firstLine="630"/>
        <w:spacing w:after="0" w:line="262" w:lineRule="auto"/>
        <w:tabs>
          <w:tab w:leader="none" w:pos="2069"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Ninth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spacing w:after="0" w:line="165" w:lineRule="exact"/>
        <w:rPr>
          <w:rFonts w:ascii="Times New Roman" w:cs="Times New Roman" w:eastAsia="Times New Roman" w:hAnsi="Times New Roman"/>
          <w:sz w:val="21"/>
          <w:szCs w:val="21"/>
          <w:color w:val="auto"/>
        </w:rPr>
      </w:pPr>
    </w:p>
    <w:p>
      <w:pPr>
        <w:jc w:val="both"/>
        <w:ind w:left="800" w:right="159" w:firstLine="630"/>
        <w:spacing w:after="0" w:line="267" w:lineRule="auto"/>
        <w:tabs>
          <w:tab w:leader="none" w:pos="2067"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Documents, and the obligations of the Borrowers and the Obligors under the Loan Documents, are hereby ratified and confirmed and shall remain in full force and effect according to their terms.</w:t>
      </w:r>
    </w:p>
    <w:p>
      <w:pPr>
        <w:spacing w:after="0" w:line="161" w:lineRule="exact"/>
        <w:rPr>
          <w:rFonts w:ascii="Times New Roman" w:cs="Times New Roman" w:eastAsia="Times New Roman" w:hAnsi="Times New Roman"/>
          <w:sz w:val="21"/>
          <w:szCs w:val="21"/>
          <w:color w:val="auto"/>
        </w:rPr>
      </w:pPr>
    </w:p>
    <w:p>
      <w:pPr>
        <w:jc w:val="both"/>
        <w:ind w:left="800" w:right="159" w:firstLine="630"/>
        <w:spacing w:after="0" w:line="257" w:lineRule="auto"/>
        <w:tabs>
          <w:tab w:leader="none" w:pos="2069"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and the Borrowers, on their own behalf and on behalf of each other Obligor that is a Subsidiary thereof, (i) acknowledges and consents to all of the terms and conditions of this Amendment, (ii) affirms all of its obligations under the Loan Documents, including the Guaranty Agreements,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 (v) confirms its grant of security interests pursuant to the Collateral Documents to which it is a party as Collateral for the Secured Obligations and (vi) acknowledges that all Liens granted (or purported to be granted) by it pursuant to the Loan Documents remain and continue in full force and effect in respect of, and to secure, the Secured Obligations.</w:t>
      </w:r>
    </w:p>
    <w:p>
      <w:pPr>
        <w:sectPr>
          <w:pgSz w:w="11900" w:h="16838" w:orient="portrait"/>
          <w:cols w:equalWidth="0" w:num="1">
            <w:col w:w="9019"/>
          </w:cols>
          <w:pgMar w:left="1440" w:top="1397" w:right="1440" w:bottom="1440" w:gutter="0" w:footer="0" w:header="0"/>
        </w:sectPr>
      </w:pPr>
    </w:p>
    <w:bookmarkStart w:id="43" w:name="page44"/>
    <w:bookmarkEnd w:id="43"/>
    <w:p>
      <w:pPr>
        <w:jc w:val="both"/>
        <w:ind w:left="820" w:right="199" w:firstLine="638"/>
        <w:spacing w:after="0" w:line="261" w:lineRule="auto"/>
        <w:tabs>
          <w:tab w:leader="none" w:pos="182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68" w:lineRule="exact"/>
        <w:rPr>
          <w:rFonts w:ascii="Times New Roman" w:cs="Times New Roman" w:eastAsia="Times New Roman" w:hAnsi="Times New Roman"/>
          <w:sz w:val="21"/>
          <w:szCs w:val="21"/>
          <w:color w:val="auto"/>
        </w:rPr>
      </w:pPr>
    </w:p>
    <w:p>
      <w:pPr>
        <w:ind w:left="820" w:right="219" w:firstLine="638"/>
        <w:spacing w:after="0" w:line="285" w:lineRule="auto"/>
        <w:tabs>
          <w:tab w:leader="none" w:pos="182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conflict between the terms of this Amendment and the terms of the Credit Agreement or the other Loan Documents, the terms hereof shall control.</w:t>
      </w:r>
    </w:p>
    <w:p>
      <w:pPr>
        <w:spacing w:after="0" w:line="4" w:lineRule="exact"/>
        <w:rPr>
          <w:sz w:val="20"/>
          <w:szCs w:val="20"/>
          <w:color w:val="auto"/>
        </w:rPr>
      </w:pPr>
    </w:p>
    <w:p>
      <w:pPr>
        <w:ind w:left="220"/>
        <w:spacing w:after="0"/>
        <w:tabs>
          <w:tab w:leader="none" w:pos="800" w:val="left"/>
          <w:tab w:leader="none" w:pos="1440" w:val="left"/>
        </w:tabs>
        <w:rPr>
          <w:sz w:val="20"/>
          <w:szCs w:val="20"/>
          <w:color w:val="auto"/>
        </w:rPr>
      </w:pPr>
      <w:r>
        <w:rPr>
          <w:rFonts w:ascii="Times New Roman" w:cs="Times New Roman" w:eastAsia="Times New Roman" w:hAnsi="Times New Roman"/>
          <w:sz w:val="42"/>
          <w:szCs w:val="42"/>
          <w:u w:val="single" w:color="auto"/>
          <w:color w:val="auto"/>
          <w:vertAlign w:val="subscript"/>
        </w:rPr>
        <w:t>Etc</w:t>
      </w:r>
      <w:r>
        <w:rPr>
          <w:rFonts w:ascii="Times New Roman" w:cs="Times New Roman" w:eastAsia="Times New Roman" w:hAnsi="Times New Roman"/>
          <w:sz w:val="42"/>
          <w:szCs w:val="42"/>
          <w:color w:val="auto"/>
          <w:vertAlign w:val="subscript"/>
        </w:rPr>
        <w:t>.</w:t>
      </w:r>
      <w:r>
        <w:rPr>
          <w:rFonts w:ascii="Times New Roman" w:cs="Times New Roman" w:eastAsia="Times New Roman" w:hAnsi="Times New Roman"/>
          <w:sz w:val="21"/>
          <w:szCs w:val="21"/>
          <w:color w:val="auto"/>
        </w:rPr>
        <w:tab/>
        <w:t>6.</w:t>
      </w:r>
      <w:r>
        <w:rPr>
          <w:sz w:val="20"/>
          <w:szCs w:val="20"/>
          <w:color w:val="auto"/>
        </w:rPr>
        <w:tab/>
      </w:r>
      <w:r>
        <w:rPr>
          <w:rFonts w:ascii="Times New Roman" w:cs="Times New Roman" w:eastAsia="Times New Roman" w:hAnsi="Times New Roman"/>
          <w:sz w:val="21"/>
          <w:szCs w:val="21"/>
          <w:u w:val="single" w:color="auto"/>
          <w:color w:val="auto"/>
        </w:rPr>
        <w:t>Governing Law; Jurisdiction; Consent to Service of Process; Waiver of Jury Trial,</w:t>
      </w:r>
    </w:p>
    <w:p>
      <w:pPr>
        <w:spacing w:after="0" w:line="370" w:lineRule="exact"/>
        <w:rPr>
          <w:sz w:val="20"/>
          <w:szCs w:val="20"/>
          <w:color w:val="auto"/>
        </w:rPr>
      </w:pPr>
    </w:p>
    <w:p>
      <w:pPr>
        <w:jc w:val="both"/>
        <w:ind w:left="820" w:right="199" w:firstLine="638"/>
        <w:spacing w:after="0" w:line="261" w:lineRule="auto"/>
        <w:tabs>
          <w:tab w:leader="none" w:pos="182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construed in accordance with and governed by the law of the State of New York (whether based on contract, tort or otherwise and in law or equity), without regard to conflict of laws principles thereof to the extent such principles would cause the application of the law of another state.</w:t>
      </w:r>
    </w:p>
    <w:p>
      <w:pPr>
        <w:spacing w:after="0" w:line="181" w:lineRule="exact"/>
        <w:rPr>
          <w:rFonts w:ascii="Times New Roman" w:cs="Times New Roman" w:eastAsia="Times New Roman" w:hAnsi="Times New Roman"/>
          <w:sz w:val="21"/>
          <w:szCs w:val="21"/>
          <w:color w:val="auto"/>
        </w:rPr>
      </w:pPr>
    </w:p>
    <w:p>
      <w:pPr>
        <w:jc w:val="both"/>
        <w:ind w:left="820" w:right="199" w:firstLine="638"/>
        <w:spacing w:after="0" w:line="261" w:lineRule="auto"/>
        <w:tabs>
          <w:tab w:leader="none" w:pos="182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AGREES AS SET FORTH IN SECTION 12.15 (SUBMISSION TO JURISDICTION; CONSENT TO SERVICE OF PROCESS) AND SECTION 12.16 (WAIVER OF JURY TRIAL) OF THE CREDIT AGREEMENT AS IF SUCH SECTIONS WERE SET FORTH IN FULL HEREIN.</w:t>
      </w:r>
    </w:p>
    <w:p>
      <w:pPr>
        <w:spacing w:after="0" w:line="168" w:lineRule="exact"/>
        <w:rPr>
          <w:rFonts w:ascii="Times New Roman" w:cs="Times New Roman" w:eastAsia="Times New Roman" w:hAnsi="Times New Roman"/>
          <w:sz w:val="21"/>
          <w:szCs w:val="21"/>
          <w:color w:val="auto"/>
        </w:rPr>
      </w:pPr>
    </w:p>
    <w:p>
      <w:pPr>
        <w:ind w:left="1460" w:hanging="638"/>
        <w:spacing w:after="0"/>
        <w:tabs>
          <w:tab w:leader="none" w:pos="14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Headings; Severability</w:t>
      </w:r>
      <w:r>
        <w:rPr>
          <w:rFonts w:ascii="Times New Roman" w:cs="Times New Roman" w:eastAsia="Times New Roman" w:hAnsi="Times New Roman"/>
          <w:sz w:val="21"/>
          <w:szCs w:val="21"/>
          <w:color w:val="auto"/>
        </w:rPr>
        <w:t>. This Amendment may not be amended nor</w:t>
      </w:r>
    </w:p>
    <w:p>
      <w:pPr>
        <w:sectPr>
          <w:pgSz w:w="11900" w:h="16838" w:orient="portrait"/>
          <w:cols w:equalWidth="0" w:num="1">
            <w:col w:w="9019"/>
          </w:cols>
          <w:pgMar w:left="1440" w:top="1397" w:right="1440" w:bottom="1440" w:gutter="0" w:footer="0" w:header="0"/>
        </w:sectPr>
      </w:pPr>
    </w:p>
    <w:bookmarkStart w:id="44" w:name="page45"/>
    <w:bookmarkEnd w:id="44"/>
    <w:p>
      <w:pPr>
        <w:jc w:val="both"/>
        <w:ind w:left="160" w:right="159"/>
        <w:spacing w:after="0" w:line="258" w:lineRule="auto"/>
        <w:rPr>
          <w:sz w:val="20"/>
          <w:szCs w:val="20"/>
          <w:color w:val="auto"/>
        </w:rPr>
      </w:pPr>
      <w:r>
        <w:rPr>
          <w:rFonts w:ascii="Times New Roman" w:cs="Times New Roman" w:eastAsia="Times New Roman" w:hAnsi="Times New Roman"/>
          <w:sz w:val="21"/>
          <w:szCs w:val="21"/>
          <w:color w:val="auto"/>
        </w:rPr>
        <w:t>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76" w:lineRule="exact"/>
        <w:rPr>
          <w:sz w:val="20"/>
          <w:szCs w:val="20"/>
          <w:color w:val="auto"/>
        </w:rPr>
      </w:pPr>
    </w:p>
    <w:p>
      <w:pPr>
        <w:jc w:val="both"/>
        <w:ind w:left="160" w:right="159" w:firstLine="634"/>
        <w:spacing w:after="0" w:line="255" w:lineRule="auto"/>
        <w:tabs>
          <w:tab w:leader="none" w:pos="143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Execution in Counterparts</w:t>
      </w:r>
      <w:r>
        <w:rPr>
          <w:rFonts w:ascii="Times New Roman" w:cs="Times New Roman" w:eastAsia="Times New Roman" w:hAnsi="Times New Roman"/>
          <w:sz w:val="21"/>
          <w:szCs w:val="21"/>
          <w:color w:val="auto"/>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 .pdf format) shall be effective for all purposes as delivery of a manually executed counterpart of this Amendment to the extent permitted by applicable law. The words “execution”, “signed”, “signature”, “delivery”, and words of like import in or relating to any document to be signed in connection with this Amendment and the Transactions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w:t>
      </w:r>
    </w:p>
    <w:p>
      <w:pPr>
        <w:sectPr>
          <w:pgSz w:w="11900" w:h="16838" w:orient="portrait"/>
          <w:cols w:equalWidth="0" w:num="1">
            <w:col w:w="9019"/>
          </w:cols>
          <w:pgMar w:left="1440" w:top="682" w:right="1440" w:bottom="1440" w:gutter="0" w:footer="0" w:header="0"/>
        </w:sectPr>
      </w:pPr>
    </w:p>
    <w:bookmarkStart w:id="45" w:name="page46"/>
    <w:bookmarkEnd w:id="45"/>
    <w:p>
      <w:pPr>
        <w:ind w:left="160" w:right="199"/>
        <w:spacing w:after="0" w:line="285" w:lineRule="auto"/>
        <w:rPr>
          <w:sz w:val="20"/>
          <w:szCs w:val="20"/>
          <w:color w:val="auto"/>
        </w:rPr>
      </w:pPr>
      <w:r>
        <w:rPr>
          <w:rFonts w:ascii="Times New Roman" w:cs="Times New Roman" w:eastAsia="Times New Roman" w:hAnsi="Times New Roman"/>
          <w:sz w:val="21"/>
          <w:szCs w:val="21"/>
          <w:color w:val="auto"/>
        </w:rPr>
        <w:t>and National Commerce Act, the New York State Electronic Signatures and Records Act, or any other similar state laws based on the Uniform Electronic Transactions Act.</w:t>
      </w:r>
    </w:p>
    <w:p>
      <w:pPr>
        <w:spacing w:after="0" w:line="142" w:lineRule="exact"/>
        <w:rPr>
          <w:sz w:val="20"/>
          <w:szCs w:val="20"/>
          <w:color w:val="auto"/>
        </w:rPr>
      </w:pPr>
    </w:p>
    <w:p>
      <w:pPr>
        <w:jc w:val="both"/>
        <w:ind w:left="160" w:right="159" w:firstLine="634"/>
        <w:spacing w:after="0" w:line="259" w:lineRule="auto"/>
        <w:tabs>
          <w:tab w:leader="none" w:pos="143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Swap Transactions as Secured Obligations</w:t>
      </w:r>
      <w:r>
        <w:rPr>
          <w:rFonts w:ascii="Times New Roman" w:cs="Times New Roman" w:eastAsia="Times New Roman" w:hAnsi="Times New Roman"/>
          <w:sz w:val="21"/>
          <w:szCs w:val="21"/>
          <w:color w:val="auto"/>
        </w:rPr>
        <w:t>. To the extent that any counterparty to any Swap Agreement to be entered into in connection with any Specified Swap Transaction is a Lender or an Affiliate of a Lender as of the date of such Swap Agreement, the obligations of the applicable Obligors under such Specified Swap Transaction shall constitute Swap Obligations and, therefore, such Swap Obligations shall constitute Secured Obligations in accordance with the definition thereof.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9019"/>
          </w:cols>
          <w:pgMar w:left="1440" w:top="1397" w:right="1440" w:bottom="1440" w:gutter="0" w:footer="0" w:header="0"/>
        </w:sectPr>
      </w:pPr>
    </w:p>
    <w:bookmarkStart w:id="46" w:name="page47"/>
    <w:bookmarkEnd w:id="46"/>
    <w:p>
      <w:pPr>
        <w:ind w:left="160" w:right="179" w:firstLine="636"/>
        <w:spacing w:after="0" w:line="285" w:lineRule="auto"/>
        <w:rPr>
          <w:sz w:val="20"/>
          <w:szCs w:val="20"/>
          <w:color w:val="auto"/>
        </w:rPr>
      </w:pPr>
      <w:r>
        <w:rPr>
          <w:rFonts w:ascii="Times New Roman" w:cs="Times New Roman" w:eastAsia="Times New Roman" w:hAnsi="Times New Roman"/>
          <w:sz w:val="21"/>
          <w:szCs w:val="21"/>
          <w:color w:val="auto"/>
        </w:rPr>
        <w:t>Each of the parties hereto has caused a counterpart of this Amendment to be duly executed and delivered as of the date first above written.</w:t>
      </w:r>
    </w:p>
    <w:p>
      <w:pPr>
        <w:spacing w:after="0" w:line="1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WEATHERFORD INTERNATIONAL LTD.,</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a Bermuda exempted company</w:t>
      </w:r>
    </w:p>
    <w:p>
      <w:pPr>
        <w:spacing w:after="0" w:line="198" w:lineRule="exact"/>
        <w:rPr>
          <w:sz w:val="20"/>
          <w:szCs w:val="20"/>
          <w:color w:val="auto"/>
        </w:rPr>
      </w:pPr>
    </w:p>
    <w:p>
      <w:pPr>
        <w:ind w:left="160"/>
        <w:spacing w:after="0"/>
        <w:tabs>
          <w:tab w:leader="none" w:pos="3240" w:val="left"/>
        </w:tabs>
        <w:rPr>
          <w:sz w:val="20"/>
          <w:szCs w:val="20"/>
          <w:color w:val="auto"/>
        </w:rPr>
      </w:pPr>
      <w:r>
        <w:rPr>
          <w:rFonts w:ascii="Times New Roman" w:cs="Times New Roman" w:eastAsia="Times New Roman" w:hAnsi="Times New Roman"/>
          <w:sz w:val="21"/>
          <w:szCs w:val="21"/>
          <w:color w:val="auto"/>
        </w:rPr>
        <w:t>By: /s/ Maximiliano A. Kricorian</w:t>
        <w:tab/>
        <w:t>Name: Maximiliano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-8890</wp:posOffset>
            </wp:positionV>
            <wp:extent cx="1704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A. Kricorian</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WEATHERFORD INTERNATIONAL, LLC,</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198" w:lineRule="exact"/>
        <w:rPr>
          <w:sz w:val="20"/>
          <w:szCs w:val="20"/>
          <w:color w:val="auto"/>
        </w:rPr>
      </w:pPr>
    </w:p>
    <w:p>
      <w:pPr>
        <w:ind w:left="160"/>
        <w:spacing w:after="0"/>
        <w:tabs>
          <w:tab w:leader="none" w:pos="3240" w:val="left"/>
        </w:tabs>
        <w:rPr>
          <w:sz w:val="20"/>
          <w:szCs w:val="20"/>
          <w:color w:val="auto"/>
        </w:rPr>
      </w:pPr>
      <w:r>
        <w:rPr>
          <w:rFonts w:ascii="Times New Roman" w:cs="Times New Roman" w:eastAsia="Times New Roman" w:hAnsi="Times New Roman"/>
          <w:sz w:val="21"/>
          <w:szCs w:val="21"/>
          <w:color w:val="auto"/>
        </w:rPr>
        <w:t>By: /s/ Maximiliano A. Kricorian</w:t>
        <w:tab/>
        <w:t>Name: Maximiliano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-8890</wp:posOffset>
            </wp:positionV>
            <wp:extent cx="17049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A. Kricorian</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3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 WEATHERFORD</w:t>
      </w:r>
    </w:p>
    <w:p>
      <w:pPr>
        <w:spacing w:after="0" w:line="2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CANADA LTD,</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an Alberta corporation</w:t>
      </w:r>
    </w:p>
    <w:p>
      <w:pPr>
        <w:spacing w:after="0" w:line="236" w:lineRule="exact"/>
        <w:rPr>
          <w:sz w:val="20"/>
          <w:szCs w:val="20"/>
          <w:color w:val="auto"/>
        </w:rPr>
      </w:pPr>
    </w:p>
    <w:p>
      <w:pPr>
        <w:ind w:left="160"/>
        <w:spacing w:after="0"/>
        <w:tabs>
          <w:tab w:leader="none" w:pos="2480" w:val="left"/>
        </w:tabs>
        <w:rPr>
          <w:sz w:val="20"/>
          <w:szCs w:val="20"/>
          <w:color w:val="auto"/>
        </w:rPr>
      </w:pPr>
      <w:r>
        <w:rPr>
          <w:rFonts w:ascii="Times New Roman" w:cs="Times New Roman" w:eastAsia="Times New Roman" w:hAnsi="Times New Roman"/>
          <w:sz w:val="21"/>
          <w:szCs w:val="21"/>
          <w:color w:val="auto"/>
        </w:rPr>
        <w:t>By: /s/ Pamela M. Webb</w:t>
        <w:tab/>
        <w:t>Name: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-8890</wp:posOffset>
            </wp:positionV>
            <wp:extent cx="12230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WOFS INTERNATIONAL FINANCE GMBH,</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a Swiss limited liability company</w:t>
      </w:r>
    </w:p>
    <w:p>
      <w:pPr>
        <w:spacing w:after="0" w:line="198" w:lineRule="exact"/>
        <w:rPr>
          <w:sz w:val="20"/>
          <w:szCs w:val="20"/>
          <w:color w:val="auto"/>
        </w:rPr>
      </w:pPr>
    </w:p>
    <w:p>
      <w:pPr>
        <w:ind w:left="160"/>
        <w:spacing w:after="0"/>
        <w:tabs>
          <w:tab w:leader="none" w:pos="3220" w:val="left"/>
        </w:tabs>
        <w:rPr>
          <w:sz w:val="20"/>
          <w:szCs w:val="20"/>
          <w:color w:val="auto"/>
        </w:rPr>
      </w:pPr>
      <w:r>
        <w:rPr>
          <w:rFonts w:ascii="Times New Roman" w:cs="Times New Roman" w:eastAsia="Times New Roman" w:hAnsi="Times New Roman"/>
          <w:sz w:val="21"/>
          <w:szCs w:val="21"/>
          <w:color w:val="auto"/>
        </w:rPr>
        <w:t>By: /s/ Mathias Neuenschwander</w:t>
        <w:tab/>
        <w:t>Name: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-8890</wp:posOffset>
            </wp:positionV>
            <wp:extent cx="1689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68973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Neuenschwander</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Title: Managing Officer</w:t>
      </w:r>
    </w:p>
    <w:p>
      <w:pPr>
        <w:sectPr>
          <w:pgSz w:w="11900" w:h="16838" w:orient="portrait"/>
          <w:cols w:equalWidth="0" w:num="1">
            <w:col w:w="9019"/>
          </w:cols>
          <w:pgMar w:left="1440" w:top="1397" w:right="1440" w:bottom="1440" w:gutter="0" w:footer="0" w:header="0"/>
        </w:sectPr>
      </w:pPr>
    </w:p>
    <w:bookmarkStart w:id="47" w:name="page48"/>
    <w:bookmarkEnd w:id="47"/>
    <w:p>
      <w:pPr>
        <w:ind w:left="220"/>
        <w:spacing w:after="0"/>
        <w:rPr>
          <w:sz w:val="20"/>
          <w:szCs w:val="20"/>
          <w:color w:val="auto"/>
        </w:rPr>
      </w:pP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36" w:lineRule="exact"/>
        <w:rPr>
          <w:sz w:val="20"/>
          <w:szCs w:val="20"/>
          <w:color w:val="auto"/>
        </w:rPr>
      </w:pPr>
    </w:p>
    <w:p>
      <w:pPr>
        <w:ind w:left="160" w:right="4059"/>
        <w:spacing w:after="0" w:line="262" w:lineRule="auto"/>
        <w:rPr>
          <w:sz w:val="20"/>
          <w:szCs w:val="20"/>
          <w:color w:val="auto"/>
        </w:rPr>
      </w:pPr>
      <w:r>
        <w:rPr>
          <w:rFonts w:ascii="Times New Roman" w:cs="Times New Roman" w:eastAsia="Times New Roman" w:hAnsi="Times New Roman"/>
          <w:sz w:val="21"/>
          <w:szCs w:val="21"/>
          <w:color w:val="auto"/>
        </w:rPr>
        <w:t>By: /s/ Maximiliano A. Kricorian Name: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-190500</wp:posOffset>
            </wp:positionV>
            <wp:extent cx="17049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21"/>
          <w:szCs w:val="21"/>
          <w:color w:val="auto"/>
        </w:rPr>
        <w:t>Title: Vice President and Treasurer</w:t>
      </w:r>
    </w:p>
    <w:p>
      <w:pPr>
        <w:sectPr>
          <w:pgSz w:w="11900" w:h="16838" w:orient="portrait"/>
          <w:cols w:equalWidth="0" w:num="1">
            <w:col w:w="9019"/>
          </w:cols>
          <w:pgMar w:left="1440" w:top="1397" w:right="1440" w:bottom="1440" w:gutter="0" w:footer="0" w:header="0"/>
        </w:sectPr>
      </w:pPr>
    </w:p>
    <w:bookmarkStart w:id="48" w:name="page49"/>
    <w:bookmarkEnd w:id="48"/>
    <w:p>
      <w:pPr>
        <w:ind w:left="160"/>
        <w:spacing w:after="0"/>
        <w:rPr>
          <w:sz w:val="20"/>
          <w:szCs w:val="20"/>
          <w:color w:val="auto"/>
        </w:rPr>
      </w:pP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160" w:right="4079"/>
        <w:spacing w:after="0" w:line="298" w:lineRule="auto"/>
        <w:rPr>
          <w:sz w:val="20"/>
          <w:szCs w:val="20"/>
          <w:color w:val="auto"/>
        </w:rPr>
      </w:pPr>
      <w:r>
        <w:rPr>
          <w:rFonts w:ascii="Times New Roman" w:cs="Times New Roman" w:eastAsia="Times New Roman" w:hAnsi="Times New Roman"/>
          <w:sz w:val="21"/>
          <w:szCs w:val="21"/>
          <w:color w:val="auto"/>
        </w:rPr>
        <w:t>WELLS FARGO BANK, NATIONAL ASSOCIATION, as Administrative Agent and a Lender</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By: /s/ Kevin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-8890</wp:posOffset>
            </wp:positionV>
            <wp:extent cx="1095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Name: Kevin Pang</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97" w:right="1440" w:bottom="1440" w:gutter="0" w:footer="0" w:header="0"/>
        </w:sectPr>
      </w:pPr>
    </w:p>
    <w:bookmarkStart w:id="49" w:name="page50"/>
    <w:bookmarkEnd w:id="49"/>
    <w:p>
      <w:pPr>
        <w:ind w:left="160"/>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CITIBANK, N.A., as a Lender</w:t>
      </w: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By: /s/ Gabriel Juarez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-8890</wp:posOffset>
            </wp:positionV>
            <wp:extent cx="13455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Name: Gabriel Juarez</w:t>
      </w:r>
    </w:p>
    <w:p>
      <w:pPr>
        <w:spacing w:after="0" w:line="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97" w:right="1440" w:bottom="1440" w:gutter="0" w:footer="0" w:header="0"/>
        </w:sectPr>
      </w:pPr>
    </w:p>
    <w:bookmarkStart w:id="50" w:name="page51"/>
    <w:bookmarkEnd w:id="50"/>
    <w:p>
      <w:pPr>
        <w:ind w:left="860"/>
        <w:spacing w:after="0"/>
        <w:rPr>
          <w:sz w:val="20"/>
          <w:szCs w:val="20"/>
          <w:color w:val="auto"/>
        </w:rPr>
      </w:pPr>
      <w:r>
        <w:rPr>
          <w:rFonts w:ascii="Times New Roman" w:cs="Times New Roman" w:eastAsia="Times New Roman" w:hAnsi="Times New Roman"/>
          <w:sz w:val="21"/>
          <w:szCs w:val="21"/>
          <w:u w:val="single" w:color="auto"/>
          <w:color w:val="auto"/>
        </w:rPr>
        <w:drawing>
          <wp:anchor simplePos="0" relativeHeight="251657728" behindDoc="1" locked="0" layoutInCell="0" allowOverlap="1">
            <wp:simplePos x="0" y="0"/>
            <wp:positionH relativeFrom="page">
              <wp:posOffset>207010</wp:posOffset>
            </wp:positionH>
            <wp:positionV relativeFrom="page">
              <wp:posOffset>240665</wp:posOffset>
            </wp:positionV>
            <wp:extent cx="67475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747510" cy="8255"/>
                    </a:xfrm>
                    <a:prstGeom prst="rect">
                      <a:avLst/>
                    </a:prstGeom>
                    <a:noFill/>
                  </pic:spPr>
                </pic:pic>
              </a:graphicData>
            </a:graphic>
          </wp:anchor>
        </w:drawing>
        <w:t>LENDERS</w:t>
      </w:r>
      <w:r>
        <w:rPr>
          <w:rFonts w:ascii="Times New Roman" w:cs="Times New Roman" w:eastAsia="Times New Roman" w:hAnsi="Times New Roman"/>
          <w:sz w:val="21"/>
          <w:szCs w:val="21"/>
          <w:color w:val="auto"/>
        </w:rPr>
        <w:t>:</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BARCLAYS BANK PLC, as a Lender</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5817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Sydney G. Dennis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ectPr>
          <w:pgSz w:w="11900" w:h="16838" w:orient="portrait"/>
          <w:cols w:equalWidth="0" w:num="1">
            <w:col w:w="9719"/>
          </w:cols>
          <w:pgMar w:left="740" w:top="1424" w:right="1440" w:bottom="1440" w:gutter="0" w:footer="0" w:header="0"/>
        </w:sectPr>
      </w:pPr>
    </w:p>
    <w:bookmarkStart w:id="51" w:name="page52"/>
    <w:bookmarkEnd w:id="51"/>
    <w:p>
      <w:pPr>
        <w:spacing w:after="0" w:line="3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DEUTSCHE BANK AG NEW YORK BRANCH, as a Lender</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396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Philip Tancorra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Susan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3500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Susan Onal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DEUTSCHE BANK AG NEW YORK BRANCH, as a Lender</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Mirho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360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Mirho Mueller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Vonni Gippert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3620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Vonni Gippert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ectPr>
          <w:pgSz w:w="11900" w:h="16838" w:orient="portrait"/>
          <w:cols w:equalWidth="0" w:num="1">
            <w:col w:w="9719"/>
          </w:cols>
          <w:pgMar w:left="740" w:top="1440" w:right="1440" w:bottom="1440" w:gutter="0" w:footer="0" w:header="0"/>
        </w:sectPr>
      </w:pPr>
    </w:p>
    <w:bookmarkStart w:id="52" w:name="page53"/>
    <w:bookmarkEnd w:id="52"/>
    <w:p>
      <w:pPr>
        <w:spacing w:after="0" w:line="3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Morgan Stanley Senior Funding, Inc.,</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Karina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390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Karina Rodriguez</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719"/>
          </w:cols>
          <w:pgMar w:left="740" w:top="1440" w:right="1440" w:bottom="1440" w:gutter="0" w:footer="0" w:header="0"/>
        </w:sectPr>
      </w:pPr>
    </w:p>
    <w:bookmarkStart w:id="53" w:name="page54"/>
    <w:bookmarkEnd w:id="53"/>
    <w:p>
      <w:pPr>
        <w:spacing w:after="0" w:line="3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STANDARD CHARTERED BANK, as a Lender</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Lavanya Gunasekaran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6300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630045" cy="825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Lavanya Gunasekaran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Executive Director</w:t>
      </w:r>
    </w:p>
    <w:p>
      <w:pPr>
        <w:sectPr>
          <w:pgSz w:w="11900" w:h="16838" w:orient="portrait"/>
          <w:cols w:equalWidth="0" w:num="1">
            <w:col w:w="9719"/>
          </w:cols>
          <w:pgMar w:left="740" w:top="1440" w:right="1440"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ATB Financial, as a Lender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Araceli Zagal de la Luz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700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700530" cy="825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Araceli Zagal de la Luz</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 Credit Structuring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Ebba Jantz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2858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Ebba Jantz</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w:t>
      </w:r>
    </w:p>
    <w:p>
      <w:pPr>
        <w:sectPr>
          <w:pgSz w:w="11900" w:h="16838" w:orient="portrait"/>
          <w:cols w:equalWidth="0" w:num="1">
            <w:col w:w="9719"/>
          </w:cols>
          <w:pgMar w:left="740" w:top="1440" w:right="1440"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212121"/>
        </w:rPr>
        <w:t>WOODFOREST NATIONAL BANK, as a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
        <w:spacing w:after="0"/>
        <w:tabs>
          <w:tab w:leader="none" w:pos="700" w:val="left"/>
        </w:tabs>
        <w:rPr>
          <w:sz w:val="20"/>
          <w:szCs w:val="20"/>
          <w:color w:val="auto"/>
        </w:rPr>
      </w:pPr>
      <w:r>
        <w:rPr>
          <w:rFonts w:ascii="Times New Roman" w:cs="Times New Roman" w:eastAsia="Times New Roman" w:hAnsi="Times New Roman"/>
          <w:sz w:val="21"/>
          <w:szCs w:val="21"/>
          <w:color w:val="363636"/>
        </w:rPr>
        <w:t>By:</w:t>
        <w:tab/>
        <w:t>/s/ Wesley Gerren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-8890</wp:posOffset>
            </wp:positionV>
            <wp:extent cx="13646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363636"/>
        </w:rPr>
        <w:t>Name: Wesley Gerren</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363636"/>
        </w:rPr>
        <w:t xml:space="preserve">Title: Vice </w:t>
      </w:r>
      <w:r>
        <w:rPr>
          <w:rFonts w:ascii="Times New Roman" w:cs="Times New Roman" w:eastAsia="Times New Roman" w:hAnsi="Times New Roman"/>
          <w:sz w:val="21"/>
          <w:szCs w:val="21"/>
          <w:color w:val="282828"/>
        </w:rPr>
        <w:t>President</w:t>
      </w:r>
    </w:p>
    <w:p>
      <w:pPr>
        <w:sectPr>
          <w:pgSz w:w="11900" w:h="16838" w:orient="portrait"/>
          <w:cols w:equalWidth="0" w:num="1">
            <w:col w:w="9019"/>
          </w:cols>
          <w:pgMar w:left="1440" w:top="1440" w:right="1440" w:bottom="1440" w:gutter="0" w:footer="0" w:header="0"/>
        </w:sectPr>
      </w:pPr>
    </w:p>
    <w:bookmarkStart w:id="56" w:name="page57"/>
    <w:bookmarkEnd w:id="56"/>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63636"/>
        </w:rPr>
        <w:t>LENDERS</w:t>
      </w:r>
      <w:r>
        <w:rPr>
          <w:rFonts w:ascii="Times New Roman" w:cs="Times New Roman" w:eastAsia="Times New Roman" w:hAnsi="Times New Roman"/>
          <w:sz w:val="20"/>
          <w:szCs w:val="20"/>
          <w:color w:val="363636"/>
        </w:rPr>
        <w: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63636"/>
        </w:rPr>
        <w:t xml:space="preserve">JPMORGAN CHASE BANK, </w:t>
      </w:r>
      <w:r>
        <w:rPr>
          <w:rFonts w:ascii="Times New Roman" w:cs="Times New Roman" w:eastAsia="Times New Roman" w:hAnsi="Times New Roman"/>
          <w:sz w:val="20"/>
          <w:szCs w:val="20"/>
          <w:color w:val="282828"/>
        </w:rPr>
        <w:t>N.A.</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63636"/>
        </w:rPr>
        <w:t xml:space="preserve"> as a Lender</w:t>
      </w:r>
    </w:p>
    <w:p>
      <w:pPr>
        <w:spacing w:after="0" w:line="28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363636"/>
        </w:rPr>
        <w:t>By:</w:t>
        <w:tab/>
        <w:t>/s/ Sofia Barrera Jaime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-8255</wp:posOffset>
            </wp:positionV>
            <wp:extent cx="15652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63636"/>
        </w:rPr>
        <w:t xml:space="preserve">Name: Sofia </w:t>
      </w:r>
      <w:r>
        <w:rPr>
          <w:rFonts w:ascii="Times New Roman" w:cs="Times New Roman" w:eastAsia="Times New Roman" w:hAnsi="Times New Roman"/>
          <w:sz w:val="20"/>
          <w:szCs w:val="20"/>
          <w:color w:val="282828"/>
        </w:rPr>
        <w:t>Barrera Jaime</w:t>
      </w:r>
      <w:r>
        <w:rPr>
          <w:rFonts w:ascii="Times New Roman" w:cs="Times New Roman" w:eastAsia="Times New Roman" w:hAnsi="Times New Roman"/>
          <w:sz w:val="20"/>
          <w:szCs w:val="20"/>
          <w:color w:val="363636"/>
        </w:rPr>
        <w:t xml:space="preserve"> Title: Vice </w:t>
      </w:r>
      <w:r>
        <w:rPr>
          <w:rFonts w:ascii="Times New Roman" w:cs="Times New Roman" w:eastAsia="Times New Roman" w:hAnsi="Times New Roman"/>
          <w:sz w:val="20"/>
          <w:szCs w:val="20"/>
          <w:color w:val="282828"/>
        </w:rPr>
        <w:t>President</w:t>
      </w:r>
    </w:p>
    <w:p>
      <w:pPr>
        <w:sectPr>
          <w:pgSz w:w="11900" w:h="16838" w:orient="portrait"/>
          <w:cols w:equalWidth="0" w:num="1">
            <w:col w:w="9159"/>
          </w:cols>
          <w:pgMar w:left="1300" w:top="1440" w:right="1440" w:bottom="1440" w:gutter="0" w:footer="0" w:header="0"/>
        </w:sectPr>
      </w:pPr>
    </w:p>
    <w:bookmarkStart w:id="57" w:name="page58"/>
    <w:bookmarkEnd w:id="57"/>
    <w:p>
      <w:pPr>
        <w:ind w:left="720" w:right="2479" w:hanging="228"/>
        <w:spacing w:after="0" w:line="285" w:lineRule="auto"/>
        <w:rPr>
          <w:sz w:val="20"/>
          <w:szCs w:val="20"/>
          <w:color w:val="auto"/>
        </w:rPr>
      </w:pPr>
      <w:r>
        <w:rPr>
          <w:rFonts w:ascii="Times New Roman" w:cs="Times New Roman" w:eastAsia="Times New Roman" w:hAnsi="Times New Roman"/>
          <w:sz w:val="21"/>
          <w:szCs w:val="21"/>
          <w:color w:val="auto"/>
        </w:rPr>
        <w:t>ARAB BANKING CORPORATION (B.S.C.) NEW YORK BRANCH a Lender</w:t>
      </w:r>
    </w:p>
    <w:p>
      <w:pPr>
        <w:spacing w:after="0" w:line="394" w:lineRule="exact"/>
        <w:rPr>
          <w:sz w:val="20"/>
          <w:szCs w:val="20"/>
          <w:color w:val="auto"/>
        </w:rPr>
      </w:pPr>
    </w:p>
    <w:p>
      <w:pPr>
        <w:ind w:left="500"/>
        <w:spacing w:after="0"/>
        <w:tabs>
          <w:tab w:leader="none" w:pos="1040" w:val="left"/>
        </w:tabs>
        <w:rPr>
          <w:sz w:val="20"/>
          <w:szCs w:val="20"/>
          <w:color w:val="auto"/>
        </w:rPr>
      </w:pPr>
      <w:r>
        <w:rPr>
          <w:rFonts w:ascii="Times New Roman" w:cs="Times New Roman" w:eastAsia="Times New Roman" w:hAnsi="Times New Roman"/>
          <w:sz w:val="21"/>
          <w:szCs w:val="21"/>
          <w:color w:val="auto"/>
        </w:rPr>
        <w:t>By:</w:t>
        <w:tab/>
        <w:t>/s/ Gautier Strub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-8890</wp:posOffset>
            </wp:positionV>
            <wp:extent cx="12934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Name: Gautier Strub</w:t>
      </w:r>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Title: Senior Relationship Manager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0"/>
        <w:spacing w:after="0"/>
        <w:tabs>
          <w:tab w:leader="none" w:pos="1040" w:val="left"/>
        </w:tabs>
        <w:rPr>
          <w:sz w:val="20"/>
          <w:szCs w:val="20"/>
          <w:color w:val="auto"/>
        </w:rPr>
      </w:pPr>
      <w:r>
        <w:rPr>
          <w:rFonts w:ascii="Times New Roman" w:cs="Times New Roman" w:eastAsia="Times New Roman" w:hAnsi="Times New Roman"/>
          <w:sz w:val="21"/>
          <w:szCs w:val="21"/>
          <w:color w:val="auto"/>
        </w:rPr>
        <w:t>By:</w:t>
        <w:tab/>
        <w:t>/s/ Rebecca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-8890</wp:posOffset>
            </wp:positionV>
            <wp:extent cx="133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Name: Rebecca Yu</w:t>
      </w:r>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Title: Head of Credit &amp; Risk</w:t>
      </w:r>
    </w:p>
    <w:p>
      <w:pPr>
        <w:sectPr>
          <w:pgSz w:w="11900" w:h="16838" w:orient="portrait"/>
          <w:cols w:equalWidth="0" w:num="1">
            <w:col w:w="9019"/>
          </w:cols>
          <w:pgMar w:left="1440" w:top="1079"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DNB CAPITAL LLC, as a Lender</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/s/ Sybille Andaur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-8890</wp:posOffset>
            </wp:positionV>
            <wp:extent cx="11144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Sybille Andaur</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George Philippopoulos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-8890</wp:posOffset>
            </wp:positionV>
            <wp:extent cx="15379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37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Name: George Philippopoulos</w:t>
      </w:r>
    </w:p>
    <w:p>
      <w:pPr>
        <w:spacing w:after="0"/>
        <w:rPr>
          <w:sz w:val="20"/>
          <w:szCs w:val="20"/>
          <w:color w:val="auto"/>
        </w:rPr>
      </w:pPr>
      <w:r>
        <w:rPr>
          <w:rFonts w:ascii="Times New Roman" w:cs="Times New Roman" w:eastAsia="Times New Roman" w:hAnsi="Times New Roman"/>
          <w:sz w:val="21"/>
          <w:szCs w:val="21"/>
          <w:color w:val="auto"/>
        </w:rPr>
        <w:t>Title: Legal Counsel</w:t>
      </w:r>
    </w:p>
    <w:p>
      <w:pPr>
        <w:sectPr>
          <w:pgSz w:w="11900" w:h="16838" w:orient="portrait"/>
          <w:cols w:equalWidth="0" w:num="1">
            <w:col w:w="9099"/>
          </w:cols>
          <w:pgMar w:left="1360" w:top="1397"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48260</wp:posOffset>
            </wp:positionV>
            <wp:extent cx="35166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Anuj Dhruv, certify that:</w:t>
      </w:r>
    </w:p>
    <w:p>
      <w:pPr>
        <w:spacing w:after="0" w:line="111"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48260</wp:posOffset>
            </wp:positionV>
            <wp:extent cx="28943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Anuj Dhruv</w:t>
      </w:r>
    </w:p>
    <w:p>
      <w:pPr>
        <w:spacing w:after="0" w:line="2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June 30, 2025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14605</wp:posOffset>
            </wp:positionV>
            <wp:extent cx="26079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June 30, 2025 as filed with the Securities and Exchange Commission on the date hereof (the "Report"), I, Anuj Dhruv,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68" w:lineRule="auto"/>
        <w:tabs>
          <w:tab w:leader="none" w:pos="12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Anuj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48260</wp:posOffset>
            </wp:positionV>
            <wp:extent cx="3458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Anuj Dhruv</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July 23, 2025</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lvl w:ilvl="1">
      <w:lvlJc w:val="left"/>
      <w:lvlText w:val="(%2)"/>
      <w:numFmt w:val="lowerLetter"/>
      <w:start w:val="1"/>
    </w:lvl>
  </w:abstractNum>
  <w:abstractNum w:abstractNumId="21">
    <w:nsid w:val="2901D82"/>
    <w:multiLevelType w:val="hybridMultilevel"/>
    <w:lvl w:ilvl="0">
      <w:lvlJc w:val="left"/>
      <w:lvlText w:val="(%1)"/>
      <w:numFmt w:val="lowerLetter"/>
      <w:start w:val="2"/>
    </w:lvl>
  </w:abstractNum>
  <w:abstractNum w:abstractNumId="22">
    <w:nsid w:val="3A95F874"/>
    <w:multiLevelType w:val="hybridMultilevel"/>
    <w:lvl w:ilvl="0">
      <w:lvlJc w:val="left"/>
      <w:lvlText w:val="(%1)"/>
      <w:numFmt w:val="lowerLetter"/>
      <w:start w:val="3"/>
    </w:lvl>
  </w:abstractNum>
  <w:abstractNum w:abstractNumId="23">
    <w:nsid w:val="8138641"/>
    <w:multiLevelType w:val="hybridMultilevel"/>
    <w:lvl w:ilvl="0">
      <w:lvlJc w:val="left"/>
      <w:lvlText w:val="%1."/>
      <w:numFmt w:val="decimal"/>
      <w:start w:val="3"/>
    </w:lvl>
    <w:lvl w:ilvl="1">
      <w:lvlJc w:val="left"/>
      <w:lvlText w:val="(%2)"/>
      <w:numFmt w:val="lowerLetter"/>
      <w:start w:val="1"/>
    </w:lvl>
  </w:abstractNum>
  <w:abstractNum w:abstractNumId="24">
    <w:nsid w:val="1E7FF521"/>
    <w:multiLevelType w:val="hybridMultilevel"/>
    <w:lvl w:ilvl="0">
      <w:lvlJc w:val="left"/>
      <w:lvlText w:val="%1."/>
      <w:numFmt w:val="decimal"/>
      <w:start w:val="4"/>
    </w:lvl>
  </w:abstractNum>
  <w:abstractNum w:abstractNumId="25">
    <w:nsid w:val="7C3DBD3D"/>
    <w:multiLevelType w:val="hybridMultilevel"/>
    <w:lvl w:ilvl="0">
      <w:lvlJc w:val="left"/>
      <w:lvlText w:val="%1"/>
      <w:numFmt w:val="decimal"/>
      <w:start w:val="1"/>
    </w:lvl>
    <w:lvl w:ilvl="1">
      <w:lvlJc w:val="left"/>
      <w:lvlText w:val="(%2)"/>
      <w:numFmt w:val="lowerLetter"/>
      <w:start w:val="1"/>
    </w:lvl>
  </w:abstractNum>
  <w:abstractNum w:abstractNumId="26">
    <w:nsid w:val="737B8DDC"/>
    <w:multiLevelType w:val="hybridMultilevel"/>
    <w:lvl w:ilvl="0">
      <w:lvlJc w:val="left"/>
      <w:lvlText w:val="%1."/>
      <w:numFmt w:val="decimal"/>
      <w:start w:val="5"/>
    </w:lvl>
    <w:lvl w:ilvl="1">
      <w:lvlJc w:val="left"/>
      <w:lvlText w:val="(%2)"/>
      <w:numFmt w:val="lowerLetter"/>
      <w:start w:val="1"/>
    </w:lvl>
  </w:abstractNum>
  <w:abstractNum w:abstractNumId="27">
    <w:nsid w:val="6CEAF087"/>
    <w:multiLevelType w:val="hybridMultilevel"/>
    <w:lvl w:ilvl="0">
      <w:lvlJc w:val="left"/>
      <w:lvlText w:val="(%1)"/>
      <w:numFmt w:val="lowerLetter"/>
      <w:start w:val="4"/>
    </w:lvl>
  </w:abstractNum>
  <w:abstractNum w:abstractNumId="28">
    <w:nsid w:val="22221A70"/>
    <w:multiLevelType w:val="hybridMultilevel"/>
    <w:lvl w:ilvl="0">
      <w:lvlJc w:val="left"/>
      <w:lvlText w:val="%1"/>
      <w:numFmt w:val="decimal"/>
      <w:start w:val="1"/>
    </w:lvl>
    <w:lvl w:ilvl="1">
      <w:lvlJc w:val="left"/>
      <w:lvlText w:val="(%2)"/>
      <w:numFmt w:val="lowerLetter"/>
      <w:start w:val="1"/>
    </w:lvl>
  </w:abstractNum>
  <w:abstractNum w:abstractNumId="29">
    <w:nsid w:val="4516DDE9"/>
    <w:multiLevelType w:val="hybridMultilevel"/>
    <w:lvl w:ilvl="0">
      <w:lvlJc w:val="left"/>
      <w:lvlText w:val="%1."/>
      <w:numFmt w:val="decimal"/>
      <w:start w:val="7"/>
    </w:lvl>
    <w:lvl w:ilvl="1">
      <w:lvlJc w:val="left"/>
      <w:lvlText w:val="%2"/>
      <w:numFmt w:val="lowerLetter"/>
      <w:start w:val="1"/>
    </w:lvl>
  </w:abstractNum>
  <w:abstractNum w:abstractNumId="30">
    <w:nsid w:val="3006C83E"/>
    <w:multiLevelType w:val="hybridMultilevel"/>
    <w:lvl w:ilvl="0">
      <w:lvlJc w:val="left"/>
      <w:lvlText w:val="%1."/>
      <w:numFmt w:val="decimal"/>
      <w:start w:val="8"/>
    </w:lvl>
  </w:abstractNum>
  <w:abstractNum w:abstractNumId="31">
    <w:nsid w:val="614FD4A1"/>
    <w:multiLevelType w:val="hybridMultilevel"/>
    <w:lvl w:ilvl="0">
      <w:lvlJc w:val="left"/>
      <w:lvlText w:val="%1."/>
      <w:numFmt w:val="decimal"/>
      <w:start w:val="9"/>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54" Type="http://schemas.openxmlformats.org/officeDocument/2006/relationships/hyperlink" Target="https://www.sec.gov/Archives/edgar/data/1603923/000160392325000123/fourthamendedandrestated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2025-07-23T15:42:29Z</dcterms:created>
  <dcterms:modified xsi:type="dcterms:W3CDTF">2025-07-23T15:42:29Z</dcterms:modified>
</cp:coreProperties>
</file>