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7.jpeg" ContentType="image/jpeg"/>
  <Override PartName="/word/media/image26.jpeg" ContentType="image/jpeg"/>
  <Override PartName="/word/media/image25.jpeg" ContentType="image/jpeg"/>
  <Override PartName="/word/media/image21.jpeg" ContentType="image/jpeg"/>
  <Override PartName="/word/media/image6.gif" ContentType="image/gif"/>
  <Override PartName="/word/media/image28.jpeg" ContentType="image/jpeg"/>
  <Override PartName="/word/media/image34.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32.jpeg" ContentType="image/jpeg"/>
  <Override PartName="/word/media/image7.jpeg" ContentType="image/jpeg"/>
  <Override PartName="/word/media/image5.gif" ContentType="image/gif"/>
  <Override PartName="/word/media/image14.jpeg" ContentType="image/jpeg"/>
  <Override PartName="/word/media/image33.jpeg" ContentType="image/jpeg"/>
  <Override PartName="/word/media/image4.gif" ContentType="image/gif"/>
  <Override PartName="/word/media/image1.jpeg" ContentType="image/jpeg"/>
  <Override PartName="/word/media/image22.jpeg" ContentType="image/jpeg"/>
  <Override PartName="/word/media/image2.jpeg" ContentType="image/jpeg"/>
  <Override PartName="/word/media/image23.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val="false"/>
          <w:color w:val="000000"/>
          <w:sz w:val="28"/>
        </w:rPr>
      </w:pPr>
      <w:r>
        <w:rPr>
          <w:rFonts w:ascii="Arial;sans-serif" w:hAnsi="Arial;sans-serif"/>
          <w:b w:val="false"/>
          <w:color w:val="000000"/>
          <w:sz w:val="28"/>
        </w:rPr>
        <w:t>SCHEDULE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Proxy Statement Pursuant to Section 14(a) of the</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Securities Exchange Act of 1934 (Amendment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Filed by the Registrant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Filed by a party other than the Registrant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Check the appropriate box:</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Preliminary Proxy Statement</w:t>
      </w:r>
    </w:p>
    <w:p>
      <w:pPr>
        <w:pStyle w:val="TextBody"/>
        <w:bidi w:val="0"/>
        <w:spacing w:lineRule="auto" w:line="288" w:before="0" w:after="120"/>
        <w:jc w:val="left"/>
        <w:rPr/>
      </w:pPr>
      <w:r>
        <w:rPr>
          <w:color w:val="000000"/>
        </w:rPr>
        <w:t>☐    </w:t>
      </w:r>
      <w:r>
        <w:rPr>
          <w:rFonts w:ascii="Arial;sans-serif" w:hAnsi="Arial;sans-serif"/>
          <w:b/>
          <w:color w:val="000000"/>
          <w:sz w:val="20"/>
        </w:rPr>
        <w:t>Confidential, for Use of the Commission Only (as permitted by Rule 14a-6(e)(2))</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Definitive Proxy Statement</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Definitive Additional Materials</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Soliciting Material Under Rule §240.14a-12</w:t>
      </w:r>
    </w:p>
    <w:p>
      <w:pPr>
        <w:pStyle w:val="TextBody"/>
        <w:bidi w:val="0"/>
        <w:spacing w:before="0" w:after="180"/>
        <w:jc w:val="center"/>
        <w:rPr/>
      </w:pPr>
      <w:r>
        <w:rPr/>
        <w:drawing>
          <wp:inline distT="0" distB="0" distL="0" distR="0">
            <wp:extent cx="18288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0477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Weatherford International plc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(Name of Person(s) Filing Proxy Statement, if other than the Registrant)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No fee required.</w:t>
      </w:r>
    </w:p>
    <w:p>
      <w:pPr>
        <w:pStyle w:val="TextBody"/>
        <w:bidi w:val="0"/>
        <w:spacing w:lineRule="auto" w:line="288" w:before="0" w:after="120"/>
        <w:jc w:val="left"/>
        <w:rPr/>
      </w:pPr>
      <w:r>
        <w:rPr>
          <w:color w:val="000000"/>
        </w:rPr>
        <w:t>☐    </w:t>
      </w:r>
      <w:r>
        <w:rPr>
          <w:rFonts w:ascii="Arial;sans-serif" w:hAnsi="Arial;sans-serif"/>
          <w:b w:val="false"/>
          <w:color w:val="231F20"/>
          <w:sz w:val="20"/>
        </w:rPr>
        <w:t>Fee paid previously with preliminary materials:</w:t>
      </w:r>
    </w:p>
    <w:p>
      <w:pPr>
        <w:pStyle w:val="TextBody"/>
        <w:bidi w:val="0"/>
        <w:spacing w:lineRule="auto" w:line="288" w:before="0" w:after="120"/>
        <w:jc w:val="left"/>
        <w:rPr/>
      </w:pPr>
      <w:r>
        <w:rPr>
          <w:color w:val="000000"/>
        </w:rPr>
        <w:t>☐    </w:t>
      </w:r>
      <w:r>
        <w:rPr>
          <w:rFonts w:ascii="Arial;sans-serif" w:hAnsi="Arial;sans-serif"/>
          <w:b w:val="false"/>
          <w:color w:val="231F20"/>
          <w:sz w:val="20"/>
        </w:rPr>
        <w:t>Fee computed on table in exhibit required by Item 25(b) per Exchange Act Rules 14a-6(i)(1) and 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686550" cy="86487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686550" cy="86487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686550" cy="86487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6686550" cy="86487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80"/>
        <w:jc w:val="center"/>
        <w:rPr>
          <w:rFonts w:ascii="Arial;sans-serif" w:hAnsi="Arial;sans-serif"/>
          <w:b/>
          <w:color w:val="CE1141"/>
          <w:sz w:val="48"/>
        </w:rPr>
      </w:pPr>
      <w:r>
        <w:rPr>
          <w:rFonts w:ascii="Arial;sans-serif" w:hAnsi="Arial;sans-serif"/>
          <w:b/>
          <w:color w:val="CE1141"/>
          <w:sz w:val="48"/>
        </w:rPr>
        <w:t>AGENDA ITEMS FOR YOUR VOTE</w:t>
      </w:r>
    </w:p>
    <w:tbl>
      <w:tblPr>
        <w:tblW w:w="10205" w:type="dxa"/>
        <w:jc w:val="center"/>
        <w:tblInd w:w="0" w:type="dxa"/>
        <w:tblLayout w:type="fixed"/>
        <w:tblCellMar>
          <w:top w:w="28" w:type="dxa"/>
          <w:left w:w="28" w:type="dxa"/>
          <w:bottom w:w="28" w:type="dxa"/>
          <w:right w:w="28" w:type="dxa"/>
        </w:tblCellMar>
      </w:tblPr>
      <w:tblGrid>
        <w:gridCol w:w="2750"/>
        <w:gridCol w:w="2406"/>
        <w:gridCol w:w="2421"/>
        <w:gridCol w:w="674"/>
        <w:gridCol w:w="674"/>
        <w:gridCol w:w="676"/>
        <w:gridCol w:w="176"/>
        <w:gridCol w:w="176"/>
        <w:gridCol w:w="252"/>
      </w:tblGrid>
      <w:tr>
        <w:trPr/>
        <w:tc>
          <w:tcPr>
            <w:tcW w:w="2750"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757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7"/>
              </w:rPr>
            </w:pPr>
            <w:r>
              <w:rPr>
                <w:rFonts w:ascii="Arial;sans-serif" w:hAnsi="Arial;sans-serif"/>
                <w:b/>
                <w:color w:val="000000"/>
                <w:sz w:val="17"/>
              </w:rPr>
              <w:t>Items</w:t>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7"/>
              </w:rPr>
            </w:pPr>
            <w:r>
              <w:rPr>
                <w:rFonts w:ascii="Arial;sans-serif" w:hAnsi="Arial;sans-serif"/>
                <w:b/>
                <w:color w:val="000000"/>
                <w:sz w:val="17"/>
              </w:rPr>
              <w:t>Board Recommendation</w:t>
            </w:r>
          </w:p>
        </w:tc>
        <w:tc>
          <w:tcPr>
            <w:tcW w:w="60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Arial;sans-serif" w:hAnsi="Arial;sans-serif"/>
                <w:b/>
                <w:color w:val="000000"/>
                <w:sz w:val="17"/>
              </w:rPr>
            </w:pPr>
            <w:r>
              <w:rPr>
                <w:rFonts w:ascii="Arial;sans-serif" w:hAnsi="Arial;sans-serif"/>
                <w:b/>
                <w:color w:val="000000"/>
                <w:sz w:val="17"/>
              </w:rPr>
              <w:t>Proxy</w:t>
            </w:r>
          </w:p>
          <w:p>
            <w:pPr>
              <w:pStyle w:val="TableContents"/>
              <w:bidi w:val="0"/>
              <w:spacing w:lineRule="auto" w:line="268" w:before="0" w:after="0"/>
              <w:jc w:val="right"/>
              <w:rPr>
                <w:rFonts w:ascii="Arial;sans-serif" w:hAnsi="Arial;sans-serif"/>
                <w:b/>
                <w:color w:val="000000"/>
                <w:sz w:val="17"/>
              </w:rPr>
            </w:pPr>
            <w:r>
              <w:rPr>
                <w:rFonts w:ascii="Arial;sans-serif" w:hAnsi="Arial;sans-serif"/>
                <w:b/>
                <w:color w:val="000000"/>
                <w:sz w:val="17"/>
              </w:rPr>
              <w:t>Page</w:t>
            </w:r>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CE1141"/>
                <w:sz w:val="20"/>
              </w:rPr>
              <w:t>1.</w:t>
            </w:r>
            <w:r>
              <w:rPr>
                <w:rFonts w:ascii="Arial;sans-serif" w:hAnsi="Arial;sans-serif"/>
                <w:b w:val="false"/>
                <w:color w:val="000000"/>
                <w:sz w:val="20"/>
              </w:rPr>
              <w:t>Election of Directors</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rFonts w:ascii="Arial;sans-serif" w:hAnsi="Arial;sans-serif"/>
                <w:b/>
                <w:color w:val="CE1141"/>
                <w:sz w:val="20"/>
              </w:rPr>
            </w:pPr>
            <w:r>
              <w:rPr>
                <w:rFonts w:ascii="Arial;sans-serif" w:hAnsi="Arial;sans-serif"/>
                <w:b/>
                <w:color w:val="CE1141"/>
                <w:sz w:val="20"/>
              </w:rPr>
              <w:t>FOR</w:t>
            </w:r>
          </w:p>
          <w:p>
            <w:pPr>
              <w:pStyle w:val="TableContents"/>
              <w:bidi w:val="0"/>
              <w:spacing w:lineRule="auto" w:line="268" w:before="0" w:after="0"/>
              <w:ind w:left="0" w:right="0" w:firstLine="42"/>
              <w:jc w:val="left"/>
              <w:rPr>
                <w:rFonts w:ascii="Arial;sans-serif" w:hAnsi="Arial;sans-serif"/>
                <w:b w:val="false"/>
                <w:color w:val="000000"/>
                <w:sz w:val="20"/>
              </w:rPr>
            </w:pPr>
            <w:r>
              <w:rPr>
                <w:rFonts w:ascii="Arial;sans-serif" w:hAnsi="Arial;sans-serif"/>
                <w:b w:val="false"/>
                <w:color w:val="000000"/>
                <w:sz w:val="20"/>
              </w:rPr>
              <w:t>each</w:t>
            </w:r>
          </w:p>
          <w:p>
            <w:pPr>
              <w:pStyle w:val="TableContents"/>
              <w:bidi w:val="0"/>
              <w:spacing w:lineRule="auto" w:line="268" w:before="0" w:after="0"/>
              <w:ind w:left="0" w:right="0" w:firstLine="42"/>
              <w:jc w:val="left"/>
              <w:rPr>
                <w:rFonts w:ascii="Arial;sans-serif" w:hAnsi="Arial;sans-serif"/>
                <w:b w:val="false"/>
                <w:color w:val="000000"/>
                <w:sz w:val="20"/>
              </w:rPr>
            </w:pPr>
            <w:r>
              <w:rPr>
                <w:rFonts w:ascii="Arial;sans-serif" w:hAnsi="Arial;sans-serif"/>
                <w:b w:val="false"/>
                <w:color w:val="000000"/>
                <w:sz w:val="20"/>
              </w:rPr>
              <w:t>nominee</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c77383e576584d77a42c17ee243586bf_70">
              <w:r>
                <w:rPr>
                  <w:rStyle w:val="InternetLink"/>
                  <w:rFonts w:ascii="Arial;sans-serif" w:hAnsi="Arial;sans-serif"/>
                  <w:b/>
                  <w:color w:val="000000"/>
                  <w:sz w:val="24"/>
                  <w:u w:val="single"/>
                </w:rPr>
                <w:t>5</w:t>
              </w:r>
            </w:hyperlink>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CE1141"/>
                <w:sz w:val="20"/>
              </w:rPr>
              <w:t>2.</w:t>
            </w:r>
            <w:r>
              <w:rPr>
                <w:rFonts w:ascii="Arial;sans-serif" w:hAnsi="Arial;sans-serif"/>
                <w:b w:val="false"/>
                <w:color w:val="000000"/>
                <w:sz w:val="20"/>
              </w:rPr>
              <w:t>Ratify the Appointment of Independent Auditors and Authorize Auditors’ Remuneration</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c77383e576584d77a42c17ee243586bf_139">
              <w:r>
                <w:rPr>
                  <w:rStyle w:val="InternetLink"/>
                  <w:rFonts w:ascii="Arial;sans-serif" w:hAnsi="Arial;sans-serif"/>
                  <w:b/>
                  <w:color w:val="000000"/>
                  <w:sz w:val="24"/>
                  <w:u w:val="single"/>
                </w:rPr>
                <w:t>19</w:t>
              </w:r>
            </w:hyperlink>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hanging="360"/>
              <w:jc w:val="left"/>
              <w:rPr/>
            </w:pPr>
            <w:r>
              <w:rPr>
                <w:rFonts w:ascii="Arial;sans-serif" w:hAnsi="Arial;sans-serif"/>
                <w:b/>
                <w:color w:val="CE1141"/>
                <w:sz w:val="20"/>
              </w:rPr>
              <w:t>3.</w:t>
            </w:r>
            <w:r>
              <w:rPr>
                <w:rFonts w:ascii="Arial;sans-serif" w:hAnsi="Arial;sans-serif"/>
                <w:b w:val="false"/>
                <w:color w:val="000000"/>
                <w:sz w:val="20"/>
              </w:rPr>
              <w:t>Approve, on a non-binding advisory basis, our Executive Compensation</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c77383e576584d77a42c17ee243586bf_151">
              <w:r>
                <w:rPr>
                  <w:rStyle w:val="InternetLink"/>
                  <w:rFonts w:ascii="Arial;sans-serif" w:hAnsi="Arial;sans-serif"/>
                  <w:b/>
                  <w:color w:val="000000"/>
                  <w:sz w:val="24"/>
                  <w:u w:val="single"/>
                </w:rPr>
                <w:t>21</w:t>
              </w:r>
            </w:hyperlink>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hanging="360"/>
              <w:jc w:val="left"/>
              <w:rPr/>
            </w:pPr>
            <w:r>
              <w:rPr>
                <w:rFonts w:ascii="Arial;sans-serif" w:hAnsi="Arial;sans-serif"/>
                <w:b/>
                <w:color w:val="CE1141"/>
                <w:sz w:val="20"/>
              </w:rPr>
              <w:t>4.</w:t>
            </w:r>
            <w:r>
              <w:rPr>
                <w:rFonts w:ascii="Arial;sans-serif" w:hAnsi="Arial;sans-serif"/>
                <w:b w:val="false"/>
                <w:color w:val="000000"/>
                <w:sz w:val="20"/>
              </w:rPr>
              <w:t>Approve an Amendment and Restatement of our Equity Incentive Plan</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c77383e576584d77a42c17ee243586bf_895">
              <w:r>
                <w:rPr>
                  <w:rStyle w:val="InternetLink"/>
                  <w:rFonts w:ascii="Arial;sans-serif" w:hAnsi="Arial;sans-serif"/>
                  <w:b/>
                  <w:color w:val="000000"/>
                  <w:sz w:val="24"/>
                  <w:u w:val="single"/>
                </w:rPr>
                <w:t>55</w:t>
              </w:r>
            </w:hyperlink>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pPr>
            <w:r>
              <w:rPr>
                <w:rFonts w:ascii="Arial;sans-serif" w:hAnsi="Arial;sans-serif"/>
                <w:b/>
                <w:color w:val="BF2115"/>
                <w:sz w:val="20"/>
              </w:rPr>
              <w:t>5.</w:t>
            </w:r>
            <w:r>
              <w:rPr>
                <w:rFonts w:ascii="Arial;sans-serif" w:hAnsi="Arial;sans-serif"/>
                <w:b w:val="false"/>
                <w:color w:val="000000"/>
                <w:sz w:val="20"/>
              </w:rPr>
              <w:t>Authority to Issue Shares</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c77383e576584d77a42c17ee243586bf_250">
              <w:r>
                <w:rPr>
                  <w:rStyle w:val="InternetLink"/>
                  <w:rFonts w:ascii="Arial;sans-serif" w:hAnsi="Arial;sans-serif"/>
                  <w:b/>
                  <w:color w:val="000000"/>
                  <w:sz w:val="24"/>
                  <w:u w:val="single"/>
                </w:rPr>
                <w:t>62</w:t>
              </w:r>
            </w:hyperlink>
          </w:p>
        </w:tc>
      </w:tr>
      <w:tr>
        <w:trPr/>
        <w:tc>
          <w:tcPr>
            <w:tcW w:w="7577" w:type="dxa"/>
            <w:gridSpan w:val="3"/>
            <w:tcBorders>
              <w:top w:val="single" w:sz="8" w:space="0" w:color="C6C6C6"/>
              <w:bottom w:val="single" w:sz="8" w:space="0" w:color="C6C6C6"/>
            </w:tcBorders>
            <w:tcMar>
              <w:top w:w="30" w:type="dxa"/>
              <w:left w:w="0" w:type="dxa"/>
              <w:bottom w:w="30" w:type="dxa"/>
              <w:right w:w="0" w:type="dxa"/>
            </w:tcMar>
            <w:vAlign w:val="center"/>
          </w:tcPr>
          <w:p>
            <w:pPr>
              <w:pStyle w:val="TableContents"/>
              <w:bidi w:val="0"/>
              <w:spacing w:lineRule="auto" w:line="268" w:before="0" w:after="0"/>
              <w:ind w:left="0" w:right="0" w:firstLine="42"/>
              <w:jc w:val="left"/>
              <w:rPr/>
            </w:pPr>
            <w:r>
              <w:rPr>
                <w:rFonts w:ascii="Arial;sans-serif" w:hAnsi="Arial;sans-serif"/>
                <w:b/>
                <w:color w:val="BF2115"/>
                <w:sz w:val="20"/>
              </w:rPr>
              <w:t>6.</w:t>
            </w:r>
            <w:r>
              <w:rPr>
                <w:rFonts w:ascii="Arial;sans-serif" w:hAnsi="Arial;sans-serif"/>
                <w:b w:val="false"/>
                <w:color w:val="000000"/>
                <w:sz w:val="20"/>
              </w:rPr>
              <w:t>Power to Opt-Out of Statutory Preemption Rights</w:t>
            </w:r>
          </w:p>
        </w:tc>
        <w:tc>
          <w:tcPr>
            <w:tcW w:w="2024" w:type="dxa"/>
            <w:gridSpan w:val="3"/>
            <w:tcBorders>
              <w:top w:val="single" w:sz="8" w:space="0" w:color="C6C6C6"/>
              <w:bottom w:val="single" w:sz="8" w:space="0" w:color="C6C6C6"/>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bottom w:val="single" w:sz="8" w:space="0" w:color="C6C6C6"/>
            </w:tcBorders>
            <w:tcMar>
              <w:top w:w="30" w:type="dxa"/>
              <w:left w:w="0" w:type="dxa"/>
              <w:bottom w:w="30" w:type="dxa"/>
              <w:right w:w="0" w:type="dxa"/>
            </w:tcMar>
            <w:vAlign w:val="center"/>
          </w:tcPr>
          <w:p>
            <w:pPr>
              <w:pStyle w:val="TableContents"/>
              <w:bidi w:val="0"/>
              <w:spacing w:lineRule="auto" w:line="268" w:before="0" w:after="0"/>
              <w:jc w:val="right"/>
              <w:rPr/>
            </w:pPr>
            <w:hyperlink w:anchor="ic77383e576584d77a42c17ee243586bf_253">
              <w:r>
                <w:rPr>
                  <w:rStyle w:val="InternetLink"/>
                  <w:rFonts w:ascii="Arial;sans-serif" w:hAnsi="Arial;sans-serif"/>
                  <w:b/>
                  <w:color w:val="000000"/>
                  <w:sz w:val="24"/>
                  <w:u w:val="single"/>
                </w:rPr>
                <w:t>63</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38"/>
        <w:gridCol w:w="283"/>
        <w:gridCol w:w="260"/>
        <w:gridCol w:w="738"/>
        <w:gridCol w:w="378"/>
        <w:gridCol w:w="260"/>
        <w:gridCol w:w="260"/>
        <w:gridCol w:w="260"/>
        <w:gridCol w:w="260"/>
        <w:gridCol w:w="578"/>
        <w:gridCol w:w="260"/>
        <w:gridCol w:w="260"/>
        <w:gridCol w:w="738"/>
        <w:gridCol w:w="378"/>
        <w:gridCol w:w="260"/>
        <w:gridCol w:w="260"/>
        <w:gridCol w:w="260"/>
        <w:gridCol w:w="260"/>
        <w:gridCol w:w="738"/>
        <w:gridCol w:w="419"/>
        <w:gridCol w:w="260"/>
        <w:gridCol w:w="738"/>
        <w:gridCol w:w="378"/>
        <w:gridCol w:w="260"/>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4"/>
            <w:tcBorders/>
            <w:shd w:fill="E9E9EA"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C3002F"/>
                <w:sz w:val="40"/>
              </w:rPr>
            </w:pPr>
            <w:r>
              <w:rPr>
                <w:rFonts w:ascii="Arial Narrow;sans-serif" w:hAnsi="Arial Narrow;sans-serif"/>
                <w:b/>
                <w:color w:val="C3002F"/>
                <w:sz w:val="40"/>
              </w:rPr>
              <w:t>ADVANCE VOTING DEADLINE</w:t>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4"/>
            <w:tcBorders/>
            <w:shd w:fill="E9E9EA"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11:59 p.m. Eastern Time on June 10, 2025</w:t>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4"/>
            <w:tcBorders/>
            <w:shd w:fill="E9E9EA"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38"/>
              </w:rPr>
            </w:pPr>
            <w:r>
              <w:rPr>
                <w:rFonts w:ascii="Arial Narrow;sans-serif" w:hAnsi="Arial Narrow;sans-serif"/>
                <w:b w:val="false"/>
                <w:color w:val="000000"/>
                <w:sz w:val="38"/>
              </w:rPr>
              <w:t>Voting instructions for shareholders of record and beneficial shareholders</w:t>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4"/>
            <w:tcBorders/>
            <w:shd w:fill="E9E9EA"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You may vote in person at the meeting, or you may vote in advance by using one of the following options. In all cases, have your proxy card or voting instructions form in hand and follow the instructions.</w:t>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3002F"/>
              <w:left w:val="single" w:sz="8" w:space="0" w:color="C3002F"/>
            </w:tcBorders>
            <w:shd w:fill="E9E9EA"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C3002F"/>
              <w:left w:val="single" w:sz="8" w:space="0" w:color="C3002F"/>
            </w:tcBorders>
            <w:shd w:fill="E9E9EA"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C3002F"/>
              <w:left w:val="single" w:sz="8" w:space="0" w:color="C3002F"/>
            </w:tcBorders>
            <w:shd w:fill="E9E9EA"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0"/>
              <w:jc w:val="left"/>
              <w:rPr/>
            </w:pPr>
            <w:r>
              <w:rPr/>
              <w:drawing>
                <wp:inline distT="0" distB="0" distL="0" distR="0">
                  <wp:extent cx="571500" cy="6191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571500" cy="619125"/>
                          </a:xfrm>
                          <a:prstGeom prst="rect">
                            <a:avLst/>
                          </a:prstGeom>
                        </pic:spPr>
                      </pic:pic>
                    </a:graphicData>
                  </a:graphic>
                </wp:inline>
              </w:drawing>
            </w:r>
          </w:p>
        </w:tc>
        <w:tc>
          <w:tcPr>
            <w:tcW w:w="1376" w:type="dxa"/>
            <w:gridSpan w:val="3"/>
            <w:vMerge w:val="restart"/>
            <w:tcBorders/>
            <w:shd w:fill="E9E9EA"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C3002F"/>
                <w:sz w:val="31"/>
              </w:rPr>
            </w:pPr>
            <w:r>
              <w:rPr>
                <w:rFonts w:ascii="Arial Narrow;sans-serif" w:hAnsi="Arial Narrow;sans-serif"/>
                <w:b/>
                <w:color w:val="C3002F"/>
                <w:sz w:val="31"/>
              </w:rPr>
              <w:t>By mail</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Follow the</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instructions to</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mark, sign, and date</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your proxy card</w:t>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0"/>
              <w:jc w:val="left"/>
              <w:rPr/>
            </w:pPr>
            <w:r>
              <w:rPr/>
              <w:drawing>
                <wp:inline distT="0" distB="0" distL="0" distR="0">
                  <wp:extent cx="419100" cy="6858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419100" cy="685800"/>
                          </a:xfrm>
                          <a:prstGeom prst="rect">
                            <a:avLst/>
                          </a:prstGeom>
                        </pic:spPr>
                      </pic:pic>
                    </a:graphicData>
                  </a:graphic>
                </wp:inline>
              </w:drawing>
            </w:r>
          </w:p>
        </w:tc>
        <w:tc>
          <w:tcPr>
            <w:tcW w:w="1376" w:type="dxa"/>
            <w:gridSpan w:val="3"/>
            <w:tcBorders>
              <w:bottom w:val="single" w:sz="8" w:space="0" w:color="C3002F"/>
            </w:tcBorders>
            <w:shd w:fill="E9E9EA" w:val="clear"/>
            <w:tcMar>
              <w:top w:w="0" w:type="dxa"/>
              <w:left w:w="0" w:type="dxa"/>
              <w:bottom w:w="30" w:type="dxa"/>
              <w:right w:w="0" w:type="dxa"/>
            </w:tcMar>
            <w:vAlign w:val="center"/>
          </w:tcPr>
          <w:p>
            <w:pPr>
              <w:pStyle w:val="TableContents"/>
              <w:bidi w:val="0"/>
              <w:spacing w:lineRule="auto" w:line="288" w:before="0" w:after="0"/>
              <w:jc w:val="left"/>
              <w:rPr>
                <w:rFonts w:ascii="Arial Narrow;sans-serif" w:hAnsi="Arial Narrow;sans-serif"/>
                <w:b/>
                <w:color w:val="C3002F"/>
                <w:sz w:val="31"/>
              </w:rPr>
            </w:pPr>
            <w:r>
              <w:rPr>
                <w:rFonts w:ascii="Arial Narrow;sans-serif" w:hAnsi="Arial Narrow;sans-serif"/>
                <w:b/>
                <w:color w:val="C3002F"/>
                <w:sz w:val="31"/>
              </w:rPr>
              <w:t>By phone</w:t>
            </w:r>
          </w:p>
          <w:p>
            <w:pPr>
              <w:pStyle w:val="TableContents"/>
              <w:bidi w:val="0"/>
              <w:spacing w:lineRule="auto" w:line="288" w:before="0" w:after="0"/>
              <w:jc w:val="left"/>
              <w:rPr/>
            </w:pPr>
            <w:r>
              <w:rPr>
                <w:rFonts w:ascii="Arial;sans-serif" w:hAnsi="Arial;sans-serif"/>
                <w:b w:val="false"/>
                <w:color w:val="000000"/>
                <w:sz w:val="20"/>
              </w:rPr>
              <w:t>U</w:t>
            </w:r>
            <w:r>
              <w:rPr>
                <w:rFonts w:ascii="Arial;sans-serif" w:hAnsi="Arial;sans-serif"/>
                <w:b w:val="false"/>
                <w:color w:val="000000"/>
                <w:sz w:val="19"/>
              </w:rPr>
              <w:t>se any touch-tone</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telephone to transmit</w:t>
            </w:r>
          </w:p>
          <w:p>
            <w:pPr>
              <w:pStyle w:val="TableContents"/>
              <w:bidi w:val="0"/>
              <w:spacing w:lineRule="auto" w:line="288" w:before="0" w:after="0"/>
              <w:jc w:val="left"/>
              <w:rPr/>
            </w:pPr>
            <w:r>
              <w:rPr>
                <w:rFonts w:ascii="Arial;sans-serif" w:hAnsi="Arial;sans-serif"/>
                <w:b w:val="false"/>
                <w:color w:val="000000"/>
                <w:sz w:val="19"/>
              </w:rPr>
              <w:t>your voting instru</w:t>
            </w:r>
            <w:r>
              <w:rPr>
                <w:rFonts w:ascii="Arial;sans-serif" w:hAnsi="Arial;sans-serif"/>
                <w:b w:val="false"/>
                <w:color w:val="000000"/>
                <w:sz w:val="20"/>
              </w:rPr>
              <w:t>ctions</w:t>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0"/>
              <w:jc w:val="left"/>
              <w:rPr/>
            </w:pPr>
            <w:r>
              <w:rPr/>
              <w:drawing>
                <wp:inline distT="0" distB="0" distL="0" distR="0">
                  <wp:extent cx="685800" cy="552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685800" cy="552450"/>
                          </a:xfrm>
                          <a:prstGeom prst="rect">
                            <a:avLst/>
                          </a:prstGeom>
                        </pic:spPr>
                      </pic:pic>
                    </a:graphicData>
                  </a:graphic>
                </wp:inline>
              </w:drawing>
            </w:r>
          </w:p>
        </w:tc>
        <w:tc>
          <w:tcPr>
            <w:tcW w:w="1376" w:type="dxa"/>
            <w:gridSpan w:val="3"/>
            <w:tcBorders>
              <w:bottom w:val="single" w:sz="8" w:space="0" w:color="C3002F"/>
            </w:tcBorders>
            <w:shd w:fill="E9E9EA" w:val="clear"/>
            <w:tcMar>
              <w:top w:w="0" w:type="dxa"/>
              <w:left w:w="0" w:type="dxa"/>
              <w:bottom w:w="30" w:type="dxa"/>
              <w:right w:w="0" w:type="dxa"/>
            </w:tcMar>
            <w:vAlign w:val="center"/>
          </w:tcPr>
          <w:p>
            <w:pPr>
              <w:pStyle w:val="TableContents"/>
              <w:bidi w:val="0"/>
              <w:spacing w:lineRule="auto" w:line="288" w:before="0" w:after="0"/>
              <w:jc w:val="left"/>
              <w:rPr>
                <w:rFonts w:ascii="Arial Narrow;sans-serif" w:hAnsi="Arial Narrow;sans-serif"/>
                <w:b/>
                <w:color w:val="C3002F"/>
                <w:sz w:val="31"/>
              </w:rPr>
            </w:pPr>
            <w:r>
              <w:rPr>
                <w:rFonts w:ascii="Arial Narrow;sans-serif" w:hAnsi="Arial Narrow;sans-serif"/>
                <w:b/>
                <w:color w:val="C3002F"/>
                <w:sz w:val="31"/>
              </w:rPr>
              <w:t>By internet</w:t>
            </w:r>
          </w:p>
          <w:p>
            <w:pPr>
              <w:pStyle w:val="TableContents"/>
              <w:bidi w:val="0"/>
              <w:spacing w:lineRule="auto" w:line="288" w:before="0" w:after="0"/>
              <w:jc w:val="left"/>
              <w:rPr/>
            </w:pPr>
            <w:r>
              <w:rPr>
                <w:rFonts w:ascii="Arial;sans-serif" w:hAnsi="Arial;sans-serif"/>
                <w:b w:val="false"/>
                <w:color w:val="000000"/>
                <w:sz w:val="20"/>
              </w:rPr>
              <w:t>U</w:t>
            </w:r>
            <w:r>
              <w:rPr>
                <w:rFonts w:ascii="Arial;sans-serif" w:hAnsi="Arial;sans-serif"/>
                <w:b w:val="false"/>
                <w:color w:val="000000"/>
                <w:sz w:val="19"/>
              </w:rPr>
              <w:t>se the internet to</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transmit your voting</w:t>
            </w:r>
          </w:p>
          <w:p>
            <w:pPr>
              <w:pStyle w:val="TableContents"/>
              <w:bidi w:val="0"/>
              <w:spacing w:lineRule="auto" w:line="288" w:before="0" w:after="0"/>
              <w:jc w:val="left"/>
              <w:rPr/>
            </w:pPr>
            <w:r>
              <w:rPr>
                <w:rFonts w:ascii="Arial;sans-serif" w:hAnsi="Arial;sans-serif"/>
                <w:b w:val="false"/>
                <w:color w:val="000000"/>
                <w:sz w:val="19"/>
              </w:rPr>
              <w:t>instru</w:t>
            </w:r>
            <w:r>
              <w:rPr>
                <w:rFonts w:ascii="Arial;sans-serif" w:hAnsi="Arial;sans-serif"/>
                <w:b w:val="false"/>
                <w:color w:val="000000"/>
                <w:sz w:val="20"/>
              </w:rPr>
              <w:t>ctions</w:t>
            </w:r>
          </w:p>
        </w:tc>
        <w:tc>
          <w:tcPr>
            <w:tcW w:w="379"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shd w:fill="E9E9EA" w:val="clear"/>
            <w:tcMar>
              <w:top w:w="0" w:type="dxa"/>
              <w:left w:w="0" w:type="dxa"/>
              <w:bottom w:w="0" w:type="dxa"/>
              <w:right w:w="0" w:type="dxa"/>
            </w:tcMar>
            <w:vAlign w:val="center"/>
          </w:tcPr>
          <w:p>
            <w:pPr>
              <w:pStyle w:val="Normal"/>
              <w:bidi w:val="0"/>
              <w:jc w:val="left"/>
              <w:rPr/>
            </w:pPr>
            <w:r>
              <w:rPr/>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op w:val="single" w:sz="8" w:space="0" w:color="C3002F"/>
              <w:left w:val="single" w:sz="8" w:space="0" w:color="C3002F"/>
            </w:tcBorders>
            <w:shd w:fill="C3002F" w:val="clear"/>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FFFFFF"/>
                <w:sz w:val="27"/>
              </w:rPr>
            </w:pPr>
            <w:r>
              <w:rPr>
                <w:rFonts w:ascii="Arial Narrow;sans-serif" w:hAnsi="Arial Narrow;sans-serif"/>
                <w:b/>
                <w:color w:val="FFFFFF"/>
                <w:sz w:val="27"/>
              </w:rPr>
              <w:t>1-800-690-6903</w:t>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6"/>
            <w:tcBorders>
              <w:top w:val="single" w:sz="8" w:space="0" w:color="C3002F"/>
              <w:left w:val="single" w:sz="8" w:space="0" w:color="C3002F"/>
            </w:tcBorders>
            <w:shd w:fill="C3002F" w:val="clear"/>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FFFFFF"/>
                <w:sz w:val="27"/>
              </w:rPr>
            </w:pPr>
            <w:r>
              <w:rPr>
                <w:rFonts w:ascii="Arial Narrow;sans-serif" w:hAnsi="Arial Narrow;sans-serif"/>
                <w:b/>
                <w:color w:val="FFFFFF"/>
                <w:sz w:val="27"/>
              </w:rPr>
              <w:t>www.proxyvote.com</w:t>
            </w:r>
          </w:p>
        </w:tc>
        <w:tc>
          <w:tcPr>
            <w:tcW w:w="379"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6B6B6A"/>
          <w:sz w:val="40"/>
        </w:rPr>
      </w:pPr>
      <w:r>
        <w:rPr>
          <w:rFonts w:ascii="Arial;sans-serif" w:hAnsi="Arial;sans-serif"/>
          <w:b/>
          <w:color w:val="6B6B6A"/>
          <w:sz w:val="40"/>
        </w:rPr>
        <w:t xml:space="preserve">Shareholder Feedback </w:t>
      </w:r>
    </w:p>
    <w:p>
      <w:pPr>
        <w:pStyle w:val="TextBody"/>
        <w:bidi w:val="0"/>
        <w:spacing w:lineRule="auto" w:line="288" w:before="0" w:after="180"/>
        <w:jc w:val="left"/>
        <w:rPr/>
      </w:pPr>
      <w:r>
        <w:rPr>
          <w:rFonts w:ascii="Arial;sans-serif" w:hAnsi="Arial;sans-serif"/>
          <w:b w:val="false"/>
          <w:color w:val="6B6B6A"/>
          <w:sz w:val="20"/>
        </w:rPr>
        <w:t xml:space="preserve">Feedback from our shareholders is important to us and considered carefully. Your Board will be available at the Annual General Meeting to respond to any questions shareholders may raise regarding our activities. Once again, we invite interested parties to submit feedback through our Annual General Meeting website, </w:t>
      </w:r>
      <w:r>
        <w:rPr>
          <w:rFonts w:ascii="Arial;sans-serif" w:hAnsi="Arial;sans-serif"/>
          <w:b/>
          <w:color w:val="6B6B6A"/>
          <w:sz w:val="20"/>
        </w:rPr>
        <w:t>www.weatherfordannualmeeting.com</w:t>
      </w:r>
      <w:r>
        <w:rPr>
          <w:rFonts w:ascii="Arial;sans-serif" w:hAnsi="Arial;sans-serif"/>
          <w:b w:val="false"/>
          <w:color w:val="6B6B6A"/>
          <w:sz w:val="20"/>
        </w:rPr>
        <w:t>.</w:t>
      </w:r>
    </w:p>
    <w:p>
      <w:pPr>
        <w:pStyle w:val="TextBody"/>
        <w:bidi w:val="0"/>
        <w:spacing w:lineRule="auto" w:line="288" w:before="0" w:after="180"/>
        <w:jc w:val="left"/>
        <w:rPr>
          <w:rFonts w:ascii="Arial;sans-serif" w:hAnsi="Arial;sans-serif"/>
          <w:b/>
          <w:color w:val="6B6B6A"/>
          <w:sz w:val="40"/>
        </w:rPr>
      </w:pPr>
      <w:r>
        <w:rPr>
          <w:rFonts w:ascii="Arial;sans-serif" w:hAnsi="Arial;sans-serif"/>
          <w:b/>
          <w:color w:val="6B6B6A"/>
          <w:sz w:val="40"/>
        </w:rPr>
        <w:t>Website References and Additional Materials</w:t>
      </w:r>
    </w:p>
    <w:p>
      <w:pPr>
        <w:pStyle w:val="TextBody"/>
        <w:bidi w:val="0"/>
        <w:spacing w:lineRule="auto" w:line="288" w:before="0" w:after="180"/>
        <w:jc w:val="left"/>
        <w:rPr/>
      </w:pPr>
      <w:r>
        <w:rPr>
          <w:rFonts w:ascii="Arial;sans-serif" w:hAnsi="Arial;sans-serif"/>
          <w:b w:val="false"/>
          <w:color w:val="6B6B6A"/>
          <w:sz w:val="20"/>
        </w:rPr>
        <w:t xml:space="preserve">This Proxy Statement includes several website addresses and references to additional materials found on those websites, including </w:t>
      </w:r>
      <w:r>
        <w:rPr>
          <w:rFonts w:ascii="Arial;sans-serif" w:hAnsi="Arial;sans-serif"/>
          <w:b/>
          <w:color w:val="6B6B6A"/>
          <w:sz w:val="20"/>
        </w:rPr>
        <w:t>www.weatherford.com</w:t>
      </w:r>
      <w:r>
        <w:rPr>
          <w:rFonts w:ascii="Arial;sans-serif" w:hAnsi="Arial;sans-serif"/>
          <w:b w:val="false"/>
          <w:color w:val="6B6B6A"/>
          <w:sz w:val="20"/>
        </w:rPr>
        <w:t>. These websites and materials are not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68325"/>
                <wp:effectExtent l="0" t="0" r="0" b="0"/>
                <wp:wrapNone/>
                <wp:docPr id="10" name="Frame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88" w:before="0" w:after="0"/>
        <w:jc w:val="left"/>
        <w:rPr>
          <w:rFonts w:ascii="Arial;sans-serif" w:hAnsi="Arial;sans-serif"/>
          <w:b w:val="false"/>
          <w:color w:val="414042"/>
          <w:sz w:val="64"/>
        </w:rPr>
      </w:pPr>
      <w:r>
        <w:rPr>
          <w:rFonts w:ascii="Arial;sans-serif" w:hAnsi="Arial;sans-serif"/>
          <w:b w:val="false"/>
          <w:color w:val="414042"/>
          <w:sz w:val="64"/>
        </w:rPr>
        <w:t>LETTER TO SHAREHOLDERS</w:t>
      </w:r>
    </w:p>
    <w:p>
      <w:pPr>
        <w:pStyle w:val="TextBody"/>
        <w:bidi w:val="0"/>
        <w:spacing w:lineRule="auto" w:line="249" w:before="0" w:after="180"/>
        <w:jc w:val="left"/>
        <w:rPr>
          <w:rFonts w:ascii="Arial;sans-serif" w:hAnsi="Arial;sans-serif"/>
          <w:b/>
          <w:color w:val="CE1141"/>
          <w:sz w:val="40"/>
        </w:rPr>
      </w:pPr>
      <w:r>
        <w:rPr>
          <w:rFonts w:ascii="Arial;sans-serif" w:hAnsi="Arial;sans-serif"/>
          <w:b/>
          <w:color w:val="CE1141"/>
          <w:sz w:val="40"/>
        </w:rPr>
        <w:t xml:space="preserve">Dear Fellow Shareholder,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Weatherford has undergone a profound transformation, evolving into a stronger, more agile, and technology-driven organization. Over the past four years, we have reinforced operational excellence, sharpened financial discipline, and expanded our innovation capabilities—positioning the Company for sustained profitability and long-term success.</w:t>
      </w:r>
    </w:p>
    <w:p>
      <w:pPr>
        <w:pStyle w:val="TextBody"/>
        <w:bidi w:val="0"/>
        <w:spacing w:lineRule="auto" w:line="268" w:before="0" w:after="120"/>
        <w:jc w:val="left"/>
        <w:rPr/>
      </w:pPr>
      <w:r>
        <w:rPr>
          <w:rFonts w:ascii="Arial;sans-serif" w:hAnsi="Arial;sans-serif"/>
          <w:b w:val="false"/>
          <w:color w:val="000000"/>
          <w:sz w:val="20"/>
        </w:rPr>
        <w:t>2024 was another pivotal year. We achieved record adjusted EBITDA margins* and continued fortifying our capital structure by reducing leverage and enhancing liquidity. We also launched Weatherford’s first-ever shareholder return program, including an expected annual dividend of $1 per share and an authorization for a share repurchase program of up to $500 million over three</w:t>
      </w:r>
      <w:r>
        <w:rPr>
          <w:color w:val="000000"/>
        </w:rPr>
        <w:t xml:space="preserve"> </w:t>
      </w:r>
      <w:r>
        <w:rPr>
          <w:rFonts w:ascii="Arial;sans-serif" w:hAnsi="Arial;sans-serif"/>
          <w:b w:val="false"/>
          <w:color w:val="000000"/>
          <w:sz w:val="20"/>
        </w:rPr>
        <w:t>years, underscoring our commitment to delivering long-term value.</w:t>
      </w:r>
    </w:p>
    <w:p>
      <w:pPr>
        <w:pStyle w:val="TextBody"/>
        <w:bidi w:val="0"/>
        <w:spacing w:lineRule="auto" w:line="256" w:before="0" w:after="120"/>
        <w:jc w:val="left"/>
        <w:rPr>
          <w:rFonts w:ascii="Arial;sans-serif" w:hAnsi="Arial;sans-serif"/>
          <w:b w:val="false"/>
          <w:color w:val="000000"/>
          <w:sz w:val="20"/>
        </w:rPr>
      </w:pPr>
      <w:r>
        <w:rPr>
          <w:rFonts w:ascii="Arial;sans-serif" w:hAnsi="Arial;sans-serif"/>
          <w:b w:val="false"/>
          <w:color w:val="000000"/>
          <w:sz w:val="20"/>
        </w:rPr>
        <w:t>Operationally, 2024 was the safest year in Weatherford’s modern history. Our commitment to safety, quality, and operational discipline resulted in new benchmarks in performance across key safety metrics, further embedding our culture of accountability and excellence. This milestone is a testament to the dedication of our people, who continue to prioritize safety and operational integrity in everything we do.</w:t>
      </w:r>
    </w:p>
    <w:p>
      <w:pPr>
        <w:pStyle w:val="TextBody"/>
        <w:bidi w:val="0"/>
        <w:spacing w:lineRule="auto" w:line="256" w:before="0" w:after="120"/>
        <w:jc w:val="left"/>
        <w:rPr>
          <w:rFonts w:ascii="Arial;sans-serif" w:hAnsi="Arial;sans-serif"/>
          <w:b w:val="false"/>
          <w:color w:val="000000"/>
          <w:sz w:val="20"/>
        </w:rPr>
      </w:pPr>
      <w:r>
        <w:rPr>
          <w:rFonts w:ascii="Arial;sans-serif" w:hAnsi="Arial;sans-serif"/>
          <w:b w:val="false"/>
          <w:color w:val="000000"/>
          <w:sz w:val="20"/>
        </w:rPr>
        <w:t xml:space="preserve">While the oilfield services sector has seen a significant negative equity market performance in the second half of 2024, we have demonstrated the capability of the Company in different cycles. We secured credit rating upgrades from S&amp;P Global Ratings and Fitch, reflecting our improved financial standing. At the same time, our focus on technology innovation and strategic acquisitions—including the successful integration of four companies in 2024—has reinforced our leadership in digitalization, well intervention, and production optimization. </w:t>
      </w:r>
    </w:p>
    <w:p>
      <w:pPr>
        <w:pStyle w:val="TextBody"/>
        <w:bidi w:val="0"/>
        <w:spacing w:before="0" w:after="120"/>
        <w:jc w:val="left"/>
        <w:rPr/>
      </w:pPr>
      <w:r>
        <w:rPr/>
      </w:r>
    </w:p>
    <w:p>
      <w:pPr>
        <w:pStyle w:val="TextBody"/>
        <w:bidi w:val="0"/>
        <w:spacing w:before="120" w:after="120"/>
        <w:jc w:val="center"/>
        <w:rPr/>
      </w:pPr>
      <w:r>
        <w:rPr/>
        <w:drawing>
          <wp:inline distT="0" distB="0" distL="0" distR="0">
            <wp:extent cx="7086600" cy="40862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7086600" cy="4086225"/>
                    </a:xfrm>
                    <a:prstGeom prst="rect">
                      <a:avLst/>
                    </a:prstGeom>
                  </pic:spPr>
                </pic:pic>
              </a:graphicData>
            </a:graphic>
          </wp:inline>
        </w:drawing>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120" w:after="120"/>
        <w:jc w:val="left"/>
        <w:rPr/>
      </w:pPr>
      <w:r>
        <w:rPr>
          <w:rFonts w:ascii="Arial;sans-serif" w:hAnsi="Arial;sans-serif"/>
          <w:b w:val="false"/>
          <w:color w:val="000000"/>
          <w:sz w:val="28"/>
        </w:rPr>
        <w:t>*</w:t>
      </w:r>
      <w:r>
        <w:rPr>
          <w:color w:val="000000"/>
        </w:rPr>
        <w:t xml:space="preserve"> </w:t>
      </w:r>
      <w:r>
        <w:rPr>
          <w:rFonts w:ascii="Arial;sans-serif" w:hAnsi="Arial;sans-serif"/>
          <w:b w:val="false"/>
          <w:color w:val="000000"/>
          <w:sz w:val="20"/>
        </w:rPr>
        <w:t>Adjusted EBITDA, adjusted EBITDA margin and adjusted free cash flow are non-GAAP financial measures. Please refer to Annex A for more information about these measures, as well as a reconciliation of these non-GAAP financial measures to the most closely related GAAP financial measures.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68325"/>
                <wp:effectExtent l="0" t="0" r="0" b="0"/>
                <wp:wrapNone/>
                <wp:docPr id="12" name="Frame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II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II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68" w:before="120" w:after="120"/>
        <w:jc w:val="left"/>
        <w:rPr>
          <w:rFonts w:ascii="Arial;sans-serif" w:hAnsi="Arial;sans-serif"/>
          <w:b/>
          <w:color w:val="000000"/>
          <w:sz w:val="32"/>
        </w:rPr>
      </w:pPr>
      <w:r>
        <w:rPr>
          <w:rFonts w:ascii="Arial;sans-serif" w:hAnsi="Arial;sans-serif"/>
          <w:b/>
          <w:color w:val="000000"/>
          <w:sz w:val="32"/>
        </w:rPr>
        <w:t xml:space="preserve">Navigating a Dynamic Global Landscape </w:t>
      </w:r>
    </w:p>
    <w:p>
      <w:pPr>
        <w:pStyle w:val="TextBody"/>
        <w:bidi w:val="0"/>
        <w:spacing w:lineRule="auto" w:line="256" w:before="0" w:after="120"/>
        <w:jc w:val="left"/>
        <w:rPr>
          <w:rFonts w:ascii="Arial;sans-serif" w:hAnsi="Arial;sans-serif"/>
          <w:b w:val="false"/>
          <w:color w:val="000000"/>
          <w:sz w:val="20"/>
        </w:rPr>
      </w:pPr>
      <w:r>
        <w:rPr>
          <w:rFonts w:ascii="Arial;sans-serif" w:hAnsi="Arial;sans-serif"/>
          <w:b w:val="false"/>
          <w:color w:val="000000"/>
          <w:sz w:val="20"/>
        </w:rPr>
        <w:t xml:space="preserve">The geopolitical and macroeconomic environment continues to evolve, presenting both opportunities and challenges for the energy sector. Supply chain disruptions, regional conflicts, shifting regulatory policies, and economic fluctuations demand a proactive and agile approach. </w:t>
      </w:r>
    </w:p>
    <w:p>
      <w:pPr>
        <w:pStyle w:val="TextBody"/>
        <w:bidi w:val="0"/>
        <w:spacing w:lineRule="auto" w:line="256" w:before="0" w:after="120"/>
        <w:jc w:val="left"/>
        <w:rPr>
          <w:rFonts w:ascii="Arial;sans-serif" w:hAnsi="Arial;sans-serif"/>
          <w:b w:val="false"/>
          <w:color w:val="000000"/>
          <w:sz w:val="20"/>
        </w:rPr>
      </w:pPr>
      <w:r>
        <w:rPr>
          <w:rFonts w:ascii="Arial;sans-serif" w:hAnsi="Arial;sans-serif"/>
          <w:b w:val="false"/>
          <w:color w:val="000000"/>
          <w:sz w:val="20"/>
        </w:rPr>
        <w:t xml:space="preserve">Weatherford remains well-positioned to navigate these complexities, leveraging our global footprint, operational resilience, and technology differentiation to mitigate risks and capitalize on emerging opportunities. Our disciplined execution, diversified portfolio, and strong customer relationships enable us to adapt to changing market conditions while continuing to drive long-term value creation. </w:t>
      </w:r>
    </w:p>
    <w:p>
      <w:pPr>
        <w:pStyle w:val="TextBody"/>
        <w:bidi w:val="0"/>
        <w:spacing w:lineRule="auto" w:line="268" w:before="0" w:after="120"/>
        <w:jc w:val="left"/>
        <w:rPr>
          <w:rFonts w:ascii="Arial;sans-serif" w:hAnsi="Arial;sans-serif"/>
          <w:b/>
          <w:color w:val="000000"/>
          <w:sz w:val="32"/>
        </w:rPr>
      </w:pPr>
      <w:r>
        <w:rPr>
          <w:rFonts w:ascii="Arial;sans-serif" w:hAnsi="Arial;sans-serif"/>
          <w:b/>
          <w:color w:val="000000"/>
          <w:sz w:val="32"/>
        </w:rPr>
        <w:t xml:space="preserve">Executing Our Strategic Priorities in 2024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In 2024, we accelerated progress across our five core strategic priorities: </w:t>
      </w:r>
    </w:p>
    <w:p>
      <w:pPr>
        <w:pStyle w:val="TextBody"/>
        <w:bidi w:val="0"/>
        <w:spacing w:before="0" w:after="0"/>
        <w:jc w:val="left"/>
        <w:rPr/>
      </w:pPr>
      <w:r>
        <w:rPr/>
      </w:r>
    </w:p>
    <w:p>
      <w:pPr>
        <w:pStyle w:val="TextBody"/>
        <w:bidi w:val="0"/>
        <w:spacing w:before="0" w:after="0"/>
        <w:jc w:val="center"/>
        <w:rPr/>
      </w:pPr>
      <w:r>
        <w:rPr/>
        <w:drawing>
          <wp:inline distT="0" distB="0" distL="0" distR="0">
            <wp:extent cx="6667500" cy="41624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6667500" cy="4162425"/>
                    </a:xfrm>
                    <a:prstGeom prst="rect">
                      <a:avLst/>
                    </a:prstGeom>
                  </pic:spPr>
                </pic:pic>
              </a:graphicData>
            </a:graphic>
          </wp:inline>
        </w:drawing>
      </w:r>
    </w:p>
    <w:p>
      <w:pPr>
        <w:pStyle w:val="TextBody"/>
        <w:bidi w:val="0"/>
        <w:spacing w:before="0" w:after="120"/>
        <w:jc w:val="center"/>
        <w:rPr/>
      </w:pPr>
      <w:r>
        <w:rPr/>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These priorities remain at the heart of our execution strategy, to ensure Weatherford continues to outperform and redefine industry standards.</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68325"/>
                <wp:effectExtent l="0" t="0" r="0" b="0"/>
                <wp:wrapNone/>
                <wp:docPr id="14" name="Frame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III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III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68" w:before="0" w:after="120"/>
        <w:jc w:val="left"/>
        <w:rPr>
          <w:rFonts w:ascii="Arial;sans-serif" w:hAnsi="Arial;sans-serif"/>
          <w:b/>
          <w:color w:val="000000"/>
          <w:sz w:val="32"/>
        </w:rPr>
      </w:pPr>
      <w:r>
        <w:rPr>
          <w:rFonts w:ascii="Arial;sans-serif" w:hAnsi="Arial;sans-serif"/>
          <w:b/>
          <w:color w:val="000000"/>
          <w:sz w:val="32"/>
        </w:rPr>
        <w:t xml:space="preserve">Our Focus for 2025: Driving Execution and Performance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As we enter 2025, our five strategic priorities converge into three key focus areas that will drive execution:</w:t>
      </w:r>
    </w:p>
    <w:p>
      <w:pPr>
        <w:pStyle w:val="TextBody"/>
        <w:bidi w:val="0"/>
        <w:spacing w:lineRule="auto" w:line="268" w:before="0" w:after="120"/>
        <w:ind w:left="0" w:right="0" w:hanging="360"/>
        <w:jc w:val="left"/>
        <w:rPr>
          <w:rFonts w:ascii="Arial;sans-serif" w:hAnsi="Arial;sans-serif"/>
          <w:b/>
          <w:color w:val="000000"/>
          <w:sz w:val="20"/>
        </w:rPr>
      </w:pPr>
      <w:r>
        <w:rPr>
          <w:rFonts w:ascii="Arial;sans-serif" w:hAnsi="Arial;sans-serif"/>
          <w:b/>
          <w:color w:val="000000"/>
          <w:sz w:val="20"/>
        </w:rPr>
        <w:t>1.Structural Cost Optimization</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Launched in Q4 2024, our cost optimization program goes beyond volume adjustments, focusing on sustainable productivity gains through technology adoption and lean processes. While this will drive long-term efficiency, tangible short-term impacts are expected.</w:t>
      </w:r>
    </w:p>
    <w:p>
      <w:pPr>
        <w:pStyle w:val="TextBody"/>
        <w:bidi w:val="0"/>
        <w:spacing w:lineRule="auto" w:line="268" w:before="0" w:after="120"/>
        <w:ind w:left="0" w:right="0" w:hanging="360"/>
        <w:jc w:val="left"/>
        <w:rPr>
          <w:rFonts w:ascii="Arial;sans-serif" w:hAnsi="Arial;sans-serif"/>
          <w:b/>
          <w:color w:val="000000"/>
          <w:sz w:val="20"/>
        </w:rPr>
      </w:pPr>
      <w:r>
        <w:rPr>
          <w:rFonts w:ascii="Arial;sans-serif" w:hAnsi="Arial;sans-serif"/>
          <w:b/>
          <w:color w:val="000000"/>
          <w:sz w:val="20"/>
        </w:rPr>
        <w:t>2.Net Working Capital Efficiency</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Maximizing cash flow conversion is a priority. Ongoing improvements in invoicing, collections, inventory management, supplier terms, and cycle times will enhance financial impact in 2025, advancing our goal of 50% adjusted free cash flow conversion* in the coming years.</w:t>
      </w:r>
    </w:p>
    <w:p>
      <w:pPr>
        <w:pStyle w:val="TextBody"/>
        <w:bidi w:val="0"/>
        <w:spacing w:lineRule="auto" w:line="268" w:before="0" w:after="120"/>
        <w:ind w:left="0" w:right="0" w:hanging="360"/>
        <w:jc w:val="left"/>
        <w:rPr>
          <w:rFonts w:ascii="Arial;sans-serif" w:hAnsi="Arial;sans-serif"/>
          <w:b/>
          <w:color w:val="000000"/>
          <w:sz w:val="20"/>
        </w:rPr>
      </w:pPr>
      <w:r>
        <w:rPr>
          <w:rFonts w:ascii="Arial;sans-serif" w:hAnsi="Arial;sans-serif"/>
          <w:b/>
          <w:color w:val="000000"/>
          <w:sz w:val="20"/>
        </w:rPr>
        <w:t>3.Growth Vectors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In a more challenging market environment, we must create our own growth. We have identified several high-potential growth vectors in key areas within our existing portfolio.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These focused initiatives leverage our technology leadership, commercial strength, and execution discipline to drive sustainable growth despite market challenges.</w:t>
      </w:r>
    </w:p>
    <w:p>
      <w:pPr>
        <w:pStyle w:val="TextBody"/>
        <w:bidi w:val="0"/>
        <w:spacing w:before="0" w:after="120"/>
        <w:jc w:val="center"/>
        <w:rPr/>
      </w:pPr>
      <w:r>
        <w:rPr/>
      </w:r>
    </w:p>
    <w:p>
      <w:pPr>
        <w:pStyle w:val="TextBody"/>
        <w:bidi w:val="0"/>
        <w:spacing w:before="0" w:after="120"/>
        <w:jc w:val="center"/>
        <w:rPr/>
      </w:pPr>
      <w:r>
        <w:rPr/>
        <w:drawing>
          <wp:inline distT="0" distB="0" distL="0" distR="0">
            <wp:extent cx="6943725" cy="390525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6943725" cy="3905250"/>
                    </a:xfrm>
                    <a:prstGeom prst="rect">
                      <a:avLst/>
                    </a:prstGeom>
                  </pic:spPr>
                </pic:pic>
              </a:graphicData>
            </a:graphic>
          </wp:inline>
        </w:drawing>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68" w:before="120" w:after="120"/>
        <w:jc w:val="left"/>
        <w:rPr/>
      </w:pPr>
      <w:r>
        <w:rPr>
          <w:rFonts w:ascii="Arial;sans-serif" w:hAnsi="Arial;sans-serif"/>
          <w:b w:val="false"/>
          <w:color w:val="000000"/>
          <w:sz w:val="28"/>
        </w:rPr>
        <w:t>*</w:t>
      </w:r>
      <w:r>
        <w:rPr>
          <w:color w:val="000000"/>
        </w:rPr>
        <w:t xml:space="preserve"> </w:t>
      </w:r>
      <w:r>
        <w:rPr>
          <w:rFonts w:ascii="Arial;sans-serif" w:hAnsi="Arial;sans-serif"/>
          <w:b w:val="false"/>
          <w:color w:val="000000"/>
          <w:sz w:val="20"/>
        </w:rPr>
        <w:t>Adjusted free cash flow conversion is a non-GAAP financial measure. Please refer to Annex A for more information about these measures, as well as a reconciliation of these non-GAAP financial measures to the most closely related GAAP financial measures.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68325"/>
                <wp:effectExtent l="0" t="0" r="0" b="0"/>
                <wp:wrapNone/>
                <wp:docPr id="16" name="Frame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IV</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IV</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68" w:before="0" w:after="120"/>
        <w:jc w:val="left"/>
        <w:rPr/>
      </w:pPr>
      <w:r>
        <w:rPr>
          <w:rFonts w:ascii="Arial;sans-serif" w:hAnsi="Arial;sans-serif"/>
          <w:b/>
          <w:color w:val="000000"/>
          <w:sz w:val="32"/>
        </w:rPr>
        <w:t>Delivering on Our Commitments</w:t>
      </w:r>
      <w:r>
        <w:rPr>
          <w:color w:val="000000"/>
        </w:rPr>
        <w:t xml:space="preserve">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Our performance in 2024 has reinforced Weatherford’s reputation as a financially disciplined, operationally strong, and strategically focused Company. As we step into 2025, Weatherford is strategically positioned for sustained success. We are leaner, more agile, and focused on maximizing returns for our shareholders, customers, and employees. The path ahead is clear: continue strengthening our financial foundation, accelerating technology innovation, and unlocking new growth opportunities.</w:t>
      </w:r>
    </w:p>
    <w:p>
      <w:pPr>
        <w:pStyle w:val="TextBody"/>
        <w:bidi w:val="0"/>
        <w:spacing w:before="0" w:after="120"/>
        <w:jc w:val="left"/>
        <w:rPr/>
      </w:pPr>
      <w:r>
        <w:rPr/>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We appreciate your confidence in Weatherford, and we look forward to continuing this journey together.</w:t>
      </w:r>
    </w:p>
    <w:p>
      <w:pPr>
        <w:pStyle w:val="TextBody"/>
        <w:bidi w:val="0"/>
        <w:spacing w:before="0" w:after="120"/>
        <w:jc w:val="left"/>
        <w:rPr/>
      </w:pPr>
      <w:r>
        <w:rPr/>
        <w:drawing>
          <wp:inline distT="0" distB="0" distL="0" distR="0">
            <wp:extent cx="2324100" cy="60960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2324100" cy="609600"/>
                    </a:xfrm>
                    <a:prstGeom prst="rect">
                      <a:avLst/>
                    </a:prstGeom>
                  </pic:spPr>
                </pic:pic>
              </a:graphicData>
            </a:graphic>
          </wp:inline>
        </w:drawing>
      </w:r>
    </w:p>
    <w:p>
      <w:pPr>
        <w:pStyle w:val="TextBody"/>
        <w:bidi w:val="0"/>
        <w:spacing w:lineRule="auto" w:line="268" w:before="0" w:after="0"/>
        <w:jc w:val="left"/>
        <w:rPr>
          <w:rFonts w:ascii="Arial;sans-serif" w:hAnsi="Arial;sans-serif"/>
          <w:b/>
          <w:color w:val="414042"/>
          <w:sz w:val="24"/>
        </w:rPr>
      </w:pPr>
      <w:r>
        <w:rPr>
          <w:rFonts w:ascii="Arial;sans-serif" w:hAnsi="Arial;sans-serif"/>
          <w:b/>
          <w:color w:val="414042"/>
          <w:sz w:val="24"/>
        </w:rPr>
        <w:t>GIRISHCHANDRA K. SALIGRAM</w:t>
      </w:r>
    </w:p>
    <w:p>
      <w:pPr>
        <w:pStyle w:val="TextBody"/>
        <w:bidi w:val="0"/>
        <w:spacing w:lineRule="auto" w:line="247" w:before="0" w:after="0"/>
        <w:jc w:val="left"/>
        <w:rPr>
          <w:rFonts w:ascii="Arial;sans-serif" w:hAnsi="Arial;sans-serif"/>
          <w:b w:val="false"/>
          <w:color w:val="414042"/>
          <w:sz w:val="24"/>
        </w:rPr>
      </w:pPr>
      <w:r>
        <w:rPr>
          <w:rFonts w:ascii="Arial;sans-serif" w:hAnsi="Arial;sans-serif"/>
          <w:b w:val="false"/>
          <w:color w:val="414042"/>
          <w:sz w:val="24"/>
        </w:rPr>
        <w:t>President and Chief Executive Officer</w:t>
      </w:r>
    </w:p>
    <w:p>
      <w:pPr>
        <w:pStyle w:val="TextBody"/>
        <w:bidi w:val="0"/>
        <w:spacing w:lineRule="auto" w:line="247" w:before="0" w:after="0"/>
        <w:jc w:val="left"/>
        <w:rPr>
          <w:rFonts w:ascii="Arial;sans-serif" w:hAnsi="Arial;sans-serif"/>
          <w:b w:val="false"/>
          <w:color w:val="414042"/>
          <w:sz w:val="24"/>
        </w:rPr>
      </w:pPr>
      <w:r>
        <w:rPr>
          <w:rFonts w:ascii="Arial;sans-serif" w:hAnsi="Arial;sans-serif"/>
          <w:b w:val="false"/>
          <w:color w:val="414042"/>
          <w:sz w:val="24"/>
        </w:rPr>
        <w:t>Weatherford International plc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68325"/>
                <wp:effectExtent l="0" t="0" r="0" b="0"/>
                <wp:wrapNone/>
                <wp:docPr id="18" name="Frame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V</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V</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80"/>
        <w:jc w:val="left"/>
        <w:rPr>
          <w:rFonts w:ascii="Arial;sans-serif" w:hAnsi="Arial;sans-serif"/>
          <w:b/>
          <w:color w:val="CE1141"/>
          <w:sz w:val="48"/>
        </w:rPr>
      </w:pPr>
      <w:r>
        <w:rPr>
          <w:rFonts w:ascii="Arial;sans-serif" w:hAnsi="Arial;sans-serif"/>
          <w:b/>
          <w:color w:val="CE1141"/>
          <w:sz w:val="48"/>
        </w:rPr>
        <w:t>NOTICE OF 2025 ANNUAL GENERAL MEETING OF SHAREHOLDERS</w:t>
      </w:r>
    </w:p>
    <w:p>
      <w:pPr>
        <w:pStyle w:val="TextBody"/>
        <w:bidi w:val="0"/>
        <w:spacing w:lineRule="auto" w:line="288" w:before="0" w:after="0"/>
        <w:jc w:val="left"/>
        <w:rPr>
          <w:rFonts w:ascii="Arial;sans-serif" w:hAnsi="Arial;sans-serif"/>
          <w:b/>
          <w:color w:val="242424"/>
          <w:sz w:val="22"/>
        </w:rPr>
      </w:pPr>
      <w:r>
        <w:rPr>
          <w:rFonts w:ascii="Arial;sans-serif" w:hAnsi="Arial;sans-serif"/>
          <w:b/>
          <w:color w:val="242424"/>
          <w:sz w:val="22"/>
        </w:rPr>
        <w:t>June 11, 2025</w:t>
      </w:r>
    </w:p>
    <w:p>
      <w:pPr>
        <w:pStyle w:val="TextBody"/>
        <w:bidi w:val="0"/>
        <w:spacing w:lineRule="auto" w:line="288" w:before="0" w:after="0"/>
        <w:jc w:val="left"/>
        <w:rPr>
          <w:rFonts w:ascii="Arial;sans-serif" w:hAnsi="Arial;sans-serif"/>
          <w:b/>
          <w:color w:val="242424"/>
          <w:sz w:val="22"/>
        </w:rPr>
      </w:pPr>
      <w:r>
        <w:rPr>
          <w:rFonts w:ascii="Arial;sans-serif" w:hAnsi="Arial;sans-serif"/>
          <w:b/>
          <w:color w:val="242424"/>
          <w:sz w:val="22"/>
        </w:rPr>
        <w:t>10:00 a.m. (Central Time)</w:t>
      </w:r>
    </w:p>
    <w:p>
      <w:pPr>
        <w:pStyle w:val="TextBody"/>
        <w:bidi w:val="0"/>
        <w:spacing w:lineRule="auto" w:line="288" w:before="0" w:after="0"/>
        <w:jc w:val="left"/>
        <w:rPr>
          <w:rFonts w:ascii="Arial;sans-serif" w:hAnsi="Arial;sans-serif"/>
          <w:b/>
          <w:i/>
          <w:color w:val="242424"/>
          <w:sz w:val="22"/>
        </w:rPr>
      </w:pPr>
      <w:r>
        <w:rPr>
          <w:rFonts w:ascii="Arial;sans-serif" w:hAnsi="Arial;sans-serif"/>
          <w:b/>
          <w:i/>
          <w:color w:val="242424"/>
          <w:sz w:val="22"/>
        </w:rPr>
        <w:t>2000 Saint James Place, Marcellus Room, Houston, Texas 77056</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242424"/>
          <w:sz w:val="32"/>
        </w:rPr>
      </w:pPr>
      <w:r>
        <w:rPr>
          <w:rFonts w:ascii="Arial;sans-serif" w:hAnsi="Arial;sans-serif"/>
          <w:b/>
          <w:color w:val="242424"/>
          <w:sz w:val="32"/>
        </w:rPr>
        <w:t>AGENDA</w:t>
      </w:r>
    </w:p>
    <w:p>
      <w:pPr>
        <w:pStyle w:val="TextBody"/>
        <w:bidi w:val="0"/>
        <w:spacing w:lineRule="auto" w:line="288" w:before="0" w:after="120"/>
        <w:ind w:left="0" w:right="0" w:hanging="360"/>
        <w:jc w:val="left"/>
        <w:rPr/>
      </w:pPr>
      <w:r>
        <w:rPr>
          <w:rFonts w:ascii="Arial;sans-serif" w:hAnsi="Arial;sans-serif"/>
          <w:b w:val="false"/>
          <w:color w:val="CE1141"/>
          <w:sz w:val="20"/>
        </w:rPr>
        <w:t>1.</w:t>
      </w:r>
      <w:r>
        <w:rPr>
          <w:rFonts w:ascii="Arial;sans-serif" w:hAnsi="Arial;sans-serif"/>
          <w:b w:val="false"/>
          <w:color w:val="242424"/>
          <w:sz w:val="20"/>
        </w:rPr>
        <w:t xml:space="preserve">By separate resolutions, to elect the </w:t>
      </w:r>
      <w:r>
        <w:rPr>
          <w:rFonts w:ascii="Arial;sans-serif" w:hAnsi="Arial;sans-serif"/>
          <w:b w:val="false"/>
          <w:color w:val="000000"/>
          <w:sz w:val="20"/>
        </w:rPr>
        <w:t>six</w:t>
      </w:r>
      <w:r>
        <w:rPr>
          <w:color w:val="242424"/>
        </w:rPr>
        <w:t xml:space="preserve"> </w:t>
      </w:r>
      <w:r>
        <w:rPr>
          <w:rFonts w:ascii="Arial;sans-serif" w:hAnsi="Arial;sans-serif"/>
          <w:b w:val="false"/>
          <w:color w:val="242424"/>
          <w:sz w:val="20"/>
        </w:rPr>
        <w:t>individuals named in this Proxy Statement as directors of Weatherford International plc (the “Company”), in each case (unless his or her office is earlier vacated in accordance with the Articles of Association of the Company (the “Articles”)), to serve for a one year term concluding at the later of (x) the next annual general meeting of the Company (the “2026 AGM”), and (y) subject to article 155 of the Articles, until his or her successor is elected and qualified.</w:t>
      </w:r>
    </w:p>
    <w:p>
      <w:pPr>
        <w:pStyle w:val="TextBody"/>
        <w:bidi w:val="0"/>
        <w:spacing w:lineRule="auto" w:line="288" w:before="0" w:after="120"/>
        <w:ind w:left="0" w:right="0" w:hanging="360"/>
        <w:jc w:val="left"/>
        <w:rPr/>
      </w:pPr>
      <w:r>
        <w:rPr>
          <w:rFonts w:ascii="Arial;sans-serif" w:hAnsi="Arial;sans-serif"/>
          <w:b w:val="false"/>
          <w:color w:val="CE1141"/>
          <w:sz w:val="20"/>
        </w:rPr>
        <w:t>2.</w:t>
      </w:r>
      <w:r>
        <w:rPr>
          <w:rFonts w:ascii="Arial;sans-serif" w:hAnsi="Arial;sans-serif"/>
          <w:b w:val="false"/>
          <w:color w:val="242424"/>
          <w:sz w:val="20"/>
        </w:rPr>
        <w:t>To ratify the appointment of KPMG LLP as the Company’s independent registered public accounting firm and auditor for the financial year ending December 31, 2025 and KPMG Chartered Accountants, Dublin, as the Company’s statutory auditor under Irish law to hold office until the close of the 2026 AGM, and to authorize the Board of Directors of the Company (the “Board”), acting through the Audit Committee, to determine the auditors’ remuneration.</w:t>
      </w:r>
    </w:p>
    <w:p>
      <w:pPr>
        <w:pStyle w:val="TextBody"/>
        <w:bidi w:val="0"/>
        <w:spacing w:lineRule="auto" w:line="288" w:before="0" w:after="120"/>
        <w:ind w:left="0" w:right="0" w:hanging="360"/>
        <w:jc w:val="left"/>
        <w:rPr/>
      </w:pPr>
      <w:r>
        <w:rPr>
          <w:rFonts w:ascii="Arial;sans-serif" w:hAnsi="Arial;sans-serif"/>
          <w:b w:val="false"/>
          <w:color w:val="CE1141"/>
          <w:sz w:val="20"/>
        </w:rPr>
        <w:t>3.</w:t>
      </w:r>
      <w:r>
        <w:rPr>
          <w:rFonts w:ascii="Arial;sans-serif" w:hAnsi="Arial;sans-serif"/>
          <w:b w:val="false"/>
          <w:color w:val="242424"/>
          <w:sz w:val="20"/>
        </w:rPr>
        <w:t>To approve, on a nonbinding advisory basis, the compensation of our named executive officers.</w:t>
      </w:r>
    </w:p>
    <w:p>
      <w:pPr>
        <w:pStyle w:val="TextBody"/>
        <w:bidi w:val="0"/>
        <w:spacing w:lineRule="auto" w:line="288" w:before="0" w:after="120"/>
        <w:ind w:left="0" w:right="0" w:hanging="360"/>
        <w:jc w:val="left"/>
        <w:rPr/>
      </w:pPr>
      <w:r>
        <w:rPr>
          <w:rFonts w:ascii="Arial;sans-serif" w:hAnsi="Arial;sans-serif"/>
          <w:b w:val="false"/>
          <w:color w:val="C3002F"/>
          <w:sz w:val="20"/>
        </w:rPr>
        <w:t>4.</w:t>
      </w:r>
      <w:r>
        <w:rPr>
          <w:rFonts w:ascii="Arial;sans-serif" w:hAnsi="Arial;sans-serif"/>
          <w:b w:val="false"/>
          <w:color w:val="242424"/>
          <w:sz w:val="20"/>
        </w:rPr>
        <w:t>To approve the amendment and restatement of the Weatherford International plc Third Amended and Restated 2019 Equity Incentive Plan (the “2019 EIP”).</w:t>
      </w:r>
    </w:p>
    <w:p>
      <w:pPr>
        <w:pStyle w:val="TextBody"/>
        <w:bidi w:val="0"/>
        <w:spacing w:lineRule="auto" w:line="288" w:before="0" w:after="120"/>
        <w:ind w:left="0" w:right="0" w:hanging="360"/>
        <w:jc w:val="left"/>
        <w:rPr/>
      </w:pPr>
      <w:r>
        <w:rPr>
          <w:rFonts w:ascii="Arial;sans-serif" w:hAnsi="Arial;sans-serif"/>
          <w:b w:val="false"/>
          <w:color w:val="CE1141"/>
          <w:sz w:val="20"/>
        </w:rPr>
        <w:t>5.</w:t>
      </w:r>
      <w:r>
        <w:rPr>
          <w:rFonts w:ascii="Arial;sans-serif" w:hAnsi="Arial;sans-serif"/>
          <w:b w:val="false"/>
          <w:color w:val="000000"/>
          <w:sz w:val="20"/>
        </w:rPr>
        <w:t>To grant the Board authority to issue shares under Irish law.</w:t>
      </w:r>
    </w:p>
    <w:p>
      <w:pPr>
        <w:pStyle w:val="TextBody"/>
        <w:bidi w:val="0"/>
        <w:spacing w:lineRule="auto" w:line="288" w:before="0" w:after="120"/>
        <w:ind w:left="0" w:right="0" w:hanging="360"/>
        <w:jc w:val="left"/>
        <w:rPr/>
      </w:pPr>
      <w:r>
        <w:rPr>
          <w:rFonts w:ascii="Arial;sans-serif" w:hAnsi="Arial;sans-serif"/>
          <w:b w:val="false"/>
          <w:color w:val="CE1141"/>
          <w:sz w:val="20"/>
        </w:rPr>
        <w:t>6.</w:t>
      </w:r>
      <w:r>
        <w:rPr>
          <w:rFonts w:ascii="Arial;sans-serif" w:hAnsi="Arial;sans-serif"/>
          <w:b w:val="false"/>
          <w:color w:val="000000"/>
          <w:sz w:val="20"/>
        </w:rPr>
        <w:t>To grant the Board power to opt-out of statutory preemption rights under Irish law.</w:t>
      </w:r>
    </w:p>
    <w:p>
      <w:pPr>
        <w:pStyle w:val="TextBody"/>
        <w:bidi w:val="0"/>
        <w:spacing w:lineRule="auto" w:line="288" w:before="0" w:after="180"/>
        <w:jc w:val="left"/>
        <w:rPr>
          <w:rFonts w:ascii="Arial;sans-serif" w:hAnsi="Arial;sans-serif"/>
          <w:b w:val="false"/>
          <w:color w:val="242424"/>
          <w:sz w:val="20"/>
        </w:rPr>
      </w:pPr>
      <w:r>
        <w:rPr>
          <w:rFonts w:ascii="Arial;sans-serif" w:hAnsi="Arial;sans-serif"/>
          <w:b w:val="false"/>
          <w:color w:val="242424"/>
          <w:sz w:val="20"/>
        </w:rPr>
        <w:t>The foregoing items, including the votes required in respect of each, are set forth and more fully described in the accompanying Proxy Statement.</w:t>
      </w: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RECORD DATE</w:t>
      </w:r>
    </w:p>
    <w:p>
      <w:pPr>
        <w:pStyle w:val="TextBody"/>
        <w:bidi w:val="0"/>
        <w:spacing w:lineRule="auto" w:line="288" w:before="0" w:after="180"/>
        <w:jc w:val="left"/>
        <w:rPr>
          <w:rFonts w:ascii="Arial;sans-serif" w:hAnsi="Arial;sans-serif"/>
          <w:b/>
          <w:color w:val="CE1141"/>
          <w:sz w:val="20"/>
        </w:rPr>
      </w:pPr>
      <w:r>
        <w:rPr>
          <w:rFonts w:ascii="Arial;sans-serif" w:hAnsi="Arial;sans-serif"/>
          <w:b/>
          <w:color w:val="CE1141"/>
          <w:sz w:val="20"/>
        </w:rPr>
        <w:t>April 10, 2025</w:t>
      </w: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VOTING</w:t>
      </w:r>
    </w:p>
    <w:p>
      <w:pPr>
        <w:pStyle w:val="TextBody"/>
        <w:bidi w:val="0"/>
        <w:spacing w:lineRule="auto" w:line="288" w:before="0" w:after="180"/>
        <w:jc w:val="left"/>
        <w:rPr>
          <w:rFonts w:ascii="Arial;sans-serif" w:hAnsi="Arial;sans-serif"/>
          <w:b w:val="false"/>
          <w:color w:val="242424"/>
          <w:sz w:val="20"/>
        </w:rPr>
      </w:pPr>
      <w:r>
        <w:rPr>
          <w:rFonts w:ascii="Arial;sans-serif" w:hAnsi="Arial;sans-serif"/>
          <w:b w:val="false"/>
          <w:color w:val="242424"/>
          <w:sz w:val="20"/>
        </w:rPr>
        <w:t>Only registered shareholders as of the close of business on the record date will be entitled to attend, vote or grant proxies to vote at the Annual General Meeting (the “AGM”). Any such registered shareholder may appoint one or more proxies, by any of the means outlined in the Proxy Statement, to attend, speak and vote in his or her place at the AGM. A proxy holder need not be a registered shareholder. Proxies must be received in the manner prescribed and by the Voting Deadline as more fully set forth in the Proxy Statement.</w:t>
      </w: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DISTRIBUTION OF PROXY MATERIALS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notice, the Proxy Statement (of which the notice forms a part), our Annual Report on Form 10-K, and our Irish Statutory Accounts are available electronically on our website at www.weatherfordannualmeeting.com. These materials were first mailed or made available on or about April 23, 2025 to each registered shareholder in our share register as of the record date. Any shareholder may also obtain a copy of these documents by contacting our U.S. Investor Relations Department at 2000 Saint James Place, Houston, Texas 77056 or by telephone at +1 (713) 836-4000.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68325"/>
                <wp:effectExtent l="0" t="0" r="0" b="0"/>
                <wp:wrapNone/>
                <wp:docPr id="19" name="Frame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VI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VI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ANNUAL REPORT AND FINANCIAL STATEMENTS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During the AGM, the Company’s Irish Statutory Accounts for the fiscal year ended December 31, 2024 will be laid before the meeting, along with related directors’ and auditor’s reports thereon, and the Company’s management will present a review of the Company’s affairs.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April 23, 2025</w:t>
      </w:r>
    </w:p>
    <w:p>
      <w:pPr>
        <w:pStyle w:val="TextBody"/>
        <w:bidi w:val="0"/>
        <w:spacing w:lineRule="auto" w:line="288" w:before="0" w:after="120"/>
        <w:jc w:val="right"/>
        <w:rPr>
          <w:rFonts w:ascii="Arial;sans-serif" w:hAnsi="Arial;sans-serif"/>
          <w:b w:val="false"/>
          <w:color w:val="242424"/>
          <w:sz w:val="20"/>
        </w:rPr>
      </w:pPr>
      <w:r>
        <w:rPr>
          <w:rFonts w:ascii="Arial;sans-serif" w:hAnsi="Arial;sans-serif"/>
          <w:b w:val="false"/>
          <w:color w:val="242424"/>
          <w:sz w:val="20"/>
        </w:rPr>
        <w:t>By Order of the Board of Directors</w:t>
      </w:r>
    </w:p>
    <w:p>
      <w:pPr>
        <w:pStyle w:val="TextBody"/>
        <w:bidi w:val="0"/>
        <w:spacing w:before="0" w:after="120"/>
        <w:jc w:val="right"/>
        <w:rPr/>
      </w:pPr>
      <w:r>
        <w:rPr/>
        <w:drawing>
          <wp:inline distT="0" distB="0" distL="0" distR="0">
            <wp:extent cx="3124200" cy="88582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3124200" cy="885825"/>
                    </a:xfrm>
                    <a:prstGeom prst="rect">
                      <a:avLst/>
                    </a:prstGeom>
                  </pic:spPr>
                </pic:pic>
              </a:graphicData>
            </a:graphic>
          </wp:inline>
        </w:drawing>
      </w:r>
    </w:p>
    <w:p>
      <w:pPr>
        <w:pStyle w:val="TextBody"/>
        <w:bidi w:val="0"/>
        <w:spacing w:lineRule="auto" w:line="288" w:before="0" w:after="120"/>
        <w:jc w:val="right"/>
        <w:rPr>
          <w:rFonts w:ascii="Arial;sans-serif" w:hAnsi="Arial;sans-serif"/>
          <w:b/>
          <w:color w:val="242424"/>
          <w:sz w:val="20"/>
        </w:rPr>
      </w:pPr>
      <w:r>
        <w:rPr>
          <w:rFonts w:ascii="Arial;sans-serif" w:hAnsi="Arial;sans-serif"/>
          <w:b/>
          <w:color w:val="242424"/>
          <w:sz w:val="20"/>
        </w:rPr>
        <w:t>Scott C. Weatherholt</w:t>
      </w:r>
    </w:p>
    <w:p>
      <w:pPr>
        <w:pStyle w:val="TextBody"/>
        <w:bidi w:val="0"/>
        <w:spacing w:lineRule="auto" w:line="288" w:before="0" w:after="0"/>
        <w:jc w:val="right"/>
        <w:rPr>
          <w:rFonts w:ascii="Arial;sans-serif" w:hAnsi="Arial;sans-serif"/>
          <w:b w:val="false"/>
          <w:i/>
          <w:color w:val="242424"/>
          <w:sz w:val="20"/>
        </w:rPr>
      </w:pPr>
      <w:r>
        <w:rPr>
          <w:rFonts w:ascii="Arial;sans-serif" w:hAnsi="Arial;sans-serif"/>
          <w:b w:val="false"/>
          <w:i/>
          <w:color w:val="242424"/>
          <w:sz w:val="20"/>
        </w:rPr>
        <w:t>Executive Vice President, General Counsel and Chief Compliance Officer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42424"/>
          <w:sz w:val="20"/>
        </w:rPr>
        <w:t>Important Notice Regarding the Availability of Proxy Materials for the AGM to be held on June 11, 2025:</w:t>
      </w:r>
      <w:r>
        <w:rPr>
          <w:color w:val="242424"/>
        </w:rPr>
        <w:t xml:space="preserve"> </w:t>
      </w:r>
      <w:r>
        <w:rPr>
          <w:rFonts w:ascii="Arial;sans-serif" w:hAnsi="Arial;sans-serif"/>
          <w:b w:val="false"/>
          <w:color w:val="242424"/>
          <w:sz w:val="20"/>
        </w:rPr>
        <w:t>The Proxy Statement of Weatherford International plc, our 2024 Annual Report on Form 10-K and Irish Statutory Accounts are available at: at www.proxyvote.com and also at www.weatherfordannualmeeting.com.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68325"/>
                <wp:effectExtent l="0" t="0" r="0" b="0"/>
                <wp:wrapNone/>
                <wp:docPr id="21" name="Frame10"/>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VII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VII</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9"/>
        <w:gridCol w:w="360"/>
        <w:gridCol w:w="360"/>
        <w:gridCol w:w="360"/>
        <w:gridCol w:w="360"/>
        <w:gridCol w:w="366"/>
        <w:gridCol w:w="179"/>
        <w:gridCol w:w="159"/>
        <w:gridCol w:w="159"/>
        <w:gridCol w:w="622"/>
        <w:gridCol w:w="622"/>
        <w:gridCol w:w="622"/>
        <w:gridCol w:w="1695"/>
        <w:gridCol w:w="1608"/>
        <w:gridCol w:w="2324"/>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41404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41404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3"/>
            <w:tcBorders>
              <w:top w:val="single" w:sz="8" w:space="0" w:color="41404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6"/>
            <w:vMerge w:val="restart"/>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CE1141"/>
                <w:sz w:val="24"/>
                <w:shd w:fill="FFFFFF" w:val="clear"/>
              </w:rPr>
            </w:pPr>
            <w:r>
              <w:rPr>
                <w:rFonts w:ascii="Arial;sans-serif" w:hAnsi="Arial;sans-serif"/>
                <w:b/>
                <w:color w:val="CE1141"/>
                <w:sz w:val="24"/>
                <w:shd w:fill="FFFFFF" w:val="clear"/>
              </w:rPr>
              <w:t>TABLE OF CONTENTS</w:t>
            </w:r>
          </w:p>
        </w:tc>
        <w:tc>
          <w:tcPr>
            <w:tcW w:w="497"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8">
              <w:r>
                <w:rPr>
                  <w:rStyle w:val="InternetLink"/>
                  <w:rFonts w:ascii="Arial;sans-serif" w:hAnsi="Arial;sans-serif"/>
                  <w:b/>
                  <w:strike w:val="false"/>
                  <w:dstrike w:val="false"/>
                  <w:color w:val="0000FF"/>
                  <w:sz w:val="20"/>
                  <w:u w:val="none"/>
                  <w:effect w:val="none"/>
                </w:rPr>
                <w:t>1</w:t>
              </w:r>
            </w:hyperlink>
            <w:r>
              <w:rPr>
                <w:rFonts w:ascii="Arial;sans-serif" w:hAnsi="Arial;sans-serif"/>
                <w:b/>
                <w:color w:val="0000FF"/>
                <w:sz w:val="20"/>
              </w:rPr>
              <w:t>-</w:t>
            </w:r>
            <w:hyperlink w:anchor="i2668ab6117244b87bb9c3b673dc1be26_272">
              <w:r>
                <w:rPr>
                  <w:rStyle w:val="InternetLink"/>
                  <w:rFonts w:ascii="Arial;sans-serif" w:hAnsi="Arial;sans-serif"/>
                  <w:b/>
                  <w:color w:val="0000FF"/>
                  <w:sz w:val="20"/>
                  <w:u w:val="single"/>
                </w:rPr>
                <w:t>4</w:t>
              </w:r>
            </w:hyperlink>
          </w:p>
        </w:tc>
        <w:tc>
          <w:tcPr>
            <w:tcW w:w="749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77383e576584d77a42c17ee243586bf_28">
              <w:r>
                <w:rPr>
                  <w:rStyle w:val="InternetLink"/>
                  <w:rFonts w:ascii="Arial;sans-serif" w:hAnsi="Arial;sans-serif"/>
                  <w:b w:val="false"/>
                  <w:strike w:val="false"/>
                  <w:dstrike w:val="false"/>
                  <w:color w:val="CE1141"/>
                  <w:sz w:val="20"/>
                  <w:u w:val="none"/>
                  <w:effect w:val="none"/>
                </w:rPr>
                <w:t>PROXY STATEMENT</w:t>
              </w:r>
            </w:hyperlink>
          </w:p>
        </w:tc>
      </w:tr>
      <w:tr>
        <w:trPr/>
        <w:tc>
          <w:tcPr>
            <w:tcW w:w="2215" w:type="dxa"/>
            <w:gridSpan w:val="6"/>
            <w:vMerge w:val="continue"/>
            <w:tcBorders/>
            <w:tcMar>
              <w:top w:w="0" w:type="dxa"/>
              <w:left w:w="0" w:type="dxa"/>
              <w:bottom w:w="0" w:type="dxa"/>
              <w:right w:w="0" w:type="dxa"/>
            </w:tcMar>
            <w:vAlign w:val="center"/>
          </w:tcPr>
          <w:p>
            <w:pPr>
              <w:pStyle w:val="Normal"/>
              <w:bidi w:val="0"/>
              <w:jc w:val="left"/>
              <w:rPr/>
            </w:pPr>
            <w:r>
              <w:rPr/>
            </w:r>
          </w:p>
        </w:tc>
        <w:tc>
          <w:tcPr>
            <w:tcW w:w="497" w:type="dxa"/>
            <w:gridSpan w:val="3"/>
            <w:vMerge w:val="continue"/>
            <w:tcBorders/>
            <w:tcMar>
              <w:top w:w="0" w:type="dxa"/>
              <w:left w:w="0" w:type="dxa"/>
              <w:bottom w:w="0" w:type="dxa"/>
              <w:right w:w="0" w:type="dxa"/>
            </w:tcMar>
            <w:vAlign w:val="center"/>
          </w:tcPr>
          <w:p>
            <w:pPr>
              <w:pStyle w:val="Normal"/>
              <w:bidi w:val="0"/>
              <w:jc w:val="left"/>
              <w:rPr/>
            </w:pPr>
            <w:r>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31">
              <w:r>
                <w:rPr>
                  <w:rStyle w:val="InternetLink"/>
                  <w:rFonts w:ascii="Arial;sans-serif" w:hAnsi="Arial;sans-serif"/>
                  <w:b w:val="false"/>
                  <w:color w:val="0000FF"/>
                  <w:sz w:val="20"/>
                  <w:u w:val="single"/>
                </w:rPr>
                <w:t>1</w:t>
              </w:r>
            </w:hyperlink>
          </w:p>
        </w:tc>
        <w:tc>
          <w:tcPr>
            <w:tcW w:w="5627" w:type="dxa"/>
            <w:gridSpan w:val="3"/>
            <w:tcBorders>
              <w:bottom w:val="single" w:sz="8" w:space="0" w:color="6B6B6A"/>
            </w:tcBorders>
            <w:tcMar>
              <w:top w:w="0" w:type="dxa"/>
              <w:left w:w="0" w:type="dxa"/>
              <w:bottom w:w="30" w:type="dxa"/>
              <w:right w:w="0" w:type="dxa"/>
            </w:tcMar>
            <w:vAlign w:val="center"/>
          </w:tcPr>
          <w:p>
            <w:pPr>
              <w:pStyle w:val="TableContents"/>
              <w:bidi w:val="0"/>
              <w:spacing w:lineRule="auto" w:line="288" w:before="0" w:after="0"/>
              <w:ind w:left="0" w:right="0" w:firstLine="58"/>
              <w:jc w:val="left"/>
              <w:rPr>
                <w:rFonts w:ascii="Arial;sans-serif" w:hAnsi="Arial;sans-serif"/>
                <w:b w:val="false"/>
                <w:color w:val="242424"/>
                <w:sz w:val="20"/>
              </w:rPr>
            </w:pPr>
            <w:r>
              <w:rPr>
                <w:rFonts w:ascii="Arial;sans-serif" w:hAnsi="Arial;sans-serif"/>
                <w:b w:val="false"/>
                <w:color w:val="242424"/>
                <w:sz w:val="20"/>
              </w:rPr>
              <w:t>Meeting and Voting Information</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6"/>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70">
              <w:r>
                <w:rPr>
                  <w:rStyle w:val="InternetLink"/>
                  <w:rFonts w:ascii="Arial;sans-serif" w:hAnsi="Arial;sans-serif"/>
                  <w:b/>
                  <w:color w:val="0000FF"/>
                  <w:sz w:val="20"/>
                  <w:u w:val="single"/>
                </w:rPr>
                <w:t>5</w:t>
              </w:r>
            </w:hyperlink>
            <w:r>
              <w:rPr>
                <w:rFonts w:ascii="Arial;sans-serif" w:hAnsi="Arial;sans-serif"/>
                <w:b/>
                <w:color w:val="242424"/>
                <w:sz w:val="20"/>
              </w:rPr>
              <w:t>-</w:t>
            </w:r>
            <w:hyperlink w:anchor="id3d85579c68545ceaf666c23dd8ebde0_442">
              <w:r>
                <w:rPr>
                  <w:rStyle w:val="InternetLink"/>
                  <w:rFonts w:ascii="Arial;sans-serif" w:hAnsi="Arial;sans-serif"/>
                  <w:b/>
                  <w:color w:val="0000FF"/>
                  <w:sz w:val="20"/>
                  <w:u w:val="single"/>
                </w:rPr>
                <w:t>18</w:t>
              </w:r>
            </w:hyperlink>
          </w:p>
        </w:tc>
        <w:tc>
          <w:tcPr>
            <w:tcW w:w="749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77383e576584d77a42c17ee243586bf_70">
              <w:r>
                <w:rPr>
                  <w:rStyle w:val="InternetLink"/>
                  <w:rFonts w:ascii="Arial;sans-serif" w:hAnsi="Arial;sans-serif"/>
                  <w:b w:val="false"/>
                  <w:strike w:val="false"/>
                  <w:dstrike w:val="false"/>
                  <w:color w:val="CE1141"/>
                  <w:sz w:val="20"/>
                  <w:u w:val="none"/>
                  <w:effect w:val="none"/>
                </w:rPr>
                <w:t>AGENDA ITEM 1 – ELECTION OF DIRECTORS</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continue"/>
            <w:tcBorders/>
            <w:tcMar>
              <w:top w:w="0" w:type="dxa"/>
              <w:left w:w="0" w:type="dxa"/>
              <w:bottom w:w="0" w:type="dxa"/>
              <w:right w:w="0" w:type="dxa"/>
            </w:tcMar>
            <w:vAlign w:val="center"/>
          </w:tcPr>
          <w:p>
            <w:pPr>
              <w:pStyle w:val="Normal"/>
              <w:bidi w:val="0"/>
              <w:jc w:val="left"/>
              <w:rPr/>
            </w:pPr>
            <w:r>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79">
              <w:r>
                <w:rPr>
                  <w:rStyle w:val="InternetLink"/>
                  <w:rFonts w:ascii="Arial;sans-serif" w:hAnsi="Arial;sans-serif"/>
                  <w:b w:val="false"/>
                  <w:color w:val="0000FF"/>
                  <w:sz w:val="20"/>
                  <w:u w:val="single"/>
                </w:rPr>
                <w:t>7</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Director Nominee Biographies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97">
              <w:r>
                <w:rPr>
                  <w:rStyle w:val="InternetLink"/>
                  <w:rFonts w:ascii="Arial;sans-serif" w:hAnsi="Arial;sans-serif"/>
                  <w:b w:val="false"/>
                  <w:color w:val="0000FF"/>
                  <w:sz w:val="20"/>
                  <w:u w:val="single"/>
                </w:rPr>
                <w:t>10</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Our Board and Our Board Committees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03">
              <w:r>
                <w:rPr>
                  <w:rStyle w:val="InternetLink"/>
                  <w:rFonts w:ascii="Arial;sans-serif" w:hAnsi="Arial;sans-serif"/>
                  <w:b w:val="false"/>
                  <w:color w:val="0000FF"/>
                  <w:sz w:val="20"/>
                  <w:u w:val="single"/>
                </w:rPr>
                <w:t>13</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Corporate Governance Matters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30">
              <w:r>
                <w:rPr>
                  <w:rStyle w:val="InternetLink"/>
                  <w:rFonts w:ascii="Arial;sans-serif" w:hAnsi="Arial;sans-serif"/>
                  <w:b w:val="false"/>
                  <w:color w:val="0000FF"/>
                  <w:sz w:val="20"/>
                  <w:u w:val="single"/>
                </w:rPr>
                <w:t>17</w:t>
              </w:r>
            </w:hyperlink>
          </w:p>
        </w:tc>
        <w:tc>
          <w:tcPr>
            <w:tcW w:w="5627" w:type="dxa"/>
            <w:gridSpan w:val="3"/>
            <w:tcBorders>
              <w:bottom w:val="single" w:sz="8" w:space="0" w:color="6B6B6A"/>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Director Compensation</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6"/>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139">
              <w:r>
                <w:rPr>
                  <w:rStyle w:val="InternetLink"/>
                  <w:rFonts w:ascii="Arial;sans-serif" w:hAnsi="Arial;sans-serif"/>
                  <w:b/>
                  <w:color w:val="0000FF"/>
                  <w:sz w:val="20"/>
                  <w:u w:val="single"/>
                </w:rPr>
                <w:t>19</w:t>
              </w:r>
            </w:hyperlink>
            <w:r>
              <w:rPr>
                <w:rFonts w:ascii="Arial;sans-serif" w:hAnsi="Arial;sans-serif"/>
                <w:b/>
                <w:color w:val="242424"/>
                <w:sz w:val="20"/>
              </w:rPr>
              <w:t>-</w:t>
            </w:r>
            <w:hyperlink w:anchor="ic4c7e47c0ab1437eaa4ed22d0f97486a_2868">
              <w:r>
                <w:rPr>
                  <w:rStyle w:val="InternetLink"/>
                  <w:rFonts w:ascii="Arial;sans-serif" w:hAnsi="Arial;sans-serif"/>
                  <w:b/>
                  <w:color w:val="0000FF"/>
                  <w:sz w:val="20"/>
                  <w:u w:val="single"/>
                </w:rPr>
                <w:t>20</w:t>
              </w:r>
            </w:hyperlink>
          </w:p>
        </w:tc>
        <w:tc>
          <w:tcPr>
            <w:tcW w:w="749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77383e576584d77a42c17ee243586bf_139">
              <w:r>
                <w:rPr>
                  <w:rStyle w:val="InternetLink"/>
                  <w:rFonts w:ascii="Arial;sans-serif" w:hAnsi="Arial;sans-serif"/>
                  <w:b w:val="false"/>
                  <w:strike w:val="false"/>
                  <w:dstrike w:val="false"/>
                  <w:color w:val="CE1141"/>
                  <w:sz w:val="20"/>
                  <w:u w:val="none"/>
                  <w:effect w:val="none"/>
                </w:rPr>
                <w:t>AGENDA ITEM 2 – RATIFY APPOINTMENT OF INDEPENDENT AUDITORS AND AUTHORIZE AUDITORS’ REMUNERATION</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45">
              <w:r>
                <w:rPr>
                  <w:rStyle w:val="InternetLink"/>
                  <w:rFonts w:ascii="Arial;sans-serif" w:hAnsi="Arial;sans-serif"/>
                  <w:b w:val="false"/>
                  <w:color w:val="0000FF"/>
                  <w:sz w:val="20"/>
                  <w:u w:val="single"/>
                </w:rPr>
                <w:t>20</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Audit Committee Pre-Approval Policy</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48">
              <w:r>
                <w:rPr>
                  <w:rStyle w:val="InternetLink"/>
                  <w:rFonts w:ascii="Arial;sans-serif" w:hAnsi="Arial;sans-serif"/>
                  <w:b w:val="false"/>
                  <w:color w:val="0000FF"/>
                  <w:sz w:val="20"/>
                  <w:u w:val="single"/>
                </w:rPr>
                <w:t>20</w:t>
              </w:r>
            </w:hyperlink>
          </w:p>
        </w:tc>
        <w:tc>
          <w:tcPr>
            <w:tcW w:w="56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Audit Committee Report</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151">
              <w:r>
                <w:rPr>
                  <w:rStyle w:val="InternetLink"/>
                  <w:rFonts w:ascii="Arial;sans-serif" w:hAnsi="Arial;sans-serif"/>
                  <w:b/>
                  <w:color w:val="0000FF"/>
                  <w:sz w:val="20"/>
                  <w:u w:val="single"/>
                </w:rPr>
                <w:t>21</w:t>
              </w:r>
            </w:hyperlink>
          </w:p>
        </w:tc>
        <w:tc>
          <w:tcPr>
            <w:tcW w:w="7493"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151">
              <w:r>
                <w:rPr>
                  <w:rStyle w:val="InternetLink"/>
                  <w:rFonts w:ascii="Arial;sans-serif" w:hAnsi="Arial;sans-serif"/>
                  <w:b w:val="false"/>
                  <w:strike w:val="false"/>
                  <w:dstrike w:val="false"/>
                  <w:color w:val="CE1141"/>
                  <w:sz w:val="20"/>
                  <w:u w:val="none"/>
                  <w:effect w:val="none"/>
                </w:rPr>
                <w:t>AGENDA ITEM 3 – ADVISORY APPROVAL OF EXECUTIVE COMPENSATION</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154">
              <w:r>
                <w:rPr>
                  <w:rStyle w:val="InternetLink"/>
                  <w:rFonts w:ascii="Arial;sans-serif" w:hAnsi="Arial;sans-serif"/>
                  <w:b/>
                  <w:color w:val="0000FF"/>
                  <w:sz w:val="20"/>
                  <w:u w:val="single"/>
                </w:rPr>
                <w:t>22</w:t>
              </w:r>
            </w:hyperlink>
            <w:r>
              <w:rPr>
                <w:rFonts w:ascii="Arial;sans-serif" w:hAnsi="Arial;sans-serif"/>
                <w:b/>
                <w:color w:val="242424"/>
                <w:sz w:val="20"/>
              </w:rPr>
              <w:t>-</w:t>
            </w:r>
            <w:hyperlink w:anchor="ia97720fe45614b1a912b5b0fe98568aa_264">
              <w:r>
                <w:rPr>
                  <w:rStyle w:val="InternetLink"/>
                  <w:rFonts w:ascii="Arial;sans-serif" w:hAnsi="Arial;sans-serif"/>
                  <w:b/>
                  <w:color w:val="0000FF"/>
                  <w:sz w:val="20"/>
                  <w:u w:val="single"/>
                </w:rPr>
                <w:t>39</w:t>
              </w:r>
            </w:hyperlink>
          </w:p>
        </w:tc>
        <w:tc>
          <w:tcPr>
            <w:tcW w:w="7493"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154">
              <w:r>
                <w:rPr>
                  <w:rStyle w:val="InternetLink"/>
                  <w:rFonts w:ascii="Arial;sans-serif" w:hAnsi="Arial;sans-serif"/>
                  <w:b w:val="false"/>
                  <w:strike w:val="false"/>
                  <w:dstrike w:val="false"/>
                  <w:color w:val="CE1141"/>
                  <w:sz w:val="20"/>
                  <w:u w:val="none"/>
                  <w:effect w:val="none"/>
                </w:rPr>
                <w:t>COMPENSATION DISCUSSION AND ANALYSIS</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continue"/>
            <w:tcBorders/>
            <w:tcMar>
              <w:top w:w="0" w:type="dxa"/>
              <w:left w:w="0" w:type="dxa"/>
              <w:bottom w:w="0" w:type="dxa"/>
              <w:right w:w="0" w:type="dxa"/>
            </w:tcMar>
            <w:vAlign w:val="center"/>
          </w:tcPr>
          <w:p>
            <w:pPr>
              <w:pStyle w:val="Normal"/>
              <w:bidi w:val="0"/>
              <w:jc w:val="left"/>
              <w:rPr/>
            </w:pPr>
            <w:r>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57">
              <w:r>
                <w:rPr>
                  <w:rStyle w:val="InternetLink"/>
                  <w:rFonts w:ascii="Arial;sans-serif" w:hAnsi="Arial;sans-serif"/>
                  <w:b w:val="false"/>
                  <w:color w:val="0000FF"/>
                  <w:sz w:val="20"/>
                  <w:u w:val="single"/>
                </w:rPr>
                <w:t>22</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Executive Summary</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60">
              <w:r>
                <w:rPr>
                  <w:rStyle w:val="InternetLink"/>
                  <w:rFonts w:ascii="Arial;sans-serif" w:hAnsi="Arial;sans-serif"/>
                  <w:b w:val="false"/>
                  <w:color w:val="0000FF"/>
                  <w:sz w:val="20"/>
                  <w:u w:val="single"/>
                </w:rPr>
                <w:t>24</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42424"/>
                <w:sz w:val="20"/>
              </w:rPr>
            </w:pPr>
            <w:r>
              <w:rPr>
                <w:rFonts w:ascii="Arial;sans-serif" w:hAnsi="Arial;sans-serif"/>
                <w:b w:val="false"/>
                <w:color w:val="242424"/>
                <w:sz w:val="20"/>
              </w:rPr>
              <w:t>Named Executive Officers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63">
              <w:r>
                <w:rPr>
                  <w:rStyle w:val="InternetLink"/>
                  <w:rFonts w:ascii="Arial;sans-serif" w:hAnsi="Arial;sans-serif"/>
                  <w:b w:val="false"/>
                  <w:color w:val="0000FF"/>
                  <w:sz w:val="20"/>
                  <w:u w:val="single"/>
                </w:rPr>
                <w:t>24</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Compensation Program Overview</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66">
              <w:r>
                <w:rPr>
                  <w:rStyle w:val="InternetLink"/>
                  <w:rFonts w:ascii="Arial;sans-serif" w:hAnsi="Arial;sans-serif"/>
                  <w:b w:val="false"/>
                  <w:color w:val="0000FF"/>
                  <w:sz w:val="20"/>
                  <w:u w:val="single"/>
                </w:rPr>
                <w:t>27</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The Compensation Setting Process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69">
              <w:r>
                <w:rPr>
                  <w:rStyle w:val="InternetLink"/>
                  <w:rFonts w:ascii="Arial;sans-serif" w:hAnsi="Arial;sans-serif"/>
                  <w:b w:val="false"/>
                  <w:color w:val="0000FF"/>
                  <w:sz w:val="20"/>
                  <w:u w:val="single"/>
                </w:rPr>
                <w:t>29</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Elements of the 2024 Executive Compensation Program</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84">
              <w:r>
                <w:rPr>
                  <w:rStyle w:val="InternetLink"/>
                  <w:rFonts w:ascii="Arial;sans-serif" w:hAnsi="Arial;sans-serif"/>
                  <w:b w:val="false"/>
                  <w:color w:val="0000FF"/>
                  <w:sz w:val="20"/>
                  <w:u w:val="single"/>
                </w:rPr>
                <w:t>38</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42424"/>
                <w:sz w:val="20"/>
              </w:rPr>
            </w:pPr>
            <w:r>
              <w:rPr>
                <w:rFonts w:ascii="Arial;sans-serif" w:hAnsi="Arial;sans-serif"/>
                <w:b w:val="false"/>
                <w:color w:val="242424"/>
                <w:sz w:val="20"/>
              </w:rPr>
              <w:t>Risk Analysis of Compensation Programs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90">
              <w:r>
                <w:rPr>
                  <w:rStyle w:val="InternetLink"/>
                  <w:rFonts w:ascii="Arial;sans-serif" w:hAnsi="Arial;sans-serif"/>
                  <w:b w:val="false"/>
                  <w:color w:val="0000FF"/>
                  <w:sz w:val="20"/>
                  <w:u w:val="single"/>
                </w:rPr>
                <w:t>39</w:t>
              </w:r>
            </w:hyperlink>
          </w:p>
        </w:tc>
        <w:tc>
          <w:tcPr>
            <w:tcW w:w="56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Committee Report</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193">
              <w:r>
                <w:rPr>
                  <w:rStyle w:val="InternetLink"/>
                  <w:rFonts w:ascii="Arial;sans-serif" w:hAnsi="Arial;sans-serif"/>
                  <w:b/>
                  <w:color w:val="0000FF"/>
                  <w:sz w:val="20"/>
                  <w:u w:val="single"/>
                </w:rPr>
                <w:t>40</w:t>
              </w:r>
            </w:hyperlink>
            <w:r>
              <w:rPr>
                <w:rFonts w:ascii="Arial;sans-serif" w:hAnsi="Arial;sans-serif"/>
                <w:b/>
                <w:color w:val="242424"/>
                <w:sz w:val="20"/>
              </w:rPr>
              <w:t>-</w:t>
            </w:r>
            <w:r>
              <w:rPr>
                <w:rFonts w:ascii="Arial;sans-serif" w:hAnsi="Arial;sans-serif"/>
                <w:b/>
                <w:color w:val="0000FF"/>
                <w:sz w:val="20"/>
                <w:u w:val="single"/>
              </w:rPr>
              <w:t>50</w:t>
            </w:r>
          </w:p>
        </w:tc>
        <w:tc>
          <w:tcPr>
            <w:tcW w:w="7493"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193">
              <w:r>
                <w:rPr>
                  <w:rStyle w:val="InternetLink"/>
                  <w:rFonts w:ascii="Arial;sans-serif" w:hAnsi="Arial;sans-serif"/>
                  <w:b w:val="false"/>
                  <w:strike w:val="false"/>
                  <w:dstrike w:val="false"/>
                  <w:color w:val="CE1141"/>
                  <w:sz w:val="20"/>
                  <w:u w:val="none"/>
                  <w:effect w:val="none"/>
                </w:rPr>
                <w:t>EXECUTIVE COMPENSATION TABLES</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continue"/>
            <w:tcBorders/>
            <w:tcMar>
              <w:top w:w="0" w:type="dxa"/>
              <w:left w:w="0" w:type="dxa"/>
              <w:bottom w:w="0" w:type="dxa"/>
              <w:right w:w="0" w:type="dxa"/>
            </w:tcMar>
            <w:vAlign w:val="center"/>
          </w:tcPr>
          <w:p>
            <w:pPr>
              <w:pStyle w:val="Normal"/>
              <w:bidi w:val="0"/>
              <w:jc w:val="left"/>
              <w:rPr/>
            </w:pPr>
            <w:r>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96">
              <w:r>
                <w:rPr>
                  <w:rStyle w:val="InternetLink"/>
                  <w:rFonts w:ascii="Arial;sans-serif" w:hAnsi="Arial;sans-serif"/>
                  <w:b w:val="false"/>
                  <w:color w:val="0000FF"/>
                  <w:sz w:val="20"/>
                  <w:u w:val="single"/>
                </w:rPr>
                <w:t>40</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Summary Compensation Table</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199">
              <w:r>
                <w:rPr>
                  <w:rStyle w:val="InternetLink"/>
                  <w:rFonts w:ascii="Arial;sans-serif" w:hAnsi="Arial;sans-serif"/>
                  <w:b w:val="false"/>
                  <w:color w:val="0000FF"/>
                  <w:sz w:val="20"/>
                  <w:u w:val="single"/>
                </w:rPr>
                <w:t>42</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Grants of Plan-Based Awards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202">
              <w:r>
                <w:rPr>
                  <w:rStyle w:val="InternetLink"/>
                  <w:rFonts w:ascii="Arial;sans-serif" w:hAnsi="Arial;sans-serif"/>
                  <w:b w:val="false"/>
                  <w:color w:val="0000FF"/>
                  <w:sz w:val="20"/>
                  <w:u w:val="single"/>
                </w:rPr>
                <w:t>43</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Outstanding Equity Awards at December 31, 2024</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205">
              <w:r>
                <w:rPr>
                  <w:rStyle w:val="InternetLink"/>
                  <w:rFonts w:ascii="Arial;sans-serif" w:hAnsi="Arial;sans-serif"/>
                  <w:b w:val="false"/>
                  <w:color w:val="0000FF"/>
                  <w:sz w:val="20"/>
                  <w:u w:val="single"/>
                </w:rPr>
                <w:t>44</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Option Exercises and Shares Vested in 2024</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208">
              <w:r>
                <w:rPr>
                  <w:rStyle w:val="InternetLink"/>
                  <w:rFonts w:ascii="Arial;sans-serif" w:hAnsi="Arial;sans-serif"/>
                  <w:b w:val="false"/>
                  <w:color w:val="0000FF"/>
                  <w:sz w:val="20"/>
                  <w:u w:val="single"/>
                </w:rPr>
                <w:t>45</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Potential Payments upon Termination or Change of Control</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232">
              <w:r>
                <w:rPr>
                  <w:rStyle w:val="InternetLink"/>
                  <w:rFonts w:ascii="Arial;sans-serif" w:hAnsi="Arial;sans-serif"/>
                  <w:b w:val="false"/>
                  <w:color w:val="0000FF"/>
                  <w:sz w:val="20"/>
                  <w:u w:val="single"/>
                </w:rPr>
                <w:t>49</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42424"/>
                <w:sz w:val="20"/>
              </w:rPr>
            </w:pPr>
            <w:r>
              <w:rPr>
                <w:rFonts w:ascii="Arial;sans-serif" w:hAnsi="Arial;sans-serif"/>
                <w:b w:val="false"/>
                <w:color w:val="242424"/>
                <w:sz w:val="20"/>
              </w:rPr>
              <w:t>Equity Compensation Plan Information</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35">
              <w:r>
                <w:rPr>
                  <w:rStyle w:val="InternetLink"/>
                  <w:rFonts w:ascii="Arial;sans-serif" w:hAnsi="Arial;sans-serif"/>
                  <w:b/>
                  <w:color w:val="0000FF"/>
                  <w:sz w:val="20"/>
                  <w:u w:val="single"/>
                </w:rPr>
                <w:t>50</w:t>
              </w:r>
            </w:hyperlink>
          </w:p>
        </w:tc>
        <w:tc>
          <w:tcPr>
            <w:tcW w:w="7493"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35">
              <w:r>
                <w:rPr>
                  <w:rStyle w:val="InternetLink"/>
                  <w:rFonts w:ascii="Arial;sans-serif" w:hAnsi="Arial;sans-serif"/>
                  <w:b w:val="false"/>
                  <w:strike w:val="false"/>
                  <w:dstrike w:val="false"/>
                  <w:color w:val="000080"/>
                  <w:sz w:val="20"/>
                  <w:u w:val="single"/>
                  <w:effect w:val="none"/>
                </w:rPr>
                <w:t>CEO P</w:t>
              </w:r>
            </w:hyperlink>
            <w:hyperlink w:anchor="ic77383e576584d77a42c17ee243586bf_235">
              <w:r>
                <w:rPr>
                  <w:rStyle w:val="InternetLink"/>
                  <w:rFonts w:ascii="Arial;sans-serif" w:hAnsi="Arial;sans-serif"/>
                  <w:b w:val="false"/>
                  <w:strike w:val="false"/>
                  <w:dstrike w:val="false"/>
                  <w:color w:val="000080"/>
                  <w:sz w:val="20"/>
                  <w:u w:val="single"/>
                  <w:effect w:val="none"/>
                </w:rPr>
                <w:t>AY RATIO</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continue"/>
            <w:tcBorders/>
            <w:tcMar>
              <w:top w:w="0" w:type="dxa"/>
              <w:left w:w="0" w:type="dxa"/>
              <w:bottom w:w="0" w:type="dxa"/>
              <w:right w:w="0" w:type="dxa"/>
            </w:tcMar>
            <w:vAlign w:val="center"/>
          </w:tcPr>
          <w:p>
            <w:pPr>
              <w:pStyle w:val="Normal"/>
              <w:bidi w:val="0"/>
              <w:jc w:val="left"/>
              <w:rPr/>
            </w:pPr>
            <w:r>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38">
              <w:r>
                <w:rPr>
                  <w:rStyle w:val="InternetLink"/>
                  <w:rFonts w:ascii="Arial;sans-serif" w:hAnsi="Arial;sans-serif"/>
                  <w:b/>
                  <w:color w:val="0000FF"/>
                  <w:sz w:val="20"/>
                  <w:u w:val="single"/>
                </w:rPr>
                <w:t>51</w:t>
              </w:r>
            </w:hyperlink>
          </w:p>
        </w:tc>
        <w:tc>
          <w:tcPr>
            <w:tcW w:w="7493"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38">
              <w:r>
                <w:rPr>
                  <w:rStyle w:val="InternetLink"/>
                  <w:rFonts w:ascii="Arial;sans-serif" w:hAnsi="Arial;sans-serif"/>
                  <w:b w:val="false"/>
                  <w:strike w:val="false"/>
                  <w:dstrike w:val="false"/>
                  <w:color w:val="CE1141"/>
                  <w:sz w:val="20"/>
                  <w:u w:val="none"/>
                  <w:effect w:val="none"/>
                </w:rPr>
                <w:t>PAY VERSUS PERFORMANCE</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continue"/>
            <w:tcBorders/>
            <w:tcMar>
              <w:top w:w="0" w:type="dxa"/>
              <w:left w:w="0" w:type="dxa"/>
              <w:bottom w:w="0" w:type="dxa"/>
              <w:right w:w="0" w:type="dxa"/>
            </w:tcMar>
            <w:vAlign w:val="center"/>
          </w:tcPr>
          <w:p>
            <w:pPr>
              <w:pStyle w:val="Normal"/>
              <w:bidi w:val="0"/>
              <w:jc w:val="left"/>
              <w:rPr/>
            </w:pPr>
            <w:r>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ic77383e576584d77a42c17ee243586bf_895">
              <w:r>
                <w:rPr>
                  <w:rStyle w:val="InternetLink"/>
                  <w:rFonts w:ascii="Arial;sans-serif" w:hAnsi="Arial;sans-serif"/>
                  <w:b/>
                  <w:color w:val="0000FF"/>
                  <w:sz w:val="20"/>
                  <w:u w:val="single"/>
                </w:rPr>
                <w:t>55</w:t>
              </w:r>
            </w:hyperlink>
          </w:p>
        </w:tc>
        <w:tc>
          <w:tcPr>
            <w:tcW w:w="749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pPr>
            <w:hyperlink w:anchor="ic77383e576584d77a42c17ee243586bf_895">
              <w:r>
                <w:rPr>
                  <w:rStyle w:val="InternetLink"/>
                  <w:rFonts w:ascii="Arial;sans-serif" w:hAnsi="Arial;sans-serif"/>
                  <w:b w:val="false"/>
                  <w:strike w:val="false"/>
                  <w:dstrike w:val="false"/>
                  <w:color w:val="000080"/>
                  <w:sz w:val="20"/>
                  <w:u w:val="single"/>
                  <w:effect w:val="none"/>
                </w:rPr>
                <w:t xml:space="preserve">AGENDA ITEM </w:t>
              </w:r>
            </w:hyperlink>
            <w:hyperlink w:anchor="ic77383e576584d77a42c17ee243586bf_895">
              <w:r>
                <w:rPr>
                  <w:rStyle w:val="InternetLink"/>
                  <w:rFonts w:ascii="Arial;sans-serif" w:hAnsi="Arial;sans-serif"/>
                  <w:b w:val="false"/>
                  <w:strike w:val="false"/>
                  <w:dstrike w:val="false"/>
                  <w:color w:val="000080"/>
                  <w:sz w:val="20"/>
                  <w:u w:val="single"/>
                  <w:effect w:val="none"/>
                </w:rPr>
                <w:t>4</w:t>
              </w:r>
            </w:hyperlink>
            <w:hyperlink w:anchor="ic77383e576584d77a42c17ee243586bf_895">
              <w:r>
                <w:rPr>
                  <w:rStyle w:val="InternetLink"/>
                  <w:rFonts w:ascii="Arial;sans-serif" w:hAnsi="Arial;sans-serif"/>
                  <w:b w:val="false"/>
                  <w:strike w:val="false"/>
                  <w:dstrike w:val="false"/>
                  <w:color w:val="000080"/>
                  <w:sz w:val="20"/>
                  <w:u w:val="single"/>
                  <w:effect w:val="none"/>
                </w:rPr>
                <w:t xml:space="preserve"> – </w:t>
              </w:r>
            </w:hyperlink>
            <w:hyperlink w:anchor="ic77383e576584d77a42c17ee243586bf_895">
              <w:r>
                <w:rPr>
                  <w:rStyle w:val="InternetLink"/>
                  <w:rFonts w:ascii="Arial;sans-serif" w:hAnsi="Arial;sans-serif"/>
                  <w:b w:val="false"/>
                  <w:strike w:val="false"/>
                  <w:dstrike w:val="false"/>
                  <w:color w:val="000080"/>
                  <w:sz w:val="20"/>
                  <w:u w:val="single"/>
                  <w:effect w:val="none"/>
                </w:rPr>
                <w:t>AMENDED AND REST</w:t>
              </w:r>
            </w:hyperlink>
            <w:hyperlink w:anchor="ic77383e576584d77a42c17ee243586bf_895">
              <w:r>
                <w:rPr>
                  <w:rStyle w:val="InternetLink"/>
                  <w:rFonts w:ascii="Arial;sans-serif" w:hAnsi="Arial;sans-serif"/>
                  <w:b w:val="false"/>
                  <w:strike w:val="false"/>
                  <w:dstrike w:val="false"/>
                  <w:color w:val="000080"/>
                  <w:sz w:val="20"/>
                  <w:u w:val="single"/>
                  <w:effect w:val="none"/>
                </w:rPr>
                <w:t>ATED E</w:t>
              </w:r>
            </w:hyperlink>
            <w:hyperlink w:anchor="ic77383e576584d77a42c17ee243586bf_895">
              <w:r>
                <w:rPr>
                  <w:rStyle w:val="InternetLink"/>
                  <w:rFonts w:ascii="Arial;sans-serif" w:hAnsi="Arial;sans-serif"/>
                  <w:b w:val="false"/>
                  <w:strike w:val="false"/>
                  <w:dstrike w:val="false"/>
                  <w:color w:val="000080"/>
                  <w:sz w:val="20"/>
                  <w:u w:val="single"/>
                  <w:effect w:val="none"/>
                </w:rPr>
                <w:t>QUITY INCENTIVE PLAN</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ic77383e576584d77a42c17ee243586bf_250">
              <w:r>
                <w:rPr>
                  <w:rStyle w:val="InternetLink"/>
                  <w:rFonts w:ascii="Arial;sans-serif" w:hAnsi="Arial;sans-serif"/>
                  <w:b/>
                  <w:color w:val="0000FF"/>
                  <w:sz w:val="20"/>
                  <w:u w:val="single"/>
                </w:rPr>
                <w:t>62</w:t>
              </w:r>
            </w:hyperlink>
          </w:p>
        </w:tc>
        <w:tc>
          <w:tcPr>
            <w:tcW w:w="74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ic77383e576584d77a42c17ee243586bf_250">
              <w:r>
                <w:rPr>
                  <w:rStyle w:val="InternetLink"/>
                  <w:rFonts w:ascii="Arial;sans-serif" w:hAnsi="Arial;sans-serif"/>
                  <w:b w:val="false"/>
                  <w:strike w:val="false"/>
                  <w:dstrike w:val="false"/>
                  <w:color w:val="CE1141"/>
                  <w:sz w:val="20"/>
                  <w:u w:val="none"/>
                  <w:effect w:val="none"/>
                </w:rPr>
                <w:t xml:space="preserve">AGENDA ITEM </w:t>
              </w:r>
            </w:hyperlink>
            <w:r>
              <w:rPr>
                <w:rFonts w:ascii="Arial;sans-serif" w:hAnsi="Arial;sans-serif"/>
                <w:b w:val="false"/>
                <w:color w:val="CE1141"/>
                <w:sz w:val="20"/>
              </w:rPr>
              <w:t>5</w:t>
            </w:r>
            <w:hyperlink w:anchor="ic77383e576584d77a42c17ee243586bf_250">
              <w:r>
                <w:rPr>
                  <w:rStyle w:val="InternetLink"/>
                  <w:rFonts w:ascii="Arial;sans-serif" w:hAnsi="Arial;sans-serif"/>
                  <w:b w:val="false"/>
                  <w:strike w:val="false"/>
                  <w:dstrike w:val="false"/>
                  <w:color w:val="000080"/>
                  <w:sz w:val="20"/>
                  <w:u w:val="single"/>
                  <w:effect w:val="none"/>
                </w:rPr>
                <w:t xml:space="preserve"> – </w:t>
              </w:r>
            </w:hyperlink>
            <w:hyperlink w:anchor="ic77383e576584d77a42c17ee243586bf_250">
              <w:r>
                <w:rPr>
                  <w:rStyle w:val="InternetLink"/>
                  <w:rFonts w:ascii="Arial;sans-serif" w:hAnsi="Arial;sans-serif"/>
                  <w:b w:val="false"/>
                  <w:strike w:val="false"/>
                  <w:dstrike w:val="false"/>
                  <w:color w:val="000080"/>
                  <w:sz w:val="20"/>
                  <w:u w:val="single"/>
                  <w:effect w:val="none"/>
                </w:rPr>
                <w:t>BOARD AUTHORITY TO ISSUE SHARES</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53">
              <w:r>
                <w:rPr>
                  <w:rStyle w:val="InternetLink"/>
                  <w:rFonts w:ascii="Arial;sans-serif" w:hAnsi="Arial;sans-serif"/>
                  <w:b/>
                  <w:color w:val="0000FF"/>
                  <w:sz w:val="20"/>
                  <w:u w:val="single"/>
                </w:rPr>
                <w:t>63</w:t>
              </w:r>
            </w:hyperlink>
          </w:p>
        </w:tc>
        <w:tc>
          <w:tcPr>
            <w:tcW w:w="7493"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53">
              <w:r>
                <w:rPr>
                  <w:rStyle w:val="InternetLink"/>
                  <w:rFonts w:ascii="Arial;sans-serif" w:hAnsi="Arial;sans-serif"/>
                  <w:b w:val="false"/>
                  <w:strike w:val="false"/>
                  <w:dstrike w:val="false"/>
                  <w:color w:val="CE1141"/>
                  <w:sz w:val="20"/>
                  <w:u w:val="none"/>
                  <w:effect w:val="none"/>
                </w:rPr>
                <w:t xml:space="preserve">AGENDA ITEM </w:t>
              </w:r>
            </w:hyperlink>
            <w:r>
              <w:rPr>
                <w:rFonts w:ascii="Arial;sans-serif" w:hAnsi="Arial;sans-serif"/>
                <w:b w:val="false"/>
                <w:color w:val="CE1141"/>
                <w:sz w:val="20"/>
              </w:rPr>
              <w:t>6</w:t>
            </w:r>
            <w:hyperlink w:anchor="ic77383e576584d77a42c17ee243586bf_253">
              <w:r>
                <w:rPr>
                  <w:rStyle w:val="InternetLink"/>
                  <w:rFonts w:ascii="Arial;sans-serif" w:hAnsi="Arial;sans-serif"/>
                  <w:b w:val="false"/>
                  <w:strike w:val="false"/>
                  <w:dstrike w:val="false"/>
                  <w:color w:val="000080"/>
                  <w:sz w:val="20"/>
                  <w:u w:val="single"/>
                  <w:effect w:val="none"/>
                </w:rPr>
                <w:t xml:space="preserve"> – </w:t>
              </w:r>
            </w:hyperlink>
            <w:hyperlink w:anchor="ic77383e576584d77a42c17ee243586bf_253">
              <w:r>
                <w:rPr>
                  <w:rStyle w:val="InternetLink"/>
                  <w:rFonts w:ascii="Arial;sans-serif" w:hAnsi="Arial;sans-serif"/>
                  <w:b w:val="false"/>
                  <w:strike w:val="false"/>
                  <w:dstrike w:val="false"/>
                  <w:color w:val="000080"/>
                  <w:sz w:val="20"/>
                  <w:u w:val="single"/>
                  <w:effect w:val="none"/>
                </w:rPr>
                <w:t>BOARD POWER TO OPT-OUT OF PREEMPTION RIGHTS</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56">
              <w:r>
                <w:rPr>
                  <w:rStyle w:val="InternetLink"/>
                  <w:rFonts w:ascii="Arial;sans-serif" w:hAnsi="Arial;sans-serif"/>
                  <w:b/>
                  <w:color w:val="0000FF"/>
                  <w:sz w:val="20"/>
                  <w:u w:val="single"/>
                </w:rPr>
                <w:t>65</w:t>
              </w:r>
            </w:hyperlink>
            <w:r>
              <w:rPr>
                <w:rFonts w:ascii="Arial;sans-serif" w:hAnsi="Arial;sans-serif"/>
                <w:b/>
                <w:color w:val="0000FF"/>
                <w:sz w:val="20"/>
              </w:rPr>
              <w:t>-</w:t>
            </w:r>
            <w:hyperlink w:anchor="i962cc2151ce2401bbb4f8b1df889793c_982">
              <w:r>
                <w:rPr>
                  <w:rStyle w:val="InternetLink"/>
                  <w:rFonts w:ascii="Arial;sans-serif" w:hAnsi="Arial;sans-serif"/>
                  <w:b/>
                  <w:color w:val="0000FF"/>
                  <w:sz w:val="20"/>
                  <w:u w:val="single"/>
                </w:rPr>
                <w:t>69</w:t>
              </w:r>
            </w:hyperlink>
          </w:p>
        </w:tc>
        <w:tc>
          <w:tcPr>
            <w:tcW w:w="7493"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77383e576584d77a42c17ee243586bf_256">
              <w:r>
                <w:rPr>
                  <w:rStyle w:val="InternetLink"/>
                  <w:rFonts w:ascii="Arial;sans-serif" w:hAnsi="Arial;sans-serif"/>
                  <w:b w:val="false"/>
                  <w:strike w:val="false"/>
                  <w:dstrike w:val="false"/>
                  <w:color w:val="CE1141"/>
                  <w:sz w:val="20"/>
                  <w:u w:val="none"/>
                  <w:effect w:val="none"/>
                </w:rPr>
                <w:t>OTHER INFORMATION</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vMerge w:val="continue"/>
            <w:tcBorders/>
            <w:tcMar>
              <w:top w:w="0" w:type="dxa"/>
              <w:left w:w="0" w:type="dxa"/>
              <w:bottom w:w="0" w:type="dxa"/>
              <w:right w:w="0" w:type="dxa"/>
            </w:tcMar>
            <w:vAlign w:val="center"/>
          </w:tcPr>
          <w:p>
            <w:pPr>
              <w:pStyle w:val="Normal"/>
              <w:bidi w:val="0"/>
              <w:jc w:val="left"/>
              <w:rPr/>
            </w:pPr>
            <w:r>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259">
              <w:r>
                <w:rPr>
                  <w:rStyle w:val="InternetLink"/>
                  <w:rFonts w:ascii="Arial;sans-serif" w:hAnsi="Arial;sans-serif"/>
                  <w:b w:val="false"/>
                  <w:color w:val="0000FF"/>
                  <w:sz w:val="20"/>
                  <w:u w:val="single"/>
                </w:rPr>
                <w:t>65</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Share Ownership</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274">
              <w:r>
                <w:rPr>
                  <w:rStyle w:val="InternetLink"/>
                  <w:rFonts w:ascii="Arial;sans-serif" w:hAnsi="Arial;sans-serif"/>
                  <w:b w:val="false"/>
                  <w:color w:val="0000FF"/>
                  <w:sz w:val="20"/>
                  <w:u w:val="single"/>
                </w:rPr>
                <w:t>68</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Presentation of Irish Statutory Accounts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277">
              <w:r>
                <w:rPr>
                  <w:rStyle w:val="InternetLink"/>
                  <w:rFonts w:ascii="Arial;sans-serif" w:hAnsi="Arial;sans-serif"/>
                  <w:b w:val="false"/>
                  <w:color w:val="0000FF"/>
                  <w:sz w:val="20"/>
                  <w:u w:val="single"/>
                </w:rPr>
                <w:t>68</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Proposals by Shareholders</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c77383e576584d77a42c17ee243586bf_286">
              <w:r>
                <w:rPr>
                  <w:rStyle w:val="InternetLink"/>
                  <w:rFonts w:ascii="Arial;sans-serif" w:hAnsi="Arial;sans-serif"/>
                  <w:b w:val="false"/>
                  <w:color w:val="0000FF"/>
                  <w:sz w:val="20"/>
                  <w:u w:val="single"/>
                </w:rPr>
                <w:t>69</w:t>
              </w:r>
            </w:hyperlink>
          </w:p>
        </w:tc>
        <w:tc>
          <w:tcPr>
            <w:tcW w:w="5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Additional Information Available</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60400"/>
                <wp:effectExtent l="0" t="0" r="0" b="0"/>
                <wp:wrapNone/>
                <wp:docPr id="22" name="Frame1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89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
        <w:gridCol w:w="214"/>
        <w:gridCol w:w="216"/>
        <w:gridCol w:w="1183"/>
        <w:gridCol w:w="1183"/>
        <w:gridCol w:w="1183"/>
        <w:gridCol w:w="1183"/>
        <w:gridCol w:w="1183"/>
        <w:gridCol w:w="16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color w:val="0000FF"/>
                <w:sz w:val="20"/>
                <w:u w:val="single"/>
              </w:rPr>
              <w:t>A</w:t>
            </w:r>
            <w:hyperlink w:anchor="ic77383e576584d77a42c17ee243586bf_289">
              <w:r>
                <w:rPr>
                  <w:rStyle w:val="InternetLink"/>
                  <w:rFonts w:ascii="Arial;sans-serif" w:hAnsi="Arial;sans-serif"/>
                  <w:b/>
                  <w:color w:val="000080"/>
                  <w:sz w:val="20"/>
                  <w:u w:val="single"/>
                </w:rPr>
                <w:t>1</w:t>
              </w:r>
            </w:hyperlink>
            <w:r>
              <w:rPr>
                <w:rFonts w:ascii="Arial;sans-serif" w:hAnsi="Arial;sans-serif"/>
                <w:b/>
                <w:color w:val="242424"/>
                <w:sz w:val="20"/>
              </w:rPr>
              <w:t>-</w:t>
            </w:r>
            <w:r>
              <w:rPr>
                <w:rFonts w:ascii="Arial;sans-serif" w:hAnsi="Arial;sans-serif"/>
                <w:b/>
                <w:color w:val="0000FF"/>
                <w:sz w:val="20"/>
                <w:u w:val="single"/>
              </w:rPr>
              <w:t>A</w:t>
            </w:r>
            <w:hyperlink w:anchor="id03857a66b8840af9f3943aec1cff9a4_5-5-1-1-365045">
              <w:r>
                <w:rPr>
                  <w:rStyle w:val="InternetLink"/>
                  <w:rFonts w:ascii="Arial;sans-serif" w:hAnsi="Arial;sans-serif"/>
                  <w:b/>
                  <w:color w:val="000080"/>
                  <w:sz w:val="20"/>
                  <w:u w:val="single"/>
                </w:rPr>
                <w:t>3</w:t>
              </w:r>
            </w:hyperlink>
          </w:p>
        </w:tc>
        <w:tc>
          <w:tcPr>
            <w:tcW w:w="76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pPr>
            <w:hyperlink w:anchor="ic77383e576584d77a42c17ee243586bf_289">
              <w:r>
                <w:rPr>
                  <w:rStyle w:val="InternetLink"/>
                  <w:rFonts w:ascii="Arial;sans-serif" w:hAnsi="Arial;sans-serif"/>
                  <w:b w:val="false"/>
                  <w:strike w:val="false"/>
                  <w:dstrike w:val="false"/>
                  <w:color w:val="CE1141"/>
                  <w:sz w:val="20"/>
                  <w:u w:val="none"/>
                  <w:effect w:val="none"/>
                </w:rPr>
                <w:t>ANNEX A – RECONCILIATION OF GAAP TO NON-GAAP FINANCIAL MEASURES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pPr>
            <w:hyperlink w:anchor="ic77383e576584d77a42c17ee243586bf_919">
              <w:r>
                <w:rPr>
                  <w:rStyle w:val="InternetLink"/>
                  <w:rFonts w:ascii="Arial;sans-serif" w:hAnsi="Arial;sans-serif"/>
                  <w:b/>
                  <w:color w:val="000080"/>
                  <w:sz w:val="20"/>
                  <w:u w:val="single"/>
                </w:rPr>
                <w:t>B1</w:t>
              </w:r>
            </w:hyperlink>
            <w:r>
              <w:rPr>
                <w:rFonts w:ascii="Arial;sans-serif" w:hAnsi="Arial;sans-serif"/>
                <w:b/>
                <w:color w:val="0000FF"/>
                <w:sz w:val="20"/>
                <w:u w:val="single"/>
              </w:rPr>
              <w:t>-B7</w:t>
            </w:r>
          </w:p>
        </w:tc>
        <w:tc>
          <w:tcPr>
            <w:tcW w:w="760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pPr>
            <w:hyperlink w:anchor="ic77383e576584d77a42c17ee243586bf_919">
              <w:r>
                <w:rPr>
                  <w:rStyle w:val="InternetLink"/>
                  <w:rFonts w:ascii="Arial;sans-serif" w:hAnsi="Arial;sans-serif"/>
                  <w:b w:val="false"/>
                  <w:strike w:val="false"/>
                  <w:dstrike w:val="false"/>
                  <w:color w:val="000080"/>
                  <w:sz w:val="20"/>
                  <w:u w:val="single"/>
                  <w:effect w:val="none"/>
                </w:rPr>
                <w:t xml:space="preserve">ANNEX </w:t>
              </w:r>
            </w:hyperlink>
            <w:hyperlink w:anchor="ic77383e576584d77a42c17ee243586bf_919">
              <w:r>
                <w:rPr>
                  <w:rStyle w:val="InternetLink"/>
                  <w:rFonts w:ascii="Arial;sans-serif" w:hAnsi="Arial;sans-serif"/>
                  <w:b w:val="false"/>
                  <w:strike w:val="false"/>
                  <w:dstrike w:val="false"/>
                  <w:color w:val="000080"/>
                  <w:sz w:val="20"/>
                  <w:u w:val="single"/>
                  <w:effect w:val="none"/>
                </w:rPr>
                <w:t>B</w:t>
              </w:r>
            </w:hyperlink>
            <w:hyperlink w:anchor="ic77383e576584d77a42c17ee243586bf_919">
              <w:r>
                <w:rPr>
                  <w:rStyle w:val="InternetLink"/>
                  <w:rFonts w:ascii="Arial;sans-serif" w:hAnsi="Arial;sans-serif"/>
                  <w:b w:val="false"/>
                  <w:strike w:val="false"/>
                  <w:dstrike w:val="false"/>
                  <w:color w:val="000080"/>
                  <w:sz w:val="20"/>
                  <w:u w:val="single"/>
                  <w:effect w:val="none"/>
                </w:rPr>
                <w:t xml:space="preserve"> – </w:t>
              </w:r>
            </w:hyperlink>
            <w:hyperlink w:anchor="ic77383e576584d77a42c17ee243586bf_919">
              <w:r>
                <w:rPr>
                  <w:rStyle w:val="InternetLink"/>
                  <w:rFonts w:ascii="Arial;sans-serif" w:hAnsi="Arial;sans-serif"/>
                  <w:b w:val="false"/>
                  <w:strike w:val="false"/>
                  <w:dstrike w:val="false"/>
                  <w:color w:val="000080"/>
                  <w:sz w:val="20"/>
                  <w:u w:val="single"/>
                  <w:effect w:val="none"/>
                </w:rPr>
                <w:t>F</w:t>
              </w:r>
            </w:hyperlink>
            <w:hyperlink w:anchor="ic77383e576584d77a42c17ee243586bf_919">
              <w:r>
                <w:rPr>
                  <w:rStyle w:val="InternetLink"/>
                  <w:rFonts w:ascii="Arial;sans-serif" w:hAnsi="Arial;sans-serif"/>
                  <w:b w:val="false"/>
                  <w:strike w:val="false"/>
                  <w:dstrike w:val="false"/>
                  <w:color w:val="000080"/>
                  <w:sz w:val="20"/>
                  <w:u w:val="single"/>
                  <w:effect w:val="none"/>
                </w:rPr>
                <w:t>OURTH AMENDED AND RESTATED 2019 EQUITY INCENTIVE PLAN</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60400"/>
                <wp:effectExtent l="0" t="0" r="0" b="0"/>
                <wp:wrapNone/>
                <wp:docPr id="23" name="Frame1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88" w:before="0" w:after="120"/>
        <w:jc w:val="left"/>
        <w:rPr>
          <w:rFonts w:ascii="Arial;sans-serif" w:hAnsi="Arial;sans-serif"/>
          <w:b/>
          <w:color w:val="CE1141"/>
          <w:sz w:val="48"/>
        </w:rPr>
      </w:pPr>
      <w:r>
        <w:rPr>
          <w:rFonts w:ascii="Arial;sans-serif" w:hAnsi="Arial;sans-serif"/>
          <w:b/>
          <w:color w:val="CE1141"/>
          <w:sz w:val="48"/>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MEETING AND VOTING INFORMATION</w:t>
      </w:r>
    </w:p>
    <w:p>
      <w:pPr>
        <w:pStyle w:val="TextBody"/>
        <w:bidi w:val="0"/>
        <w:spacing w:lineRule="auto" w:line="247" w:before="0" w:after="120"/>
        <w:jc w:val="left"/>
        <w:rPr>
          <w:rFonts w:ascii="Arial;sans-serif" w:hAnsi="Arial;sans-serif"/>
          <w:b/>
          <w:color w:val="242424"/>
          <w:sz w:val="28"/>
        </w:rPr>
      </w:pPr>
      <w:r>
        <w:rPr>
          <w:rFonts w:ascii="Arial;sans-serif" w:hAnsi="Arial;sans-serif"/>
          <w:b/>
          <w:color w:val="242424"/>
          <w:sz w:val="28"/>
        </w:rPr>
        <w:t>2025 Annual General Meeting:</w:t>
      </w:r>
    </w:p>
    <w:p>
      <w:pPr>
        <w:pStyle w:val="TextBody"/>
        <w:bidi w:val="0"/>
        <w:spacing w:lineRule="auto" w:line="288" w:before="0" w:after="120"/>
        <w:jc w:val="left"/>
        <w:rPr>
          <w:rFonts w:ascii="Arial;sans-serif" w:hAnsi="Arial;sans-serif"/>
          <w:b w:val="false"/>
          <w:color w:val="414042"/>
          <w:sz w:val="20"/>
        </w:rPr>
      </w:pPr>
      <w:r>
        <w:rPr>
          <w:rFonts w:ascii="Arial;sans-serif" w:hAnsi="Arial;sans-serif"/>
          <w:b w:val="false"/>
          <w:color w:val="414042"/>
          <w:sz w:val="20"/>
        </w:rPr>
        <w:t>June 11, 2025, at 10:00 a.m. (Central Time), 2000 Saint James Place, Marcellus Room, Houston, Texas 77056.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GENERAL</w:t>
      </w:r>
    </w:p>
    <w:p>
      <w:pPr>
        <w:pStyle w:val="TextBody"/>
        <w:bidi w:val="0"/>
        <w:spacing w:lineRule="auto" w:line="247" w:before="0" w:after="120"/>
        <w:jc w:val="left"/>
        <w:rPr>
          <w:rFonts w:ascii="Arial;sans-serif" w:hAnsi="Arial;sans-serif"/>
          <w:b w:val="false"/>
          <w:color w:val="242424"/>
          <w:sz w:val="20"/>
        </w:rPr>
      </w:pPr>
      <w:r>
        <w:rPr>
          <w:rFonts w:ascii="Arial;sans-serif" w:hAnsi="Arial;sans-serif"/>
          <w:b w:val="false"/>
          <w:color w:val="242424"/>
          <w:sz w:val="20"/>
        </w:rPr>
        <w:t>In this Proxy Statement, “Weatherford,” “the Company,” “we,” “us” and “our” refer to Weatherford International plc, an Irish public limited company. Also, “AGM” refers to the 2025 Annual General Meeting, unless a different year is specified. References to “$” in this Proxy Statement are references to United States dollars.</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Our principal executive offices are located at 2000 Saint James Place, Houston, Texas 77056 and our telephone number is +1(713) 836-4000.</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This Proxy Statement and proxy card are first being mailed or made available on behalf of our Board of Directors, or our “Board,” to all shareholders beginning on or about April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AGENDA</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21"/>
        <w:gridCol w:w="2181"/>
        <w:gridCol w:w="2205"/>
        <w:gridCol w:w="362"/>
        <w:gridCol w:w="362"/>
        <w:gridCol w:w="363"/>
        <w:gridCol w:w="546"/>
        <w:gridCol w:w="546"/>
        <w:gridCol w:w="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300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shd w:fill="C3002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Proposal</w:t>
            </w:r>
          </w:p>
        </w:tc>
        <w:tc>
          <w:tcPr>
            <w:tcW w:w="1087" w:type="dxa"/>
            <w:gridSpan w:val="3"/>
            <w:tcBorders/>
            <w:shd w:fill="C3002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Required Approval</w:t>
            </w:r>
          </w:p>
        </w:tc>
        <w:tc>
          <w:tcPr>
            <w:tcW w:w="1869" w:type="dxa"/>
            <w:gridSpan w:val="3"/>
            <w:tcBorders/>
            <w:shd w:fill="C3002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Board Recommendation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1.</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Election of Directors</w:t>
            </w:r>
            <w:r>
              <w:rPr>
                <w:rFonts w:ascii="Arial;sans-serif" w:hAnsi="Arial;sans-serif"/>
                <w:b w:val="false"/>
                <w:color w:val="242424"/>
                <w:sz w:val="20"/>
              </w:rPr>
              <w:t>. By separate resolutions, to elect each of the six individuals named in this Proxy Statement as directors of the Company, in each case (unless his or her office is earlier vacated in accordance with the Articles of Association of the Company (the “Articles”)), to serve for a one year term concluding at the later of (x) the next annual general meeting of the Company (the “2026 AGM”) and (y) subject to article 155 of the Articles, until his or her successor is elected and qualified.</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C3002F"/>
                <w:sz w:val="20"/>
              </w:rPr>
              <w:t>FOR</w:t>
            </w:r>
            <w:r>
              <w:rPr>
                <w:color w:val="000000"/>
              </w:rPr>
              <w:t xml:space="preserve"> </w:t>
            </w:r>
            <w:r>
              <w:rPr>
                <w:rFonts w:ascii="Arial;sans-serif" w:hAnsi="Arial;sans-serif"/>
                <w:b w:val="false"/>
                <w:color w:val="242424"/>
                <w:sz w:val="20"/>
              </w:rPr>
              <w:t>each nominee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2.</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Ratify Appointment of Independent Auditors</w:t>
            </w:r>
            <w:r>
              <w:rPr>
                <w:rFonts w:ascii="Arial;sans-serif" w:hAnsi="Arial;sans-serif"/>
                <w:b w:val="false"/>
                <w:color w:val="242424"/>
                <w:sz w:val="20"/>
              </w:rPr>
              <w:t>. To ratify the appointment of KPMG LLP as our independent registered public accounting firm and auditor for the fiscal year ending December 31, 2025 and KPMG Chartered Accountants, Dublin as the Company’s statutory auditor under Irish law to hold office until the close of the 2026 AGM, and to authorize the Board, acting through the Audit Committee, to determine the auditors’ remuneration.</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3.</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Approve Executive Compensation</w:t>
            </w:r>
            <w:r>
              <w:rPr>
                <w:rFonts w:ascii="Arial;sans-serif" w:hAnsi="Arial;sans-serif"/>
                <w:b w:val="false"/>
                <w:color w:val="242424"/>
                <w:sz w:val="20"/>
              </w:rPr>
              <w:t>. To approve, on a nonbinding advisory basis, the compensation of our named executive officers.</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4.</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color w:val="242424"/>
                <w:sz w:val="20"/>
                <w:u w:val="single"/>
              </w:rPr>
              <w:t>Equity Incentive Plan Amendment</w:t>
            </w:r>
            <w:r>
              <w:rPr>
                <w:rFonts w:ascii="Arial;sans-serif" w:hAnsi="Arial;sans-serif"/>
                <w:b w:val="false"/>
                <w:color w:val="242424"/>
                <w:sz w:val="20"/>
              </w:rPr>
              <w:t>. To approve the amendment and restatement of the Weatherford International plc Third Amended and Restated 2019 Equity Incentive Plan (the “2019 EIP”).</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494949"/>
                <w:sz w:val="20"/>
              </w:rPr>
            </w:pPr>
            <w:r>
              <w:rPr>
                <w:rFonts w:ascii="Arial;sans-serif" w:hAnsi="Arial;sans-serif"/>
                <w:b w:val="false"/>
                <w:color w:val="494949"/>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5.</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Approve Board Authority to Issue Shares</w:t>
            </w:r>
            <w:r>
              <w:rPr>
                <w:rFonts w:ascii="Arial;sans-serif" w:hAnsi="Arial;sans-serif"/>
                <w:b w:val="false"/>
                <w:color w:val="242424"/>
                <w:sz w:val="20"/>
              </w:rPr>
              <w:t>. To grant the Board authority to issue shares under Irish law.</w:t>
            </w:r>
          </w:p>
          <w:p>
            <w:pPr>
              <w:pStyle w:val="TableContents"/>
              <w:bidi w:val="0"/>
              <w:spacing w:before="0" w:after="0"/>
              <w:jc w:val="left"/>
              <w:rPr/>
            </w:pPr>
            <w:r>
              <w:rPr/>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494949"/>
                <w:sz w:val="20"/>
              </w:rPr>
            </w:pPr>
            <w:r>
              <w:rPr>
                <w:rFonts w:ascii="Arial;sans-serif" w:hAnsi="Arial;sans-serif"/>
                <w:b w:val="false"/>
                <w:color w:val="494949"/>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6.</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Approve Opt-out of Preemption Rights</w:t>
            </w:r>
            <w:r>
              <w:rPr>
                <w:rFonts w:ascii="Arial;sans-serif" w:hAnsi="Arial;sans-serif"/>
                <w:b w:val="false"/>
                <w:color w:val="242424"/>
                <w:sz w:val="20"/>
              </w:rPr>
              <w:t>. To grant the Board the power to opt-out of preemption rights under Irish law.</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75%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bottom w:val="single" w:sz="8" w:space="0" w:color="6666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bottom w:val="single" w:sz="8" w:space="0" w:color="6666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6666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bottom w:val="single" w:sz="8" w:space="0" w:color="6666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During the AGM, the Company’s Irish Statutory Accounts for the fiscal year ended December 31, 2024, will be laid before the meeting, along with related directors’ and auditors’ reports thereon, and the Company’s management will present a review of the Company’s affairs.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8325"/>
                <wp:effectExtent l="0" t="0" r="0" b="0"/>
                <wp:wrapNone/>
                <wp:docPr id="24" name="Frame13"/>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PROXY STATEMENT</w:t>
      </w: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WHO CAN VOTE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All registered shareholders at the close of business on April 10, 2025 (the “record date”) have the right to notice of, and to vote, in person or by proxy, at the AGM. Registered shareholders are entitled, on a poll, to one vote per ordinary share on all matters submitted to a vote of shareholders at the AGM, so long as those shares are represented at the AGM in person or by proxy. A registered shareholder may appoint one or more proxies to attend, speak and vote in their place at the AGM. A proxy holder does not need to be a registered shareholder.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MEETING ATTENDANCE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accordance with Irish law, we are required to have a principal meeting place, which is a physical location where shareholders may attend the AGM in person and vote in person. If you wish to attend the AGM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satisfaction of the requirements of Irish law, registered shareholders who wish to participate (attend and vote) in the AGM without leaving Ireland, if any, may do so by attending in person at the offices of Matheson LLP, located at 70 Sir John Rogerson’s Quay, Dublin 2, D02 R296, Ireland, at the meeting date and time described herein, where technological means will be made available to participate in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HOW TO VOTE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To ensure your representation at the AGM, we request that you grant your proxy to vote on each of the proposals in this Proxy Statement and any other matters that may properly come before the AGM to the persons named in the proxy card, by voting in one of the ways described on Page I above no later than the Voting Deadline below whether or not you plan to attend.</w:t>
      </w:r>
    </w:p>
    <w:p>
      <w:pPr>
        <w:pStyle w:val="TextBody"/>
        <w:bidi w:val="0"/>
        <w:spacing w:lineRule="auto" w:line="288" w:before="0" w:after="120"/>
        <w:ind w:left="0" w:right="0" w:firstLine="720"/>
        <w:jc w:val="left"/>
        <w:rPr/>
      </w:pPr>
      <w:r>
        <w:rPr>
          <w:rFonts w:ascii="Arial;sans-serif" w:hAnsi="Arial;sans-serif"/>
          <w:b/>
          <w:color w:val="CE1141"/>
          <w:sz w:val="20"/>
        </w:rPr>
        <w:t>Advance Voting Deadline</w:t>
      </w:r>
      <w:r>
        <w:rPr>
          <w:rFonts w:ascii="Arial;sans-serif" w:hAnsi="Arial;sans-serif"/>
          <w:b w:val="false"/>
          <w:color w:val="242424"/>
          <w:sz w:val="20"/>
        </w:rPr>
        <w:t>: 11:59 p.m. (Eastern Time) on June 10, 2025.</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Most of our individual beneficial owners hold their shares through a brokerage account and therefore are not listed on our share register. Shareholders who hold their shares through a broker or other nominee (in “street name”) must vote their shares in the manner prescribed by their broker or other nominee.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Shareholders who hold their shares in this manner and wish to vote in person at the AGM must obtain a valid proxy from the organization that holds their shares. This may be administratively difficult for an individual shareholder to do, so individual shareholders holding in street name are encouraged to submit their proxy to their broker, who in turn will vote in accordance with the instructions provided to them. See “Quorum and Voting” as to the effect of broker non-votes.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QUORUM AND VOTING</w:t>
      </w:r>
    </w:p>
    <w:p>
      <w:pPr>
        <w:pStyle w:val="TextBody"/>
        <w:bidi w:val="0"/>
        <w:spacing w:lineRule="auto" w:line="288" w:before="0" w:after="120"/>
        <w:jc w:val="left"/>
        <w:rPr/>
      </w:pPr>
      <w:r>
        <w:rPr>
          <w:rFonts w:ascii="Arial;sans-serif" w:hAnsi="Arial;sans-serif"/>
          <w:b w:val="false"/>
          <w:color w:val="242424"/>
          <w:sz w:val="20"/>
        </w:rPr>
        <w:t xml:space="preserve">A quorum at our AGM will be one or more registered shareholders, present in person or by proxy, having the right to attend and vote at the AGM and together holding shares representing more than 50% of the votes that may be cast by all registered shareholders at the meeting. As of the record date, there were approximately </w:t>
      </w:r>
      <w:r>
        <w:rPr>
          <w:rFonts w:ascii="Arial;sans-serif" w:hAnsi="Arial;sans-serif"/>
          <w:b w:val="false"/>
          <w:color w:val="000000"/>
          <w:sz w:val="20"/>
        </w:rPr>
        <w:t>72,556,148</w:t>
      </w:r>
      <w:r>
        <w:rPr>
          <w:color w:val="242424"/>
        </w:rPr>
        <w:t xml:space="preserve"> </w:t>
      </w:r>
      <w:r>
        <w:rPr>
          <w:rFonts w:ascii="Arial;sans-serif" w:hAnsi="Arial;sans-serif"/>
          <w:b w:val="false"/>
          <w:color w:val="242424"/>
          <w:sz w:val="20"/>
        </w:rPr>
        <w:t>ordinary shares issued and entitled to vote. For purposes of determining a quorum, abstentions and “broker non-votes” proffered in person or by proxy are counted as shares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a beneficial shareholder and your broker or other nominee holds your shares in “street name,” your broker generally has discretion to vote your shares only with respect to “routine” proposals. Whether a proposal is considered routine or non-routine is subject to stock exchange rules and final determination by the stock exchange. We urge you to direct your broker, fiduciary, or custodian how to vote your shares on all proposals to ensure that your vote is counted.</w:t>
      </w:r>
    </w:p>
    <w:p>
      <w:pPr>
        <w:pStyle w:val="TextBody"/>
        <w:bidi w:val="0"/>
        <w:spacing w:lineRule="auto" w:line="288" w:before="0" w:after="120"/>
        <w:jc w:val="left"/>
        <w:rPr/>
      </w:pPr>
      <w:r>
        <w:rPr>
          <w:rFonts w:ascii="Arial;sans-serif" w:hAnsi="Arial;sans-serif"/>
          <w:b w:val="false"/>
          <w:color w:val="242424"/>
          <w:sz w:val="20"/>
        </w:rPr>
        <w:t xml:space="preserve">Approval of proposals 1, 2, 3, 4 and 5 will be decided by an “ordinary resolution” (which, in order to pass, requires a simple majority of the votes cast in person or by proxy to be cast “For” the relevant proposal). Approval of proposal 6 will be decided by a “special resolution” that requires the affirmative vote of at least </w:t>
      </w:r>
      <w:r>
        <w:rPr>
          <w:rFonts w:ascii="Arial;sans-serif" w:hAnsi="Arial;sans-serif"/>
          <w:b w:val="false"/>
          <w:color w:val="000000"/>
          <w:sz w:val="20"/>
        </w:rPr>
        <w:t>75%</w:t>
      </w:r>
      <w:r>
        <w:rPr>
          <w:color w:val="242424"/>
        </w:rPr>
        <w:t xml:space="preserve"> </w:t>
      </w:r>
      <w:r>
        <w:rPr>
          <w:rFonts w:ascii="Arial;sans-serif" w:hAnsi="Arial;sans-serif"/>
          <w:b w:val="false"/>
          <w:color w:val="242424"/>
          <w:sz w:val="20"/>
        </w:rPr>
        <w:t>of the votes cast by the holders of ordinary shares represented at the meeting in person or by proxy. Generally, abstentions and broker “non-votes” will not affect the voting results for any proposal under Irish law or Nasdaq rules.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election of each director nominee will be considered and voted upon as a separate proposal. There is no cumulative voting in the election of directors. Pursuant to our Articles, any nominee for election to the Board who is then serving as a director and who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68325"/>
                <wp:effectExtent l="0" t="0" r="0" b="0"/>
                <wp:wrapNone/>
                <wp:docPr id="25" name="Frame1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PROXY STATEMENT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consideration shall not participate in the consideration of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chart below summarizes the voting requirements and effects of broker non-votes and abstentions on the outcome of the vote for the proposals at the AGM.</w:t>
      </w:r>
    </w:p>
    <w:tbl>
      <w:tblPr>
        <w:tblW w:w="7441" w:type="dxa"/>
        <w:jc w:val="center"/>
        <w:tblInd w:w="0" w:type="dxa"/>
        <w:tblLayout w:type="fixed"/>
        <w:tblCellMar>
          <w:top w:w="28" w:type="dxa"/>
          <w:left w:w="28" w:type="dxa"/>
          <w:bottom w:w="28" w:type="dxa"/>
          <w:right w:w="28" w:type="dxa"/>
        </w:tblCellMar>
      </w:tblPr>
      <w:tblGrid>
        <w:gridCol w:w="153"/>
        <w:gridCol w:w="134"/>
        <w:gridCol w:w="134"/>
        <w:gridCol w:w="1070"/>
        <w:gridCol w:w="1070"/>
        <w:gridCol w:w="1099"/>
        <w:gridCol w:w="569"/>
        <w:gridCol w:w="569"/>
        <w:gridCol w:w="571"/>
        <w:gridCol w:w="315"/>
        <w:gridCol w:w="315"/>
        <w:gridCol w:w="316"/>
        <w:gridCol w:w="329"/>
        <w:gridCol w:w="329"/>
        <w:gridCol w:w="468"/>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660" w:type="dxa"/>
            <w:gridSpan w:val="6"/>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Proposal</w:t>
            </w:r>
          </w:p>
        </w:tc>
        <w:tc>
          <w:tcPr>
            <w:tcW w:w="1709"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Required Approval</w:t>
            </w:r>
          </w:p>
        </w:tc>
        <w:tc>
          <w:tcPr>
            <w:tcW w:w="946"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Broker</w:t>
              <w:br/>
              <w:t>Non-Votes</w:t>
            </w:r>
          </w:p>
        </w:tc>
        <w:tc>
          <w:tcPr>
            <w:tcW w:w="1126"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Abstentions</w:t>
            </w:r>
          </w:p>
        </w:tc>
      </w:tr>
      <w:tr>
        <w:trPr/>
        <w:tc>
          <w:tcPr>
            <w:tcW w:w="421"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1.</w:t>
            </w:r>
          </w:p>
        </w:tc>
        <w:tc>
          <w:tcPr>
            <w:tcW w:w="3239"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Election of Directors</w:t>
            </w:r>
          </w:p>
        </w:tc>
        <w:tc>
          <w:tcPr>
            <w:tcW w:w="1709"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top w:val="single" w:sz="8" w:space="0" w:color="B6B6B6"/>
              <w:left w:val="single" w:sz="8" w:space="0" w:color="B6B6B6"/>
              <w:right w:val="single" w:sz="8" w:space="0" w:color="B6B6B6"/>
            </w:tcBorders>
            <w:shd w:fill="DBDBDB" w:val="clear"/>
            <w:tcMar>
              <w:top w:w="30" w:type="dxa"/>
              <w:bottom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2.</w:t>
            </w:r>
          </w:p>
        </w:tc>
        <w:tc>
          <w:tcPr>
            <w:tcW w:w="32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Ratify Appointment of Independent Auditors</w:t>
            </w:r>
          </w:p>
        </w:tc>
        <w:tc>
          <w:tcPr>
            <w:tcW w:w="170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N/A</w:t>
            </w:r>
          </w:p>
        </w:tc>
        <w:tc>
          <w:tcPr>
            <w:tcW w:w="112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3.</w:t>
            </w:r>
          </w:p>
        </w:tc>
        <w:tc>
          <w:tcPr>
            <w:tcW w:w="3239"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Approve Executive Compensation</w:t>
            </w:r>
          </w:p>
        </w:tc>
        <w:tc>
          <w:tcPr>
            <w:tcW w:w="1709"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top w:val="single" w:sz="8" w:space="0" w:color="B6B6B6"/>
              <w:left w:val="single" w:sz="8" w:space="0" w:color="B6B6B6"/>
              <w:right w:val="single" w:sz="8" w:space="0" w:color="B6B6B6"/>
            </w:tcBorders>
            <w:shd w:fill="DBDBDB" w:val="clear"/>
            <w:tcMar>
              <w:top w:w="30" w:type="dxa"/>
              <w:bottom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4.</w:t>
            </w:r>
          </w:p>
        </w:tc>
        <w:tc>
          <w:tcPr>
            <w:tcW w:w="32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Amended and Restated 2019 EIP</w:t>
            </w:r>
          </w:p>
        </w:tc>
        <w:tc>
          <w:tcPr>
            <w:tcW w:w="170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5.</w:t>
            </w:r>
          </w:p>
        </w:tc>
        <w:tc>
          <w:tcPr>
            <w:tcW w:w="3239"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Authority to Issue Shares</w:t>
            </w:r>
          </w:p>
        </w:tc>
        <w:tc>
          <w:tcPr>
            <w:tcW w:w="1709"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top w:val="single" w:sz="8" w:space="0" w:color="B6B6B6"/>
              <w:left w:val="single" w:sz="8" w:space="0" w:color="B6B6B6"/>
              <w:right w:val="single" w:sz="8" w:space="0" w:color="B6B6B6"/>
            </w:tcBorders>
            <w:shd w:fill="DBDBDB" w:val="clear"/>
            <w:tcMar>
              <w:top w:w="30" w:type="dxa"/>
              <w:bottom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6.</w:t>
            </w:r>
          </w:p>
        </w:tc>
        <w:tc>
          <w:tcPr>
            <w:tcW w:w="3239"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Opt-out of Preemption Rights</w:t>
            </w:r>
          </w:p>
        </w:tc>
        <w:tc>
          <w:tcPr>
            <w:tcW w:w="1709"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75% of Votes Cast</w:t>
            </w:r>
          </w:p>
        </w:tc>
        <w:tc>
          <w:tcPr>
            <w:tcW w:w="946"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PROXIES</w:t>
      </w:r>
    </w:p>
    <w:p>
      <w:pPr>
        <w:pStyle w:val="TextBody"/>
        <w:bidi w:val="0"/>
        <w:spacing w:lineRule="auto" w:line="288" w:before="0" w:after="180"/>
        <w:jc w:val="left"/>
        <w:rPr>
          <w:rFonts w:ascii="Arial;sans-serif" w:hAnsi="Arial;sans-serif"/>
          <w:b w:val="false"/>
          <w:color w:val="242424"/>
          <w:sz w:val="20"/>
        </w:rPr>
      </w:pPr>
      <w:r>
        <w:rPr>
          <w:rFonts w:ascii="Arial;sans-serif" w:hAnsi="Arial;sans-serif"/>
          <w:b w:val="false"/>
          <w:color w:val="242424"/>
          <w:sz w:val="20"/>
        </w:rPr>
        <w:t xml:space="preserve">Each shareholder registered in our share register as of the record date will be sent either: </w:t>
      </w:r>
    </w:p>
    <w:p>
      <w:pPr>
        <w:pStyle w:val="TextBody"/>
        <w:bidi w:val="0"/>
        <w:spacing w:lineRule="auto" w:line="288" w:before="0" w:after="120"/>
        <w:ind w:left="0" w:right="0" w:hanging="540"/>
        <w:jc w:val="left"/>
        <w:rPr/>
      </w:pPr>
      <w:r>
        <w:rPr>
          <w:rFonts w:ascii="Arial;sans-serif" w:hAnsi="Arial;sans-serif"/>
          <w:b w:val="false"/>
          <w:color w:val="CE1141"/>
          <w:sz w:val="20"/>
        </w:rPr>
        <w:t>(i)</w:t>
      </w:r>
      <w:r>
        <w:rPr>
          <w:color w:val="000000"/>
        </w:rPr>
        <w:t>    </w:t>
      </w:r>
      <w:r>
        <w:rPr>
          <w:rFonts w:ascii="Arial;sans-serif" w:hAnsi="Arial;sans-serif"/>
          <w:b w:val="false"/>
          <w:color w:val="000000"/>
          <w:sz w:val="20"/>
        </w:rPr>
        <w:t xml:space="preserve">a </w:t>
      </w:r>
      <w:r>
        <w:rPr>
          <w:rFonts w:ascii="Arial;sans-serif" w:hAnsi="Arial;sans-serif"/>
          <w:b w:val="false"/>
          <w:color w:val="242424"/>
          <w:sz w:val="20"/>
        </w:rPr>
        <w:t>Notice of Internet Availability of Proxy Materials (“Notice of Internet Availability”) notifying each shareholder of how to vote and how to electronically access a copy of this Proxy Statement, our Annual Report on Form 10-K and our Irish Statutory Accounts for the year ended December 31, 2024 (the “Proxy Materials”), or</w:t>
      </w:r>
    </w:p>
    <w:p>
      <w:pPr>
        <w:pStyle w:val="TextBody"/>
        <w:bidi w:val="0"/>
        <w:spacing w:lineRule="auto" w:line="288" w:before="0" w:after="180"/>
        <w:ind w:left="0" w:right="0" w:hanging="540"/>
        <w:jc w:val="left"/>
        <w:rPr/>
      </w:pPr>
      <w:r>
        <w:rPr>
          <w:rFonts w:ascii="Arial;sans-serif" w:hAnsi="Arial;sans-serif"/>
          <w:b w:val="false"/>
          <w:color w:val="CE1141"/>
          <w:sz w:val="20"/>
        </w:rPr>
        <w:t>(ii)</w:t>
      </w:r>
      <w:r>
        <w:rPr>
          <w:color w:val="000000"/>
        </w:rPr>
        <w:t>    </w:t>
      </w:r>
      <w:r>
        <w:rPr>
          <w:rFonts w:ascii="Arial;sans-serif" w:hAnsi="Arial;sans-serif"/>
          <w:b w:val="false"/>
          <w:color w:val="000000"/>
          <w:sz w:val="20"/>
        </w:rPr>
        <w:t xml:space="preserve">a hard copy of </w:t>
      </w:r>
      <w:r>
        <w:rPr>
          <w:rFonts w:ascii="Arial;sans-serif" w:hAnsi="Arial;sans-serif"/>
          <w:b w:val="false"/>
          <w:color w:val="242424"/>
          <w:sz w:val="20"/>
        </w:rPr>
        <w:t>the Proxy Materials and a proxy card.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Your proxy is being solicited by our Board in favor of Scott C. Weatherholt, Kristin Ruzicka and Cristina Waber (the “Proxy Holders”). We request that you grant your proxy to the Proxy Holders to vote on each of the proposals in the notice and any other matters that may properly come before the AGM. You can do this by completing, signing, dating and returning the proxy card in accordance with the instructions thereon, for receipt by us no later than the Voting Deadline, whether or not you plan to attend the AGM.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a registered holder and you properly complete and submit your proxy card in a timely manner, you will be legally designating the individual or individuals named by you in the proxy card (or if you do not name an individual,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recommends on each proposal, and if other matters properly come before the AGM the Proxy Holders will have your authority to vote your shares in their discretion on such matters.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not a registered holder, but you hold your shares through a broker or other nominee, you must follow the instructions provided by your broker or other nominee if you wish to grant your proxy and vote your shares.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may accept a proxy by any form of communication permitted by Irish law and as the Board may approve in accordance with our Articles.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REVOKING YOUR PROXY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a registered shareholder, you may revoke your proxy by:</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writing to the Corporate Secretary at 2000 Saint James Place, Houston, Texas 77056 or at the Company’s registered office, 70 Sir John Rogerson’s Quay, Dublin 2, D02 R296, Ireland, such that the revocation is received at least one hour prior to the commencement of the AGM;</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submitting a later-dated proxy via mail, to the address specified in the Proxy Materials, for receipt by us no later than the Voting Deadline;</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voting at a later time, but prior to the voting deadline, by telephone or the internet; or</w:t>
      </w:r>
    </w:p>
    <w:p>
      <w:pPr>
        <w:pStyle w:val="TextBody"/>
        <w:bidi w:val="0"/>
        <w:spacing w:lineRule="auto" w:line="288" w:before="0" w:after="120"/>
        <w:ind w:left="0" w:right="0" w:hanging="270"/>
        <w:jc w:val="left"/>
        <w:rPr/>
      </w:pPr>
      <w:r>
        <w:rPr>
          <w:color w:val="CE1141"/>
        </w:rPr>
        <w:t>•</w:t>
      </w:r>
      <w:r>
        <w:rPr>
          <w:rFonts w:ascii="Arial;sans-serif" w:hAnsi="Arial;sans-serif"/>
          <w:b w:val="false"/>
          <w:color w:val="242424"/>
          <w:sz w:val="20"/>
        </w:rPr>
        <w:t>attending the AGM in person (either in Houston or in Ireland, as described above) and casting your vote during the AGM.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not a registered holder, but you hold your shares through a broker or other nominee, you must follow the instructions provided by your broker or other nominee if you wish to revoke a previously granted proxy, since attending the AGM alone will not revoke any proxy.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68325"/>
                <wp:effectExtent l="0" t="0" r="0" b="0"/>
                <wp:wrapNone/>
                <wp:docPr id="26" name="Frame1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PROXY STATEMENT</w:t>
      </w: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MULTIPLE PROXY CARDS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receive multiple proxy cards, this indicates that your shares are held in more than one account, such as two brokerage accounts, or are registered in different names. You should complete and return each of the proxy cards to ensure that all of your shares are voted.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COST OF PROXY SOLICITATION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have not retained a proxy solicitor to assist soliciting proxies from shareholders this year.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ADJOURNMENT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Chairperson may, with the consent of the meeting, adjourn all, or part, of the business to be considered at the AGM (including adjourning some or all of the Agenda Items) to another date or until the meeting is reconvened.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QUESTIONS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You may call our U.S. Investor Relations Department at +1 (713) 836-4000 or email us at investor.relations@weatherford.com if you have any questions or need directions to be able to attend the AGM and vote in person.</w:t>
      </w:r>
    </w:p>
    <w:p>
      <w:pPr>
        <w:pStyle w:val="TextBody"/>
        <w:bidi w:val="0"/>
        <w:spacing w:before="0" w:after="120"/>
        <w:jc w:val="left"/>
        <w:rPr/>
      </w:pPr>
      <w:r>
        <w:rPr/>
      </w:r>
    </w:p>
    <w:p>
      <w:pPr>
        <w:pStyle w:val="TextBody"/>
        <w:bidi w:val="0"/>
        <w:spacing w:lineRule="auto" w:line="249" w:before="0" w:after="0"/>
        <w:jc w:val="center"/>
        <w:rPr>
          <w:rFonts w:ascii="Arial;sans-serif" w:hAnsi="Arial;sans-serif"/>
          <w:b/>
          <w:color w:val="CE1141"/>
          <w:sz w:val="48"/>
        </w:rPr>
      </w:pPr>
      <w:bookmarkStart w:id="0" w:name="i2668ab6117244b87bb9c3b673dc1be26_272"/>
      <w:bookmarkEnd w:id="0"/>
      <w:r>
        <w:rPr>
          <w:rFonts w:ascii="Arial;sans-serif" w:hAnsi="Arial;sans-serif"/>
          <w:b/>
          <w:color w:val="CE1141"/>
          <w:sz w:val="48"/>
        </w:rPr>
        <w:t>PLEASE VOTE.</w:t>
      </w:r>
    </w:p>
    <w:p>
      <w:pPr>
        <w:pStyle w:val="TextBody"/>
        <w:bidi w:val="0"/>
        <w:spacing w:lineRule="auto" w:line="249" w:before="0" w:after="0"/>
        <w:jc w:val="center"/>
        <w:rPr>
          <w:rFonts w:ascii="Arial;sans-serif" w:hAnsi="Arial;sans-serif"/>
          <w:b/>
          <w:color w:val="CE1141"/>
          <w:sz w:val="48"/>
        </w:rPr>
      </w:pPr>
      <w:r>
        <w:rPr>
          <w:rFonts w:ascii="Arial;sans-serif" w:hAnsi="Arial;sans-serif"/>
          <w:b/>
          <w:color w:val="CE1141"/>
          <w:sz w:val="48"/>
        </w:rPr>
        <w:t>YOUR VOTE IS IMPORTANT.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68325"/>
                <wp:effectExtent l="0" t="0" r="0" b="0"/>
                <wp:wrapNone/>
                <wp:docPr id="27" name="Frame1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PROXY STATEMENT</w:t>
      </w:r>
    </w:p>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AGENDA ITEM 1 – ELECTION OF DIRECTORS</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each nominee for director.</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Upon the recommendation of the Nominating and Governance Committee, the Company’s Board of Directors has nominated the following six nominees to be elected at the AGM: Steven Beringhause, Benjamin C. Duster, IV, Neal P. Goldman, Jacqueline C. Mutschler, Girishchandra K. Saligram and Charles M. Sledge.</w:t>
      </w:r>
    </w:p>
    <w:p>
      <w:pPr>
        <w:pStyle w:val="TextBody"/>
        <w:bidi w:val="0"/>
        <w:spacing w:lineRule="auto" w:line="288" w:before="0" w:after="120"/>
        <w:jc w:val="left"/>
        <w:rPr/>
      </w:pPr>
      <w:r>
        <w:rPr>
          <w:rFonts w:ascii="Arial;sans-serif" w:hAnsi="Arial;sans-serif"/>
          <w:b w:val="false"/>
          <w:color w:val="242424"/>
          <w:sz w:val="20"/>
        </w:rPr>
        <w:t xml:space="preserve">Mr. Steven Beringhause is the most recent addition to our Board. On </w:t>
      </w:r>
      <w:r>
        <w:rPr>
          <w:rFonts w:ascii="Arial;sans-serif" w:hAnsi="Arial;sans-serif"/>
          <w:b w:val="false"/>
          <w:color w:val="000000"/>
          <w:sz w:val="20"/>
        </w:rPr>
        <w:t>July 23, 2024</w:t>
      </w:r>
      <w:r>
        <w:rPr>
          <w:rFonts w:ascii="Arial;sans-serif" w:hAnsi="Arial;sans-serif"/>
          <w:b w:val="false"/>
          <w:color w:val="242424"/>
          <w:sz w:val="20"/>
        </w:rPr>
        <w:t xml:space="preserve">, the Board increased its size to </w:t>
      </w:r>
      <w:r>
        <w:rPr>
          <w:rFonts w:ascii="Arial;sans-serif" w:hAnsi="Arial;sans-serif"/>
          <w:b w:val="false"/>
          <w:color w:val="000000"/>
          <w:sz w:val="20"/>
        </w:rPr>
        <w:t>six</w:t>
      </w:r>
      <w:r>
        <w:rPr>
          <w:color w:val="242424"/>
        </w:rPr>
        <w:t xml:space="preserve"> </w:t>
      </w:r>
      <w:r>
        <w:rPr>
          <w:rFonts w:ascii="Arial;sans-serif" w:hAnsi="Arial;sans-serif"/>
          <w:b w:val="false"/>
          <w:color w:val="242424"/>
          <w:sz w:val="20"/>
        </w:rPr>
        <w:t xml:space="preserve">directors and appointed Mr. Beringhause to fill the resulting vacancy. Mr. Beringhause was also appointed to serve on the Compensation and Human Resources Committee and the Safety, Environmental and Sustainability Committee at that time. See “Director Nominee Biographies--Steven Beringhause” below for more information about Mr. Beringhause’s background and expertise.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Each director is an existing director who, in accordance with the Articles, shall retire from their position as a director at the AGM and be eligible for re-election.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All of the non-employee nominees for director (i.e., all of the nominees other than Mr. Saligram) are independent under Nasdaq rules and listing standards.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Each director elected will serve (unless his or her office is earlier vacated in accordance with the Articles), for a one-year term concluding at the later of (x) the 2026 AGM and (y) subject to article 155 of the Articles, until his or her successor is elected and qualified. All of our nominees have consented to serve as directors. Our Board has no reason to believe that any of the nominees will be unable to act as a director.</w:t>
      </w:r>
    </w:p>
    <w:p>
      <w:pPr>
        <w:pStyle w:val="TextBody"/>
        <w:bidi w:val="0"/>
        <w:spacing w:lineRule="auto" w:line="288" w:before="0" w:after="120"/>
        <w:jc w:val="left"/>
        <w:rPr/>
      </w:pPr>
      <w:r>
        <w:rPr>
          <w:rFonts w:ascii="Arial;sans-serif" w:hAnsi="Arial;sans-serif"/>
          <w:b w:val="false"/>
          <w:color w:val="242424"/>
          <w:sz w:val="20"/>
        </w:rPr>
        <w:t>The vote will be held by a separate resolution for each director nominee. A director nominee will be re-elected if approved by an ordinary resolution (i.e.</w:t>
      </w:r>
      <w:r>
        <w:rPr>
          <w:rFonts w:ascii="Arial;sans-serif" w:hAnsi="Arial;sans-serif"/>
          <w:b w:val="false"/>
          <w:i/>
          <w:color w:val="242424"/>
          <w:sz w:val="20"/>
        </w:rPr>
        <w:t xml:space="preserve">, </w:t>
      </w:r>
      <w:r>
        <w:rPr>
          <w:rFonts w:ascii="Arial;sans-serif" w:hAnsi="Arial;sans-serif"/>
          <w:b w:val="false"/>
          <w:color w:val="242424"/>
          <w:sz w:val="20"/>
        </w:rPr>
        <w:t>a simple majority of the votes cast being cast “For” the re-election of the nominee). If you properly submit a proxy card but do not indicate how you wish to vote, the Proxy Holders will vote for all of the listed nominees for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DIRECTORS’ SKILLS AND EXPERTISE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Our Board’s composition is carefully considered by the Nominating and Governance Committee to ensure a combination of viewpoints, backgrounds and experience — to bring together multiple complementary perspectives. The Board membership qualifications and nomination process can be found in our Corporate Governance Principles at www.weatherford.com by clicking on the “Investor Relations” page, then “Company Information,” then “Corporate Governance,” then “Corporate Documents,” then selecting “Corporate Governance Principles.”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Our director nominees bring a range of skills and experience to our Board as outlined in the following table. In addition to the professional skills shown below, of equal importance is each Director’s ethics and integrity. We believe each Director embodies the highest degree of personal and professional standards.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68325"/>
                <wp:effectExtent l="0" t="0" r="0" b="0"/>
                <wp:wrapNone/>
                <wp:docPr id="28" name="Frame1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following table summarizes the key skills and attributes of each member of our Board that we believe are relevant to their Board and committee service. </w:t>
      </w:r>
    </w:p>
    <w:p>
      <w:pPr>
        <w:pStyle w:val="TextBody"/>
        <w:bidi w:val="0"/>
        <w:spacing w:before="0" w:after="120"/>
        <w:jc w:val="center"/>
        <w:rPr/>
      </w:pPr>
      <w:r>
        <w:rPr/>
        <w:drawing>
          <wp:inline distT="0" distB="0" distL="0" distR="0">
            <wp:extent cx="7086600" cy="6467475"/>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7086600" cy="6467475"/>
                    </a:xfrm>
                    <a:prstGeom prst="rect">
                      <a:avLst/>
                    </a:prstGeom>
                  </pic:spPr>
                </pic:pic>
              </a:graphicData>
            </a:graphic>
          </wp:inline>
        </w:drawing>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68325"/>
                <wp:effectExtent l="0" t="0" r="0" b="0"/>
                <wp:wrapNone/>
                <wp:docPr id="30" name="Frame1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DIRECTOR NOMINEE BIOGRAPHIES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As set forth in our corporate governance principles, when evaluating our directors in consideration for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42"/>
        <w:gridCol w:w="916"/>
        <w:gridCol w:w="917"/>
        <w:gridCol w:w="2147"/>
        <w:gridCol w:w="2147"/>
        <w:gridCol w:w="3036"/>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2875"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0"/>
              <w:jc w:val="left"/>
              <w:rPr/>
            </w:pPr>
            <w:r>
              <w:rPr/>
              <w:drawing>
                <wp:inline distT="0" distB="0" distL="0" distR="0">
                  <wp:extent cx="1733550" cy="173355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1733550" cy="1733550"/>
                          </a:xfrm>
                          <a:prstGeom prst="rect">
                            <a:avLst/>
                          </a:prstGeom>
                        </pic:spPr>
                      </pic:pic>
                    </a:graphicData>
                  </a:graphic>
                </wp:inline>
              </w:drawing>
            </w:r>
          </w:p>
        </w:tc>
        <w:tc>
          <w:tcPr>
            <w:tcW w:w="7330" w:type="dxa"/>
            <w:gridSpan w:val="3"/>
            <w:vMerge w:val="restart"/>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STEVEN BERINGHAUSE</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Steven Beringhause has extensive experience managing advanced technology for commercial applications and leading businesses due to his many years with Sensata Technologies, a spin-off of Texas Instruments, where he served as the Chief Technology Officer from 2015 through 2020. Mr. Beringhause held the role of Executive Vice President of Performance Sensing from 2013 through 2017, leading Sensata's largest business unit. He joined Sensata's predecessor company, Texas Instruments, in 1988, and held a series of positions of increasing responsibility and oversight in the engineering function, where he helped shift the company's focus to a new range of safety sensors for automotive and commercial vehicle applications. He previously served as a director of Meritor Inc. from December 2019 through its acquisition by Cummins Inc. in 2022.</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Massachusetts Institute of Technology, Master of Science and a Bachelor of Science in mechanical engineering</w:t>
            </w:r>
          </w:p>
        </w:tc>
      </w:tr>
      <w:tr>
        <w:trPr/>
        <w:tc>
          <w:tcPr>
            <w:tcW w:w="2875" w:type="dxa"/>
            <w:gridSpan w:val="3"/>
            <w:tcBorders>
              <w:left w:val="single" w:sz="8" w:space="0" w:color="B6B6B6"/>
              <w:bottom w:val="single" w:sz="8" w:space="0" w:color="B6B6B6"/>
            </w:tcBorders>
            <w:tcMar>
              <w:top w:w="0" w:type="dxa"/>
              <w:bottom w:w="3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59</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July 2024</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Compensation and Human Resources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Safety, Environment and Sustainability</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None</w:t>
            </w:r>
          </w:p>
        </w:tc>
        <w:tc>
          <w:tcPr>
            <w:tcW w:w="7330" w:type="dxa"/>
            <w:gridSpan w:val="3"/>
            <w:vMerge w:val="continue"/>
            <w:tcBorders>
              <w:top w:val="single" w:sz="8" w:space="0" w:color="B6B6B6"/>
              <w:bottom w:val="single" w:sz="8" w:space="0" w:color="B6B6B6"/>
              <w:right w:val="single" w:sz="8" w:space="0" w:color="B6B6B6"/>
            </w:tcBorders>
            <w:tcMar>
              <w:top w:w="30" w:type="dxa"/>
              <w:left w:w="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61"/>
        <w:gridCol w:w="933"/>
        <w:gridCol w:w="934"/>
        <w:gridCol w:w="2130"/>
        <w:gridCol w:w="2130"/>
        <w:gridCol w:w="3017"/>
      </w:tblGrid>
      <w:tr>
        <w:trPr/>
        <w:tc>
          <w:tcPr>
            <w:tcW w:w="10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0"/>
              <w:jc w:val="left"/>
              <w:rPr/>
            </w:pPr>
            <w:r>
              <w:rPr/>
              <w:drawing>
                <wp:inline distT="0" distB="0" distL="0" distR="0">
                  <wp:extent cx="1733550" cy="173355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1733550" cy="1733550"/>
                          </a:xfrm>
                          <a:prstGeom prst="rect">
                            <a:avLst/>
                          </a:prstGeom>
                        </pic:spPr>
                      </pic:pic>
                    </a:graphicData>
                  </a:graphic>
                </wp:inline>
              </w:drawing>
            </w:r>
          </w:p>
        </w:tc>
        <w:tc>
          <w:tcPr>
            <w:tcW w:w="7277" w:type="dxa"/>
            <w:gridSpan w:val="3"/>
            <w:vMerge w:val="restart"/>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BENJAMIN C. DUSTER, IV</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Benjamin C. Duster, IV is the Founder and CEO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of directors of Expand Energy Corporation (formerly Chesapeake Energy), where he serves on the audit and compensation committees. Mr. Duster previously served on the board of directors of Diamond Offshore Drilling Inc. and Alaska Communications Systems Group, Inc. Mr. Duster also serves as CEO of Mobile Technologies Inc., a global retail security, smart locks and technology support services company.</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Yale University, BA in Economics (Applied Math minor) with Honors</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Harvard Law School, Juris Doctorate</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Harvard Business School, MBA</w:t>
            </w:r>
          </w:p>
        </w:tc>
      </w:tr>
      <w:tr>
        <w:trPr/>
        <w:tc>
          <w:tcPr>
            <w:tcW w:w="2928" w:type="dxa"/>
            <w:gridSpan w:val="3"/>
            <w:tcBorders>
              <w:left w:val="single" w:sz="8" w:space="0" w:color="B6B6B6"/>
              <w:bottom w:val="single" w:sz="8" w:space="0" w:color="B6B6B6"/>
            </w:tcBorders>
            <w:tcMar>
              <w:top w:w="0" w:type="dxa"/>
              <w:bottom w:w="3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64</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June 2020</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Audit</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Compensation and Human Resources (Chair)</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Nominating and Governance</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Expand Energy</w:t>
            </w:r>
          </w:p>
        </w:tc>
        <w:tc>
          <w:tcPr>
            <w:tcW w:w="7277" w:type="dxa"/>
            <w:gridSpan w:val="3"/>
            <w:vMerge w:val="continue"/>
            <w:tcBorders>
              <w:top w:val="single" w:sz="8" w:space="0" w:color="B6B6B6"/>
              <w:bottom w:val="single" w:sz="8" w:space="0" w:color="B6B6B6"/>
              <w:right w:val="single" w:sz="8" w:space="0" w:color="B6B6B6"/>
            </w:tcBorders>
            <w:tcMar>
              <w:top w:w="30" w:type="dxa"/>
              <w:left w:w="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68325"/>
                <wp:effectExtent l="0" t="0" r="0" b="0"/>
                <wp:wrapNone/>
                <wp:docPr id="33" name="Frame1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tbl>
      <w:tblPr>
        <w:tblW w:w="10205" w:type="dxa"/>
        <w:jc w:val="center"/>
        <w:tblInd w:w="0" w:type="dxa"/>
        <w:tblLayout w:type="fixed"/>
        <w:tblCellMar>
          <w:top w:w="28" w:type="dxa"/>
          <w:left w:w="28" w:type="dxa"/>
          <w:bottom w:w="28" w:type="dxa"/>
          <w:right w:w="28" w:type="dxa"/>
        </w:tblCellMar>
      </w:tblPr>
      <w:tblGrid>
        <w:gridCol w:w="1038"/>
        <w:gridCol w:w="913"/>
        <w:gridCol w:w="914"/>
        <w:gridCol w:w="2148"/>
        <w:gridCol w:w="2148"/>
        <w:gridCol w:w="3044"/>
      </w:tblGrid>
      <w:tr>
        <w:trPr/>
        <w:tc>
          <w:tcPr>
            <w:tcW w:w="10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0"/>
              <w:jc w:val="left"/>
              <w:rPr/>
            </w:pPr>
            <w:r>
              <w:rPr/>
              <w:drawing>
                <wp:inline distT="0" distB="0" distL="0" distR="0">
                  <wp:extent cx="1733550" cy="173355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1733550" cy="1733550"/>
                          </a:xfrm>
                          <a:prstGeom prst="rect">
                            <a:avLst/>
                          </a:prstGeom>
                        </pic:spPr>
                      </pic:pic>
                    </a:graphicData>
                  </a:graphic>
                </wp:inline>
              </w:drawing>
            </w:r>
          </w:p>
        </w:tc>
        <w:tc>
          <w:tcPr>
            <w:tcW w:w="7340" w:type="dxa"/>
            <w:gridSpan w:val="3"/>
            <w:vMerge w:val="restart"/>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NEAL P. GOLDMAN</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Neal P. Goldman has over 25 years of experience in investing and working with companies to maximize shareholder value. Since 2013, he has been the Managing Member of SAGE Capital Investments, LLC, a consulting firm specializing in independent board of director services, restructuring, strategic planning and transformations for companies in multiple industries including energy, technology, media, retail, gaming and industrials. Prior to 2013, he was a Managing Director at Och-Ziff Capital Management, LP and a Founding Partner of Brigade Capital Management, LLC, which he helped to build to over $12 billion in assets under management. Mr. Goldman currently serves as Chairman of the Board of Talos Energy Inc., where he chairs the nominating and governance committee. He is also a member of the iRobot Corporation board of directors. He previously served on the boards of directors of Diamond Offshore Drilling, Inc., KL Discovery Inc., ModivCare Inc., Core Scientific, Inc., Mallinckrodt plc, Redbox Entertainment Inc. and Ultra Petroleum.</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University of Michigan, BA</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University of Illinois, MBA</w:t>
            </w:r>
          </w:p>
        </w:tc>
      </w:tr>
      <w:tr>
        <w:trPr/>
        <w:tc>
          <w:tcPr>
            <w:tcW w:w="2865" w:type="dxa"/>
            <w:gridSpan w:val="3"/>
            <w:tcBorders>
              <w:left w:val="single" w:sz="8" w:space="0" w:color="B6B6B6"/>
              <w:bottom w:val="single" w:sz="8" w:space="0" w:color="B6B6B6"/>
            </w:tcBorders>
            <w:tcMar>
              <w:top w:w="0" w:type="dxa"/>
              <w:bottom w:w="3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55</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December 2019</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pPr>
            <w:r>
              <w:rPr>
                <w:rFonts w:ascii="Arial;sans-serif" w:hAnsi="Arial;sans-serif"/>
                <w:b w:val="false"/>
                <w:color w:val="242424"/>
                <w:sz w:val="20"/>
              </w:rPr>
              <w:t xml:space="preserve">Audit </w:t>
            </w:r>
            <w:r>
              <w:rPr>
                <w:rFonts w:ascii="Arial;sans-serif" w:hAnsi="Arial;sans-serif"/>
                <w:b w:val="false"/>
                <w:color w:val="242424"/>
                <w:sz w:val="20"/>
                <w:shd w:fill="FFFFFF" w:val="clear"/>
              </w:rPr>
              <w:t>(Vice Chair)</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Compensation and Human Resources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Nominating and Governance (Chair)</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Talos Energy Inc.</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iRobot Corporation</w:t>
            </w:r>
          </w:p>
          <w:p>
            <w:pPr>
              <w:pStyle w:val="TableContents"/>
              <w:bidi w:val="0"/>
              <w:spacing w:before="0" w:after="0"/>
              <w:jc w:val="left"/>
              <w:rPr/>
            </w:pPr>
            <w:r>
              <w:rPr/>
            </w:r>
          </w:p>
        </w:tc>
        <w:tc>
          <w:tcPr>
            <w:tcW w:w="7340" w:type="dxa"/>
            <w:gridSpan w:val="3"/>
            <w:vMerge w:val="continue"/>
            <w:tcBorders>
              <w:top w:val="single" w:sz="8" w:space="0" w:color="B6B6B6"/>
              <w:bottom w:val="single" w:sz="8" w:space="0" w:color="B6B6B6"/>
              <w:right w:val="single" w:sz="8" w:space="0" w:color="B6B6B6"/>
            </w:tcBorders>
            <w:tcMar>
              <w:top w:w="30" w:type="dxa"/>
              <w:left w:w="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71"/>
        <w:gridCol w:w="941"/>
        <w:gridCol w:w="942"/>
        <w:gridCol w:w="2122"/>
        <w:gridCol w:w="2122"/>
        <w:gridCol w:w="3007"/>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0"/>
              <w:jc w:val="left"/>
              <w:rPr/>
            </w:pPr>
            <w:r>
              <w:rPr/>
              <w:drawing>
                <wp:inline distT="0" distB="0" distL="0" distR="0">
                  <wp:extent cx="1733550" cy="173355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1733550" cy="1733550"/>
                          </a:xfrm>
                          <a:prstGeom prst="rect">
                            <a:avLst/>
                          </a:prstGeom>
                        </pic:spPr>
                      </pic:pic>
                    </a:graphicData>
                  </a:graphic>
                </wp:inline>
              </w:drawing>
            </w:r>
          </w:p>
        </w:tc>
        <w:tc>
          <w:tcPr>
            <w:tcW w:w="7251" w:type="dxa"/>
            <w:gridSpan w:val="3"/>
            <w:vMerge w:val="restart"/>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JACQUELINE C. MUTSCHLER</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Jacqueline C. Mutschler has over 30 years of business and technology experience in the energy industry. She held a range of strategic, operational and technology roles at BP plc that spanned its international businesses. Her most recent appointment at BP was the SVP of Upstream Technology. Since her retirement from BP in 2014, she has provided independent consulting for the energy and technology industries. Ms. Mutschler has been a member of the Antero Resources Corporation board of directors since 2020, where she currently serves on the Audit, Nominating and Corporate Governance, Conflicts, and ESG Committees.</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Wright State University, B.S., Geology/Geophysics</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Stanford University, Executive Education Program</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Massachusetts Institute of Technology, Executive Education Program</w:t>
            </w:r>
          </w:p>
        </w:tc>
      </w:tr>
      <w:tr>
        <w:trPr/>
        <w:tc>
          <w:tcPr>
            <w:tcW w:w="2954" w:type="dxa"/>
            <w:gridSpan w:val="3"/>
            <w:tcBorders>
              <w:left w:val="single" w:sz="8" w:space="0" w:color="B6B6B6"/>
              <w:bottom w:val="single" w:sz="8" w:space="0" w:color="B6B6B6"/>
            </w:tcBorders>
            <w:tcMar>
              <w:top w:w="0" w:type="dxa"/>
              <w:bottom w:w="3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63</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December 2019</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Compensation and Human Resources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Nominating and Governance</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Safety, Environment and Sustainability (Chair)</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Antero Resources Corporation</w:t>
            </w:r>
          </w:p>
        </w:tc>
        <w:tc>
          <w:tcPr>
            <w:tcW w:w="7251" w:type="dxa"/>
            <w:gridSpan w:val="3"/>
            <w:vMerge w:val="continue"/>
            <w:tcBorders>
              <w:top w:val="single" w:sz="8" w:space="0" w:color="B6B6B6"/>
              <w:bottom w:val="single" w:sz="8" w:space="0" w:color="B6B6B6"/>
              <w:right w:val="single" w:sz="8" w:space="0" w:color="B6B6B6"/>
            </w:tcBorders>
            <w:tcMar>
              <w:top w:w="30" w:type="dxa"/>
              <w:left w:w="0" w:type="dxa"/>
              <w:bottom w:w="3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68325"/>
                <wp:effectExtent l="0" t="0" r="0" b="0"/>
                <wp:wrapNone/>
                <wp:docPr id="36" name="Frame20"/>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52"/>
        <w:gridCol w:w="925"/>
        <w:gridCol w:w="926"/>
        <w:gridCol w:w="2138"/>
        <w:gridCol w:w="2138"/>
        <w:gridCol w:w="3026"/>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0"/>
              <w:jc w:val="left"/>
              <w:rPr/>
            </w:pPr>
            <w:r>
              <w:rPr/>
              <w:drawing>
                <wp:inline distT="0" distB="0" distL="0" distR="0">
                  <wp:extent cx="1733550" cy="173355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1733550" cy="1733550"/>
                          </a:xfrm>
                          <a:prstGeom prst="rect">
                            <a:avLst/>
                          </a:prstGeom>
                        </pic:spPr>
                      </pic:pic>
                    </a:graphicData>
                  </a:graphic>
                </wp:inline>
              </w:drawing>
            </w:r>
          </w:p>
        </w:tc>
        <w:tc>
          <w:tcPr>
            <w:tcW w:w="7302" w:type="dxa"/>
            <w:gridSpan w:val="3"/>
            <w:vMerge w:val="restart"/>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CHARLES M. SLEDGE</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Charles M. Sledge previously served as the CFO of Cameron International Corporation, an oilfield services company, from 2008 until its sale to Schlumberger Limited in 2016. Prior to that, he served as the Corporate Controller of Cameron International Corporation from 2001 until 2008. He currently serves as the Non-Executive Chairman of the board of directors of Noble Corporation plc, and he serves as a member of the board of directors for Talos Energy Inc., where he chairs the Audit Committee. He previously served on the board of directors of Vine Energy, Inc. (which was acquired by Chesapeake Energy Corporation).</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Louisiana State University, B.S. in Accounting</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Harvard Business School, Advanced Management Program</w:t>
            </w:r>
          </w:p>
        </w:tc>
      </w:tr>
      <w:tr>
        <w:trPr/>
        <w:tc>
          <w:tcPr>
            <w:tcW w:w="2903" w:type="dxa"/>
            <w:gridSpan w:val="3"/>
            <w:tcBorders>
              <w:left w:val="single" w:sz="8" w:space="0" w:color="B6B6B6"/>
              <w:bottom w:val="single" w:sz="8" w:space="0" w:color="B6B6B6"/>
            </w:tcBorders>
            <w:tcMar>
              <w:top w:w="0" w:type="dxa"/>
              <w:bottom w:w="3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59</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December 2019</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Chairperson of the Board</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Audit (Chair)</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Safety, Environment and Sustainability</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 xml:space="preserve">Noble Corporation plc </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Talos Energy Inc.</w:t>
            </w:r>
          </w:p>
        </w:tc>
        <w:tc>
          <w:tcPr>
            <w:tcW w:w="7302" w:type="dxa"/>
            <w:gridSpan w:val="3"/>
            <w:vMerge w:val="continue"/>
            <w:tcBorders>
              <w:top w:val="single" w:sz="8" w:space="0" w:color="B6B6B6"/>
              <w:bottom w:val="single" w:sz="8" w:space="0" w:color="B6B6B6"/>
              <w:right w:val="single" w:sz="8" w:space="0" w:color="B6B6B6"/>
            </w:tcBorders>
            <w:tcMar>
              <w:top w:w="30" w:type="dxa"/>
              <w:left w:w="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40"/>
        <w:gridCol w:w="914"/>
        <w:gridCol w:w="915"/>
        <w:gridCol w:w="2148"/>
        <w:gridCol w:w="2148"/>
        <w:gridCol w:w="3040"/>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0"/>
              <w:jc w:val="left"/>
              <w:rPr/>
            </w:pPr>
            <w:r>
              <w:rPr/>
              <w:drawing>
                <wp:inline distT="0" distB="0" distL="0" distR="0">
                  <wp:extent cx="1733550" cy="173355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1733550" cy="1733550"/>
                          </a:xfrm>
                          <a:prstGeom prst="rect">
                            <a:avLst/>
                          </a:prstGeom>
                        </pic:spPr>
                      </pic:pic>
                    </a:graphicData>
                  </a:graphic>
                </wp:inline>
              </w:drawing>
            </w:r>
          </w:p>
        </w:tc>
        <w:tc>
          <w:tcPr>
            <w:tcW w:w="7336" w:type="dxa"/>
            <w:gridSpan w:val="3"/>
            <w:vMerge w:val="restart"/>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GIRISHCHANDRA K. SALIGRAM</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pPr>
            <w:r>
              <w:rPr>
                <w:rFonts w:ascii="Arial;sans-serif" w:hAnsi="Arial;sans-serif"/>
                <w:b w:val="false"/>
                <w:color w:val="242424"/>
                <w:sz w:val="20"/>
              </w:rPr>
              <w:t xml:space="preserve">Girishchandra K. Saligram joined Weatherford as our President and CEO in </w:t>
            </w:r>
            <w:r>
              <w:rPr>
                <w:rFonts w:ascii="Arial;sans-serif" w:hAnsi="Arial;sans-serif"/>
                <w:b w:val="false"/>
                <w:color w:val="000000"/>
                <w:sz w:val="20"/>
              </w:rPr>
              <w:t>October 2020</w:t>
            </w:r>
            <w:r>
              <w:rPr>
                <w:rFonts w:ascii="Arial;sans-serif" w:hAnsi="Arial;sans-serif"/>
                <w:b w:val="false"/>
                <w:color w:val="242424"/>
                <w:sz w:val="20"/>
              </w:rPr>
              <w:t>. 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Bangalore University, B.E, Computer Science &amp; Engineering</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Virginia Polytechnic Institute and State University, M.S., Computer Science</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Northwestern University, Kellogg Graduate School of Management, M.B.A.</w:t>
            </w:r>
          </w:p>
        </w:tc>
      </w:tr>
      <w:tr>
        <w:trPr/>
        <w:tc>
          <w:tcPr>
            <w:tcW w:w="2869" w:type="dxa"/>
            <w:gridSpan w:val="3"/>
            <w:tcBorders>
              <w:left w:val="single" w:sz="8" w:space="0" w:color="B6B6B6"/>
              <w:bottom w:val="single" w:sz="8" w:space="0" w:color="B6B6B6"/>
            </w:tcBorders>
            <w:tcMar>
              <w:top w:w="0" w:type="dxa"/>
              <w:bottom w:w="3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53</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October 2020</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Safety, Environment and Sustainability</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None</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7336" w:type="dxa"/>
            <w:gridSpan w:val="3"/>
            <w:vMerge w:val="continue"/>
            <w:tcBorders>
              <w:top w:val="single" w:sz="8" w:space="0" w:color="B6B6B6"/>
              <w:bottom w:val="single" w:sz="8" w:space="0" w:color="B6B6B6"/>
              <w:right w:val="single" w:sz="8" w:space="0" w:color="B6B6B6"/>
            </w:tcBorders>
            <w:tcMar>
              <w:top w:w="30" w:type="dxa"/>
              <w:left w:w="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68325"/>
                <wp:effectExtent l="0" t="0" r="0" b="0"/>
                <wp:wrapNone/>
                <wp:docPr id="39" name="Frame21"/>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OUR BOARD AND OUR BOARD COMMITTEES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standing committees: Audit; Compensation and Human Resources; Nominating and Governance; and Safety, Environment and Sustainability, all of which are further described below. The members of each Committee listed below are as of the date of this proxy. </w:t>
      </w:r>
    </w:p>
    <w:p>
      <w:pPr>
        <w:pStyle w:val="TextBody"/>
        <w:bidi w:val="0"/>
        <w:spacing w:before="0" w:after="120"/>
        <w:jc w:val="center"/>
        <w:rPr/>
      </w:pPr>
      <w:r>
        <w:rPr/>
        <w:drawing>
          <wp:inline distT="0" distB="0" distL="0" distR="0">
            <wp:extent cx="7086600" cy="3762375"/>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7086600" cy="3762375"/>
                    </a:xfrm>
                    <a:prstGeom prst="rect">
                      <a:avLst/>
                    </a:prstGeom>
                  </pic:spPr>
                </pic:pic>
              </a:graphicData>
            </a:graphic>
          </wp:inline>
        </w:drawing>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68325"/>
                <wp:effectExtent l="0" t="0" r="0" b="0"/>
                <wp:wrapNone/>
                <wp:docPr id="41" name="Frame22"/>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tbl>
      <w:tblPr>
        <w:tblW w:w="10205" w:type="dxa"/>
        <w:jc w:val="left"/>
        <w:tblInd w:w="0" w:type="dxa"/>
        <w:tblLayout w:type="fixed"/>
        <w:tblCellMar>
          <w:top w:w="28" w:type="dxa"/>
          <w:left w:w="28" w:type="dxa"/>
          <w:bottom w:w="28" w:type="dxa"/>
          <w:right w:w="28" w:type="dxa"/>
        </w:tblCellMar>
      </w:tblPr>
      <w:tblGrid>
        <w:gridCol w:w="124"/>
        <w:gridCol w:w="109"/>
        <w:gridCol w:w="109"/>
        <w:gridCol w:w="578"/>
        <w:gridCol w:w="496"/>
        <w:gridCol w:w="397"/>
        <w:gridCol w:w="109"/>
        <w:gridCol w:w="109"/>
        <w:gridCol w:w="109"/>
        <w:gridCol w:w="109"/>
        <w:gridCol w:w="109"/>
        <w:gridCol w:w="109"/>
        <w:gridCol w:w="109"/>
        <w:gridCol w:w="109"/>
        <w:gridCol w:w="109"/>
        <w:gridCol w:w="521"/>
        <w:gridCol w:w="521"/>
        <w:gridCol w:w="522"/>
        <w:gridCol w:w="109"/>
        <w:gridCol w:w="109"/>
        <w:gridCol w:w="109"/>
        <w:gridCol w:w="109"/>
        <w:gridCol w:w="109"/>
        <w:gridCol w:w="109"/>
        <w:gridCol w:w="109"/>
        <w:gridCol w:w="109"/>
        <w:gridCol w:w="109"/>
        <w:gridCol w:w="547"/>
        <w:gridCol w:w="458"/>
        <w:gridCol w:w="459"/>
        <w:gridCol w:w="109"/>
        <w:gridCol w:w="109"/>
        <w:gridCol w:w="109"/>
        <w:gridCol w:w="109"/>
        <w:gridCol w:w="109"/>
        <w:gridCol w:w="109"/>
        <w:gridCol w:w="109"/>
        <w:gridCol w:w="109"/>
        <w:gridCol w:w="109"/>
        <w:gridCol w:w="918"/>
        <w:gridCol w:w="562"/>
        <w:gridCol w:w="563"/>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AUDIT COMMITTEE</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COMPENSATION AND HUMAN RESOURCES COMMITTEE</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NOMINATING AND GOVERNANCE COMMITTEE</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SAFETY, ENVIRONMENT AND SUSTAINABILITY COMMITTEE</w:t>
            </w:r>
          </w:p>
        </w:tc>
        <w:tc>
          <w:tcPr>
            <w:tcW w:w="378"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D1D3D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42424"/>
                <w:sz w:val="16"/>
              </w:rPr>
            </w:pPr>
            <w:r>
              <w:rPr>
                <w:rFonts w:ascii="Arial;sans-serif" w:hAnsi="Arial;sans-serif"/>
                <w:b/>
                <w:color w:val="242424"/>
                <w:sz w:val="16"/>
              </w:rPr>
              <w:t>Primary Responsibilities: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the integrity of our financial reporting process and systems of internal accounting and financial controls;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our financial statements;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our compliance with legal and regulatory requirements;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cybersecurity;</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Authorizing and being responsible for the appointment, compensation, retention, and oversight of our independent auditor;</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our independent auditor’s qualifications and independence;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the performance of our internal assurance function, including internal audits and investigations, and our independent auditor.</w:t>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D1D3D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42424"/>
                <w:sz w:val="16"/>
              </w:rPr>
            </w:pPr>
            <w:r>
              <w:rPr>
                <w:rFonts w:ascii="Arial;sans-serif" w:hAnsi="Arial;sans-serif"/>
                <w:b/>
                <w:color w:val="242424"/>
                <w:sz w:val="16"/>
              </w:rPr>
              <w:t>Primary Responsibilities: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Monitoring and reviewing the Company’s overall compensation and benefits program design to ensure the program discourages excessive risk taking;</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Assessing the compensation program’s continued competitiveness and consistency with compensation philosophy, corporate strategy and objectives;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approving corporate goals and objectives;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with the CEO, and approving each component of compensation of our executive officers;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Selecting appropriate peer groups;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Making decisions regarding severance, executive compensation plans, incentive compensation plans and equity-based plans and administering such plans;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making recommendations to the Board with respect to the compensation of our independent, non-employee directors.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Succession planning for the Company’s CEO and reviewing CEO’s succession planning for other executive officers.</w:t>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D1D3D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42424"/>
                <w:sz w:val="16"/>
              </w:rPr>
            </w:pPr>
            <w:r>
              <w:rPr>
                <w:rFonts w:ascii="Arial;sans-serif" w:hAnsi="Arial;sans-serif"/>
                <w:b/>
                <w:color w:val="242424"/>
                <w:sz w:val="16"/>
              </w:rPr>
              <w:t>Primary Responsibilities: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Identifying individuals qualified to serve as Board members;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Recommending director nominees for each AGM, to fill any vacancies, and recommending directors for each committee;</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recommending changes to the Company’s Corporate Governance Principles for Board approval;</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the Board in its annual review of the Board’s and management’s performance;</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recommending responses to shareholder proposals (other than those related to compensation) to the Board;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providing guidance to management and the Board regarding shareholder engagement; and</w:t>
            </w:r>
          </w:p>
          <w:p>
            <w:pPr>
              <w:pStyle w:val="TableContents"/>
              <w:bidi w:val="0"/>
              <w:spacing w:before="0" w:after="60"/>
              <w:ind w:left="0" w:right="0" w:firstLine="270"/>
              <w:jc w:val="left"/>
              <w:rPr/>
            </w:pPr>
            <w:r>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D1D3D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42424"/>
                <w:sz w:val="16"/>
              </w:rPr>
            </w:pPr>
            <w:r>
              <w:rPr>
                <w:rFonts w:ascii="Arial;sans-serif" w:hAnsi="Arial;sans-serif"/>
                <w:b/>
                <w:color w:val="242424"/>
                <w:sz w:val="16"/>
              </w:rPr>
              <w:t>Primary Responsibilities: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the Company’s policies relating to health, safety, security, environmental (“HSSE”) stewardship, and corporate responsibility, including sustainability, socially responsible engagement, security and ethics, and overseeing adherence and enforcement of these policies and related programs;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the Company’s initiatives to promote safety awareness among all employees;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strategy and resources of the Company’s HSSE organization and approving the annual HSSE plan, including related processes;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periodic updates on significant health, safety, security, environmental sustainable-development and social and public policy issues;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findings related to any significant HSSE incident and making periodic facility visits;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Ensuring annual preparation and review of a sustainability report;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Assisting the Board with oversight of the Company’s risk-management and security processes in relation to HSSE.</w:t>
            </w:r>
          </w:p>
        </w:tc>
        <w:tc>
          <w:tcPr>
            <w:tcW w:w="37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Meetings in 2024: 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Meetings in 2024: 9</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Meetings in 2024: 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Meetings in 2024: 4</w:t>
            </w:r>
          </w:p>
        </w:tc>
        <w:tc>
          <w:tcPr>
            <w:tcW w:w="37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Arial;sans-serif" w:hAnsi="Arial;sans-serif"/>
          <w:b/>
          <w:color w:val="242424"/>
          <w:sz w:val="20"/>
        </w:rPr>
        <w:t>Board Meetings:</w:t>
      </w:r>
      <w:r>
        <w:rPr>
          <w:color w:val="242424"/>
        </w:rPr>
        <w:t xml:space="preserve"> </w:t>
      </w:r>
      <w:r>
        <w:rPr>
          <w:rFonts w:ascii="Arial;sans-serif" w:hAnsi="Arial;sans-serif"/>
          <w:b w:val="false"/>
          <w:color w:val="242424"/>
          <w:sz w:val="20"/>
        </w:rPr>
        <w:t xml:space="preserve">During 2024, the Board met 11 times; all of the directors of the Company participated in </w:t>
      </w:r>
      <w:r>
        <w:rPr>
          <w:rFonts w:ascii="Arial;sans-serif" w:hAnsi="Arial;sans-serif"/>
          <w:b w:val="false"/>
          <w:color w:val="000000"/>
          <w:sz w:val="20"/>
        </w:rPr>
        <w:t>at least 75%</w:t>
      </w:r>
      <w:r>
        <w:rPr>
          <w:color w:val="242424"/>
        </w:rPr>
        <w:t xml:space="preserve"> </w:t>
      </w:r>
      <w:r>
        <w:rPr>
          <w:rFonts w:ascii="Arial;sans-serif" w:hAnsi="Arial;sans-serif"/>
          <w:b w:val="false"/>
          <w:color w:val="242424"/>
          <w:sz w:val="20"/>
        </w:rPr>
        <w:t>of all of the Board and their respective Committee meetings conducted during their respective tenures. It is our policy that directors are expected to attend each AGM. All of our directors then in office attended the 2024 AGM.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8325"/>
                <wp:effectExtent l="0" t="0" r="0" b="0"/>
                <wp:wrapNone/>
                <wp:docPr id="42" name="Frame23"/>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ADDITIONAL BOARD INFORMATION</w:t>
      </w:r>
    </w:p>
    <w:p>
      <w:pPr>
        <w:pStyle w:val="TextBody"/>
        <w:bidi w:val="0"/>
        <w:spacing w:lineRule="auto" w:line="288" w:before="0" w:after="120"/>
        <w:jc w:val="left"/>
        <w:rPr/>
      </w:pPr>
      <w:r>
        <w:rPr>
          <w:rFonts w:ascii="Arial;sans-serif" w:hAnsi="Arial;sans-serif"/>
          <w:b/>
          <w:color w:val="242424"/>
          <w:sz w:val="20"/>
        </w:rPr>
        <w:t>Committee Charters:</w:t>
      </w:r>
      <w:r>
        <w:rPr>
          <w:color w:val="242424"/>
        </w:rPr>
        <w:t xml:space="preserve"> </w:t>
      </w:r>
      <w:r>
        <w:rPr>
          <w:rFonts w:ascii="Arial;sans-serif" w:hAnsi="Arial;sans-serif"/>
          <w:b w:val="false"/>
          <w:color w:val="242424"/>
          <w:sz w:val="20"/>
        </w:rPr>
        <w:t>The charter for each Committee of our Board is available on our website at www.weatherford.com, by clicking on “Investor Relations,” then “Company Information,” then “Corporate Governance,” then “Corporate Documents,” then the name of the applicable committee charter.</w:t>
      </w:r>
    </w:p>
    <w:p>
      <w:pPr>
        <w:pStyle w:val="TextBody"/>
        <w:bidi w:val="0"/>
        <w:spacing w:lineRule="auto" w:line="288" w:before="0" w:after="120"/>
        <w:jc w:val="left"/>
        <w:rPr/>
      </w:pPr>
      <w:r>
        <w:rPr>
          <w:rFonts w:ascii="Arial;sans-serif" w:hAnsi="Arial;sans-serif"/>
          <w:b/>
          <w:color w:val="242424"/>
          <w:sz w:val="20"/>
        </w:rPr>
        <w:t>Independence:</w:t>
      </w:r>
      <w:r>
        <w:rPr>
          <w:color w:val="242424"/>
        </w:rPr>
        <w:t xml:space="preserve"> </w:t>
      </w:r>
      <w:r>
        <w:rPr>
          <w:rFonts w:ascii="Arial;sans-serif" w:hAnsi="Arial;sans-serif"/>
          <w:b w:val="false"/>
          <w:color w:val="242424"/>
          <w:sz w:val="20"/>
        </w:rPr>
        <w:t>Each Committee of our Board other than the Safety, Environment and Sustainability Committee, is composed entirely of independent directors.</w:t>
      </w:r>
    </w:p>
    <w:p>
      <w:pPr>
        <w:pStyle w:val="TextBody"/>
        <w:bidi w:val="0"/>
        <w:spacing w:lineRule="auto" w:line="288" w:before="0" w:after="120"/>
        <w:jc w:val="left"/>
        <w:rPr/>
      </w:pPr>
      <w:r>
        <w:rPr>
          <w:rFonts w:ascii="Arial;sans-serif" w:hAnsi="Arial;sans-serif"/>
          <w:b/>
          <w:color w:val="242424"/>
          <w:sz w:val="20"/>
        </w:rPr>
        <w:t>Committee Member Qualifications:</w:t>
      </w:r>
      <w:r>
        <w:rPr>
          <w:color w:val="242424"/>
        </w:rPr>
        <w:t xml:space="preserve"> </w:t>
      </w:r>
      <w:r>
        <w:rPr>
          <w:rFonts w:ascii="Arial;sans-serif" w:hAnsi="Arial;sans-serif"/>
          <w:b w:val="false"/>
          <w:color w:val="242424"/>
          <w:sz w:val="20"/>
        </w:rPr>
        <w:t>The Board has determined that each member of the Audit Committee is “financially literate” pursuant to the listing standards of Nasdaq and that Messrs. Sledge and Goldman are each an “audit committee financial expert,” as defined by applicable U.S. Securities and Exchange Commission (the “SEC”) rules, due to each of their individual extensive financial experience.</w:t>
      </w:r>
    </w:p>
    <w:p>
      <w:pPr>
        <w:pStyle w:val="TextBody"/>
        <w:bidi w:val="0"/>
        <w:spacing w:lineRule="auto" w:line="288" w:before="0" w:after="120"/>
        <w:jc w:val="left"/>
        <w:rPr/>
      </w:pPr>
      <w:r>
        <w:rPr>
          <w:rFonts w:ascii="Arial;sans-serif" w:hAnsi="Arial;sans-serif"/>
          <w:b/>
          <w:color w:val="242424"/>
          <w:sz w:val="20"/>
        </w:rPr>
        <w:t xml:space="preserve">Special Committee: </w:t>
      </w:r>
      <w:r>
        <w:rPr>
          <w:rFonts w:ascii="Arial;sans-serif" w:hAnsi="Arial;sans-serif"/>
          <w:b w:val="false"/>
          <w:color w:val="242424"/>
          <w:sz w:val="20"/>
        </w:rPr>
        <w:t xml:space="preserve">In </w:t>
      </w:r>
      <w:r>
        <w:rPr>
          <w:rFonts w:ascii="Arial;sans-serif" w:hAnsi="Arial;sans-serif"/>
          <w:b w:val="false"/>
          <w:color w:val="000000"/>
          <w:sz w:val="20"/>
        </w:rPr>
        <w:t>September 2023</w:t>
      </w:r>
      <w:r>
        <w:rPr>
          <w:rFonts w:ascii="Arial;sans-serif" w:hAnsi="Arial;sans-serif"/>
          <w:b w:val="false"/>
          <w:color w:val="242424"/>
          <w:sz w:val="20"/>
        </w:rPr>
        <w:t xml:space="preserve">, the Board established a special committee to oversee strategic planning for inorganic growth, including but not limited to the acquisitions of ISI Holding Company, LLC and Probe Technologies Holdings, Inc. announced in the </w:t>
      </w:r>
      <w:r>
        <w:rPr>
          <w:rFonts w:ascii="Arial;sans-serif" w:hAnsi="Arial;sans-serif"/>
          <w:b w:val="false"/>
          <w:color w:val="000000"/>
          <w:sz w:val="20"/>
        </w:rPr>
        <w:t>first</w:t>
      </w:r>
      <w:r>
        <w:rPr>
          <w:color w:val="242424"/>
        </w:rPr>
        <w:t xml:space="preserve"> </w:t>
      </w:r>
      <w:r>
        <w:rPr>
          <w:rFonts w:ascii="Arial;sans-serif" w:hAnsi="Arial;sans-serif"/>
          <w:b w:val="false"/>
          <w:color w:val="242424"/>
          <w:sz w:val="20"/>
        </w:rPr>
        <w:t xml:space="preserve">quarter of </w:t>
      </w:r>
      <w:r>
        <w:rPr>
          <w:rFonts w:ascii="Arial;sans-serif" w:hAnsi="Arial;sans-serif"/>
          <w:b w:val="false"/>
          <w:color w:val="000000"/>
          <w:sz w:val="20"/>
        </w:rPr>
        <w:t>2024</w:t>
      </w:r>
      <w:r>
        <w:rPr>
          <w:rFonts w:ascii="Arial;sans-serif" w:hAnsi="Arial;sans-serif"/>
          <w:b w:val="false"/>
          <w:color w:val="242424"/>
          <w:sz w:val="20"/>
        </w:rPr>
        <w:t xml:space="preserve">, and related integration plans. All non-employee directors then in office were appointed to serve on the Special Committee. The Special Committee met </w:t>
      </w:r>
      <w:r>
        <w:rPr>
          <w:rFonts w:ascii="Arial;sans-serif" w:hAnsi="Arial;sans-serif"/>
          <w:b w:val="false"/>
          <w:color w:val="000000"/>
          <w:sz w:val="20"/>
        </w:rPr>
        <w:t>one</w:t>
      </w:r>
      <w:r>
        <w:rPr>
          <w:color w:val="242424"/>
        </w:rPr>
        <w:t xml:space="preserve"> </w:t>
      </w:r>
      <w:r>
        <w:rPr>
          <w:rFonts w:ascii="Arial;sans-serif" w:hAnsi="Arial;sans-serif"/>
          <w:b w:val="false"/>
          <w:color w:val="242424"/>
          <w:sz w:val="20"/>
        </w:rPr>
        <w:t xml:space="preserve">time during </w:t>
      </w:r>
      <w:r>
        <w:rPr>
          <w:rFonts w:ascii="Arial;sans-serif" w:hAnsi="Arial;sans-serif"/>
          <w:b w:val="false"/>
          <w:color w:val="000000"/>
          <w:sz w:val="20"/>
        </w:rPr>
        <w:t>2024</w:t>
      </w:r>
      <w:r>
        <w:rPr>
          <w:rFonts w:ascii="Arial;sans-serif" w:hAnsi="Arial;sans-serif"/>
          <w:b w:val="false"/>
          <w:color w:val="242424"/>
          <w:sz w:val="20"/>
        </w:rPr>
        <w:t xml:space="preserve">, and was dissolved in </w:t>
      </w:r>
      <w:r>
        <w:rPr>
          <w:rFonts w:ascii="Arial;sans-serif" w:hAnsi="Arial;sans-serif"/>
          <w:b w:val="false"/>
          <w:color w:val="000000"/>
          <w:sz w:val="20"/>
        </w:rPr>
        <w:t>January 2024</w:t>
      </w:r>
      <w:r>
        <w:rPr>
          <w:rFonts w:ascii="Arial;sans-serif" w:hAnsi="Arial;sans-serif"/>
          <w:b w:val="false"/>
          <w:color w:val="242424"/>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8325"/>
                <wp:effectExtent l="0" t="0" r="0" b="0"/>
                <wp:wrapNone/>
                <wp:docPr id="43" name="Frame2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CORPORATE GOVERNANCE MATTERS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Our Board believes sound corporate governance processes and practices, as well as high ethical standards, are critical to achieving business success. We embrace leading governance practices and also conduct ongoing reviews of our governance framework to reflect shareholder input and changing circumstances. Below are highlights of our corporate governance practices and principles.</w:t>
      </w:r>
    </w:p>
    <w:tbl>
      <w:tblPr>
        <w:tblW w:w="10205" w:type="dxa"/>
        <w:jc w:val="left"/>
        <w:tblInd w:w="0" w:type="dxa"/>
        <w:tblLayout w:type="fixed"/>
        <w:tblCellMar>
          <w:top w:w="28" w:type="dxa"/>
          <w:left w:w="28" w:type="dxa"/>
          <w:bottom w:w="28" w:type="dxa"/>
          <w:right w:w="28" w:type="dxa"/>
        </w:tblCellMar>
      </w:tblPr>
      <w:tblGrid>
        <w:gridCol w:w="746"/>
        <w:gridCol w:w="658"/>
        <w:gridCol w:w="659"/>
        <w:gridCol w:w="143"/>
        <w:gridCol w:w="143"/>
        <w:gridCol w:w="143"/>
        <w:gridCol w:w="2414"/>
        <w:gridCol w:w="2183"/>
        <w:gridCol w:w="3116"/>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CE1141"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9"/>
              </w:rPr>
            </w:pPr>
            <w:r>
              <w:rPr>
                <w:rFonts w:ascii="Arial;sans-serif" w:hAnsi="Arial;sans-serif"/>
                <w:b/>
                <w:color w:val="FFFFFF"/>
                <w:sz w:val="19"/>
              </w:rPr>
              <w:t>HIGHLIGHTS</w:t>
            </w:r>
          </w:p>
        </w:tc>
      </w:tr>
      <w:tr>
        <w:trPr/>
        <w:tc>
          <w:tcPr>
            <w:tcW w:w="2063"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Director Independence</w:t>
            </w:r>
          </w:p>
        </w:tc>
        <w:tc>
          <w:tcPr>
            <w:tcW w:w="429"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five of our six directors are independent.</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Chairperson of the Board</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242424"/>
                <w:sz w:val="19"/>
              </w:rPr>
            </w:pPr>
            <w:r>
              <w:rPr>
                <w:rFonts w:ascii="Arial;sans-serif" w:hAnsi="Arial;sans-serif"/>
                <w:b w:val="false"/>
                <w:color w:val="242424"/>
                <w:sz w:val="19"/>
              </w:rPr>
              <w:t>We have an independent Chairperson of the Board who, among other items: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9"/>
              </w:rPr>
              <w:t>reviews Board meeting schedules and agendas to assure there is an adequate number of scheduled meetings and that sufficient time for discussion of all agenda items and all topics deemed important by the independent directors are included;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9"/>
              </w:rPr>
              <w:t>presides at all meetings of the Board, including executive sessions, and can call for executive sessions of the Board’s independent directors, if and when deemed appropriate;</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9"/>
              </w:rPr>
              <w:t>leads the Board’s annual evaluation of the CEO;</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9"/>
              </w:rPr>
              <w:t>monitors and collaborates with management regarding corporate governance matters;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9"/>
              </w:rPr>
              <w:t>is available for communication with shareholders, in coordination with management, when appropriate.</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Committee Structure</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Our Committees, other than the Safety, Environment and Sustainability Committee, are composed entirely of independent directors.</w:t>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On an annual basis, the Nominating and Governance Committee evaluates and recommends Committee Chairs to the Board and assesses the appropriateness of any Chair or Committee rotations.</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Executive Sessions</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Independent directors meet regularly in executive session, including at all regularly scheduled Board meetings; independent directors also meet in executive session at Committee meetings, as required.</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Annual Voting</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Each member of our Board is elected annually with a majority voting standard for uncontested elections.</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Annual Board and Committee Self Evaluation</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The Board and each Committee conduct annual self-evaluations.</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Share Ownership Guidelines</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Subject to a five-year transition period, our directors are required to own at least eight times their annual cash retainers; our CEO is required to own at least ten times his annual base salary; and our other Section 16 Officers are required to own five times their annual base salaries.</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Risk Oversight</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Our entire Board is responsible for risk management of the Company, and our Committees have particular oversight of certain key risks, including those that are identified in the Company’s enterprise risk management program.</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Succession Planning</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CEO succession planning is reviewed and discussed at least annually; additionally, the CEO reports to the Board on at least an annual basis concerning management development and succession planning for all other key positions.</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Code of Business Conduct</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We have a robust and comprehensive Code of Business Conduct that applies to all employees and directors.</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No Hedging of Company Securities</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We prohibit directors, executives and certain other employees with access to inside information from engaging in hedging or derivative transactions involving our securities.</w:t>
            </w:r>
          </w:p>
        </w:tc>
      </w:tr>
      <w:tr>
        <w:trPr/>
        <w:tc>
          <w:tcPr>
            <w:tcW w:w="206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9"/>
              </w:rPr>
            </w:pPr>
            <w:r>
              <w:rPr>
                <w:rFonts w:ascii="Arial;sans-serif" w:hAnsi="Arial;sans-serif"/>
                <w:b w:val="false"/>
                <w:color w:val="CE1141"/>
                <w:sz w:val="19"/>
              </w:rPr>
              <w:t>No Pledging of Company Securities</w:t>
            </w:r>
          </w:p>
        </w:tc>
        <w:tc>
          <w:tcPr>
            <w:tcW w:w="429"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9"/>
              </w:rPr>
            </w:pPr>
            <w:r>
              <w:rPr>
                <w:rFonts w:ascii="Arial;sans-serif" w:hAnsi="Arial;sans-serif"/>
                <w:b w:val="false"/>
                <w:color w:val="242424"/>
                <w:sz w:val="19"/>
              </w:rPr>
              <w:t>We prohibit our directors and executives from pledging our securities.</w:t>
            </w:r>
          </w:p>
        </w:tc>
      </w:tr>
      <w:tr>
        <w:trPr/>
        <w:tc>
          <w:tcPr>
            <w:tcW w:w="2063" w:type="dxa"/>
            <w:gridSpan w:val="3"/>
            <w:tcBorders>
              <w:top w:val="single" w:sz="8" w:space="0" w:color="D1D3D4"/>
              <w:bottom w:val="single" w:sz="8" w:space="0" w:color="242424"/>
            </w:tcBorders>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CE1141"/>
                <w:sz w:val="19"/>
              </w:rPr>
            </w:pPr>
            <w:r>
              <w:rPr>
                <w:rFonts w:ascii="Arial;sans-serif" w:hAnsi="Arial;sans-serif"/>
                <w:b w:val="false"/>
                <w:color w:val="CE1141"/>
                <w:sz w:val="19"/>
              </w:rPr>
              <w:t>Insider Trading Policy</w:t>
            </w:r>
          </w:p>
        </w:tc>
        <w:tc>
          <w:tcPr>
            <w:tcW w:w="429" w:type="dxa"/>
            <w:gridSpan w:val="3"/>
            <w:tcBorders>
              <w:top w:val="single" w:sz="8" w:space="0" w:color="D1D3D4"/>
              <w:bottom w:val="single" w:sz="8" w:space="0" w:color="000000"/>
            </w:tcBorders>
            <w:tcMar>
              <w:top w:w="30" w:type="dxa"/>
              <w:left w:w="0" w:type="dxa"/>
              <w:bottom w:w="30" w:type="dxa"/>
              <w:right w:w="0" w:type="dxa"/>
            </w:tcMar>
            <w:vAlign w:val="center"/>
          </w:tcPr>
          <w:p>
            <w:pPr>
              <w:pStyle w:val="TableContents"/>
              <w:bidi w:val="0"/>
              <w:spacing w:lineRule="auto" w:line="276" w:before="0" w:after="0"/>
              <w:jc w:val="left"/>
              <w:rPr>
                <w:color w:val="CE1141"/>
              </w:rPr>
            </w:pPr>
            <w:r>
              <w:rPr>
                <w:color w:val="CE1141"/>
              </w:rPr>
              <w:t>✓</w:t>
            </w:r>
          </w:p>
        </w:tc>
        <w:tc>
          <w:tcPr>
            <w:tcW w:w="7713" w:type="dxa"/>
            <w:gridSpan w:val="3"/>
            <w:tcBorders>
              <w:top w:val="single" w:sz="8" w:space="0" w:color="D1D3D4"/>
              <w:bottom w:val="single" w:sz="8" w:space="0" w:color="242424"/>
            </w:tcBorders>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242424"/>
                <w:sz w:val="19"/>
              </w:rPr>
            </w:pPr>
            <w:r>
              <w:rPr>
                <w:rFonts w:ascii="Arial;sans-serif" w:hAnsi="Arial;sans-serif"/>
                <w:b w:val="false"/>
                <w:color w:val="242424"/>
                <w:sz w:val="19"/>
              </w:rPr>
              <w:t xml:space="preserve">We maintain a robust insider trading policy that applies to the Company’s directors, executive officers and employees. </w:t>
            </w:r>
          </w:p>
        </w:tc>
      </w:tr>
    </w:tbl>
    <w:p>
      <w:pPr>
        <w:pStyle w:val="TextBody"/>
        <w:bidi w:val="0"/>
        <w:spacing w:lineRule="auto" w:line="288" w:before="0" w:after="120"/>
        <w:jc w:val="left"/>
        <w:rPr/>
      </w:pPr>
      <w:r>
        <w:rPr>
          <w:rFonts w:ascii="Arial;sans-serif" w:hAnsi="Arial;sans-serif"/>
          <w:b/>
          <w:color w:val="CE1141"/>
          <w:sz w:val="20"/>
        </w:rPr>
        <w:t xml:space="preserve">Additional information regarding Corporate Governance at Weatherford can be found on our website at </w:t>
      </w:r>
      <w:r>
        <w:rPr>
          <w:rFonts w:ascii="Arial;sans-serif" w:hAnsi="Arial;sans-serif"/>
          <w:b/>
          <w:i/>
          <w:color w:val="CE1141"/>
          <w:sz w:val="20"/>
        </w:rPr>
        <w:t>www.weatherford.com</w:t>
      </w:r>
      <w:r>
        <w:rPr>
          <w:color w:val="CE1141"/>
        </w:rPr>
        <w:t xml:space="preserve"> </w:t>
      </w:r>
      <w:r>
        <w:rPr>
          <w:rFonts w:ascii="Arial;sans-serif" w:hAnsi="Arial;sans-serif"/>
          <w:b/>
          <w:color w:val="CE1141"/>
          <w:sz w:val="20"/>
        </w:rPr>
        <w:t>on the “Investor Relations”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8325"/>
                <wp:effectExtent l="0" t="0" r="0" b="0"/>
                <wp:wrapNone/>
                <wp:docPr id="44" name="Frame2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RISK MANAGEMENT OVERSIGHT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Senior management is responsible for assessing and managing Company risk. This is done, in part, through the Company’s Enterprise Risk Management (“ERM”) program designed to identify and evaluate material risks, the potential impact of these risks on the enterprise, as well as steps to control and mitigate those risks. It is the responsibility of the Board to understand and oversee the Company’s ERM program. In order to maintain effective oversight, the Board has delegated to its standing Committees oversight of risks within their areas of responsibility and expertise as further described below.</w:t>
      </w:r>
    </w:p>
    <w:p>
      <w:pPr>
        <w:pStyle w:val="TextBody"/>
        <w:bidi w:val="0"/>
        <w:spacing w:lineRule="auto" w:line="288" w:before="0" w:after="120"/>
        <w:jc w:val="left"/>
        <w:rPr/>
      </w:pPr>
      <w:r>
        <w:rPr>
          <w:rFonts w:ascii="Arial;sans-serif" w:hAnsi="Arial;sans-serif"/>
          <w:b w:val="false"/>
          <w:color w:val="242424"/>
          <w:sz w:val="20"/>
        </w:rPr>
        <w:t xml:space="preserve">Annually, the Company conducts a full enterprise risk assessment to re-evaluate critical risks and its ability to mitigate those risks. The results of the 2024 risk assessment were presented to the Board in </w:t>
      </w:r>
      <w:r>
        <w:rPr>
          <w:rFonts w:ascii="Arial;sans-serif" w:hAnsi="Arial;sans-serif"/>
          <w:b w:val="false"/>
          <w:color w:val="000000"/>
          <w:sz w:val="20"/>
        </w:rPr>
        <w:t>June 2024</w:t>
      </w:r>
      <w:r>
        <w:rPr>
          <w:rFonts w:ascii="Arial;sans-serif" w:hAnsi="Arial;sans-serif"/>
          <w:b w:val="false"/>
          <w:color w:val="242424"/>
          <w:sz w:val="20"/>
        </w:rPr>
        <w:t>. In addition, the Company’s ERM Committee meets periodically to evaluate risks to the organization as well as existing and planned activities to mitigate those risks. The ERM Committee is comprised of certain members of our cross-functional executive leadership team including representatives from manufacturing, product lines and multiple Geozones. The ERM Committee members oversee management’s mitigation activities for each top tier risk and present quarterly on a rotational basis so that each top tier risk is presented at least once annually to the Board or its committees.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also has ultimate oversight over the cybersecurity of the organization. For more information, see Item 1.C “Cybersecurity” in our annual report on Form 10-K for the year ended December 31, 2024.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works with members of management to assess and monitor risks facing the Company’s business and operations, as well as the effectiveness of the Company’s guidelines and policies for managing and assessing financial, compliance and cyber risk. The Audit Committee meets and discusses, as appropriate, issues regarding the Company’s risk management policies and procedures directly with those individuals responsible for day-to-day risk management in the Company’s assurance, compliance and information security departments. The Audit Committee has also established policies and procedures for the pre-approval of services provided by the independent registered public accounting firm as described in “Audit Committee Pre-Approval Policy” in this Proxy Statement. In addition, the Audit Committee has established procedures for the receipt, retention, investigation and treatment, on a confidential basis, of complaints received by the Company regarding its accounting, internal controls, Code of Business Conduct and other matters.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and each of our Board Committees. The results of those evaluations are also considered as part of the Nominating and Governance Committee’s recommendations for Committee service and rotation, as appropriate.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Compensation and Human Resources Committee considers risks related to the attraction and retention of talent. Additionally, the Compensation and Human Resources Committee reviews our compensation plans and practices to ensure they do not encourage excessive risk taking and, instead, encourage behaviors that support sustainable value creation. The Compensation and Human Resources Committee also monitors compliance with our Minimum Share Ownership Guidelines. See “Risk Analysis of our Compensation Programs” in the Compensation Discussion and Analysis section of this Proxy Statement.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Our Safety, Environment and Sustainability Committee oversees the Company’s policies and practices to promote good stewardship, to encourage safety awareness, to monitor safety performance and to provide suggestions to management for the resolution of health, safety, environmental and sustainability concerns, all with a view towards reducing risks in those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 xml:space="preserve">ESG AND THE ENERGY TRANSITION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We recognize our responsibility and opportunity to build a more sustainable world for future generations, and we will continue to innovate, evolve, and responsibly manage our environmental, social, and governance (ESG) priorities to ensure we play our part. By fully integrating sustainability into our business strategy and decision-making, we can create a sustainable future for our stakeholders, customers, employees, and planet.</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We are taking the necessary actions to outline a tactical Net-Zero 2050 roadmap while producing innovative energy solutions that are environmentally and economically sustainable to move our industry forward. For example, we are continuing to focus on a scalable energy transition and our digital portfolio to address the sustainability needs of the industry, and we are identifying decarbonization opportunities in our supply chain and operations. In addition, as we continue to nurture the new Weatherford, we remain committed to fostering a healthy Company culture. This includes prioritizing employee engagement and giving back to our local communities.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8325"/>
                <wp:effectExtent l="0" t="0" r="0" b="0"/>
                <wp:wrapNone/>
                <wp:docPr id="45" name="Frame2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We look forward to sharing our 2024 Sustainability Report later in the year. It will be available on our website at www.weatherford.com/sustainability. The report will detail our strategic approach to advancing ESG objectives and highlight our recent accomplishments.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SUCCESSION PLANNING AND LEADERSHIP DEVELOPMENT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is regularly updated on key talent metrics, including recruiting, retention, and development programs. The CEO reports to the Board on an annual (or more frequent, as needed) basis concerning management development and succession planning for other key positions. In addition, the Compensation and Human Resources Committee conducts annual CEO succession planning.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MANDATORY RETIREMENT</w:t>
      </w:r>
    </w:p>
    <w:p>
      <w:pPr>
        <w:pStyle w:val="TextBody"/>
        <w:bidi w:val="0"/>
        <w:spacing w:lineRule="auto" w:line="288" w:before="0" w:after="120"/>
        <w:jc w:val="left"/>
        <w:rPr/>
      </w:pPr>
      <w:r>
        <w:rPr>
          <w:rFonts w:ascii="Arial;sans-serif" w:hAnsi="Arial;sans-serif"/>
          <w:b w:val="false"/>
          <w:color w:val="242424"/>
          <w:sz w:val="20"/>
        </w:rPr>
        <w:t xml:space="preserve">In </w:t>
      </w:r>
      <w:r>
        <w:rPr>
          <w:rFonts w:ascii="Arial;sans-serif" w:hAnsi="Arial;sans-serif"/>
          <w:b w:val="false"/>
          <w:color w:val="000000"/>
          <w:sz w:val="20"/>
        </w:rPr>
        <w:t>January 2024</w:t>
      </w:r>
      <w:r>
        <w:rPr>
          <w:color w:val="242424"/>
        </w:rPr>
        <w:t xml:space="preserve"> </w:t>
      </w:r>
      <w:r>
        <w:rPr>
          <w:rFonts w:ascii="Arial;sans-serif" w:hAnsi="Arial;sans-serif"/>
          <w:b w:val="false"/>
          <w:color w:val="242424"/>
          <w:sz w:val="20"/>
        </w:rPr>
        <w:t xml:space="preserve">we further enhanced our Corporate Governance Principles by adding a mandatory retirement policy. Our policy now requires that each non-employee director retire from the Board immediately prior to the annual general meeting of shareholders following the director’s </w:t>
      </w:r>
      <w:r>
        <w:rPr>
          <w:rFonts w:ascii="Arial;sans-serif" w:hAnsi="Arial;sans-serif"/>
          <w:b w:val="false"/>
          <w:color w:val="000000"/>
          <w:sz w:val="20"/>
        </w:rPr>
        <w:t>70</w:t>
      </w:r>
      <w:r>
        <w:rPr>
          <w:rFonts w:ascii="Arial;sans-serif" w:hAnsi="Arial;sans-serif"/>
          <w:b w:val="false"/>
          <w:color w:val="242424"/>
          <w:sz w:val="20"/>
        </w:rPr>
        <w:t xml:space="preserve">th birthday; provided that the Board may determine, by unanimous vote, to nominate the director for another elected term based on a director’s particular contributions and expertise.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We believe this policy will allow for more frequent Board refreshment.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DIRECTOR INDEPENDENCE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has affirmatively determined that each non-employee director satisfies the independence and non-employee director requirements under applicable rules of Nasdaq and the SEC. As contemplated by Nasdaq rules, the Board has adopted categorical standards to assist it in making independence determinations. These standards are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RELATED PERSON TRANSACTIONS</w:t>
      </w:r>
    </w:p>
    <w:p>
      <w:pPr>
        <w:pStyle w:val="TextBody"/>
        <w:bidi w:val="0"/>
        <w:spacing w:lineRule="auto" w:line="288" w:before="0" w:after="120"/>
        <w:jc w:val="left"/>
        <w:rPr/>
      </w:pPr>
      <w:r>
        <w:rPr>
          <w:rFonts w:ascii="Arial;sans-serif" w:hAnsi="Arial;sans-serif"/>
          <w:b w:val="false"/>
          <w:color w:val="242424"/>
          <w:sz w:val="20"/>
        </w:rPr>
        <w:t xml:space="preserve">In </w:t>
      </w:r>
      <w:r>
        <w:rPr>
          <w:rFonts w:ascii="Arial;sans-serif" w:hAnsi="Arial;sans-serif"/>
          <w:b w:val="false"/>
          <w:color w:val="000000"/>
          <w:sz w:val="20"/>
        </w:rPr>
        <w:t>December 2023</w:t>
      </w:r>
      <w:r>
        <w:rPr>
          <w:rFonts w:ascii="Arial;sans-serif" w:hAnsi="Arial;sans-serif"/>
          <w:b w:val="false"/>
          <w:color w:val="242424"/>
          <w:sz w:val="20"/>
        </w:rPr>
        <w:t xml:space="preserve">, the Board adopted a Related Party Transactions Policy to clarify the process and controls relating to proper reporting, approval and disclosure of transactions between us or any of our affiliates and our major shareholders, directors, executive officers and other employees. The Related Party Transactions Policy requires all potential related party transactions to be reported to the Company’s General Counsel and Chief Assurance Officer for presentation at the next scheduled meeting of the Audit Committee. The Audit Committee then reviews all relevant information available to it about the potential transaction and may approve the transaction if it is in the best interests of the Company and its shareholders. The Audit Committee may impose such conditions as it deems appropriate on the Company or the related party in connection with the approval of the potential related party transaction.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Where a potential related party transaction involves a member of the Board or one of their immediate family members, the member of the Board will not participate in any discussion or vote regarding approval or ratification of such transaction. </w:t>
      </w:r>
    </w:p>
    <w:p>
      <w:pPr>
        <w:pStyle w:val="TextBody"/>
        <w:bidi w:val="0"/>
        <w:spacing w:lineRule="auto" w:line="268" w:before="0" w:after="180"/>
        <w:jc w:val="left"/>
        <w:rPr>
          <w:rFonts w:ascii="Arial;sans-serif" w:hAnsi="Arial;sans-serif"/>
          <w:b w:val="false"/>
          <w:color w:val="242424"/>
          <w:sz w:val="20"/>
        </w:rPr>
      </w:pPr>
      <w:r>
        <w:rPr>
          <w:rFonts w:ascii="Arial;sans-serif" w:hAnsi="Arial;sans-serif"/>
          <w:b w:val="false"/>
          <w:color w:val="242424"/>
          <w:sz w:val="20"/>
        </w:rPr>
        <w:t xml:space="preserve">While the Audit Committee discussed potential related party transactions from time to time, no related party transactions were reviewed and approved by the Audit Committee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INDEPENDENT CHAIRPERSON AND EXECUTIVE SESSIONS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will periodically appoint a Chairperson of the Board (the “Chairperson”). Both independent and management directors, including the CEO, are eligible for appointment as the Chairperson. If the Chairperson is not an independent director, the Board considers it to be useful and appropriate to designate an independent director to serve in a lead capacity to coordinate the activities of the other independent directors and to perform such other duties and responsibilities as the Board may determine. Currently, the Board has appointed Mr. Sledge, an independent director, to serve as Chairperson of the Board. Our President and CEO, Mr. Saligram, serves as a director.</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Mr. Sledge, as Chairperson, oversees executive sessions, which provide the Board with the ability to independently evaluate management and openly discuss strategic and other business issues involving the Company, ensuring that the Company is upholding high standards of corporate governance. Executive sessions are held during and/or after all regularly scheduled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68325"/>
                <wp:effectExtent l="0" t="0" r="0" b="0"/>
                <wp:wrapNone/>
                <wp:docPr id="46" name="Frame2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Board and, if appropriate, Committee meetings, and at such additional times as may be needed. In 2024, executive sessions of the independent directors were held at the majority of Board meetings.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For information on how to communicate with our Chairperson and other directors, please see “Communication with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DIRECTOR NOMINATIONS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obtaining the names of possible director nominees, the Nominating and Governance Committee conducts its own inquiries and considers suggestions from other directors, management, shareholders and professional director search firms. The Nominating and Governance Committee’s process for evaluating nominees identified in unsolicited recommendations from shareholders is the same as its process for unsolicited recommendations from other sources.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Nominating and Governance Committee will consider nominees recommended by shareholders who submit their recommendations in writing to Chair, Nominating and Governance Committee, care of the Corporate Secretary, Weatherford International plc, 2000 Saint James Place, Houston, Texas 77056. Recommendations received by the dates set forth below will be considered for inclusion in the slate of director nominees to be presented at the AGM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Weatherford shareholder.</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Nominating and Governance Committee will consider independence, viewpoints, backgrounds and experience in determining whether a candidate will be an appropriate fit with, and an asset to, the Board of Directors. When considering existing directors, the Nominating and Governance Committee evaluates their history of attendance at Board and Committee meetings as well as contributions and effectiveness at such meetings.</w:t>
      </w:r>
    </w:p>
    <w:p>
      <w:pPr>
        <w:pStyle w:val="TextBody"/>
        <w:bidi w:val="0"/>
        <w:spacing w:lineRule="auto" w:line="288" w:before="0" w:after="120"/>
        <w:jc w:val="left"/>
        <w:rPr/>
      </w:pPr>
      <w:r>
        <w:rPr>
          <w:rFonts w:ascii="Arial;sans-serif" w:hAnsi="Arial;sans-serif"/>
          <w:b w:val="false"/>
          <w:color w:val="242424"/>
          <w:sz w:val="20"/>
        </w:rPr>
        <w:t xml:space="preserve">Shareholders who wish to have a nominee considered by our shareholders at the AGM, must comply with the deadlines and procedures set forth in our Articles. Please see “Proposals by Shareholders” in this Proxy Statement on page </w:t>
      </w:r>
      <w:hyperlink w:anchor="ic77383e576584d77a42c17ee243586bf_277">
        <w:r>
          <w:rPr>
            <w:rStyle w:val="InternetLink"/>
            <w:rFonts w:ascii="Arial;sans-serif" w:hAnsi="Arial;sans-serif"/>
            <w:b w:val="false"/>
            <w:strike w:val="false"/>
            <w:dstrike w:val="false"/>
            <w:color w:val="242424"/>
            <w:sz w:val="20"/>
            <w:u w:val="none"/>
            <w:effect w:val="none"/>
          </w:rPr>
          <w:t>68</w:t>
        </w:r>
      </w:hyperlink>
      <w:r>
        <w:rPr>
          <w:rFonts w:ascii="Arial;sans-serif" w:hAnsi="Arial;sans-serif"/>
          <w:b w:val="false"/>
          <w:color w:val="242424"/>
          <w:sz w:val="20"/>
        </w:rPr>
        <w:t xml:space="preserve">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COMMUNICATION WITH DIRECTORS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Any shareholder or other interested party that desires to communicate with the Board or any of its specific members, including the Chairperson or the directors as a group, should send their communication to the Corporate Secretary, Weatherford International plc, 2000 Saint James Place, Houston, Texas 77056. All such communications will be forwarded, as appropriate, to the members of the Board.</w:t>
      </w:r>
    </w:p>
    <w:p>
      <w:pPr>
        <w:pStyle w:val="TextBody"/>
        <w:bidi w:val="0"/>
        <w:spacing w:lineRule="auto" w:line="288" w:before="0" w:after="120"/>
        <w:jc w:val="left"/>
        <w:rPr>
          <w:rFonts w:ascii="Arial;sans-serif" w:hAnsi="Arial;sans-serif"/>
          <w:b/>
          <w:color w:val="CE1141"/>
          <w:sz w:val="20"/>
        </w:rPr>
      </w:pPr>
      <w:r>
        <w:rPr>
          <w:rFonts w:ascii="Arial;sans-serif" w:hAnsi="Arial;sans-serif"/>
          <w:b/>
          <w:color w:val="CE1141"/>
          <w:sz w:val="20"/>
        </w:rPr>
        <w:t>We welcome input from our institutional and individual shareholders, regardless of the number of shares owned. Shareholders may also direct their comments to our U.S. Investor Relations Department in writing at 2000 Saint James Place, Houston, Texas 77056 or Telephone +1 (713) 836-4000; by sending an e-mail to investor.relations@weatherford.com; or on the Company’s website at www.weatherford.com under “Investor Relations,” then “Investor Contact.”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68325"/>
                <wp:effectExtent l="0" t="0" r="0" b="0"/>
                <wp:wrapNone/>
                <wp:docPr id="47" name="Frame2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 xml:space="preserve">DIRECTOR COMPENSATION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use a combination of cash and share-based incentive compensation to attract and retain qualified candidates to serve on the Board. In setting independent director compensation, we consider the size of the Board, the significant amount of time that directors expend in fulfilling their duties to the Company, as well as the level of knowledge and experience that we expect from each member of our Board. Our Compensation and Human Resources Committee is responsible for reviewing the compensation paid and granted to our independent directors and recommending any changes for approval by the Board.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Our Compensation and Human Resources Committee has retained Lyons, Benenson &amp; Company Inc. (“LB&amp;Co.”) as its independent compensation consultant to advise on non-employee director compensation matters. In 2024, following an analysis and comprehensive review of our non-employee director compensation program by LB&amp;Co., on the recommendation of the Compensation and Human Resources Committee, the Board determined to leave the annual retainer and standing committee fee structure unchanged.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compensation structure for our directors is shown below:</w:t>
      </w:r>
    </w:p>
    <w:p>
      <w:pPr>
        <w:pStyle w:val="TextBody"/>
        <w:bidi w:val="0"/>
        <w:spacing w:lineRule="auto" w:line="288" w:before="240" w:after="120"/>
        <w:jc w:val="left"/>
        <w:rPr/>
      </w:pPr>
      <w:r>
        <w:rPr>
          <w:rFonts w:ascii="Arial;sans-serif" w:hAnsi="Arial;sans-serif"/>
          <w:b w:val="false"/>
          <w:i/>
          <w:color w:val="242424"/>
          <w:sz w:val="22"/>
        </w:rPr>
        <w:t>Cash Compensation</w:t>
      </w:r>
      <w:r>
        <w:rPr>
          <w:color w:val="242424"/>
        </w:rPr>
        <w:t xml:space="preserve"> </w:t>
      </w:r>
    </w:p>
    <w:tbl>
      <w:tblPr>
        <w:tblW w:w="6792" w:type="dxa"/>
        <w:jc w:val="center"/>
        <w:tblInd w:w="0" w:type="dxa"/>
        <w:tblLayout w:type="fixed"/>
        <w:tblCellMar>
          <w:top w:w="28" w:type="dxa"/>
          <w:left w:w="28" w:type="dxa"/>
          <w:bottom w:w="28" w:type="dxa"/>
          <w:right w:w="28" w:type="dxa"/>
        </w:tblCellMar>
      </w:tblPr>
      <w:tblGrid>
        <w:gridCol w:w="1931"/>
        <w:gridCol w:w="1701"/>
        <w:gridCol w:w="1707"/>
        <w:gridCol w:w="428"/>
        <w:gridCol w:w="428"/>
        <w:gridCol w:w="597"/>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CE1141"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color w:val="FFFFFF"/>
                <w:sz w:val="20"/>
              </w:rPr>
            </w:pPr>
            <w:r>
              <w:rPr>
                <w:rFonts w:ascii="Arial;sans-serif" w:hAnsi="Arial;sans-serif"/>
                <w:b/>
                <w:color w:val="FFFFFF"/>
                <w:sz w:val="20"/>
              </w:rPr>
              <w:t>Position</w:t>
            </w:r>
          </w:p>
        </w:tc>
        <w:tc>
          <w:tcPr>
            <w:tcW w:w="1453"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76" w:before="0" w:after="0"/>
              <w:jc w:val="center"/>
              <w:rPr>
                <w:rFonts w:ascii="Arial;sans-serif" w:hAnsi="Arial;sans-serif"/>
                <w:b/>
                <w:color w:val="FFFFFF"/>
                <w:sz w:val="20"/>
              </w:rPr>
            </w:pPr>
            <w:r>
              <w:rPr>
                <w:rFonts w:ascii="Arial;sans-serif" w:hAnsi="Arial;sans-serif"/>
                <w:b/>
                <w:color w:val="FFFFFF"/>
                <w:sz w:val="20"/>
              </w:rPr>
              <w:t>Cash Retainer</w:t>
            </w:r>
          </w:p>
          <w:p>
            <w:pPr>
              <w:pStyle w:val="TableContents"/>
              <w:bidi w:val="0"/>
              <w:spacing w:lineRule="auto" w:line="276" w:before="0" w:after="0"/>
              <w:jc w:val="center"/>
              <w:rPr>
                <w:rFonts w:ascii="Arial;sans-serif" w:hAnsi="Arial;sans-serif"/>
                <w:b/>
                <w:color w:val="FFFFFF"/>
                <w:sz w:val="20"/>
              </w:rPr>
            </w:pPr>
            <w:r>
              <w:rPr>
                <w:rFonts w:ascii="Arial;sans-serif" w:hAnsi="Arial;sans-serif"/>
                <w:b/>
                <w:color w:val="FFFFFF"/>
                <w:sz w:val="20"/>
              </w:rPr>
              <w:t>($)</w:t>
            </w:r>
          </w:p>
        </w:tc>
      </w:tr>
      <w:tr>
        <w:trPr/>
        <w:tc>
          <w:tcPr>
            <w:tcW w:w="5339" w:type="dxa"/>
            <w:gridSpan w:val="3"/>
            <w:tcBorders>
              <w:top w:val="single" w:sz="8" w:space="0" w:color="B6B6B6"/>
              <w:left w:val="single" w:sz="8" w:space="0" w:color="B6B6B6"/>
            </w:tcBorders>
            <w:shd w:fill="D1D3D4" w:val="clear"/>
            <w:tcMar>
              <w:top w:w="30" w:type="dxa"/>
              <w:left w:w="110" w:type="dxa"/>
              <w:bottom w:w="0" w:type="dxa"/>
              <w:right w:w="0" w:type="dxa"/>
            </w:tcMar>
            <w:vAlign w:val="center"/>
          </w:tcPr>
          <w:p>
            <w:pPr>
              <w:pStyle w:val="TableContents"/>
              <w:bidi w:val="0"/>
              <w:spacing w:lineRule="auto" w:line="276" w:before="0" w:after="283"/>
              <w:ind w:left="0" w:right="0" w:firstLine="720"/>
              <w:jc w:val="left"/>
              <w:rPr>
                <w:rFonts w:ascii="Arial;sans-serif" w:hAnsi="Arial;sans-serif"/>
                <w:b w:val="false"/>
                <w:color w:val="242424"/>
                <w:sz w:val="20"/>
              </w:rPr>
            </w:pPr>
            <w:r>
              <w:rPr>
                <w:rFonts w:ascii="Arial;sans-serif" w:hAnsi="Arial;sans-serif"/>
                <w:b w:val="false"/>
                <w:color w:val="242424"/>
                <w:sz w:val="20"/>
              </w:rPr>
              <w:t>Non‐Executive Chairman of the Board</w:t>
            </w:r>
          </w:p>
        </w:tc>
        <w:tc>
          <w:tcPr>
            <w:tcW w:w="856"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76" w:before="0" w:after="283"/>
              <w:jc w:val="right"/>
              <w:rPr>
                <w:rFonts w:ascii="Arial;sans-serif" w:hAnsi="Arial;sans-serif"/>
                <w:b w:val="false"/>
                <w:color w:val="242424"/>
                <w:sz w:val="20"/>
              </w:rPr>
            </w:pPr>
            <w:r>
              <w:rPr>
                <w:rFonts w:ascii="Arial;sans-serif" w:hAnsi="Arial;sans-serif"/>
                <w:b w:val="false"/>
                <w:color w:val="242424"/>
                <w:sz w:val="20"/>
              </w:rPr>
              <w:t>145,000 </w:t>
            </w:r>
          </w:p>
        </w:tc>
        <w:tc>
          <w:tcPr>
            <w:tcW w:w="597" w:type="dxa"/>
            <w:tcBorders>
              <w:top w:val="single" w:sz="8" w:space="0" w:color="B6B6B6"/>
              <w:right w:val="single" w:sz="8" w:space="0" w:color="B6B6B6"/>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FFFFFF"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Board Member</w:t>
            </w:r>
          </w:p>
        </w:tc>
        <w:tc>
          <w:tcPr>
            <w:tcW w:w="856"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597"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Additional Retainers</w:t>
            </w:r>
          </w:p>
        </w:tc>
        <w:tc>
          <w:tcPr>
            <w:tcW w:w="1453" w:type="dxa"/>
            <w:gridSpan w:val="3"/>
            <w:tcBorders>
              <w:top w:val="single" w:sz="8" w:space="0" w:color="B6B6B6"/>
              <w:left w:val="single" w:sz="8" w:space="0" w:color="B6B6B6"/>
              <w:right w:val="single" w:sz="8" w:space="0" w:color="B6B6B6"/>
            </w:tcBorders>
            <w:shd w:fill="D1D3D4" w:val="clear"/>
            <w:tcMar>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FFFFFF"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Audit Committee Chair</w:t>
            </w:r>
          </w:p>
        </w:tc>
        <w:tc>
          <w:tcPr>
            <w:tcW w:w="856"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597"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D1D3D4"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Compensation and Human Resources Committee Chair </w:t>
            </w:r>
          </w:p>
        </w:tc>
        <w:tc>
          <w:tcPr>
            <w:tcW w:w="856"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597" w:type="dxa"/>
            <w:tcBorders>
              <w:top w:val="single" w:sz="8" w:space="0" w:color="B6B6B6"/>
              <w:right w:val="single" w:sz="8" w:space="0" w:color="B6B6B6"/>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FFFFFF"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Nominating and Governance Committee Chair </w:t>
            </w:r>
          </w:p>
        </w:tc>
        <w:tc>
          <w:tcPr>
            <w:tcW w:w="856"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597"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D1D3D4"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Safety, Environment and Sustainability Committee Chair </w:t>
            </w:r>
          </w:p>
        </w:tc>
        <w:tc>
          <w:tcPr>
            <w:tcW w:w="856"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597" w:type="dxa"/>
            <w:tcBorders>
              <w:top w:val="single" w:sz="8" w:space="0" w:color="B6B6B6"/>
              <w:right w:val="single" w:sz="8" w:space="0" w:color="B6B6B6"/>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FFFFFF"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Audit Committee Member </w:t>
            </w:r>
          </w:p>
        </w:tc>
        <w:tc>
          <w:tcPr>
            <w:tcW w:w="856"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597"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D1D3D4"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Compensation and Human Resources Committee Member </w:t>
            </w:r>
          </w:p>
        </w:tc>
        <w:tc>
          <w:tcPr>
            <w:tcW w:w="856"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597" w:type="dxa"/>
            <w:tcBorders>
              <w:top w:val="single" w:sz="8" w:space="0" w:color="B6B6B6"/>
              <w:right w:val="single" w:sz="8" w:space="0" w:color="B6B6B6"/>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tcBorders>
            <w:shd w:fill="FFFFFF"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Nominating and Governance Committee Member </w:t>
            </w:r>
          </w:p>
        </w:tc>
        <w:tc>
          <w:tcPr>
            <w:tcW w:w="856"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597"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B6B6B6"/>
              <w:left w:val="single" w:sz="8" w:space="0" w:color="B6B6B6"/>
              <w:bottom w:val="single" w:sz="8" w:space="0" w:color="B6B6B6"/>
            </w:tcBorders>
            <w:shd w:fill="D1D3D4" w:val="clear"/>
            <w:tcMar>
              <w:top w:w="30" w:type="dxa"/>
              <w:left w:w="110" w:type="dxa"/>
              <w:bottom w:w="3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Safety, Environment and Sustainability Committee Member </w:t>
            </w:r>
          </w:p>
        </w:tc>
        <w:tc>
          <w:tcPr>
            <w:tcW w:w="1453" w:type="dxa"/>
            <w:gridSpan w:val="3"/>
            <w:tcBorders>
              <w:top w:val="single" w:sz="8" w:space="0" w:color="B6B6B6"/>
              <w:left w:val="single" w:sz="8" w:space="0" w:color="B6B6B6"/>
              <w:bottom w:val="single" w:sz="8" w:space="0" w:color="B6B6B6"/>
              <w:right w:val="single" w:sz="8" w:space="0" w:color="B6B6B6"/>
            </w:tcBorders>
            <w:shd w:fill="D1D3D4" w:val="clear"/>
            <w:tcMar>
              <w:top w:w="30" w:type="dxa"/>
              <w:bottom w:w="30" w:type="dxa"/>
              <w:right w:w="110" w:type="dxa"/>
            </w:tcMar>
            <w:vAlign w:val="center"/>
          </w:tcPr>
          <w:p>
            <w:pPr>
              <w:pStyle w:val="TableContents"/>
              <w:bidi w:val="0"/>
              <w:spacing w:lineRule="auto" w:line="276" w:before="0" w:after="283"/>
              <w:jc w:val="right"/>
              <w:rPr>
                <w:rFonts w:ascii="Arial;sans-serif" w:hAnsi="Arial;sans-serif"/>
                <w:b w:val="false"/>
                <w:color w:val="242424"/>
                <w:sz w:val="20"/>
              </w:rPr>
            </w:pPr>
            <w:r>
              <w:rPr>
                <w:rFonts w:ascii="Arial;sans-serif" w:hAnsi="Arial;sans-serif"/>
                <w:b w:val="false"/>
                <w:color w:val="242424"/>
                <w:sz w:val="20"/>
              </w:rPr>
              <w:t>7,500</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above retainers are designed to cover up to 10 meetings per year for the Board or any of its regular standing committees, respectively. An additional fee of $1,500 per meeting is typically paid to each director for meetings exceeding that threshold. </w:t>
      </w:r>
    </w:p>
    <w:p>
      <w:pPr>
        <w:pStyle w:val="TextBody"/>
        <w:bidi w:val="0"/>
        <w:spacing w:lineRule="auto" w:line="288" w:before="0" w:after="120"/>
        <w:jc w:val="left"/>
        <w:rPr/>
      </w:pPr>
      <w:r>
        <w:rPr>
          <w:rFonts w:ascii="Arial;sans-serif" w:hAnsi="Arial;sans-serif"/>
          <w:b w:val="false"/>
          <w:color w:val="000000"/>
          <w:sz w:val="20"/>
        </w:rPr>
        <w:t>A</w:t>
      </w:r>
      <w:r>
        <w:rPr>
          <w:rFonts w:ascii="Arial;sans-serif" w:hAnsi="Arial;sans-serif"/>
          <w:b w:val="false"/>
          <w:color w:val="242424"/>
          <w:sz w:val="20"/>
        </w:rPr>
        <w:t xml:space="preserve">s discussed above in “—Our Board and Board Committees,” a Special Committee of the Board was formed in </w:t>
      </w:r>
      <w:r>
        <w:rPr>
          <w:rFonts w:ascii="Arial;sans-serif" w:hAnsi="Arial;sans-serif"/>
          <w:b w:val="false"/>
          <w:color w:val="000000"/>
          <w:sz w:val="20"/>
        </w:rPr>
        <w:t>September 2023</w:t>
      </w:r>
      <w:r>
        <w:rPr>
          <w:color w:val="242424"/>
        </w:rPr>
        <w:t xml:space="preserve"> </w:t>
      </w:r>
      <w:r>
        <w:rPr>
          <w:rFonts w:ascii="Arial;sans-serif" w:hAnsi="Arial;sans-serif"/>
          <w:b w:val="false"/>
          <w:color w:val="242424"/>
          <w:sz w:val="20"/>
        </w:rPr>
        <w:t xml:space="preserve">and all non-employee directors were appointed to serve as members of the Special Committee. The Special Committee met </w:t>
      </w:r>
      <w:r>
        <w:rPr>
          <w:rFonts w:ascii="Arial;sans-serif" w:hAnsi="Arial;sans-serif"/>
          <w:b w:val="false"/>
          <w:color w:val="000000"/>
          <w:sz w:val="20"/>
        </w:rPr>
        <w:t>one</w:t>
      </w:r>
      <w:r>
        <w:rPr>
          <w:color w:val="242424"/>
        </w:rPr>
        <w:t xml:space="preserve"> </w:t>
      </w:r>
      <w:r>
        <w:rPr>
          <w:rFonts w:ascii="Arial;sans-serif" w:hAnsi="Arial;sans-serif"/>
          <w:b w:val="false"/>
          <w:color w:val="242424"/>
          <w:sz w:val="20"/>
        </w:rPr>
        <w:t xml:space="preserve">time during </w:t>
      </w:r>
      <w:r>
        <w:rPr>
          <w:rFonts w:ascii="Arial;sans-serif" w:hAnsi="Arial;sans-serif"/>
          <w:b w:val="false"/>
          <w:color w:val="000000"/>
          <w:sz w:val="20"/>
        </w:rPr>
        <w:t>2024</w:t>
      </w:r>
      <w:r>
        <w:rPr>
          <w:color w:val="242424"/>
        </w:rPr>
        <w:t xml:space="preserve"> </w:t>
      </w:r>
      <w:r>
        <w:rPr>
          <w:rFonts w:ascii="Arial;sans-serif" w:hAnsi="Arial;sans-serif"/>
          <w:b w:val="false"/>
          <w:color w:val="242424"/>
          <w:sz w:val="20"/>
        </w:rPr>
        <w:t xml:space="preserve">and was dissolved in </w:t>
      </w:r>
      <w:r>
        <w:rPr>
          <w:rFonts w:ascii="Arial;sans-serif" w:hAnsi="Arial;sans-serif"/>
          <w:b w:val="false"/>
          <w:color w:val="000000"/>
          <w:sz w:val="20"/>
        </w:rPr>
        <w:t>January 2024</w:t>
      </w:r>
      <w:r>
        <w:rPr>
          <w:rFonts w:ascii="Arial;sans-serif" w:hAnsi="Arial;sans-serif"/>
          <w:b w:val="false"/>
          <w:color w:val="242424"/>
          <w:sz w:val="20"/>
        </w:rPr>
        <w:t xml:space="preserve">. In recognition of the additional time and effort expended in serving on the Special Committee during </w:t>
      </w:r>
      <w:r>
        <w:rPr>
          <w:rFonts w:ascii="Arial;sans-serif" w:hAnsi="Arial;sans-serif"/>
          <w:b w:val="false"/>
          <w:color w:val="000000"/>
          <w:sz w:val="20"/>
        </w:rPr>
        <w:t>2024</w:t>
      </w:r>
      <w:r>
        <w:rPr>
          <w:rFonts w:ascii="Arial;sans-serif" w:hAnsi="Arial;sans-serif"/>
          <w:b w:val="false"/>
          <w:color w:val="242424"/>
          <w:sz w:val="20"/>
        </w:rPr>
        <w:t xml:space="preserve">, a $25,000 fee was paid to each Special Committee member in </w:t>
      </w:r>
      <w:r>
        <w:rPr>
          <w:rFonts w:ascii="Arial;sans-serif" w:hAnsi="Arial;sans-serif"/>
          <w:b w:val="false"/>
          <w:color w:val="000000"/>
          <w:sz w:val="20"/>
        </w:rPr>
        <w:t>2024</w:t>
      </w:r>
      <w:r>
        <w:rPr>
          <w:rFonts w:ascii="Arial;sans-serif" w:hAnsi="Arial;sans-serif"/>
          <w:b w:val="false"/>
          <w:color w:val="242424"/>
          <w:sz w:val="20"/>
        </w:rPr>
        <w:t xml:space="preserve">.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Cash retainers are paid quarterly, in advance. Mr. Beringhause’s third quarter retainer was pro-rated to reflect his partial period of service. </w:t>
      </w:r>
    </w:p>
    <w:p>
      <w:pPr>
        <w:pStyle w:val="TextBody"/>
        <w:bidi w:val="0"/>
        <w:spacing w:lineRule="auto" w:line="288" w:before="240" w:after="120"/>
        <w:jc w:val="left"/>
        <w:rPr>
          <w:rFonts w:ascii="Arial;sans-serif" w:hAnsi="Arial;sans-serif"/>
          <w:b w:val="false"/>
          <w:i/>
          <w:color w:val="000000"/>
          <w:sz w:val="22"/>
        </w:rPr>
      </w:pPr>
      <w:r>
        <w:rPr>
          <w:rFonts w:ascii="Arial;sans-serif" w:hAnsi="Arial;sans-serif"/>
          <w:b w:val="false"/>
          <w:i/>
          <w:color w:val="000000"/>
          <w:sz w:val="22"/>
        </w:rPr>
        <w:t>Equity Compensation</w:t>
      </w:r>
    </w:p>
    <w:tbl>
      <w:tblPr>
        <w:tblW w:w="5204" w:type="dxa"/>
        <w:jc w:val="center"/>
        <w:tblInd w:w="0" w:type="dxa"/>
        <w:tblLayout w:type="fixed"/>
        <w:tblCellMar>
          <w:top w:w="28" w:type="dxa"/>
          <w:left w:w="28" w:type="dxa"/>
          <w:bottom w:w="28" w:type="dxa"/>
          <w:right w:w="28" w:type="dxa"/>
        </w:tblCellMar>
      </w:tblPr>
      <w:tblGrid>
        <w:gridCol w:w="1230"/>
        <w:gridCol w:w="1082"/>
        <w:gridCol w:w="1092"/>
        <w:gridCol w:w="526"/>
        <w:gridCol w:w="526"/>
        <w:gridCol w:w="748"/>
      </w:tblGrid>
      <w:tr>
        <w:trPr/>
        <w:tc>
          <w:tcPr>
            <w:tcW w:w="123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B6B6B6"/>
              <w:left w:val="single" w:sz="8" w:space="0" w:color="B6B6B6"/>
            </w:tcBorders>
            <w:shd w:fill="CE1141"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color w:val="FFFFFF"/>
                <w:sz w:val="20"/>
              </w:rPr>
            </w:pPr>
            <w:r>
              <w:rPr>
                <w:rFonts w:ascii="Arial;sans-serif" w:hAnsi="Arial;sans-serif"/>
                <w:b/>
                <w:color w:val="FFFFFF"/>
                <w:sz w:val="20"/>
              </w:rPr>
              <w:t>Position</w:t>
            </w:r>
          </w:p>
        </w:tc>
        <w:tc>
          <w:tcPr>
            <w:tcW w:w="1800"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76" w:before="0" w:after="283"/>
              <w:jc w:val="center"/>
              <w:rPr>
                <w:rFonts w:ascii="Arial;sans-serif" w:hAnsi="Arial;sans-serif"/>
                <w:b/>
                <w:color w:val="FFFFFF"/>
                <w:sz w:val="20"/>
              </w:rPr>
            </w:pPr>
            <w:r>
              <w:rPr>
                <w:rFonts w:ascii="Arial;sans-serif" w:hAnsi="Arial;sans-serif"/>
                <w:b/>
                <w:color w:val="FFFFFF"/>
                <w:sz w:val="20"/>
              </w:rPr>
              <w:t>2024 Target Value</w:t>
              <w:br/>
              <w:t>($)</w:t>
            </w:r>
          </w:p>
        </w:tc>
      </w:tr>
      <w:tr>
        <w:trPr/>
        <w:tc>
          <w:tcPr>
            <w:tcW w:w="3404" w:type="dxa"/>
            <w:gridSpan w:val="3"/>
            <w:tcBorders>
              <w:top w:val="single" w:sz="8" w:space="0" w:color="B6B6B6"/>
              <w:left w:val="single" w:sz="8" w:space="0" w:color="B6B6B6"/>
            </w:tcBorders>
            <w:shd w:fill="FFFFFF" w:val="clear"/>
            <w:tcMar>
              <w:top w:w="30" w:type="dxa"/>
              <w:left w:w="11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Non‐Executive Chairman of the Board</w:t>
            </w:r>
          </w:p>
        </w:tc>
        <w:tc>
          <w:tcPr>
            <w:tcW w:w="1800"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76" w:before="0" w:after="283"/>
              <w:jc w:val="center"/>
              <w:rPr>
                <w:rFonts w:ascii="Arial;sans-serif" w:hAnsi="Arial;sans-serif"/>
                <w:b w:val="false"/>
                <w:color w:val="242424"/>
                <w:sz w:val="20"/>
              </w:rPr>
            </w:pPr>
            <w:r>
              <w:rPr>
                <w:rFonts w:ascii="Arial;sans-serif" w:hAnsi="Arial;sans-serif"/>
                <w:b w:val="false"/>
                <w:color w:val="242424"/>
                <w:sz w:val="20"/>
              </w:rPr>
              <w:t>321,200</w:t>
            </w:r>
          </w:p>
        </w:tc>
      </w:tr>
      <w:tr>
        <w:trPr/>
        <w:tc>
          <w:tcPr>
            <w:tcW w:w="3404" w:type="dxa"/>
            <w:gridSpan w:val="3"/>
            <w:tcBorders>
              <w:top w:val="single" w:sz="8" w:space="0" w:color="B6B6B6"/>
              <w:left w:val="single" w:sz="8" w:space="0" w:color="B6B6B6"/>
              <w:bottom w:val="single" w:sz="8" w:space="0" w:color="B6B6B6"/>
            </w:tcBorders>
            <w:shd w:fill="D1D3D4" w:val="clear"/>
            <w:tcMar>
              <w:top w:w="30" w:type="dxa"/>
              <w:left w:w="110" w:type="dxa"/>
              <w:bottom w:w="3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Board Member</w:t>
            </w:r>
          </w:p>
        </w:tc>
        <w:tc>
          <w:tcPr>
            <w:tcW w:w="1800" w:type="dxa"/>
            <w:gridSpan w:val="3"/>
            <w:tcBorders>
              <w:top w:val="single" w:sz="8" w:space="0" w:color="B6B6B6"/>
              <w:left w:val="single" w:sz="8" w:space="0" w:color="B6B6B6"/>
              <w:bottom w:val="single" w:sz="8" w:space="0" w:color="B6B6B6"/>
              <w:right w:val="single" w:sz="8" w:space="0" w:color="B6B6B6"/>
            </w:tcBorders>
            <w:shd w:fill="D1D3D4" w:val="clear"/>
            <w:tcMar>
              <w:top w:w="30" w:type="dxa"/>
              <w:bottom w:w="30" w:type="dxa"/>
            </w:tcMar>
            <w:vAlign w:val="center"/>
          </w:tcPr>
          <w:p>
            <w:pPr>
              <w:pStyle w:val="TableContents"/>
              <w:bidi w:val="0"/>
              <w:spacing w:lineRule="auto" w:line="276" w:before="0" w:after="283"/>
              <w:jc w:val="center"/>
              <w:rPr>
                <w:rFonts w:ascii="Arial;sans-serif" w:hAnsi="Arial;sans-serif"/>
                <w:b w:val="false"/>
                <w:color w:val="242424"/>
                <w:sz w:val="20"/>
              </w:rPr>
            </w:pPr>
            <w:r>
              <w:rPr>
                <w:rFonts w:ascii="Arial;sans-serif" w:hAnsi="Arial;sans-serif"/>
                <w:b w:val="false"/>
                <w:color w:val="242424"/>
                <w:sz w:val="20"/>
              </w:rPr>
              <w:t>220,000</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 2024, the equity component of compensation was again structured as grants of restricted share units (“RSUs”) vesting on the first anniversary of the grant date with accelerated vesting in the event of death, disability, a change in control or a failure to be re-elected. Mr. Beringhause’s grant was pro-rated to reflect his partial year of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68325"/>
                <wp:effectExtent l="0" t="0" r="0" b="0"/>
                <wp:wrapNone/>
                <wp:docPr id="48" name="Frame2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NON-EMPLOYEE DIRECTORS’ COMPENSATION DEFERRAL PLAN</w:t>
      </w:r>
    </w:p>
    <w:p>
      <w:pPr>
        <w:pStyle w:val="TextBody"/>
        <w:bidi w:val="0"/>
        <w:spacing w:lineRule="auto" w:line="288" w:before="0" w:after="120"/>
        <w:jc w:val="left"/>
        <w:rPr/>
      </w:pPr>
      <w:r>
        <w:rPr>
          <w:rFonts w:ascii="Arial;sans-serif" w:hAnsi="Arial;sans-serif"/>
          <w:b w:val="false"/>
          <w:color w:val="242424"/>
          <w:sz w:val="20"/>
        </w:rPr>
        <w:t xml:space="preserve">The Weatherford International plc Nonqualified Deferred Compensation Plan (the “DCP”), adopted by the Board on </w:t>
      </w:r>
      <w:r>
        <w:rPr>
          <w:rFonts w:ascii="Arial;sans-serif" w:hAnsi="Arial;sans-serif"/>
          <w:b w:val="false"/>
          <w:color w:val="000000"/>
          <w:sz w:val="20"/>
        </w:rPr>
        <w:t>November 01, 2021</w:t>
      </w:r>
      <w:r>
        <w:rPr>
          <w:rFonts w:ascii="Arial;sans-serif" w:hAnsi="Arial;sans-serif"/>
          <w:b w:val="false"/>
          <w:color w:val="242424"/>
          <w:sz w:val="20"/>
        </w:rPr>
        <w:t>, is a non-qualified deferred compensation plan that allows non-employee directors to defer receipt of all or a portion of shares issued in respect of equity-based compensation to a future date. Each year a participant may elect to defer receipt of such compensation awarded that year for a minimum of three years and a maximum of five years. None of our non-employee directors elected to defer any equity-based compensation under the DCP in 2024.</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Participants will be fully vested at all times in their deferred equity-based compensation and any dividend equivalents made with respect thereto. The deferred compensation will be paid either (a) in a number of shares equal to the number of deferred RSUs, or (b) in (i) an amount in cash equal to the fair market value of the deferred RSUs multiplied by the then-effective highest marginal federal income tax rate, and (ii) a number of shares equal to any remaining RSUs subject to the applicable deferral election. Such payment will occur on the earliest of the distribution date specified in the participant’s deferral election, the participant’s separation from service, death or disability, or a change in control. In addition, payments may be accelerated upon occurrence of certain acceleration events specified in the DCP, or in the event of an unforeseen emergency upon the participant’s request and with the approval of the Compensation and Human Resources Committee of the Board. All amounts shall be paid from the general assets of the Company and no separate fund shall be established to secure payment. The Company may, but need not, establish a rabbi trust to assist it in funding any DCP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 xml:space="preserve">2024 DIRECTOR COMPENSATION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sets forth the compensation paid to each of our independent directors for the year ended December 31, 2024. Information about Mr. Saligram, who serves as a non-independent director and as our President and CEO, is listed in the 2024 Summary Compensation Table in this Proxy Statement.</w:t>
      </w:r>
    </w:p>
    <w:tbl>
      <w:tblPr>
        <w:tblW w:w="10205" w:type="dxa"/>
        <w:jc w:val="center"/>
        <w:tblInd w:w="0" w:type="dxa"/>
        <w:tblLayout w:type="fixed"/>
        <w:tblCellMar>
          <w:top w:w="28" w:type="dxa"/>
          <w:left w:w="28" w:type="dxa"/>
          <w:bottom w:w="28" w:type="dxa"/>
          <w:right w:w="28" w:type="dxa"/>
        </w:tblCellMar>
      </w:tblPr>
      <w:tblGrid>
        <w:gridCol w:w="974"/>
        <w:gridCol w:w="641"/>
        <w:gridCol w:w="576"/>
        <w:gridCol w:w="406"/>
        <w:gridCol w:w="1650"/>
        <w:gridCol w:w="209"/>
        <w:gridCol w:w="317"/>
        <w:gridCol w:w="1287"/>
        <w:gridCol w:w="163"/>
        <w:gridCol w:w="641"/>
        <w:gridCol w:w="1236"/>
        <w:gridCol w:w="334"/>
        <w:gridCol w:w="304"/>
        <w:gridCol w:w="1235"/>
        <w:gridCol w:w="232"/>
      </w:tblGrid>
      <w:tr>
        <w:trPr/>
        <w:tc>
          <w:tcPr>
            <w:tcW w:w="97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Name</w:t>
            </w:r>
          </w:p>
        </w:tc>
        <w:tc>
          <w:tcPr>
            <w:tcW w:w="2265"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Fees Earned or Paid in Cash</w:t>
            </w:r>
          </w:p>
        </w:tc>
        <w:tc>
          <w:tcPr>
            <w:tcW w:w="1767"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Share Awards</w:t>
            </w:r>
            <w:r>
              <w:rPr>
                <w:rFonts w:ascii="Arial;sans-serif" w:hAnsi="Arial;sans-serif"/>
                <w:b/>
                <w:color w:val="FFFFFF"/>
                <w:sz w:val="10"/>
              </w:rPr>
              <w:t>(1)</w:t>
            </w:r>
          </w:p>
        </w:tc>
        <w:tc>
          <w:tcPr>
            <w:tcW w:w="2211"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All Other Compensation</w:t>
            </w:r>
          </w:p>
        </w:tc>
        <w:tc>
          <w:tcPr>
            <w:tcW w:w="1771"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Total</w:t>
            </w:r>
          </w:p>
        </w:tc>
      </w:tr>
      <w:tr>
        <w:trPr/>
        <w:tc>
          <w:tcPr>
            <w:tcW w:w="2191"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M. Sledge</w:t>
            </w:r>
          </w:p>
        </w:tc>
        <w:tc>
          <w:tcPr>
            <w:tcW w:w="406"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0"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197,500 </w:t>
            </w:r>
          </w:p>
        </w:tc>
        <w:tc>
          <w:tcPr>
            <w:tcW w:w="209"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7"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330,656 </w:t>
            </w:r>
          </w:p>
        </w:tc>
        <w:tc>
          <w:tcPr>
            <w:tcW w:w="16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528,156 </w:t>
            </w:r>
          </w:p>
        </w:tc>
        <w:tc>
          <w:tcPr>
            <w:tcW w:w="232" w:type="dxa"/>
            <w:tcBorders>
              <w:top w:val="single" w:sz="8" w:space="0" w:color="B6B6B6"/>
              <w:right w:val="single" w:sz="8" w:space="0" w:color="B6B6B6"/>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Steven Beringhause</w:t>
            </w:r>
          </w:p>
        </w:tc>
        <w:tc>
          <w:tcPr>
            <w:tcW w:w="406"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0"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50,549 </w:t>
            </w:r>
          </w:p>
        </w:tc>
        <w:tc>
          <w:tcPr>
            <w:tcW w:w="2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7"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99,272 </w:t>
            </w:r>
          </w:p>
        </w:tc>
        <w:tc>
          <w:tcPr>
            <w:tcW w:w="16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149,822 </w:t>
            </w:r>
          </w:p>
        </w:tc>
        <w:tc>
          <w:tcPr>
            <w:tcW w:w="232"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Benjamin C. Duster, IV</w:t>
            </w:r>
          </w:p>
        </w:tc>
        <w:tc>
          <w:tcPr>
            <w:tcW w:w="406"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0"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155,000 </w:t>
            </w:r>
          </w:p>
        </w:tc>
        <w:tc>
          <w:tcPr>
            <w:tcW w:w="209"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7"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226,517 </w:t>
            </w:r>
          </w:p>
        </w:tc>
        <w:tc>
          <w:tcPr>
            <w:tcW w:w="16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381,517 </w:t>
            </w:r>
          </w:p>
        </w:tc>
        <w:tc>
          <w:tcPr>
            <w:tcW w:w="232" w:type="dxa"/>
            <w:tcBorders>
              <w:top w:val="single" w:sz="8" w:space="0" w:color="B6B6B6"/>
              <w:right w:val="single" w:sz="8" w:space="0" w:color="B6B6B6"/>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Neal P. Goldman</w:t>
            </w:r>
          </w:p>
        </w:tc>
        <w:tc>
          <w:tcPr>
            <w:tcW w:w="406"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0"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152,500 </w:t>
            </w:r>
          </w:p>
        </w:tc>
        <w:tc>
          <w:tcPr>
            <w:tcW w:w="2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7"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226,517 </w:t>
            </w:r>
          </w:p>
        </w:tc>
        <w:tc>
          <w:tcPr>
            <w:tcW w:w="16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379,017 </w:t>
            </w:r>
          </w:p>
        </w:tc>
        <w:tc>
          <w:tcPr>
            <w:tcW w:w="232"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Jacqueline Mutschler</w:t>
            </w:r>
          </w:p>
        </w:tc>
        <w:tc>
          <w:tcPr>
            <w:tcW w:w="406" w:type="dxa"/>
            <w:tcBorders>
              <w:top w:val="single" w:sz="8" w:space="0" w:color="B6B6B6"/>
              <w:left w:val="single" w:sz="8" w:space="0" w:color="B6B6B6"/>
              <w:bottom w:val="single" w:sz="8" w:space="0" w:color="B6B6B6"/>
            </w:tcBorders>
            <w:shd w:fill="D1D3D4"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0"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152,500 </w:t>
            </w:r>
          </w:p>
        </w:tc>
        <w:tc>
          <w:tcPr>
            <w:tcW w:w="209"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B6B6B6"/>
              <w:left w:val="single" w:sz="8" w:space="0" w:color="B6B6B6"/>
              <w:bottom w:val="single" w:sz="8" w:space="0" w:color="B6B6B6"/>
            </w:tcBorders>
            <w:shd w:fill="D1D3D4"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7"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226,517 </w:t>
            </w:r>
          </w:p>
        </w:tc>
        <w:tc>
          <w:tcPr>
            <w:tcW w:w="163"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B6B6B6"/>
              <w:left w:val="single" w:sz="8" w:space="0" w:color="B6B6B6"/>
              <w:bottom w:val="single" w:sz="8" w:space="0" w:color="B6B6B6"/>
            </w:tcBorders>
            <w:shd w:fill="D1D3D4"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B6B6B6"/>
              <w:left w:val="single" w:sz="8" w:space="0" w:color="B6B6B6"/>
              <w:bottom w:val="single" w:sz="8" w:space="0" w:color="B6B6B6"/>
            </w:tcBorders>
            <w:shd w:fill="D1D3D4"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379,017 </w:t>
            </w:r>
          </w:p>
        </w:tc>
        <w:tc>
          <w:tcPr>
            <w:tcW w:w="232" w:type="dxa"/>
            <w:tcBorders>
              <w:top w:val="single" w:sz="8" w:space="0" w:color="B6B6B6"/>
              <w:bottom w:val="single" w:sz="8" w:space="0" w:color="B6B6B6"/>
              <w:right w:val="single" w:sz="8" w:space="0" w:color="B6B6B6"/>
            </w:tcBorders>
            <w:shd w:fill="D1D3D4"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B6B6B6"/>
            </w:tcBorders>
            <w:tcMar>
              <w:top w:w="30" w:type="dxa"/>
              <w:left w:w="0" w:type="dxa"/>
              <w:bottom w:w="0" w:type="dxa"/>
              <w:right w:w="0" w:type="dxa"/>
            </w:tcMar>
            <w:vAlign w:val="center"/>
          </w:tcPr>
          <w:p>
            <w:pPr>
              <w:pStyle w:val="TableContents"/>
              <w:bidi w:val="0"/>
              <w:spacing w:lineRule="auto" w:line="268" w:before="0" w:after="0"/>
              <w:ind w:left="0" w:right="0" w:hanging="360"/>
              <w:jc w:val="left"/>
              <w:rPr/>
            </w:pPr>
            <w:r>
              <w:rPr>
                <w:rFonts w:ascii="sans-serif" w:hAnsi="sans-serif"/>
                <w:b w:val="false"/>
                <w:color w:val="CE1141"/>
                <w:sz w:val="16"/>
              </w:rPr>
              <w:t>(1)</w:t>
            </w:r>
            <w:r>
              <w:rPr>
                <w:rFonts w:ascii="Arial;sans-serif" w:hAnsi="Arial;sans-serif"/>
                <w:b w:val="false"/>
                <w:color w:val="242424"/>
                <w:sz w:val="16"/>
              </w:rPr>
              <w:t xml:space="preserve">Each non-executive director other than Messrs. Sledge and Beringhause was awarded 2,397 RSUs on </w:t>
            </w:r>
            <w:r>
              <w:rPr>
                <w:rFonts w:ascii="Arial;sans-serif" w:hAnsi="Arial;sans-serif"/>
                <w:b w:val="false"/>
                <w:color w:val="000000"/>
                <w:sz w:val="16"/>
              </w:rPr>
              <w:t>January 18, 2024</w:t>
            </w:r>
            <w:r>
              <w:rPr>
                <w:color w:val="242424"/>
              </w:rPr>
              <w:t xml:space="preserve"> </w:t>
            </w:r>
            <w:r>
              <w:rPr>
                <w:rFonts w:ascii="Arial;sans-serif" w:hAnsi="Arial;sans-serif"/>
                <w:b w:val="false"/>
                <w:color w:val="242424"/>
                <w:sz w:val="16"/>
              </w:rPr>
              <w:t xml:space="preserve">at a grant date fair value of $94.50 per share, computed in accordance with Financial Accounting Standards Board (“FASB”) Accounting Standards Codification (“ASC”) — Compensation — Stock-Based Compensation (Topic 718)(“FASB ASC Topic 718”). Mr. Sledge, as the non-executive Chairperson of the Board, was awarded 3,499 RSUs on </w:t>
            </w:r>
            <w:r>
              <w:rPr>
                <w:rFonts w:ascii="Arial;sans-serif" w:hAnsi="Arial;sans-serif"/>
                <w:b w:val="false"/>
                <w:color w:val="000000"/>
                <w:sz w:val="16"/>
              </w:rPr>
              <w:t>January 18, 2024</w:t>
            </w:r>
            <w:r>
              <w:rPr>
                <w:color w:val="242424"/>
              </w:rPr>
              <w:t xml:space="preserve"> </w:t>
            </w:r>
            <w:r>
              <w:rPr>
                <w:rFonts w:ascii="Arial;sans-serif" w:hAnsi="Arial;sans-serif"/>
                <w:b w:val="false"/>
                <w:color w:val="242424"/>
                <w:sz w:val="16"/>
              </w:rPr>
              <w:t xml:space="preserve">at a grant date fair value of $94.50 per share. Mr. Beringhause was awarded </w:t>
            </w:r>
            <w:r>
              <w:rPr>
                <w:rFonts w:ascii="Arial;sans-serif" w:hAnsi="Arial;sans-serif"/>
                <w:b w:val="false"/>
                <w:color w:val="000000"/>
                <w:sz w:val="16"/>
              </w:rPr>
              <w:t xml:space="preserve">742 </w:t>
            </w:r>
            <w:r>
              <w:rPr>
                <w:rFonts w:ascii="Arial;sans-serif" w:hAnsi="Arial;sans-serif"/>
                <w:b w:val="false"/>
                <w:color w:val="242424"/>
                <w:sz w:val="16"/>
              </w:rPr>
              <w:t xml:space="preserve">RSUs on </w:t>
            </w:r>
            <w:r>
              <w:rPr>
                <w:rFonts w:ascii="Arial;sans-serif" w:hAnsi="Arial;sans-serif"/>
                <w:b w:val="false"/>
                <w:color w:val="000000"/>
                <w:sz w:val="16"/>
              </w:rPr>
              <w:t xml:space="preserve">July 23, 2024 </w:t>
            </w:r>
            <w:r>
              <w:rPr>
                <w:rFonts w:ascii="Arial;sans-serif" w:hAnsi="Arial;sans-serif"/>
                <w:b w:val="false"/>
                <w:color w:val="242424"/>
                <w:sz w:val="16"/>
              </w:rPr>
              <w:t xml:space="preserve">at a grant date fair value of </w:t>
            </w:r>
            <w:r>
              <w:rPr>
                <w:rFonts w:ascii="Arial;sans-serif" w:hAnsi="Arial;sans-serif"/>
                <w:b w:val="false"/>
                <w:color w:val="000000"/>
                <w:sz w:val="16"/>
              </w:rPr>
              <w:t>$133.79</w:t>
            </w:r>
            <w:r>
              <w:rPr>
                <w:color w:val="242424"/>
              </w:rPr>
              <w:t xml:space="preserve"> </w:t>
            </w:r>
            <w:r>
              <w:rPr>
                <w:rFonts w:ascii="Arial;sans-serif" w:hAnsi="Arial;sans-serif"/>
                <w:b w:val="false"/>
                <w:color w:val="242424"/>
                <w:sz w:val="16"/>
              </w:rPr>
              <w:t xml:space="preserve">per share, in connection with his appointment to the Board. The Committee retains discretion under the 2019 EIP to settle a portion of the directors’ RSUs in cash, and has done so in the past in amounts reasonably designed to cover the directors’ estimated tax obligations associated with the vesting. In </w:t>
            </w:r>
            <w:r>
              <w:rPr>
                <w:rFonts w:ascii="Arial;sans-serif" w:hAnsi="Arial;sans-serif"/>
                <w:b w:val="false"/>
                <w:color w:val="000000"/>
                <w:sz w:val="16"/>
              </w:rPr>
              <w:t>January 2025</w:t>
            </w:r>
            <w:r>
              <w:rPr>
                <w:rFonts w:ascii="Arial;sans-serif" w:hAnsi="Arial;sans-serif"/>
                <w:b w:val="false"/>
                <w:color w:val="242424"/>
                <w:sz w:val="16"/>
              </w:rPr>
              <w:t xml:space="preserve">, the cash settlement of a portion of the awards described in the table above resulted in a loss in value of $(25,913) for Mr. Sledge, $(17,749) for Messrs. Duster and Goldman and Ms. Mutschler, and </w:t>
            </w:r>
            <w:r>
              <w:rPr>
                <w:rFonts w:ascii="Arial;sans-serif" w:hAnsi="Arial;sans-serif"/>
                <w:b w:val="false"/>
                <w:color w:val="000000"/>
                <w:sz w:val="16"/>
              </w:rPr>
              <w:t>$(16,308)</w:t>
            </w:r>
            <w:r>
              <w:rPr>
                <w:color w:val="242424"/>
              </w:rPr>
              <w:t xml:space="preserve"> </w:t>
            </w:r>
            <w:r>
              <w:rPr>
                <w:rFonts w:ascii="Arial;sans-serif" w:hAnsi="Arial;sans-serif"/>
                <w:b w:val="false"/>
                <w:color w:val="242424"/>
                <w:sz w:val="16"/>
              </w:rPr>
              <w:t>for Mr. Beringhause.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As of December 31, 2024, the aggregate outstanding number of unvested RSUs awarded to each non-employee director is set forth below.</w:t>
      </w:r>
    </w:p>
    <w:tbl>
      <w:tblPr>
        <w:tblW w:w="8369" w:type="dxa"/>
        <w:jc w:val="center"/>
        <w:tblInd w:w="0" w:type="dxa"/>
        <w:tblLayout w:type="fixed"/>
        <w:tblCellMar>
          <w:top w:w="28" w:type="dxa"/>
          <w:left w:w="28" w:type="dxa"/>
          <w:bottom w:w="28" w:type="dxa"/>
          <w:right w:w="28" w:type="dxa"/>
        </w:tblCellMar>
      </w:tblPr>
      <w:tblGrid>
        <w:gridCol w:w="772"/>
        <w:gridCol w:w="673"/>
        <w:gridCol w:w="684"/>
        <w:gridCol w:w="1827"/>
        <w:gridCol w:w="1827"/>
        <w:gridCol w:w="2586"/>
      </w:tblGrid>
      <w:tr>
        <w:trPr/>
        <w:tc>
          <w:tcPr>
            <w:tcW w:w="7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Name</w:t>
            </w:r>
          </w:p>
        </w:tc>
        <w:tc>
          <w:tcPr>
            <w:tcW w:w="6240"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 xml:space="preserve">Aggregate Number of RSUs Awarded and Outstanding at December 31, 2024 </w:t>
              <w:br/>
              <w:t>(#)</w:t>
            </w:r>
          </w:p>
        </w:tc>
      </w:tr>
      <w:tr>
        <w:trPr/>
        <w:tc>
          <w:tcPr>
            <w:tcW w:w="2129"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M. Sledge</w:t>
            </w:r>
          </w:p>
        </w:tc>
        <w:tc>
          <w:tcPr>
            <w:tcW w:w="6240"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3,499</w:t>
            </w:r>
          </w:p>
        </w:tc>
      </w:tr>
      <w:tr>
        <w:trPr/>
        <w:tc>
          <w:tcPr>
            <w:tcW w:w="212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Steven Beringhause</w:t>
            </w:r>
          </w:p>
        </w:tc>
        <w:tc>
          <w:tcPr>
            <w:tcW w:w="6240"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742</w:t>
            </w:r>
          </w:p>
        </w:tc>
      </w:tr>
      <w:tr>
        <w:trPr/>
        <w:tc>
          <w:tcPr>
            <w:tcW w:w="2129"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Benjamin C. Duster, IV</w:t>
            </w:r>
          </w:p>
        </w:tc>
        <w:tc>
          <w:tcPr>
            <w:tcW w:w="6240"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2,397</w:t>
            </w:r>
          </w:p>
        </w:tc>
      </w:tr>
      <w:tr>
        <w:trPr/>
        <w:tc>
          <w:tcPr>
            <w:tcW w:w="212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Neal P. Goldman</w:t>
            </w:r>
          </w:p>
        </w:tc>
        <w:tc>
          <w:tcPr>
            <w:tcW w:w="6240"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2,397</w:t>
            </w:r>
          </w:p>
        </w:tc>
      </w:tr>
      <w:tr>
        <w:trPr/>
        <w:tc>
          <w:tcPr>
            <w:tcW w:w="2129" w:type="dxa"/>
            <w:gridSpan w:val="3"/>
            <w:tcBorders>
              <w:top w:val="single" w:sz="8" w:space="0" w:color="B6B6B6"/>
              <w:left w:val="single" w:sz="8" w:space="0" w:color="B6B6B6"/>
              <w:bottom w:val="single" w:sz="8" w:space="0" w:color="B6B6B6"/>
            </w:tcBorders>
            <w:shd w:fill="D1D3D4"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Jacqueline Mutschler</w:t>
            </w:r>
          </w:p>
        </w:tc>
        <w:tc>
          <w:tcPr>
            <w:tcW w:w="6240" w:type="dxa"/>
            <w:gridSpan w:val="3"/>
            <w:tcBorders>
              <w:top w:val="single" w:sz="8" w:space="0" w:color="B6B6B6"/>
              <w:left w:val="single" w:sz="8" w:space="0" w:color="B6B6B6"/>
              <w:bottom w:val="single" w:sz="8" w:space="0" w:color="B6B6B6"/>
              <w:right w:val="single" w:sz="8" w:space="0" w:color="B6B6B6"/>
            </w:tcBorders>
            <w:shd w:fill="D1D3D4"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2,397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68325"/>
                <wp:effectExtent l="0" t="0" r="0" b="0"/>
                <wp:wrapNone/>
                <wp:docPr id="49" name="Frame30"/>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ind w:left="0" w:right="0" w:firstLine="54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before="0" w:after="60"/>
        <w:jc w:val="left"/>
        <w:rPr/>
      </w:pPr>
      <w:r>
        <w:rPr/>
      </w:r>
    </w:p>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AGENDA ITEM 2 – RATIFY APPOINTMENT OF INDEPENDENT AUDITORS AND AUTHORIZE AUDITORS’ REMUNERATION</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0" w:after="120"/>
        <w:jc w:val="left"/>
        <w:rPr/>
      </w:pPr>
      <w:r>
        <w:rPr>
          <w:rFonts w:ascii="Arial;sans-serif" w:hAnsi="Arial;sans-serif"/>
          <w:b w:val="false"/>
          <w:color w:val="242424"/>
          <w:sz w:val="20"/>
        </w:rPr>
        <w:t xml:space="preserve">KPMG LLP and KPMG Chartered Accountants, Dublin (collectively, “KPMG”) served as the independent and Irish statutory auditors, respectively, for Weatherford for the year ended December 31, 2024. The Board, upon the recommendation of the Audit Committee, is asking our shareholders to ratify the appointment of KPMG LLP as our independent registered public accounting firm and auditor for the year ending December 31, 2025 and KPMG Chartered Accountants, Dublin, as our statutory auditor under Irish law to hold office until the close of the 2026 AGM and to authorize the Board of Directors, acting through the Audit Committee, to determine the auditors’ remuneration. The selection of KPMG LLP as the independent registered public accounting firm for 2025 was approved by the Audit Committee and by the Board on </w:t>
      </w:r>
      <w:r>
        <w:rPr>
          <w:rFonts w:ascii="Arial;sans-serif" w:hAnsi="Arial;sans-serif"/>
          <w:b w:val="false"/>
          <w:color w:val="000000"/>
          <w:sz w:val="20"/>
        </w:rPr>
        <w:t>March 6, 2025</w:t>
      </w:r>
      <w:r>
        <w:rPr>
          <w:rFonts w:ascii="Arial;sans-serif" w:hAnsi="Arial;sans-serif"/>
          <w:b w:val="false"/>
          <w:color w:val="242424"/>
          <w:sz w:val="20"/>
        </w:rPr>
        <w: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 ordinary resolution is required to approve this proposal (i.e., by a simple majority of the votes cast being cast “For” the proposal). If you properly give a proxy but do not indicate how you wish to vote, the persons named on the proxy card, or if you do not name your proxy or proxies, the Proxy Holders, will vote for the proposal.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Representatives of KPMG will be present at the AGM to respond to any appropriate shareholder questions and will be given an opportunity to make a statement, if they so desire.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 xml:space="preserve">KPMG FEES </w:t>
      </w:r>
    </w:p>
    <w:p>
      <w:pPr>
        <w:pStyle w:val="TextBody"/>
        <w:bidi w:val="0"/>
        <w:spacing w:lineRule="auto" w:line="288" w:before="0" w:after="120"/>
        <w:jc w:val="left"/>
        <w:rPr/>
      </w:pPr>
      <w:r>
        <w:rPr>
          <w:rFonts w:ascii="Arial;sans-serif" w:hAnsi="Arial;sans-serif"/>
          <w:b w:val="false"/>
          <w:color w:val="242424"/>
          <w:sz w:val="20"/>
        </w:rPr>
        <w:t xml:space="preserve">The following table presents fees for professional audit services rendered by KPMG for the audit of the annual consolidated financial statements and statutory financial statements of Weatherford for the years ended </w:t>
      </w:r>
      <w:r>
        <w:rPr>
          <w:rFonts w:ascii="Arial;sans-serif" w:hAnsi="Arial;sans-serif"/>
          <w:b w:val="false"/>
          <w:color w:val="000000"/>
          <w:sz w:val="20"/>
        </w:rPr>
        <w:t>December 31, 2024</w:t>
      </w:r>
      <w:r>
        <w:rPr>
          <w:color w:val="242424"/>
        </w:rPr>
        <w:t xml:space="preserve"> </w:t>
      </w:r>
      <w:r>
        <w:rPr>
          <w:rFonts w:ascii="Arial;sans-serif" w:hAnsi="Arial;sans-serif"/>
          <w:b w:val="false"/>
          <w:color w:val="242424"/>
          <w:sz w:val="20"/>
        </w:rPr>
        <w:t xml:space="preserve">and </w:t>
      </w:r>
      <w:r>
        <w:rPr>
          <w:rFonts w:ascii="Arial;sans-serif" w:hAnsi="Arial;sans-serif"/>
          <w:b w:val="false"/>
          <w:color w:val="000000"/>
          <w:sz w:val="20"/>
        </w:rPr>
        <w:t>December 31, 2023</w:t>
      </w:r>
      <w:r>
        <w:rPr>
          <w:color w:val="242424"/>
        </w:rPr>
        <w:t xml:space="preserve"> </w:t>
      </w:r>
      <w:r>
        <w:rPr>
          <w:rFonts w:ascii="Arial;sans-serif" w:hAnsi="Arial;sans-serif"/>
          <w:b w:val="false"/>
          <w:color w:val="242424"/>
          <w:sz w:val="20"/>
        </w:rPr>
        <w:t xml:space="preserve">and fees billed for other services rendered by KPMG during those periods. All fees were approved by the Audit Committee pursuant to its pre-approval policy. </w:t>
      </w:r>
    </w:p>
    <w:tbl>
      <w:tblPr>
        <w:tblW w:w="10205" w:type="dxa"/>
        <w:jc w:val="center"/>
        <w:tblInd w:w="0" w:type="dxa"/>
        <w:tblLayout w:type="fixed"/>
        <w:tblCellMar>
          <w:top w:w="28" w:type="dxa"/>
          <w:left w:w="28" w:type="dxa"/>
          <w:bottom w:w="28" w:type="dxa"/>
          <w:right w:w="28" w:type="dxa"/>
        </w:tblCellMar>
      </w:tblPr>
      <w:tblGrid>
        <w:gridCol w:w="1360"/>
        <w:gridCol w:w="1188"/>
        <w:gridCol w:w="1207"/>
        <w:gridCol w:w="498"/>
        <w:gridCol w:w="2414"/>
        <w:gridCol w:w="257"/>
        <w:gridCol w:w="498"/>
        <w:gridCol w:w="2414"/>
        <w:gridCol w:w="369"/>
      </w:tblGrid>
      <w:tr>
        <w:trPr/>
        <w:tc>
          <w:tcPr>
            <w:tcW w:w="13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B6B6B6"/>
              <w:left w:val="single" w:sz="8" w:space="0" w:color="B6B6B6"/>
            </w:tcBorders>
            <w:shd w:fill="CE1141" w:val="clear"/>
            <w:tcMar>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2024</w:t>
            </w:r>
          </w:p>
        </w:tc>
        <w:tc>
          <w:tcPr>
            <w:tcW w:w="3281"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2023</w:t>
            </w:r>
          </w:p>
        </w:tc>
      </w:tr>
      <w:tr>
        <w:trPr/>
        <w:tc>
          <w:tcPr>
            <w:tcW w:w="3755"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Audit fees</w:t>
            </w:r>
            <w:r>
              <w:rPr>
                <w:rFonts w:ascii="Arial;sans-serif" w:hAnsi="Arial;sans-serif"/>
                <w:b w:val="false"/>
                <w:color w:val="242424"/>
                <w:sz w:val="13"/>
              </w:rPr>
              <w:t>(1)</w:t>
            </w:r>
          </w:p>
        </w:tc>
        <w:tc>
          <w:tcPr>
            <w:tcW w:w="498"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5,918,539 </w:t>
            </w:r>
          </w:p>
        </w:tc>
        <w:tc>
          <w:tcPr>
            <w:tcW w:w="257"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6,254,931 </w:t>
            </w:r>
          </w:p>
        </w:tc>
        <w:tc>
          <w:tcPr>
            <w:tcW w:w="369" w:type="dxa"/>
            <w:tcBorders>
              <w:top w:val="single" w:sz="8" w:space="0" w:color="B6B6B6"/>
              <w:right w:val="single" w:sz="8" w:space="0" w:color="B6B6B6"/>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Audit-related fees</w:t>
            </w:r>
            <w:r>
              <w:rPr>
                <w:rFonts w:ascii="Arial;sans-serif" w:hAnsi="Arial;sans-serif"/>
                <w:b w:val="false"/>
                <w:color w:val="242424"/>
                <w:sz w:val="13"/>
              </w:rPr>
              <w:t>(2)</w:t>
            </w:r>
          </w:p>
        </w:tc>
        <w:tc>
          <w:tcPr>
            <w:tcW w:w="498"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165,000 </w:t>
            </w:r>
          </w:p>
        </w:tc>
        <w:tc>
          <w:tcPr>
            <w:tcW w:w="257"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Tax fees</w:t>
            </w:r>
            <w:r>
              <w:rPr>
                <w:rFonts w:ascii="Arial;sans-serif" w:hAnsi="Arial;sans-serif"/>
                <w:b w:val="false"/>
                <w:color w:val="242424"/>
                <w:sz w:val="13"/>
              </w:rPr>
              <w:t>(3)</w:t>
            </w:r>
          </w:p>
        </w:tc>
        <w:tc>
          <w:tcPr>
            <w:tcW w:w="498"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371,950 </w:t>
            </w:r>
          </w:p>
        </w:tc>
        <w:tc>
          <w:tcPr>
            <w:tcW w:w="257"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27,345 </w:t>
            </w:r>
          </w:p>
        </w:tc>
        <w:tc>
          <w:tcPr>
            <w:tcW w:w="369" w:type="dxa"/>
            <w:tcBorders>
              <w:top w:val="single" w:sz="8" w:space="0" w:color="B6B6B6"/>
              <w:right w:val="single" w:sz="8" w:space="0" w:color="B6B6B6"/>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All other fees</w:t>
            </w:r>
            <w:r>
              <w:rPr>
                <w:rFonts w:ascii="Arial;sans-serif" w:hAnsi="Arial;sans-serif"/>
                <w:b w:val="false"/>
                <w:color w:val="242424"/>
                <w:sz w:val="13"/>
              </w:rPr>
              <w:t>(4)</w:t>
            </w:r>
          </w:p>
        </w:tc>
        <w:tc>
          <w:tcPr>
            <w:tcW w:w="498"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315,000 </w:t>
            </w:r>
          </w:p>
        </w:tc>
        <w:tc>
          <w:tcPr>
            <w:tcW w:w="257"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op w:val="single" w:sz="8" w:space="0" w:color="B6B6B6"/>
              <w:right w:val="single" w:sz="8" w:space="0" w:color="B6B6B6"/>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68" w:before="0" w:after="0"/>
              <w:jc w:val="left"/>
              <w:rPr>
                <w:rFonts w:ascii="Arial;sans-serif" w:hAnsi="Arial;sans-serif"/>
                <w:b/>
                <w:color w:val="242424"/>
                <w:sz w:val="20"/>
              </w:rPr>
            </w:pPr>
            <w:r>
              <w:rPr>
                <w:rFonts w:ascii="Arial;sans-serif" w:hAnsi="Arial;sans-serif"/>
                <w:b/>
                <w:color w:val="242424"/>
                <w:sz w:val="20"/>
              </w:rPr>
              <w:t>TOTAL</w:t>
            </w:r>
          </w:p>
        </w:tc>
        <w:tc>
          <w:tcPr>
            <w:tcW w:w="498" w:type="dxa"/>
            <w:tcBorders>
              <w:top w:val="single" w:sz="8" w:space="0" w:color="B6B6B6"/>
              <w:left w:val="single" w:sz="8" w:space="0" w:color="B6B6B6"/>
              <w:bottom w:val="single" w:sz="8" w:space="0" w:color="B6B6B6"/>
            </w:tcBorders>
            <w:shd w:fill="D1D3D4"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6,770,489 </w:t>
            </w:r>
          </w:p>
        </w:tc>
        <w:tc>
          <w:tcPr>
            <w:tcW w:w="257"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B6B6B6"/>
              <w:left w:val="single" w:sz="8" w:space="0" w:color="B6B6B6"/>
              <w:bottom w:val="single" w:sz="8" w:space="0" w:color="B6B6B6"/>
            </w:tcBorders>
            <w:shd w:fill="D1D3D4"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4"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6,282,276 </w:t>
            </w:r>
          </w:p>
        </w:tc>
        <w:tc>
          <w:tcPr>
            <w:tcW w:w="369" w:type="dxa"/>
            <w:tcBorders>
              <w:top w:val="single" w:sz="8" w:space="0" w:color="B6B6B6"/>
              <w:bottom w:val="single" w:sz="8" w:space="0" w:color="B6B6B6"/>
              <w:right w:val="single" w:sz="8" w:space="0" w:color="B6B6B6"/>
            </w:tcBorders>
            <w:shd w:fill="D1D3D4"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6"/>
              </w:rPr>
              <w:t>(1)</w:t>
            </w:r>
            <w:r>
              <w:rPr>
                <w:rFonts w:ascii="Arial;sans-serif" w:hAnsi="Arial;sans-serif"/>
                <w:b w:val="false"/>
                <w:color w:val="242424"/>
                <w:sz w:val="16"/>
              </w:rPr>
              <w:t xml:space="preserve">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Subsequent to filing the proxy statement for the 2024 AGM, an additional $274,339 fees, which were not anticipated at the time of filing, were incurred related to the 2023 audit period. </w:t>
            </w:r>
          </w:p>
          <w:p>
            <w:pPr>
              <w:pStyle w:val="TableContents"/>
              <w:bidi w:val="0"/>
              <w:spacing w:lineRule="auto" w:line="240"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Audit-related fees include consultations concerning financial accounting and reporting matters not required by statute or regulation. 2024 Audit-related fees consist of professional services rendered for an ESG attestation reporting engagement. There were no audit-related fees for the year ended December 31, 2023.</w:t>
            </w:r>
          </w:p>
          <w:p>
            <w:pPr>
              <w:pStyle w:val="TableContents"/>
              <w:bidi w:val="0"/>
              <w:spacing w:lineRule="auto" w:line="240" w:before="0" w:after="60"/>
              <w:ind w:left="0" w:right="0" w:hanging="360"/>
              <w:jc w:val="left"/>
              <w:rPr/>
            </w:pPr>
            <w:r>
              <w:rPr>
                <w:rFonts w:ascii="Arial;sans-serif" w:hAnsi="Arial;sans-serif"/>
                <w:b w:val="false"/>
                <w:color w:val="CE1141"/>
                <w:sz w:val="16"/>
              </w:rPr>
              <w:t>(3)</w:t>
            </w:r>
            <w:r>
              <w:rPr>
                <w:rFonts w:ascii="Arial;sans-serif" w:hAnsi="Arial;sans-serif"/>
                <w:b w:val="false"/>
                <w:color w:val="242424"/>
                <w:sz w:val="16"/>
              </w:rPr>
              <w:t>Tax fees consist of non-U.S. tax compliance, planning and U.S./non-U.S. tax-related consultation.</w:t>
            </w:r>
          </w:p>
          <w:p>
            <w:pPr>
              <w:pStyle w:val="TableContents"/>
              <w:bidi w:val="0"/>
              <w:spacing w:lineRule="auto" w:line="240"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All other fees include certain other advisory services and do not include any fees for financial information systems design and implementation. 2024 All other fees consist of professional services rendered in real-time system implementation assessment engagement and ESG reporting readiness assessment. There were no other services performed for the year ended December 31, 2023</w:t>
            </w:r>
          </w:p>
        </w:tc>
      </w:tr>
    </w:tbl>
    <w:p>
      <w:pPr>
        <w:pStyle w:val="TextBody"/>
        <w:bidi w:val="0"/>
        <w:spacing w:before="0" w:after="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68325"/>
                <wp:effectExtent l="0" t="0" r="0" b="0"/>
                <wp:wrapNone/>
                <wp:docPr id="50" name="Frame31"/>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ind w:left="0" w:right="0" w:firstLine="54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AUDIT COMMITTEE PRE-APPROVAL POLICY</w:t>
      </w:r>
    </w:p>
    <w:p>
      <w:pPr>
        <w:pStyle w:val="TextBody"/>
        <w:bidi w:val="0"/>
        <w:spacing w:lineRule="auto" w:line="288" w:before="0" w:after="120"/>
        <w:jc w:val="left"/>
        <w:rPr/>
      </w:pPr>
      <w:r>
        <w:rPr>
          <w:rFonts w:ascii="Arial;sans-serif" w:hAnsi="Arial;sans-serif"/>
          <w:b w:val="false"/>
          <w:color w:val="242424"/>
          <w:sz w:val="20"/>
        </w:rPr>
        <w:t xml:space="preserve">The Audit Committee has established a pre-approval policy for all audit and non-audit services to be provided by our independent auditor, which was last reviewed and approved on </w:t>
      </w:r>
      <w:r>
        <w:rPr>
          <w:rFonts w:ascii="Arial;sans-serif" w:hAnsi="Arial;sans-serif"/>
          <w:b w:val="false"/>
          <w:color w:val="000000"/>
          <w:sz w:val="20"/>
        </w:rPr>
        <w:t>March 6, 2025</w:t>
      </w:r>
      <w:r>
        <w:rPr>
          <w:rFonts w:ascii="Arial;sans-serif" w:hAnsi="Arial;sans-serif"/>
          <w:b w:val="false"/>
          <w:color w:val="242424"/>
          <w:sz w:val="20"/>
        </w:rPr>
        <w:t>.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2024, all services performed by the independent auditor were subject to the pre-approval policy.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has designated the Company’s Chief Accounting Officer to monitor and report on the performance of all services provided by our independent auditor and to determine whether such services are in compliance with the pre-approval policy. Accordingly, the Chief Accounting Officer periodically reports to the Audit Committee regarding the results of this monitoring.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AUDIT COMMITTEE REPORT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April 23, 2025</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“Corporate Documents,” then “Audit Committee Charter.” The Board has determined that each member of the Audit Committee satisfies the requirements of Nasdaq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Management is responsible for the Company’s financial statements and the reporting process, including the system of disclosure controls and procedures and internal control over financial reporting.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KPMG LLP, the Company’s independent registered public accounting firm, is responsible for expressing an opinion on the conformity of our financial statements with accounting principles generally accepted in the U.S. and on the effectiveness of the Company’s internal control over financial reporting.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discharging its oversight role, the Audit Committee has:</w:t>
      </w:r>
    </w:p>
    <w:p>
      <w:pPr>
        <w:pStyle w:val="TextBody"/>
        <w:bidi w:val="0"/>
        <w:spacing w:lineRule="auto" w:line="288" w:before="0" w:after="120"/>
        <w:ind w:left="0" w:right="0" w:hanging="270"/>
        <w:jc w:val="left"/>
        <w:rPr/>
      </w:pPr>
      <w:r>
        <w:rPr>
          <w:color w:val="242424"/>
        </w:rPr>
        <w:t>•</w:t>
      </w:r>
      <w:r>
        <w:rPr>
          <w:rFonts w:ascii="Arial;sans-serif" w:hAnsi="Arial;sans-serif"/>
          <w:b w:val="false"/>
          <w:color w:val="242424"/>
          <w:sz w:val="20"/>
        </w:rPr>
        <w:t>reviewed and discussed with management the audited financial statements of Weatherford International plc as of and for the year ended December 31, 2024; and</w:t>
      </w:r>
    </w:p>
    <w:p>
      <w:pPr>
        <w:pStyle w:val="TextBody"/>
        <w:bidi w:val="0"/>
        <w:spacing w:lineRule="auto" w:line="288" w:before="0" w:after="120"/>
        <w:ind w:left="0" w:right="0" w:hanging="270"/>
        <w:jc w:val="left"/>
        <w:rPr/>
      </w:pPr>
      <w:r>
        <w:rPr>
          <w:color w:val="CE1141"/>
        </w:rPr>
        <w:t>•</w:t>
      </w:r>
      <w:r>
        <w:rPr>
          <w:rFonts w:ascii="Arial;sans-serif" w:hAnsi="Arial;sans-serif"/>
          <w:b w:val="false"/>
          <w:color w:val="242424"/>
          <w:sz w:val="20"/>
        </w:rPr>
        <w:t>discussed with KPMG LLP, the matters required by Auditing Standard 1301 relating to the conduct of the audit. The Audit Committee received from KPMG LLP the written disclosures required by the Public Company Accounting Oversight Board regarding KPMG LLP’s independence. The Audit Committee discussed with KPMG LLP its independence and reviewed other matters required to be considered under Securities and Exchange Commission rules regarding KPMG’s independence.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AGM.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Based on the reviews and discussions referred to above, the Audit Committee recommended to the Board of Directors that the audited financial statements referred to above be included in the Annual Report on Form 10-K of Weatherford International plc for the year </w:t>
      </w:r>
      <w:bookmarkStart w:id="1" w:name="ic4c7e47c0ab1437eaa4ed22d0f97486a_2868"/>
      <w:bookmarkEnd w:id="1"/>
      <w:r>
        <w:rPr>
          <w:rFonts w:ascii="Arial;sans-serif" w:hAnsi="Arial;sans-serif"/>
          <w:b w:val="false"/>
          <w:color w:val="242424"/>
          <w:sz w:val="20"/>
        </w:rPr>
        <w:t>ended December 31, 2024.</w:t>
      </w:r>
    </w:p>
    <w:tbl>
      <w:tblPr>
        <w:tblW w:w="7806" w:type="dxa"/>
        <w:jc w:val="left"/>
        <w:tblInd w:w="0" w:type="dxa"/>
        <w:tblLayout w:type="fixed"/>
        <w:tblCellMar>
          <w:top w:w="28" w:type="dxa"/>
          <w:left w:w="28" w:type="dxa"/>
          <w:bottom w:w="28" w:type="dxa"/>
          <w:right w:w="28" w:type="dxa"/>
        </w:tblCellMar>
      </w:tblPr>
      <w:tblGrid>
        <w:gridCol w:w="853"/>
        <w:gridCol w:w="749"/>
        <w:gridCol w:w="752"/>
        <w:gridCol w:w="838"/>
        <w:gridCol w:w="838"/>
        <w:gridCol w:w="840"/>
        <w:gridCol w:w="860"/>
        <w:gridCol w:w="860"/>
        <w:gridCol w:w="121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28725" cy="628650"/>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1"/>
                          <a:stretch>
                            <a:fillRect/>
                          </a:stretch>
                        </pic:blipFill>
                        <pic:spPr bwMode="auto">
                          <a:xfrm>
                            <a:off x="0" y="0"/>
                            <a:ext cx="1228725" cy="628650"/>
                          </a:xfrm>
                          <a:prstGeom prst="rect">
                            <a:avLst/>
                          </a:prstGeom>
                        </pic:spPr>
                      </pic:pic>
                    </a:graphicData>
                  </a:graphic>
                </wp:inline>
              </w:drawing>
            </w:r>
          </w:p>
        </w:tc>
        <w:tc>
          <w:tcPr>
            <w:tcW w:w="25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43050" cy="504825"/>
                  <wp:effectExtent l="0" t="0" r="0" b="0"/>
                  <wp:docPr id="5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1" descr=""/>
                          <pic:cNvPicPr>
                            <a:picLocks noChangeAspect="1" noChangeArrowheads="1"/>
                          </pic:cNvPicPr>
                        </pic:nvPicPr>
                        <pic:blipFill>
                          <a:blip r:embed="rId22"/>
                          <a:stretch>
                            <a:fillRect/>
                          </a:stretch>
                        </pic:blipFill>
                        <pic:spPr bwMode="auto">
                          <a:xfrm>
                            <a:off x="0" y="0"/>
                            <a:ext cx="1543050" cy="504825"/>
                          </a:xfrm>
                          <a:prstGeom prst="rect">
                            <a:avLst/>
                          </a:prstGeom>
                        </pic:spPr>
                      </pic:pic>
                    </a:graphicData>
                  </a:graphic>
                </wp:inline>
              </w:drawing>
            </w:r>
          </w:p>
        </w:tc>
        <w:tc>
          <w:tcPr>
            <w:tcW w:w="29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81175" cy="466725"/>
                  <wp:effectExtent l="0" t="0" r="0" b="0"/>
                  <wp:docPr id="5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2" descr=""/>
                          <pic:cNvPicPr>
                            <a:picLocks noChangeAspect="1" noChangeArrowheads="1"/>
                          </pic:cNvPicPr>
                        </pic:nvPicPr>
                        <pic:blipFill>
                          <a:blip r:embed="rId23"/>
                          <a:stretch>
                            <a:fillRect/>
                          </a:stretch>
                        </pic:blipFill>
                        <pic:spPr bwMode="auto">
                          <a:xfrm>
                            <a:off x="0" y="0"/>
                            <a:ext cx="1781175" cy="466725"/>
                          </a:xfrm>
                          <a:prstGeom prst="rect">
                            <a:avLst/>
                          </a:prstGeom>
                        </pic:spPr>
                      </pic:pic>
                    </a:graphicData>
                  </a:graphic>
                </wp:inline>
              </w:drawing>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 xml:space="preserve">Charles M. Sledge </w:t>
            </w:r>
            <w:r>
              <w:rPr>
                <w:rFonts w:ascii="Arial;sans-serif" w:hAnsi="Arial;sans-serif"/>
                <w:b w:val="false"/>
                <w:i/>
                <w:color w:val="242424"/>
                <w:sz w:val="20"/>
              </w:rPr>
              <w:t>(Chair)</w:t>
            </w:r>
          </w:p>
        </w:tc>
        <w:tc>
          <w:tcPr>
            <w:tcW w:w="25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Benjamin C. Duster, IV</w:t>
            </w:r>
          </w:p>
        </w:tc>
        <w:tc>
          <w:tcPr>
            <w:tcW w:w="293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 xml:space="preserve">Neal P. Goldman </w:t>
            </w:r>
            <w:r>
              <w:rPr>
                <w:rFonts w:ascii="Arial;sans-serif" w:hAnsi="Arial;sans-serif"/>
                <w:b w:val="false"/>
                <w:i/>
                <w:color w:val="242424"/>
                <w:sz w:val="20"/>
                <w:shd w:fill="FFFFFF" w:val="clear"/>
              </w:rPr>
              <w:t>(Vice Chair)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68325"/>
                <wp:effectExtent l="0" t="0" r="0" b="0"/>
                <wp:wrapNone/>
                <wp:docPr id="54" name="Frame32"/>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AGENDA ITEM 3 – ADVISORY APPROVAL OF EXECUTIVE COMPENSATION</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are asking our shareholders to approve, on a nonbinding advisory basis, the compensation of our named executive officers (“NEOs”) pursuant to Section 14A of the Securities Exchange Act of 1934, as amended (the “Exchange Act”), as disclosed in this Proxy Statement. While this vote is not binding on our Company, the results of the vote on this proposal will be carefully considered by the Board and the Compensation and Human Resources Committee when making future executive compensation decisions. We conduct annual nonbinding advisory votes on our NEOs’ compensation. Following the vote at the AGM, we expect that the next nonbinding advisory vote on the compensation of our NEOs will take place at our 2026 Annual General Meeting.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urge you to carefully review the Compensation Discussion and Analysis, or “CD&amp;A” section in this Proxy Statement, as well as the 2024 Summary Compensation Table, other compensation tables and related narrative discussion for more information regarding the compensation of our NEOs. As described in those sections, our compensation program is designed and administered to:</w:t>
      </w:r>
    </w:p>
    <w:p>
      <w:pPr>
        <w:pStyle w:val="TextBody"/>
        <w:bidi w:val="0"/>
        <w:spacing w:lineRule="auto" w:line="288" w:before="0" w:after="120"/>
        <w:ind w:left="0" w:right="0" w:hanging="270"/>
        <w:jc w:val="left"/>
        <w:rPr/>
      </w:pPr>
      <w:r>
        <w:rPr>
          <w:color w:val="242424"/>
        </w:rPr>
        <w:t>•</w:t>
      </w:r>
      <w:r>
        <w:rPr>
          <w:rFonts w:ascii="Arial;sans-serif" w:hAnsi="Arial;sans-serif"/>
          <w:b w:val="false"/>
          <w:color w:val="242424"/>
          <w:sz w:val="20"/>
        </w:rPr>
        <w:t>Attract, motivate, retain and reward the key executive and managerial talent needed for our Company to achieve its goals and objectives;</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Reflect pay-for-performance through aligning the interests of our executives and shareholders by utilizing performance-based short-term cash and time- and performance-based long term equity incentive compensation;</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Promote long-term value creation and growth strategies; and</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Ensure line-of-sight toward the key performance measures that are indicative of Company profitability and gains in shareholder value</w:t>
      </w:r>
      <w:r>
        <w:rPr>
          <w:rFonts w:ascii="Arial;sans-serif" w:hAnsi="Arial;sans-serif"/>
          <w:b w:val="false"/>
          <w:color w:val="000000"/>
          <w:sz w:val="20"/>
        </w:rPr>
        <w:t>.</w:t>
      </w:r>
    </w:p>
    <w:p>
      <w:pPr>
        <w:pStyle w:val="TextBody"/>
        <w:bidi w:val="0"/>
        <w:spacing w:before="0" w:after="0"/>
        <w:ind w:left="0" w:right="0" w:hanging="270"/>
        <w:jc w:val="left"/>
        <w:rPr/>
      </w:pPr>
      <w:r>
        <w:rPr/>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believe the information in this Proxy Statement demonstrates the successful design and implementation of a market competitive compensation program that aligns shareholders’ and management’s interests. Accordingly, the Board of Directors recommends that shareholders approve the program by approving the following resolution:</w:t>
      </w:r>
    </w:p>
    <w:p>
      <w:pPr>
        <w:pStyle w:val="TextBody"/>
        <w:bidi w:val="0"/>
        <w:spacing w:lineRule="auto" w:line="288" w:before="0" w:after="120"/>
        <w:jc w:val="left"/>
        <w:rPr>
          <w:color w:val="242424"/>
        </w:rPr>
      </w:pPr>
      <w:r>
        <w:rPr>
          <w:color w:val="242424"/>
        </w:rPr>
        <w:t>“</w:t>
      </w:r>
      <w:r>
        <w:rPr>
          <w:rFonts w:ascii="Arial;sans-serif" w:hAnsi="Arial;sans-serif"/>
          <w:b w:val="false"/>
          <w:color w:val="242424"/>
          <w:sz w:val="20"/>
        </w:rPr>
        <w:t>RESOLVED, that the shareholders of the Company approve, on a nonbinding advisory basis, the compensation of the Company’s named executive officers disclosed pursuant to Item 402 of Regulation S-K, including the Executive Compensation section of the Proxy Statement for the Company’s 2025 AGM, which includes the Compensation Discussion and Analysis, the 2024 Summary Compensation Table and other executive compensation tables and accompanying narrative discussion.”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 ordinary resolution is required to approve this proposal (i.e., by a simple majority of the votes cast being cast “For” the proposal). If you properly give a proxy but do not indicate how you wish to vote, the persons named on the proxy card, or if you do not name your proxy or proxies, the Proxy Holders will vote for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68325"/>
                <wp:effectExtent l="0" t="0" r="0" b="0"/>
                <wp:wrapNone/>
                <wp:docPr id="55" name="Frame33"/>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Executive Summary</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In 2024, Weatherford continued its trajectory of transformative financial and operational performance, further solidifying the substantial progress made during the past four years. The year was marked by resilient execution, despite macroeconomic and activity challenges in certain geographies, demonstrating our commitment to sustained financial improvement and shareholder value creation.</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Our strategic investments in technology differentiation and targeted acquisitions strengthened our competitive position. We successfully integrated multiple acquisitions aimed at enhancing our offerings in digitalization, well intervention, and production optimization.</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We also continued our commitment to the development of our people, investing in leadership and technical training programs to cultivate industry-leading talent. Through a combination of high-grading talent internally and attracting top professionals externally, we are building a workforce equipped to drive innovation, enhance operational excellence, and sustain our competitive edge in the industry.</w:t>
      </w:r>
    </w:p>
    <w:p>
      <w:pPr>
        <w:pStyle w:val="TextBody"/>
        <w:bidi w:val="0"/>
        <w:spacing w:lineRule="auto" w:line="256" w:before="0" w:after="120"/>
        <w:jc w:val="left"/>
        <w:rPr/>
      </w:pPr>
      <w:r>
        <w:rPr>
          <w:rFonts w:ascii="Arial;sans-serif" w:hAnsi="Arial;sans-serif"/>
          <w:b w:val="false"/>
          <w:color w:val="242424"/>
          <w:sz w:val="20"/>
        </w:rPr>
        <w:t xml:space="preserve">In </w:t>
      </w:r>
      <w:r>
        <w:rPr>
          <w:rFonts w:ascii="Arial;sans-serif" w:hAnsi="Arial;sans-serif"/>
          <w:b w:val="false"/>
          <w:color w:val="000000"/>
          <w:sz w:val="20"/>
        </w:rPr>
        <w:t>2024</w:t>
      </w:r>
      <w:r>
        <w:rPr>
          <w:rFonts w:ascii="Arial;sans-serif" w:hAnsi="Arial;sans-serif"/>
          <w:b w:val="false"/>
          <w:color w:val="242424"/>
          <w:sz w:val="20"/>
        </w:rPr>
        <w:t xml:space="preserve">, we launched Weatherford’s first-ever shareholder return program, introducing an expected annual dividend of </w:t>
      </w:r>
      <w:r>
        <w:rPr>
          <w:rFonts w:ascii="Arial;sans-serif" w:hAnsi="Arial;sans-serif"/>
          <w:b w:val="false"/>
          <w:color w:val="000000"/>
          <w:sz w:val="20"/>
        </w:rPr>
        <w:t>$1</w:t>
      </w:r>
      <w:r>
        <w:rPr>
          <w:color w:val="242424"/>
        </w:rPr>
        <w:t xml:space="preserve"> </w:t>
      </w:r>
      <w:r>
        <w:rPr>
          <w:rFonts w:ascii="Arial;sans-serif" w:hAnsi="Arial;sans-serif"/>
          <w:b w:val="false"/>
          <w:color w:val="242424"/>
          <w:sz w:val="20"/>
        </w:rPr>
        <w:t xml:space="preserve">per share and an authorization for a </w:t>
      </w:r>
      <w:r>
        <w:rPr>
          <w:rFonts w:ascii="Arial;sans-serif" w:hAnsi="Arial;sans-serif"/>
          <w:b w:val="false"/>
          <w:color w:val="000000"/>
          <w:sz w:val="20"/>
        </w:rPr>
        <w:t>three</w:t>
      </w:r>
      <w:r>
        <w:rPr>
          <w:rFonts w:ascii="Arial;sans-serif" w:hAnsi="Arial;sans-serif"/>
          <w:b w:val="false"/>
          <w:color w:val="242424"/>
          <w:sz w:val="20"/>
        </w:rPr>
        <w:t xml:space="preserve">-year share repurchase program of up to </w:t>
      </w:r>
      <w:r>
        <w:rPr>
          <w:rFonts w:ascii="Arial;sans-serif" w:hAnsi="Arial;sans-serif"/>
          <w:b w:val="false"/>
          <w:color w:val="000000"/>
          <w:sz w:val="20"/>
        </w:rPr>
        <w:t>$500 million</w:t>
      </w:r>
      <w:r>
        <w:rPr>
          <w:rFonts w:ascii="Arial;sans-serif" w:hAnsi="Arial;sans-serif"/>
          <w:b w:val="false"/>
          <w:color w:val="242424"/>
          <w:sz w:val="20"/>
        </w:rPr>
        <w:t>.</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We also made significant progress in fortifying our capital structure, reducing leverage, and enhancing liquidity—ensuring we remain well-positioned for long-term growth and shareholder value creation.</w:t>
      </w:r>
    </w:p>
    <w:p>
      <w:pPr>
        <w:pStyle w:val="TextBody"/>
        <w:bidi w:val="0"/>
        <w:spacing w:lineRule="auto" w:line="256" w:before="0" w:after="120"/>
        <w:jc w:val="left"/>
        <w:rPr/>
      </w:pPr>
      <w:r>
        <w:rPr>
          <w:rFonts w:ascii="Arial;sans-serif" w:hAnsi="Arial;sans-serif"/>
          <w:b w:val="false"/>
          <w:color w:val="242424"/>
          <w:sz w:val="20"/>
        </w:rPr>
        <w:t xml:space="preserve">Our </w:t>
      </w:r>
      <w:r>
        <w:rPr>
          <w:rFonts w:ascii="Arial;sans-serif" w:hAnsi="Arial;sans-serif"/>
          <w:b w:val="false"/>
          <w:color w:val="000000"/>
          <w:sz w:val="20"/>
        </w:rPr>
        <w:t>2024</w:t>
      </w:r>
      <w:r>
        <w:rPr>
          <w:color w:val="242424"/>
        </w:rPr>
        <w:t xml:space="preserve"> </w:t>
      </w:r>
      <w:r>
        <w:rPr>
          <w:rFonts w:ascii="Arial;sans-serif" w:hAnsi="Arial;sans-serif"/>
          <w:b w:val="false"/>
          <w:color w:val="242424"/>
          <w:sz w:val="20"/>
        </w:rPr>
        <w:t xml:space="preserve">financial highlights include: </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Full year revenue of $5,513 million, an increase of 7% from the prior year.</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Full year operating income of $938 million, an increase of 14% from the prior year.</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Full year net income of $506 million, representing a 9.2% margin, an increase of 21% compared to the prior year.</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Full year adjusted EBITDA* of $1,382 million, representing a 25.1% adjusted EBITDA margin*, an increase of 17% or 197 basis points compared to the prior year.</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Full year cash provided by operating activities of $792 million and adjusted free cash flow* of $524 million.</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 xml:space="preserve">Since September, 2021, gross debt has been reduced by approximately $1 billion. </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Returned approximately $135 million to shareholders through share repurchases and dividend payments.</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2024 Credit Ratings: S&amp;P: BB- (Positive Outlook), Fitch: BB- (Stable Outlook), and Moody’s: Ba3 (Positive Outlook).</w:t>
      </w:r>
    </w:p>
    <w:p>
      <w:pPr>
        <w:pStyle w:val="TextBody"/>
        <w:bidi w:val="0"/>
        <w:spacing w:lineRule="auto" w:line="256" w:before="0" w:after="120"/>
        <w:jc w:val="left"/>
        <w:rPr>
          <w:rFonts w:ascii="Arial;sans-serif" w:hAnsi="Arial;sans-serif"/>
          <w:b/>
          <w:color w:val="242424"/>
          <w:sz w:val="22"/>
        </w:rPr>
      </w:pPr>
      <w:r>
        <w:rPr>
          <w:rFonts w:ascii="Arial;sans-serif" w:hAnsi="Arial;sans-serif"/>
          <w:b/>
          <w:color w:val="242424"/>
          <w:sz w:val="22"/>
        </w:rPr>
        <w:t xml:space="preserve">Market Capitalization and Share Performance </w:t>
      </w:r>
    </w:p>
    <w:p>
      <w:pPr>
        <w:pStyle w:val="TextBody"/>
        <w:bidi w:val="0"/>
        <w:spacing w:lineRule="auto" w:line="256" w:before="0" w:after="120"/>
        <w:jc w:val="left"/>
        <w:rPr/>
      </w:pPr>
      <w:r>
        <w:rPr>
          <w:rFonts w:ascii="Arial;sans-serif" w:hAnsi="Arial;sans-serif"/>
          <w:b w:val="false"/>
          <w:color w:val="242424"/>
          <w:sz w:val="20"/>
        </w:rPr>
        <w:t xml:space="preserve">As of </w:t>
      </w:r>
      <w:r>
        <w:rPr>
          <w:rFonts w:ascii="Arial;sans-serif" w:hAnsi="Arial;sans-serif"/>
          <w:b w:val="false"/>
          <w:color w:val="000000"/>
          <w:sz w:val="20"/>
        </w:rPr>
        <w:t>April 10, 2025</w:t>
      </w:r>
      <w:r>
        <w:rPr>
          <w:rFonts w:ascii="Arial;sans-serif" w:hAnsi="Arial;sans-serif"/>
          <w:b w:val="false"/>
          <w:color w:val="242424"/>
          <w:sz w:val="20"/>
        </w:rPr>
        <w:t>, Weatherford has demonstrated significant growth in market capitalization and share price since key milestones, reinforcing our position as a leader in the industry and a premier investment in the energy sector:</w:t>
      </w:r>
    </w:p>
    <w:p>
      <w:pPr>
        <w:pStyle w:val="TextBody"/>
        <w:bidi w:val="0"/>
        <w:spacing w:lineRule="auto" w:line="256" w:before="0" w:after="120"/>
        <w:ind w:left="0" w:right="0" w:hanging="360"/>
        <w:jc w:val="left"/>
        <w:rPr/>
      </w:pPr>
      <w:r>
        <w:rPr>
          <w:color w:val="242424"/>
        </w:rPr>
        <w:t>•</w:t>
      </w:r>
      <w:r>
        <w:rPr>
          <w:rFonts w:ascii="Arial;sans-serif" w:hAnsi="Arial;sans-serif"/>
          <w:b/>
          <w:color w:val="242424"/>
          <w:sz w:val="20"/>
        </w:rPr>
        <w:t xml:space="preserve">Since CEO Girish Saligram's Appointment in the fourth quarter of </w:t>
      </w:r>
      <w:r>
        <w:rPr>
          <w:rFonts w:ascii="Arial;sans-serif" w:hAnsi="Arial;sans-serif"/>
          <w:b/>
          <w:color w:val="000000"/>
          <w:sz w:val="20"/>
        </w:rPr>
        <w:t>2020</w:t>
      </w:r>
      <w:r>
        <w:rPr>
          <w:rFonts w:ascii="Arial;sans-serif" w:hAnsi="Arial;sans-serif"/>
          <w:b w:val="false"/>
          <w:color w:val="242424"/>
          <w:sz w:val="20"/>
        </w:rPr>
        <w:t>:</w:t>
      </w:r>
    </w:p>
    <w:p>
      <w:pPr>
        <w:pStyle w:val="TextBody"/>
        <w:bidi w:val="0"/>
        <w:spacing w:lineRule="auto" w:line="256" w:before="0" w:after="120"/>
        <w:ind w:left="0" w:right="0" w:hanging="360"/>
        <w:jc w:val="left"/>
        <w:rPr/>
      </w:pPr>
      <w:r>
        <w:rPr>
          <w:color w:val="242424"/>
        </w:rPr>
        <w:t>◦</w:t>
      </w:r>
      <w:r>
        <w:rPr>
          <w:rFonts w:ascii="Arial;sans-serif" w:hAnsi="Arial;sans-serif"/>
          <w:b/>
          <w:color w:val="242424"/>
          <w:sz w:val="20"/>
        </w:rPr>
        <w:t>Market Capitalization</w:t>
      </w:r>
      <w:r>
        <w:rPr>
          <w:rFonts w:ascii="Arial;sans-serif" w:hAnsi="Arial;sans-serif"/>
          <w:b w:val="false"/>
          <w:color w:val="242424"/>
          <w:sz w:val="20"/>
        </w:rPr>
        <w:t xml:space="preserve">: Increased from approximately </w:t>
      </w:r>
      <w:r>
        <w:rPr>
          <w:rFonts w:ascii="Arial;sans-serif" w:hAnsi="Arial;sans-serif"/>
          <w:b w:val="false"/>
          <w:color w:val="000000"/>
          <w:sz w:val="20"/>
        </w:rPr>
        <w:t>$0.4 billion</w:t>
      </w:r>
      <w:r>
        <w:rPr>
          <w:color w:val="242424"/>
        </w:rPr>
        <w:t xml:space="preserve"> </w:t>
      </w:r>
      <w:r>
        <w:rPr>
          <w:rFonts w:ascii="Arial;sans-serif" w:hAnsi="Arial;sans-serif"/>
          <w:b w:val="false"/>
          <w:color w:val="242424"/>
          <w:sz w:val="20"/>
        </w:rPr>
        <w:t xml:space="preserve">at the end of </w:t>
      </w:r>
      <w:r>
        <w:rPr>
          <w:rFonts w:ascii="Arial;sans-serif" w:hAnsi="Arial;sans-serif"/>
          <w:b w:val="false"/>
          <w:color w:val="000000"/>
          <w:sz w:val="20"/>
        </w:rPr>
        <w:t>2020</w:t>
      </w:r>
      <w:r>
        <w:rPr>
          <w:color w:val="242424"/>
        </w:rPr>
        <w:t xml:space="preserve"> </w:t>
      </w:r>
      <w:r>
        <w:rPr>
          <w:rFonts w:ascii="Arial;sans-serif" w:hAnsi="Arial;sans-serif"/>
          <w:b w:val="false"/>
          <w:color w:val="242424"/>
          <w:sz w:val="20"/>
        </w:rPr>
        <w:t xml:space="preserve">to </w:t>
      </w:r>
      <w:r>
        <w:rPr>
          <w:rFonts w:ascii="Arial;sans-serif" w:hAnsi="Arial;sans-serif"/>
          <w:b w:val="false"/>
          <w:color w:val="000000"/>
          <w:sz w:val="20"/>
        </w:rPr>
        <w:t>$2.9 billion</w:t>
      </w:r>
      <w:r>
        <w:rPr>
          <w:rFonts w:ascii="Arial;sans-serif" w:hAnsi="Arial;sans-serif"/>
          <w:b w:val="false"/>
          <w:color w:val="242424"/>
          <w:sz w:val="20"/>
        </w:rPr>
        <w:t xml:space="preserve">, marking an approximate increase of </w:t>
      </w:r>
      <w:r>
        <w:rPr>
          <w:rFonts w:ascii="Arial;sans-serif" w:hAnsi="Arial;sans-serif"/>
          <w:b w:val="false"/>
          <w:color w:val="000000"/>
          <w:sz w:val="20"/>
        </w:rPr>
        <w:t>625%</w:t>
      </w:r>
      <w:r>
        <w:rPr>
          <w:rFonts w:ascii="Arial;sans-serif" w:hAnsi="Arial;sans-serif"/>
          <w:b w:val="false"/>
          <w:color w:val="242424"/>
          <w:sz w:val="20"/>
        </w:rPr>
        <w:t>.</w:t>
      </w:r>
    </w:p>
    <w:p>
      <w:pPr>
        <w:pStyle w:val="TextBody"/>
        <w:bidi w:val="0"/>
        <w:spacing w:lineRule="auto" w:line="256" w:before="0" w:after="120"/>
        <w:ind w:left="0" w:right="0" w:hanging="360"/>
        <w:jc w:val="left"/>
        <w:rPr/>
      </w:pPr>
      <w:r>
        <w:rPr>
          <w:color w:val="242424"/>
        </w:rPr>
        <w:t>•</w:t>
      </w:r>
      <w:r>
        <w:rPr>
          <w:rFonts w:ascii="Arial;sans-serif" w:hAnsi="Arial;sans-serif"/>
          <w:b/>
          <w:color w:val="242424"/>
          <w:sz w:val="20"/>
        </w:rPr>
        <w:t xml:space="preserve">Since Nasdaq Listing on </w:t>
      </w:r>
      <w:r>
        <w:rPr>
          <w:rFonts w:ascii="Arial;sans-serif" w:hAnsi="Arial;sans-serif"/>
          <w:b w:val="false"/>
          <w:color w:val="000000"/>
          <w:sz w:val="20"/>
        </w:rPr>
        <w:t>June 2, 2021</w:t>
      </w:r>
      <w:r>
        <w:rPr>
          <w:rFonts w:ascii="Arial;sans-serif" w:hAnsi="Arial;sans-serif"/>
          <w:b/>
          <w:color w:val="242424"/>
          <w:sz w:val="20"/>
        </w:rPr>
        <w:t>:</w:t>
      </w:r>
    </w:p>
    <w:p>
      <w:pPr>
        <w:pStyle w:val="TextBody"/>
        <w:bidi w:val="0"/>
        <w:spacing w:lineRule="auto" w:line="256" w:before="0" w:after="120"/>
        <w:ind w:left="0" w:right="0" w:hanging="360"/>
        <w:jc w:val="left"/>
        <w:rPr/>
      </w:pPr>
      <w:r>
        <w:rPr>
          <w:color w:val="242424"/>
        </w:rPr>
        <w:t>◦</w:t>
      </w:r>
      <w:r>
        <w:rPr>
          <w:rFonts w:ascii="Arial;sans-serif" w:hAnsi="Arial;sans-serif"/>
          <w:b/>
          <w:color w:val="242424"/>
          <w:sz w:val="20"/>
        </w:rPr>
        <w:t>Market Capitalization</w:t>
      </w:r>
      <w:r>
        <w:rPr>
          <w:rFonts w:ascii="Arial;sans-serif" w:hAnsi="Arial;sans-serif"/>
          <w:b w:val="false"/>
          <w:color w:val="242424"/>
          <w:sz w:val="20"/>
        </w:rPr>
        <w:t xml:space="preserve">: Increased from approximately </w:t>
      </w:r>
      <w:r>
        <w:rPr>
          <w:rFonts w:ascii="Arial;sans-serif" w:hAnsi="Arial;sans-serif"/>
          <w:b w:val="false"/>
          <w:color w:val="000000"/>
          <w:sz w:val="20"/>
        </w:rPr>
        <w:t>$0.9 billion</w:t>
      </w:r>
      <w:r>
        <w:rPr>
          <w:color w:val="242424"/>
        </w:rPr>
        <w:t xml:space="preserve"> </w:t>
      </w:r>
      <w:r>
        <w:rPr>
          <w:rFonts w:ascii="Arial;sans-serif" w:hAnsi="Arial;sans-serif"/>
          <w:b w:val="false"/>
          <w:color w:val="242424"/>
          <w:sz w:val="20"/>
        </w:rPr>
        <w:t xml:space="preserve">at the end of </w:t>
      </w:r>
      <w:r>
        <w:rPr>
          <w:rFonts w:ascii="Arial;sans-serif" w:hAnsi="Arial;sans-serif"/>
          <w:b w:val="false"/>
          <w:color w:val="000000"/>
          <w:sz w:val="20"/>
        </w:rPr>
        <w:t>June 2, 2021</w:t>
      </w:r>
      <w:r>
        <w:rPr>
          <w:color w:val="242424"/>
        </w:rPr>
        <w:t xml:space="preserve"> </w:t>
      </w:r>
      <w:r>
        <w:rPr>
          <w:rFonts w:ascii="Arial;sans-serif" w:hAnsi="Arial;sans-serif"/>
          <w:b w:val="false"/>
          <w:color w:val="242424"/>
          <w:sz w:val="20"/>
        </w:rPr>
        <w:t xml:space="preserve">to </w:t>
      </w:r>
      <w:r>
        <w:rPr>
          <w:rFonts w:ascii="Arial;sans-serif" w:hAnsi="Arial;sans-serif"/>
          <w:b w:val="false"/>
          <w:color w:val="000000"/>
          <w:sz w:val="20"/>
        </w:rPr>
        <w:t>$2.9 billion</w:t>
      </w:r>
      <w:r>
        <w:rPr>
          <w:rFonts w:ascii="Arial;sans-serif" w:hAnsi="Arial;sans-serif"/>
          <w:b w:val="false"/>
          <w:color w:val="242424"/>
          <w:sz w:val="20"/>
        </w:rPr>
        <w:t xml:space="preserve">, reflecting a growth of approximately </w:t>
      </w:r>
      <w:r>
        <w:rPr>
          <w:rFonts w:ascii="Arial;sans-serif" w:hAnsi="Arial;sans-serif"/>
          <w:b w:val="false"/>
          <w:color w:val="000000"/>
          <w:sz w:val="20"/>
        </w:rPr>
        <w:t>222%</w:t>
      </w:r>
      <w:r>
        <w:rPr>
          <w:rFonts w:ascii="Arial;sans-serif" w:hAnsi="Arial;sans-serif"/>
          <w:b w:val="false"/>
          <w:color w:val="242424"/>
          <w:sz w:val="20"/>
        </w:rPr>
        <w:t>.</w:t>
      </w:r>
    </w:p>
    <w:p>
      <w:pPr>
        <w:pStyle w:val="TextBody"/>
        <w:bidi w:val="0"/>
        <w:spacing w:lineRule="auto" w:line="256" w:before="0" w:after="120"/>
        <w:ind w:left="0" w:right="0" w:hanging="360"/>
        <w:jc w:val="left"/>
        <w:rPr/>
      </w:pPr>
      <w:r>
        <w:rPr>
          <w:color w:val="242424"/>
        </w:rPr>
        <w:t>◦</w:t>
      </w:r>
      <w:r>
        <w:rPr>
          <w:rFonts w:ascii="Arial;sans-serif" w:hAnsi="Arial;sans-serif"/>
          <w:b/>
          <w:color w:val="242424"/>
          <w:sz w:val="20"/>
        </w:rPr>
        <w:t>Share Price</w:t>
      </w:r>
      <w:r>
        <w:rPr>
          <w:rFonts w:ascii="Arial;sans-serif" w:hAnsi="Arial;sans-serif"/>
          <w:b w:val="false"/>
          <w:color w:val="242424"/>
          <w:sz w:val="20"/>
        </w:rPr>
        <w:t xml:space="preserve">: Rose from a </w:t>
      </w:r>
      <w:r>
        <w:rPr>
          <w:rFonts w:ascii="Arial;sans-serif" w:hAnsi="Arial;sans-serif"/>
          <w:b w:val="false"/>
          <w:color w:val="000000"/>
          <w:sz w:val="20"/>
        </w:rPr>
        <w:t>June 2, 2021</w:t>
      </w:r>
      <w:r>
        <w:rPr>
          <w:color w:val="242424"/>
        </w:rPr>
        <w:t xml:space="preserve"> </w:t>
      </w:r>
      <w:r>
        <w:rPr>
          <w:rFonts w:ascii="Arial;sans-serif" w:hAnsi="Arial;sans-serif"/>
          <w:b w:val="false"/>
          <w:color w:val="242424"/>
          <w:sz w:val="20"/>
        </w:rPr>
        <w:t xml:space="preserve">opening price of </w:t>
      </w:r>
      <w:r>
        <w:rPr>
          <w:rFonts w:ascii="Arial;sans-serif" w:hAnsi="Arial;sans-serif"/>
          <w:b w:val="false"/>
          <w:color w:val="000000"/>
          <w:sz w:val="20"/>
        </w:rPr>
        <w:t>$13.95</w:t>
      </w:r>
      <w:r>
        <w:rPr>
          <w:color w:val="242424"/>
        </w:rPr>
        <w:t xml:space="preserve"> </w:t>
      </w:r>
      <w:r>
        <w:rPr>
          <w:rFonts w:ascii="Arial;sans-serif" w:hAnsi="Arial;sans-serif"/>
          <w:b w:val="false"/>
          <w:color w:val="242424"/>
          <w:sz w:val="20"/>
        </w:rPr>
        <w:t xml:space="preserve">per share to </w:t>
      </w:r>
      <w:r>
        <w:rPr>
          <w:rFonts w:ascii="Arial;sans-serif" w:hAnsi="Arial;sans-serif"/>
          <w:b w:val="false"/>
          <w:color w:val="000000"/>
          <w:sz w:val="20"/>
        </w:rPr>
        <w:t>$40.12</w:t>
      </w:r>
      <w:r>
        <w:rPr>
          <w:rFonts w:ascii="Arial;sans-serif" w:hAnsi="Arial;sans-serif"/>
          <w:b w:val="false"/>
          <w:color w:val="242424"/>
          <w:sz w:val="20"/>
        </w:rPr>
        <w:t xml:space="preserve">, marking an approximate increase of </w:t>
      </w:r>
      <w:r>
        <w:rPr>
          <w:rFonts w:ascii="Arial;sans-serif" w:hAnsi="Arial;sans-serif"/>
          <w:b w:val="false"/>
          <w:color w:val="000000"/>
          <w:sz w:val="20"/>
        </w:rPr>
        <w:t>188%</w:t>
      </w:r>
      <w:r>
        <w:rPr>
          <w:rFonts w:ascii="Arial;sans-serif" w:hAnsi="Arial;sans-serif"/>
          <w:b w:val="false"/>
          <w:color w:val="242424"/>
          <w:sz w:val="20"/>
        </w:rPr>
        <w:t xml:space="preserve">.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68" w:before="0" w:after="240"/>
        <w:jc w:val="left"/>
        <w:rPr>
          <w:rFonts w:ascii="Arial;sans-serif" w:hAnsi="Arial;sans-serif"/>
          <w:b w:val="false"/>
          <w:color w:val="000000"/>
          <w:sz w:val="20"/>
        </w:rPr>
      </w:pPr>
      <w:r>
        <w:rPr>
          <w:rFonts w:ascii="Arial;sans-serif" w:hAnsi="Arial;sans-serif"/>
          <w:b w:val="false"/>
          <w:color w:val="000000"/>
          <w:sz w:val="20"/>
        </w:rPr>
        <w:t>* Adjusted EBITDA, adjusted EBITDA margin and adjusted free cash flow are non-GAAP financial measures. Please refer to Annex A for more information about these measures, as well as a reconciliation of these non-GAAP financial measures to the most closely related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68325"/>
                <wp:effectExtent l="0" t="0" r="0" b="0"/>
                <wp:wrapNone/>
                <wp:docPr id="56" name="Frame3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56" w:before="0" w:after="240"/>
        <w:jc w:val="left"/>
        <w:rPr/>
      </w:pPr>
      <w:r>
        <w:rPr>
          <w:rFonts w:ascii="Arial;sans-serif" w:hAnsi="Arial;sans-serif"/>
          <w:b/>
          <w:color w:val="242424"/>
          <w:sz w:val="22"/>
        </w:rPr>
        <w:t>Our Commitment to Pay-for-Performance</w:t>
      </w:r>
      <w:r>
        <w:rPr>
          <w:color w:val="242424"/>
        </w:rPr>
        <w:t xml:space="preserve"> </w:t>
      </w:r>
    </w:p>
    <w:p>
      <w:pPr>
        <w:pStyle w:val="TextBody"/>
        <w:bidi w:val="0"/>
        <w:spacing w:lineRule="auto" w:line="256" w:before="0" w:after="240"/>
        <w:jc w:val="left"/>
        <w:rPr>
          <w:rFonts w:ascii="Arial;sans-serif" w:hAnsi="Arial;sans-serif"/>
          <w:b w:val="false"/>
          <w:color w:val="242424"/>
          <w:sz w:val="20"/>
        </w:rPr>
      </w:pPr>
      <w:r>
        <w:rPr>
          <w:rFonts w:ascii="Arial;sans-serif" w:hAnsi="Arial;sans-serif"/>
          <w:b w:val="false"/>
          <w:color w:val="242424"/>
          <w:sz w:val="20"/>
        </w:rPr>
        <w:t>These achievements position Weatherford for its next phase of growth, with our Board maintaining a steadfast commitment to a compensation philosophy that aligns with Company and shareholder success, market competitiveness, and talent retention. Our pay-for-performance culture is embedded in our overall compensation program, ensuring executive compensation is directly tied to measurable results.</w:t>
      </w:r>
    </w:p>
    <w:p>
      <w:pPr>
        <w:pStyle w:val="TextBody"/>
        <w:bidi w:val="0"/>
        <w:spacing w:lineRule="auto" w:line="256" w:before="0" w:after="240"/>
        <w:jc w:val="left"/>
        <w:rPr/>
      </w:pPr>
      <w:r>
        <w:rPr>
          <w:rFonts w:ascii="Arial;sans-serif" w:hAnsi="Arial;sans-serif"/>
          <w:b w:val="false"/>
          <w:color w:val="242424"/>
          <w:sz w:val="20"/>
        </w:rPr>
        <w:t xml:space="preserve">In recognition of our strong financial and operational performance, above target payouts were made under our performance-based incentive plans for </w:t>
      </w:r>
      <w:r>
        <w:rPr>
          <w:rFonts w:ascii="Arial;sans-serif" w:hAnsi="Arial;sans-serif"/>
          <w:b w:val="false"/>
          <w:color w:val="000000"/>
          <w:sz w:val="20"/>
        </w:rPr>
        <w:t>2024</w:t>
      </w:r>
      <w:r>
        <w:rPr>
          <w:rFonts w:ascii="Arial;sans-serif" w:hAnsi="Arial;sans-serif"/>
          <w:b w:val="false"/>
          <w:color w:val="242424"/>
          <w:sz w:val="20"/>
        </w:rPr>
        <w:t xml:space="preserve">, reinforcing our commitment to rewarding exceptional achievements. Additionally, the launch of our shareholder return program in </w:t>
      </w:r>
      <w:r>
        <w:rPr>
          <w:rFonts w:ascii="Arial;sans-serif" w:hAnsi="Arial;sans-serif"/>
          <w:b w:val="false"/>
          <w:color w:val="000000"/>
          <w:sz w:val="20"/>
        </w:rPr>
        <w:t>2024</w:t>
      </w:r>
      <w:r>
        <w:rPr>
          <w:color w:val="242424"/>
        </w:rPr>
        <w:t xml:space="preserve"> </w:t>
      </w:r>
      <w:r>
        <w:rPr>
          <w:rFonts w:ascii="Arial;sans-serif" w:hAnsi="Arial;sans-serif"/>
          <w:b w:val="false"/>
          <w:color w:val="242424"/>
          <w:sz w:val="20"/>
        </w:rPr>
        <w:t>demonstrates our confidence in sustained value creation and our dedication to delivering long-term returns.</w:t>
      </w:r>
    </w:p>
    <w:p>
      <w:pPr>
        <w:pStyle w:val="TextBody"/>
        <w:bidi w:val="0"/>
        <w:spacing w:lineRule="auto" w:line="256" w:before="0" w:after="240"/>
        <w:jc w:val="left"/>
        <w:rPr>
          <w:rFonts w:ascii="Arial;sans-serif" w:hAnsi="Arial;sans-serif"/>
          <w:b/>
          <w:color w:val="242424"/>
          <w:sz w:val="22"/>
        </w:rPr>
      </w:pPr>
      <w:r>
        <w:rPr>
          <w:rFonts w:ascii="Arial;sans-serif" w:hAnsi="Arial;sans-serif"/>
          <w:b/>
          <w:color w:val="242424"/>
          <w:sz w:val="22"/>
        </w:rPr>
        <w:t xml:space="preserve">Executive Leadership Actions </w:t>
      </w:r>
    </w:p>
    <w:p>
      <w:pPr>
        <w:pStyle w:val="TextBody"/>
        <w:bidi w:val="0"/>
        <w:spacing w:lineRule="auto" w:line="268" w:before="0" w:after="240"/>
        <w:ind w:left="0" w:right="0" w:hanging="360"/>
        <w:jc w:val="left"/>
        <w:rPr/>
      </w:pPr>
      <w:r>
        <w:rPr>
          <w:color w:val="242424"/>
        </w:rPr>
        <w:t>•</w:t>
      </w:r>
      <w:r>
        <w:rPr>
          <w:rFonts w:ascii="Arial;sans-serif" w:hAnsi="Arial;sans-serif"/>
          <w:b w:val="false"/>
          <w:color w:val="242424"/>
          <w:sz w:val="20"/>
        </w:rPr>
        <w:t>In Q2 2025, Anuj Dhruv joined the Company as Executive Vice President and Chief Financial Officer.</w:t>
      </w:r>
    </w:p>
    <w:p>
      <w:pPr>
        <w:pStyle w:val="TextBody"/>
        <w:bidi w:val="0"/>
        <w:spacing w:lineRule="auto" w:line="268" w:before="0" w:after="240"/>
        <w:ind w:left="0" w:right="0" w:hanging="360"/>
        <w:jc w:val="left"/>
        <w:rPr/>
      </w:pPr>
      <w:r>
        <w:rPr>
          <w:color w:val="242424"/>
        </w:rPr>
        <w:t>•</w:t>
      </w:r>
      <w:r>
        <w:rPr>
          <w:rFonts w:ascii="Arial;sans-serif" w:hAnsi="Arial;sans-serif"/>
          <w:b w:val="false"/>
          <w:color w:val="242424"/>
          <w:sz w:val="20"/>
        </w:rPr>
        <w:t xml:space="preserve">In Q1 </w:t>
      </w:r>
      <w:r>
        <w:rPr>
          <w:rFonts w:ascii="Arial;sans-serif" w:hAnsi="Arial;sans-serif"/>
          <w:b w:val="false"/>
          <w:color w:val="000000"/>
          <w:sz w:val="20"/>
        </w:rPr>
        <w:t>2025</w:t>
      </w:r>
      <w:r>
        <w:rPr>
          <w:rFonts w:ascii="Arial;sans-serif" w:hAnsi="Arial;sans-serif"/>
          <w:b w:val="false"/>
          <w:color w:val="242424"/>
          <w:sz w:val="20"/>
        </w:rPr>
        <w:t>, Kristin Ruzicka was promoted to Executive Vice President, Chief Human Resources Officer &amp; Sustainability.</w:t>
      </w:r>
    </w:p>
    <w:p>
      <w:pPr>
        <w:pStyle w:val="TextBody"/>
        <w:bidi w:val="0"/>
        <w:spacing w:lineRule="auto" w:line="268" w:before="0" w:after="240"/>
        <w:ind w:left="0" w:right="0" w:hanging="360"/>
        <w:jc w:val="left"/>
        <w:rPr/>
      </w:pPr>
      <w:r>
        <w:rPr>
          <w:color w:val="242424"/>
        </w:rPr>
        <w:t>•</w:t>
      </w:r>
      <w:r>
        <w:rPr>
          <w:rFonts w:ascii="Arial;sans-serif" w:hAnsi="Arial;sans-serif"/>
          <w:b w:val="false"/>
          <w:color w:val="242424"/>
          <w:sz w:val="20"/>
        </w:rPr>
        <w:t xml:space="preserve">In Q1 </w:t>
      </w:r>
      <w:r>
        <w:rPr>
          <w:rFonts w:ascii="Arial;sans-serif" w:hAnsi="Arial;sans-serif"/>
          <w:b w:val="false"/>
          <w:color w:val="000000"/>
          <w:sz w:val="20"/>
        </w:rPr>
        <w:t>2024</w:t>
      </w:r>
      <w:r>
        <w:rPr>
          <w:rFonts w:ascii="Arial;sans-serif" w:hAnsi="Arial;sans-serif"/>
          <w:b w:val="false"/>
          <w:color w:val="242424"/>
          <w:sz w:val="20"/>
        </w:rPr>
        <w:t>, Richard D. Ward joined the Company as Executive Vice President of Global Field Operations, overseeing all Geozone operations. David Reed was promoted to Executive Vice President and Chief Commercial Officer; and Depinder Sandhu, formerly Senior Vice President Global Product Lines, was elevated to Executive Vice President Global Product Lines and Technology.</w:t>
      </w:r>
    </w:p>
    <w:p>
      <w:pPr>
        <w:pStyle w:val="TextBody"/>
        <w:bidi w:val="0"/>
        <w:spacing w:lineRule="auto" w:line="256" w:before="0" w:after="240"/>
        <w:jc w:val="left"/>
        <w:rPr>
          <w:rFonts w:ascii="Arial;sans-serif" w:hAnsi="Arial;sans-serif"/>
          <w:b/>
          <w:color w:val="242424"/>
          <w:sz w:val="22"/>
        </w:rPr>
      </w:pPr>
      <w:r>
        <w:rPr>
          <w:rFonts w:ascii="Arial;sans-serif" w:hAnsi="Arial;sans-serif"/>
          <w:b/>
          <w:color w:val="242424"/>
          <w:sz w:val="22"/>
        </w:rPr>
        <w:t xml:space="preserve">Looking Ahead </w:t>
      </w:r>
    </w:p>
    <w:p>
      <w:pPr>
        <w:pStyle w:val="TextBody"/>
        <w:bidi w:val="0"/>
        <w:spacing w:lineRule="auto" w:line="256" w:before="0" w:after="240"/>
        <w:jc w:val="left"/>
        <w:rPr>
          <w:rFonts w:ascii="Arial;sans-serif" w:hAnsi="Arial;sans-serif"/>
          <w:b w:val="false"/>
          <w:color w:val="242424"/>
          <w:sz w:val="20"/>
        </w:rPr>
      </w:pPr>
      <w:r>
        <w:rPr>
          <w:rFonts w:ascii="Arial;sans-serif" w:hAnsi="Arial;sans-serif"/>
          <w:b w:val="false"/>
          <w:color w:val="242424"/>
          <w:sz w:val="20"/>
        </w:rPr>
        <w:t>We believe Weatherford has evolved into a more efficient, technologically advanced, and strategically positioned organization. With a continued focus on innovation, operational excellence, and financial discipline, we remain committed to delivering sustained long-term value for our shareholders, fostering a high-performance culture for our employees, and driving superior outcomes for our customers globally.</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68325"/>
                <wp:effectExtent l="0" t="0" r="0" b="0"/>
                <wp:wrapNone/>
                <wp:docPr id="57" name="Frame3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Named Executive Officers</w:t>
      </w:r>
    </w:p>
    <w:p>
      <w:pPr>
        <w:pStyle w:val="TextBody"/>
        <w:bidi w:val="0"/>
        <w:spacing w:lineRule="auto" w:line="256" w:before="0" w:after="0"/>
        <w:jc w:val="left"/>
        <w:rPr>
          <w:rFonts w:ascii="Arial;sans-serif" w:hAnsi="Arial;sans-serif"/>
          <w:b w:val="false"/>
          <w:color w:val="242424"/>
          <w:sz w:val="20"/>
        </w:rPr>
      </w:pPr>
      <w:r>
        <w:rPr>
          <w:rFonts w:ascii="Arial;sans-serif" w:hAnsi="Arial;sans-serif"/>
          <w:b w:val="false"/>
          <w:color w:val="242424"/>
          <w:sz w:val="20"/>
        </w:rPr>
        <w:t xml:space="preserve">This Compensation Discussion and Analysis (“CD&amp;A”) describes the 2024 decisions made concerning the compensation of the Company’s Named Executive Officers (“NEOs”) listed in the table below. It also discusses our overall compensation philosophy and fundamental principles, our compensation planning and decision-making process, as well as our 2024 performance results and executive compensation outcomes. </w:t>
      </w:r>
    </w:p>
    <w:p>
      <w:pPr>
        <w:pStyle w:val="TextBody"/>
        <w:bidi w:val="0"/>
        <w:spacing w:before="0" w:after="0"/>
        <w:jc w:val="left"/>
        <w:rPr/>
      </w:pPr>
      <w:r>
        <w:rPr/>
      </w:r>
    </w:p>
    <w:tbl>
      <w:tblPr>
        <w:tblW w:w="9958" w:type="dxa"/>
        <w:jc w:val="center"/>
        <w:tblInd w:w="0" w:type="dxa"/>
        <w:tblLayout w:type="fixed"/>
        <w:tblCellMar>
          <w:top w:w="28" w:type="dxa"/>
          <w:left w:w="28" w:type="dxa"/>
          <w:bottom w:w="28" w:type="dxa"/>
          <w:right w:w="28" w:type="dxa"/>
        </w:tblCellMar>
      </w:tblPr>
      <w:tblGrid>
        <w:gridCol w:w="869"/>
        <w:gridCol w:w="764"/>
        <w:gridCol w:w="766"/>
        <w:gridCol w:w="2209"/>
        <w:gridCol w:w="2209"/>
        <w:gridCol w:w="3141"/>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Named Executive Officer</w:t>
            </w:r>
          </w:p>
        </w:tc>
        <w:tc>
          <w:tcPr>
            <w:tcW w:w="7559"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Position in 2024</w:t>
            </w:r>
          </w:p>
        </w:tc>
      </w:tr>
      <w:tr>
        <w:trPr/>
        <w:tc>
          <w:tcPr>
            <w:tcW w:w="2399" w:type="dxa"/>
            <w:gridSpan w:val="3"/>
            <w:tcBorders>
              <w:top w:val="single" w:sz="8" w:space="0" w:color="B6B6B6"/>
              <w:left w:val="single" w:sz="8" w:space="0" w:color="B6B6B6"/>
            </w:tcBorders>
            <w:shd w:fill="D1D3D4" w:val="clear"/>
            <w:tcMar>
              <w:top w:w="30" w:type="dxa"/>
              <w:left w:w="11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Girishchandra K. Saligram</w:t>
            </w:r>
          </w:p>
        </w:tc>
        <w:tc>
          <w:tcPr>
            <w:tcW w:w="7559"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President, Chief Executive Officer &amp; Director (“CEO”)</w:t>
            </w:r>
          </w:p>
        </w:tc>
      </w:tr>
      <w:tr>
        <w:trPr/>
        <w:tc>
          <w:tcPr>
            <w:tcW w:w="2399" w:type="dxa"/>
            <w:gridSpan w:val="3"/>
            <w:tcBorders>
              <w:left w:val="single" w:sz="8" w:space="0" w:color="B6B6B6"/>
            </w:tcBorders>
            <w:shd w:fill="FFFFFF" w:val="clear"/>
            <w:tcMar>
              <w:top w:w="0" w:type="dxa"/>
              <w:left w:w="11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Scott C. Weatherholt</w:t>
            </w:r>
          </w:p>
        </w:tc>
        <w:tc>
          <w:tcPr>
            <w:tcW w:w="7559" w:type="dxa"/>
            <w:gridSpan w:val="3"/>
            <w:tcBorders>
              <w:left w:val="single" w:sz="8" w:space="0" w:color="B6B6B6"/>
              <w:right w:val="single" w:sz="8" w:space="0" w:color="B6B6B6"/>
            </w:tcBorders>
            <w:shd w:fill="FFFFFF" w:val="clear"/>
            <w:tcMar>
              <w:top w:w="0" w:type="dxa"/>
              <w:bottom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Executive Vice President, General Counsel &amp; Chief Compliance Officer</w:t>
            </w:r>
          </w:p>
        </w:tc>
      </w:tr>
      <w:tr>
        <w:trPr/>
        <w:tc>
          <w:tcPr>
            <w:tcW w:w="2399"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Richard D. Ward</w:t>
            </w:r>
            <w:r>
              <w:rPr>
                <w:rFonts w:ascii="Arial;sans-serif" w:hAnsi="Arial;sans-serif"/>
                <w:b w:val="false"/>
                <w:color w:val="242424"/>
                <w:sz w:val="13"/>
              </w:rPr>
              <w:t>(1)</w:t>
            </w:r>
          </w:p>
        </w:tc>
        <w:tc>
          <w:tcPr>
            <w:tcW w:w="7559"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Executive Vice President, Global Field Operations</w:t>
            </w:r>
          </w:p>
        </w:tc>
      </w:tr>
      <w:tr>
        <w:trPr/>
        <w:tc>
          <w:tcPr>
            <w:tcW w:w="2399" w:type="dxa"/>
            <w:gridSpan w:val="3"/>
            <w:tcBorders>
              <w:top w:val="single" w:sz="8" w:space="0" w:color="B6B6B6"/>
              <w:left w:val="single" w:sz="8" w:space="0" w:color="B6B6B6"/>
            </w:tcBorders>
            <w:shd w:fill="FFFFFF" w:val="clear"/>
            <w:tcMar>
              <w:top w:w="30" w:type="dxa"/>
              <w:left w:w="11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Desmond J. Mills</w:t>
            </w:r>
          </w:p>
        </w:tc>
        <w:tc>
          <w:tcPr>
            <w:tcW w:w="7559" w:type="dxa"/>
            <w:gridSpan w:val="3"/>
            <w:tcBorders>
              <w:top w:val="single" w:sz="8" w:space="0" w:color="B6B6B6"/>
              <w:left w:val="single" w:sz="8" w:space="0" w:color="B6B6B6"/>
              <w:bottom w:val="single" w:sz="8" w:space="0" w:color="B6B6B6"/>
              <w:right w:val="single" w:sz="8" w:space="0" w:color="B6B6B6"/>
            </w:tcBorders>
            <w:shd w:fill="FFFFFF" w:val="clear"/>
            <w:tcMar>
              <w:top w:w="30" w:type="dxa"/>
              <w:bottom w:w="3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Senior Vice President &amp; Chief Accounting Officer</w:t>
            </w:r>
          </w:p>
        </w:tc>
      </w:tr>
      <w:tr>
        <w:trPr/>
        <w:tc>
          <w:tcPr>
            <w:tcW w:w="9958" w:type="dxa"/>
            <w:gridSpan w:val="6"/>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Former Executive Officers</w:t>
            </w:r>
          </w:p>
        </w:tc>
      </w:tr>
      <w:tr>
        <w:trPr/>
        <w:tc>
          <w:tcPr>
            <w:tcW w:w="239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Arunava Mitra</w:t>
            </w:r>
            <w:r>
              <w:rPr>
                <w:rFonts w:ascii="Arial;sans-serif" w:hAnsi="Arial;sans-serif"/>
                <w:b w:val="false"/>
                <w:color w:val="242424"/>
                <w:sz w:val="13"/>
              </w:rPr>
              <w:t>(2)</w:t>
            </w:r>
          </w:p>
        </w:tc>
        <w:tc>
          <w:tcPr>
            <w:tcW w:w="7559"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Former Executive Vice President &amp; Chief Financial Officer (“CFO”)</w:t>
            </w:r>
          </w:p>
        </w:tc>
      </w:tr>
      <w:tr>
        <w:trPr/>
        <w:tc>
          <w:tcPr>
            <w:tcW w:w="2399"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Charles W. Davison, Jr.</w:t>
            </w:r>
            <w:r>
              <w:rPr>
                <w:rFonts w:ascii="Arial;sans-serif" w:hAnsi="Arial;sans-serif"/>
                <w:b w:val="false"/>
                <w:color w:val="242424"/>
                <w:sz w:val="13"/>
              </w:rPr>
              <w:t>(3)</w:t>
            </w:r>
          </w:p>
        </w:tc>
        <w:tc>
          <w:tcPr>
            <w:tcW w:w="7559" w:type="dxa"/>
            <w:gridSpan w:val="3"/>
            <w:tcBorders>
              <w:top w:val="single" w:sz="8" w:space="0" w:color="B6B6B6"/>
              <w:left w:val="single" w:sz="8" w:space="0" w:color="B6B6B6"/>
              <w:bottom w:val="single" w:sz="8" w:space="0" w:color="B6B6B6"/>
              <w:right w:val="single" w:sz="8" w:space="0" w:color="B6B6B6"/>
            </w:tcBorders>
            <w:shd w:fill="D1D3D4" w:val="clear"/>
            <w:tcMar>
              <w:top w:w="30" w:type="dxa"/>
              <w:bottom w:w="3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Former Executive Vice President, Chief Fulfillment &amp; Enterprise Infrastructure Officer</w:t>
            </w:r>
          </w:p>
        </w:tc>
      </w:tr>
      <w:tr>
        <w:trPr/>
        <w:tc>
          <w:tcPr>
            <w:tcW w:w="9958" w:type="dxa"/>
            <w:gridSpan w:val="6"/>
            <w:tcBorders>
              <w:top w:val="single" w:sz="8" w:space="0" w:color="B6B6B6"/>
            </w:tcBorders>
            <w:tcMar>
              <w:top w:w="30" w:type="dxa"/>
              <w:left w:w="0" w:type="dxa"/>
              <w:bottom w:w="0" w:type="dxa"/>
              <w:right w:w="0" w:type="dxa"/>
            </w:tcMar>
            <w:vAlign w:val="center"/>
          </w:tcPr>
          <w:p>
            <w:pPr>
              <w:pStyle w:val="TableContents"/>
              <w:bidi w:val="0"/>
              <w:spacing w:lineRule="auto" w:line="256" w:before="0" w:after="0"/>
              <w:jc w:val="left"/>
              <w:rPr/>
            </w:pPr>
            <w:r>
              <w:rPr>
                <w:rFonts w:ascii="sans-serif" w:hAnsi="sans-serif"/>
                <w:b w:val="false"/>
                <w:i/>
                <w:color w:val="C3002F"/>
                <w:sz w:val="12"/>
              </w:rPr>
              <w:t>(1)</w:t>
            </w:r>
            <w:r>
              <w:rPr>
                <w:color w:val="000000"/>
              </w:rPr>
              <w:t xml:space="preserve"> </w:t>
            </w:r>
            <w:r>
              <w:rPr>
                <w:rFonts w:ascii="sans-serif" w:hAnsi="sans-serif"/>
                <w:b w:val="false"/>
                <w:i/>
                <w:color w:val="000000"/>
                <w:sz w:val="18"/>
              </w:rPr>
              <w:t>Mr. Ward joined the Company in January 2024.</w:t>
            </w:r>
          </w:p>
          <w:p>
            <w:pPr>
              <w:pStyle w:val="TableContents"/>
              <w:bidi w:val="0"/>
              <w:spacing w:lineRule="auto" w:line="256" w:before="0" w:after="0"/>
              <w:jc w:val="left"/>
              <w:rPr/>
            </w:pPr>
            <w:r>
              <w:rPr>
                <w:rFonts w:ascii="sans-serif" w:hAnsi="sans-serif"/>
                <w:b w:val="false"/>
                <w:i/>
                <w:color w:val="CE1141"/>
                <w:sz w:val="12"/>
              </w:rPr>
              <w:t>(2)</w:t>
            </w:r>
            <w:r>
              <w:rPr>
                <w:color w:val="000000"/>
              </w:rPr>
              <w:t xml:space="preserve"> </w:t>
            </w:r>
            <w:r>
              <w:rPr>
                <w:rFonts w:ascii="sans-serif" w:hAnsi="sans-serif"/>
                <w:b w:val="false"/>
                <w:i/>
                <w:color w:val="000000"/>
                <w:sz w:val="18"/>
              </w:rPr>
              <w:t>Mr. Mitra departed the Company on April 21, 2025.</w:t>
            </w:r>
          </w:p>
          <w:p>
            <w:pPr>
              <w:pStyle w:val="TableContents"/>
              <w:bidi w:val="0"/>
              <w:spacing w:lineRule="auto" w:line="256" w:before="0" w:after="0"/>
              <w:jc w:val="left"/>
              <w:rPr/>
            </w:pPr>
            <w:r>
              <w:rPr>
                <w:rFonts w:ascii="sans-serif" w:hAnsi="sans-serif"/>
                <w:b w:val="false"/>
                <w:i/>
                <w:color w:val="C3002F"/>
                <w:sz w:val="12"/>
              </w:rPr>
              <w:t>(2)</w:t>
            </w:r>
            <w:r>
              <w:rPr>
                <w:color w:val="000000"/>
              </w:rPr>
              <w:t xml:space="preserve"> </w:t>
            </w:r>
            <w:r>
              <w:rPr>
                <w:rFonts w:ascii="sans-serif" w:hAnsi="sans-serif"/>
                <w:b w:val="false"/>
                <w:i/>
                <w:color w:val="000000"/>
                <w:sz w:val="18"/>
              </w:rPr>
              <w:t xml:space="preserve">Mr. Davison departed the Company on February 6, 2024. </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COMPENSATION PROGRAM OVERVIEW</w:t>
      </w:r>
    </w:p>
    <w:p>
      <w:pPr>
        <w:pStyle w:val="TextBody"/>
        <w:bidi w:val="0"/>
        <w:spacing w:lineRule="auto" w:line="268" w:before="0" w:after="180"/>
        <w:jc w:val="left"/>
        <w:rPr>
          <w:rFonts w:ascii="Arial;sans-serif" w:hAnsi="Arial;sans-serif"/>
          <w:b w:val="false"/>
          <w:color w:val="242424"/>
          <w:sz w:val="20"/>
        </w:rPr>
      </w:pPr>
      <w:r>
        <w:rPr>
          <w:rFonts w:ascii="Arial;sans-serif" w:hAnsi="Arial;sans-serif"/>
          <w:b w:val="false"/>
          <w:color w:val="242424"/>
          <w:sz w:val="20"/>
        </w:rPr>
        <w:t>The Compensation &amp; Human Resources Committee of our Board (the “Committee”) oversees our compensation program and associated plans, policies and philosophy, all of which are designed to align with our strategic initiatives, maintain competitiveness and ensure compliance with legislative and listing requirements. The Committee also reviews and considers this philosophy from time to time, with input from our independent compensation consultant Lyons, Benenson &amp; Company Inc. (“LB&amp;Co.”), and makes adjustments as needed.</w:t>
      </w:r>
    </w:p>
    <w:p>
      <w:pPr>
        <w:pStyle w:val="TextBody"/>
        <w:bidi w:val="0"/>
        <w:spacing w:lineRule="auto" w:line="256" w:before="0" w:after="120"/>
        <w:jc w:val="left"/>
        <w:rPr>
          <w:rFonts w:ascii="Arial;sans-serif" w:hAnsi="Arial;sans-serif"/>
          <w:b w:val="false"/>
          <w:i/>
          <w:color w:val="242424"/>
          <w:sz w:val="22"/>
        </w:rPr>
      </w:pPr>
      <w:r>
        <w:rPr>
          <w:rFonts w:ascii="Arial;sans-serif" w:hAnsi="Arial;sans-serif"/>
          <w:b w:val="false"/>
          <w:i/>
          <w:color w:val="242424"/>
          <w:sz w:val="22"/>
        </w:rPr>
        <w:t>Compensation Philosophy and Program Objectives</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We have developed our compensation philosophy based on the overarching belief that compensation should:</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Attract, motivate, retain and reward the key executive and managerial talent needed for our Company to achieve its goals and objectives;</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Reflect pay-for-performance by aligning the interests of our executives and shareholders through the use of performance-based short-term cash and time- and performance-based long term equity incentive compensation;</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Promote long-term value creation and growth strategies; and</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Ensure line-of-sight toward the key performance measures that are indicative of Company profitability and gains in shareholder value.</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We believe in transparency in executive compensation and have designed our program to be performance-driven, easy to understand and appropriately aligned with shareholders’ interests. To this end, our program:</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 xml:space="preserve">Reflects competitive market practices in both compensation </w:t>
      </w:r>
      <w:r>
        <w:rPr>
          <w:rFonts w:ascii="Arial;sans-serif" w:hAnsi="Arial;sans-serif"/>
          <w:b w:val="false"/>
          <w:color w:val="242424"/>
          <w:sz w:val="20"/>
        </w:rPr>
        <w:t xml:space="preserve">plan design and compensation opportunities; </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Emphasizes absolute and relative financial results through the combination of our short- and long-term incentive plans; and</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Aligns with our strategic objectives on growth and relative perf</w:t>
      </w:r>
      <w:r>
        <w:rPr>
          <w:rFonts w:ascii="Arial;sans-serif" w:hAnsi="Arial;sans-serif"/>
          <w:b w:val="false"/>
          <w:color w:val="000000"/>
          <w:sz w:val="20"/>
        </w:rPr>
        <w:t xml:space="preserve">ormance.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68325"/>
                <wp:effectExtent l="0" t="0" r="0" b="0"/>
                <wp:wrapNone/>
                <wp:docPr id="58" name="Frame3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 xml:space="preserve">The following table outlines how we believe the major categories of our NEO compensation program align with our overall compensation philosophy: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38"/>
        <w:gridCol w:w="825"/>
        <w:gridCol w:w="826"/>
        <w:gridCol w:w="1300"/>
        <w:gridCol w:w="1300"/>
        <w:gridCol w:w="1302"/>
        <w:gridCol w:w="1086"/>
        <w:gridCol w:w="1086"/>
        <w:gridCol w:w="1542"/>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589"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center"/>
              <w:rPr/>
            </w:pPr>
            <w:r>
              <w:rPr>
                <w:rFonts w:ascii="sans-serif" w:hAnsi="sans-serif"/>
                <w:b/>
                <w:sz w:val="24"/>
              </w:rPr>
              <w:br/>
            </w:r>
            <w:r>
              <w:rPr>
                <w:rFonts w:ascii="sans-serif" w:hAnsi="sans-serif"/>
                <w:b/>
                <w:color w:val="FFFFFF"/>
                <w:sz w:val="24"/>
              </w:rPr>
              <w:t>Compensation Element</w:t>
            </w:r>
          </w:p>
        </w:tc>
        <w:tc>
          <w:tcPr>
            <w:tcW w:w="3902"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68" w:before="0" w:after="283"/>
              <w:jc w:val="center"/>
              <w:rPr>
                <w:rFonts w:ascii="sans-serif" w:hAnsi="sans-serif"/>
                <w:b/>
                <w:color w:val="FFFFFF"/>
                <w:sz w:val="24"/>
              </w:rPr>
            </w:pPr>
            <w:r>
              <w:rPr>
                <w:rFonts w:ascii="sans-serif" w:hAnsi="sans-serif"/>
                <w:b/>
                <w:color w:val="FFFFFF"/>
                <w:sz w:val="24"/>
              </w:rPr>
              <w:t>Description</w:t>
            </w:r>
          </w:p>
        </w:tc>
        <w:tc>
          <w:tcPr>
            <w:tcW w:w="3714"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68" w:before="0" w:after="283"/>
              <w:jc w:val="center"/>
              <w:rPr>
                <w:rFonts w:ascii="sans-serif" w:hAnsi="sans-serif"/>
                <w:b/>
                <w:color w:val="FFFFFF"/>
                <w:sz w:val="24"/>
              </w:rPr>
            </w:pPr>
            <w:r>
              <w:rPr>
                <w:rFonts w:ascii="sans-serif" w:hAnsi="sans-serif"/>
                <w:b/>
                <w:color w:val="FFFFFF"/>
                <w:sz w:val="24"/>
              </w:rPr>
              <w:t>Underlying Principle</w:t>
            </w:r>
          </w:p>
        </w:tc>
      </w:tr>
      <w:tr>
        <w:trPr/>
        <w:tc>
          <w:tcPr>
            <w:tcW w:w="2589" w:type="dxa"/>
            <w:gridSpan w:val="3"/>
            <w:tcBorders>
              <w:top w:val="single" w:sz="8" w:space="0" w:color="B6B6B6"/>
              <w:left w:val="single" w:sz="8" w:space="0" w:color="B6B6B6"/>
            </w:tcBorders>
            <w:shd w:fill="CCCCCC" w:val="clear"/>
            <w:tcMar>
              <w:top w:w="30" w:type="dxa"/>
              <w:bottom w:w="0" w:type="dxa"/>
              <w:right w:w="0" w:type="dxa"/>
            </w:tcMar>
            <w:vAlign w:val="center"/>
          </w:tcPr>
          <w:p>
            <w:pPr>
              <w:pStyle w:val="TableContents"/>
              <w:bidi w:val="0"/>
              <w:spacing w:lineRule="auto" w:line="268" w:before="0" w:after="283"/>
              <w:jc w:val="center"/>
              <w:rPr>
                <w:rFonts w:ascii="sans-serif" w:hAnsi="sans-serif"/>
                <w:b/>
                <w:color w:val="000000"/>
                <w:sz w:val="24"/>
              </w:rPr>
            </w:pPr>
            <w:r>
              <w:rPr>
                <w:rFonts w:ascii="sans-serif" w:hAnsi="sans-serif"/>
                <w:b/>
                <w:color w:val="000000"/>
                <w:sz w:val="24"/>
              </w:rPr>
              <w:t>Base Salary</w:t>
            </w:r>
          </w:p>
        </w:tc>
        <w:tc>
          <w:tcPr>
            <w:tcW w:w="3902" w:type="dxa"/>
            <w:gridSpan w:val="3"/>
            <w:tcBorders>
              <w:top w:val="single" w:sz="8" w:space="0" w:color="B6B6B6"/>
              <w:left w:val="single" w:sz="8" w:space="0" w:color="B6B6B6"/>
            </w:tcBorders>
            <w:shd w:fill="CCCCCC" w:val="clear"/>
            <w:tcMar>
              <w:top w:w="30" w:type="dxa"/>
              <w:bottom w:w="0" w:type="dxa"/>
              <w:right w:w="0" w:type="dxa"/>
            </w:tcMar>
            <w:vAlign w:val="center"/>
          </w:tcPr>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Fixed cash compensation that is predicated on responsibility, skills, experience and market alignment</w:t>
            </w:r>
          </w:p>
        </w:tc>
        <w:tc>
          <w:tcPr>
            <w:tcW w:w="3714" w:type="dxa"/>
            <w:gridSpan w:val="3"/>
            <w:tcBorders>
              <w:top w:val="single" w:sz="8" w:space="0" w:color="B6B6B6"/>
              <w:left w:val="single" w:sz="8" w:space="0" w:color="B6B6B6"/>
              <w:right w:val="single" w:sz="8" w:space="0" w:color="B6B6B6"/>
            </w:tcBorders>
            <w:shd w:fill="CCCCCC" w:val="clear"/>
            <w:tcMar>
              <w:top w:w="30" w:type="dxa"/>
              <w:bottom w:w="0" w:type="dxa"/>
            </w:tcMar>
            <w:vAlign w:val="center"/>
          </w:tcPr>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Attract and retain high caliber talent with a competitive level of stable compensation</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Provide a solid foundation for a market competitive compensation package</w:t>
            </w:r>
          </w:p>
          <w:p>
            <w:pPr>
              <w:pStyle w:val="TableContents"/>
              <w:bidi w:val="0"/>
              <w:spacing w:before="0" w:after="0"/>
              <w:jc w:val="left"/>
              <w:rPr/>
            </w:pPr>
            <w:r>
              <w:rPr/>
            </w:r>
          </w:p>
        </w:tc>
      </w:tr>
      <w:tr>
        <w:trPr/>
        <w:tc>
          <w:tcPr>
            <w:tcW w:w="258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sans-serif" w:hAnsi="sans-serif"/>
                <w:b/>
                <w:color w:val="000000"/>
                <w:sz w:val="24"/>
              </w:rPr>
            </w:pPr>
            <w:r>
              <w:rPr>
                <w:rFonts w:ascii="sans-serif" w:hAnsi="sans-serif"/>
                <w:b/>
                <w:color w:val="000000"/>
                <w:sz w:val="24"/>
              </w:rPr>
              <w:t>Short-Term Incentive Plan Opportunities</w:t>
            </w:r>
          </w:p>
        </w:tc>
        <w:tc>
          <w:tcPr>
            <w:tcW w:w="3902"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Annual cash compensation award tied to the achievement of pre-determined short-term performance goals approved annually by the Committee</w:t>
            </w:r>
          </w:p>
          <w:p>
            <w:pPr>
              <w:pStyle w:val="TableContents"/>
              <w:bidi w:val="0"/>
              <w:spacing w:before="0" w:after="0"/>
              <w:jc w:val="left"/>
              <w:rPr/>
            </w:pPr>
            <w:r>
              <w:rPr/>
            </w:r>
          </w:p>
        </w:tc>
        <w:tc>
          <w:tcPr>
            <w:tcW w:w="3714"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Reward achievement of corporate, business unit (where applicable), and individual NEO goals and contributions to the Company</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Promote line-of-sight toward the Company’s real-time profitability</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Motivate the achievement of quantitative performance goals</w:t>
            </w:r>
          </w:p>
          <w:p>
            <w:pPr>
              <w:pStyle w:val="TableContents"/>
              <w:bidi w:val="0"/>
              <w:spacing w:before="0" w:after="0"/>
              <w:ind w:left="0" w:right="0" w:firstLine="90"/>
              <w:jc w:val="left"/>
              <w:rPr/>
            </w:pPr>
            <w:r>
              <w:rPr/>
            </w:r>
          </w:p>
        </w:tc>
      </w:tr>
      <w:tr>
        <w:trPr/>
        <w:tc>
          <w:tcPr>
            <w:tcW w:w="2589" w:type="dxa"/>
            <w:gridSpan w:val="3"/>
            <w:tcBorders>
              <w:top w:val="single" w:sz="8" w:space="0" w:color="B6B6B6"/>
              <w:left w:val="single" w:sz="8" w:space="0" w:color="B6B6B6"/>
              <w:bottom w:val="single" w:sz="8" w:space="0" w:color="B6B6B6"/>
            </w:tcBorders>
            <w:shd w:fill="CCCCCC" w:val="clear"/>
            <w:tcMar>
              <w:top w:w="30" w:type="dxa"/>
              <w:bottom w:w="30" w:type="dxa"/>
              <w:right w:w="0" w:type="dxa"/>
            </w:tcMar>
            <w:vAlign w:val="center"/>
          </w:tcPr>
          <w:p>
            <w:pPr>
              <w:pStyle w:val="TableContents"/>
              <w:bidi w:val="0"/>
              <w:spacing w:lineRule="auto" w:line="268" w:before="0" w:after="283"/>
              <w:jc w:val="center"/>
              <w:rPr>
                <w:rFonts w:ascii="sans-serif" w:hAnsi="sans-serif"/>
                <w:b/>
                <w:color w:val="000000"/>
                <w:sz w:val="24"/>
              </w:rPr>
            </w:pPr>
            <w:r>
              <w:rPr>
                <w:rFonts w:ascii="sans-serif" w:hAnsi="sans-serif"/>
                <w:b/>
                <w:color w:val="000000"/>
                <w:sz w:val="24"/>
              </w:rPr>
              <w:t>Long-Term Incentive Plan Opportunities</w:t>
            </w:r>
          </w:p>
        </w:tc>
        <w:tc>
          <w:tcPr>
            <w:tcW w:w="3902" w:type="dxa"/>
            <w:gridSpan w:val="3"/>
            <w:tcBorders>
              <w:top w:val="single" w:sz="8" w:space="0" w:color="B6B6B6"/>
              <w:left w:val="single" w:sz="8" w:space="0" w:color="B6B6B6"/>
              <w:bottom w:val="single" w:sz="8" w:space="0" w:color="B6B6B6"/>
            </w:tcBorders>
            <w:shd w:fill="CCCCCC" w:val="clear"/>
            <w:tcMar>
              <w:top w:w="30" w:type="dxa"/>
              <w:bottom w:w="30" w:type="dxa"/>
              <w:right w:w="0" w:type="dxa"/>
            </w:tcMar>
            <w:vAlign w:val="center"/>
          </w:tcPr>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Equity awards delivered to our NEOs in a combination of time-vested restricted share units (“RSUs”) and performance share units (“PSUs”)</w:t>
            </w:r>
          </w:p>
          <w:p>
            <w:pPr>
              <w:pStyle w:val="TableContents"/>
              <w:bidi w:val="0"/>
              <w:spacing w:before="0" w:after="0"/>
              <w:jc w:val="left"/>
              <w:rPr/>
            </w:pPr>
            <w:r>
              <w:rPr/>
            </w:r>
          </w:p>
        </w:tc>
        <w:tc>
          <w:tcPr>
            <w:tcW w:w="3714" w:type="dxa"/>
            <w:gridSpan w:val="3"/>
            <w:tcBorders>
              <w:top w:val="single" w:sz="8" w:space="0" w:color="B6B6B6"/>
              <w:left w:val="single" w:sz="8" w:space="0" w:color="B6B6B6"/>
              <w:bottom w:val="single" w:sz="8" w:space="0" w:color="B6B6B6"/>
              <w:right w:val="single" w:sz="8" w:space="0" w:color="B6B6B6"/>
            </w:tcBorders>
            <w:shd w:fill="CCCCCC" w:val="clear"/>
            <w:tcMar>
              <w:top w:w="30" w:type="dxa"/>
              <w:bottom w:w="30" w:type="dxa"/>
            </w:tcMar>
            <w:vAlign w:val="center"/>
          </w:tcPr>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Reward performance that drives long-term shareholder value creation and sustained results across industry cycles and market changes</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Promote retention through an annual equity grant program with long-term vesting schedules</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sans-serif" w:hAnsi="sans-serif"/>
                <w:b w:val="false"/>
                <w:color w:val="000000"/>
                <w:sz w:val="22"/>
              </w:rPr>
              <w:t>Align executive and shareholder interests</w:t>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240" w:after="120"/>
        <w:jc w:val="left"/>
        <w:rPr>
          <w:rFonts w:ascii="Arial;sans-serif" w:hAnsi="Arial;sans-serif"/>
          <w:b w:val="false"/>
          <w:i/>
          <w:color w:val="242424"/>
          <w:sz w:val="22"/>
        </w:rPr>
      </w:pPr>
      <w:r>
        <w:rPr>
          <w:rFonts w:ascii="Arial;sans-serif" w:hAnsi="Arial;sans-serif"/>
          <w:b w:val="false"/>
          <w:i/>
          <w:color w:val="242424"/>
          <w:sz w:val="22"/>
        </w:rPr>
        <w:t>Pay Mix &amp; Overall Compensation Structure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primary elements of our executive compensation program are base salary, short-term incentive compensation (cash) and long-term incentive compensation (equity). Our compensation structure embodies our commitment to our pay-for-performance philosophy. A meaningful portion of our NEOs’ total compensation is linked to the achievement of predetermined quantitative performance goals through our 2024 Short-Term Annual Incentive Plan (“STI Plan”) and through PSUs issued under our Long-Term Incentive Plan (“LTI Plan”).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following graphics illustrate the mix between fixed pay (base salary) and variable pay (STI Plan and LTI Plan compensation) for our CEO and the average of our NEOs other than the CEO, in each case based on 2024 target compensation levels. Actual 2024 compensation, which is discussed later in this CD&amp;A, varies based on actual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68325"/>
                <wp:effectExtent l="0" t="0" r="0" b="0"/>
                <wp:wrapNone/>
                <wp:docPr id="59" name="Frame3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88" w:before="0" w:after="120"/>
        <w:jc w:val="left"/>
        <w:rPr/>
      </w:pPr>
      <w:r>
        <w:rPr>
          <w:rFonts w:ascii="Arial;sans-serif" w:hAnsi="Arial;sans-serif"/>
          <w:b w:val="false"/>
          <w:color w:val="242424"/>
          <w:sz w:val="20"/>
        </w:rPr>
        <w:t xml:space="preserve">In 2024, 89.3% of our CEO’s target compensation, and, on average, </w:t>
      </w:r>
      <w:r>
        <w:rPr>
          <w:rFonts w:ascii="Arial;sans-serif" w:hAnsi="Arial;sans-serif"/>
          <w:b w:val="false"/>
          <w:color w:val="000000"/>
          <w:sz w:val="20"/>
        </w:rPr>
        <w:t>76.8%</w:t>
      </w:r>
      <w:r>
        <w:rPr>
          <w:color w:val="242424"/>
        </w:rPr>
        <w:t xml:space="preserve"> </w:t>
      </w:r>
      <w:r>
        <w:rPr>
          <w:rFonts w:ascii="Arial;sans-serif" w:hAnsi="Arial;sans-serif"/>
          <w:b w:val="false"/>
          <w:color w:val="242424"/>
          <w:sz w:val="20"/>
        </w:rPr>
        <w:t xml:space="preserve">of our other NEOs’ target compensation, was “at risk,” or not guaranteed; and 10.7% and </w:t>
      </w:r>
      <w:r>
        <w:rPr>
          <w:rFonts w:ascii="Arial;sans-serif" w:hAnsi="Arial;sans-serif"/>
          <w:b w:val="false"/>
          <w:color w:val="000000"/>
          <w:sz w:val="20"/>
        </w:rPr>
        <w:t>23.2%</w:t>
      </w:r>
      <w:r>
        <w:rPr>
          <w:rFonts w:ascii="Arial;sans-serif" w:hAnsi="Arial;sans-serif"/>
          <w:b w:val="false"/>
          <w:color w:val="242424"/>
          <w:sz w:val="20"/>
        </w:rPr>
        <w:t xml:space="preserve">, respectively, was fixed in the form of base salary. </w:t>
      </w:r>
    </w:p>
    <w:p>
      <w:pPr>
        <w:pStyle w:val="TextBody"/>
        <w:bidi w:val="0"/>
        <w:spacing w:before="0" w:after="120"/>
        <w:jc w:val="center"/>
        <w:rPr/>
      </w:pPr>
      <w:r>
        <w:rPr/>
        <w:drawing>
          <wp:inline distT="0" distB="0" distL="0" distR="0">
            <wp:extent cx="7086600" cy="2581275"/>
            <wp:effectExtent l="0" t="0" r="0" b="0"/>
            <wp:docPr id="6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3" descr=""/>
                    <pic:cNvPicPr>
                      <a:picLocks noChangeAspect="1" noChangeArrowheads="1"/>
                    </pic:cNvPicPr>
                  </pic:nvPicPr>
                  <pic:blipFill>
                    <a:blip r:embed="rId24"/>
                    <a:stretch>
                      <a:fillRect/>
                    </a:stretch>
                  </pic:blipFill>
                  <pic:spPr bwMode="auto">
                    <a:xfrm>
                      <a:off x="0" y="0"/>
                      <a:ext cx="7086600" cy="2581275"/>
                    </a:xfrm>
                    <a:prstGeom prst="rect">
                      <a:avLst/>
                    </a:prstGeom>
                  </pic:spPr>
                </pic:pic>
              </a:graphicData>
            </a:graphic>
          </wp:inline>
        </w:drawing>
      </w:r>
    </w:p>
    <w:p>
      <w:pPr>
        <w:pStyle w:val="TextBody"/>
        <w:bidi w:val="0"/>
        <w:spacing w:before="240" w:after="120"/>
        <w:jc w:val="left"/>
        <w:rPr/>
      </w:pPr>
      <w:r>
        <w:rPr/>
      </w:r>
    </w:p>
    <w:p>
      <w:pPr>
        <w:pStyle w:val="TextBody"/>
        <w:bidi w:val="0"/>
        <w:spacing w:lineRule="auto" w:line="288" w:before="240" w:after="120"/>
        <w:jc w:val="left"/>
        <w:rPr>
          <w:rFonts w:ascii="Arial;sans-serif" w:hAnsi="Arial;sans-serif"/>
          <w:b w:val="false"/>
          <w:i/>
          <w:color w:val="242424"/>
          <w:sz w:val="22"/>
        </w:rPr>
      </w:pPr>
      <w:r>
        <w:rPr>
          <w:rFonts w:ascii="Arial;sans-serif" w:hAnsi="Arial;sans-serif"/>
          <w:b w:val="false"/>
          <w:i/>
          <w:color w:val="242424"/>
          <w:sz w:val="22"/>
        </w:rPr>
        <w:t>Compensation Practices &amp; Policies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presents an overview of our compensation structure and the fundamental compensation practices and policies we do and do not follow, in accordance with best practice in compensation governance.</w:t>
      </w:r>
    </w:p>
    <w:tbl>
      <w:tblPr>
        <w:tblW w:w="10205" w:type="dxa"/>
        <w:jc w:val="center"/>
        <w:tblInd w:w="0" w:type="dxa"/>
        <w:tblLayout w:type="fixed"/>
        <w:tblCellMar>
          <w:top w:w="28" w:type="dxa"/>
          <w:left w:w="28" w:type="dxa"/>
          <w:bottom w:w="28" w:type="dxa"/>
          <w:right w:w="28" w:type="dxa"/>
        </w:tblCellMar>
      </w:tblPr>
      <w:tblGrid>
        <w:gridCol w:w="141"/>
        <w:gridCol w:w="124"/>
        <w:gridCol w:w="124"/>
        <w:gridCol w:w="2011"/>
        <w:gridCol w:w="2011"/>
        <w:gridCol w:w="2014"/>
        <w:gridCol w:w="141"/>
        <w:gridCol w:w="141"/>
        <w:gridCol w:w="141"/>
        <w:gridCol w:w="1131"/>
        <w:gridCol w:w="918"/>
        <w:gridCol w:w="13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6425" w:type="dxa"/>
            <w:gridSpan w:val="6"/>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What We Do</w:t>
            </w:r>
          </w:p>
        </w:tc>
        <w:tc>
          <w:tcPr>
            <w:tcW w:w="3780" w:type="dxa"/>
            <w:gridSpan w:val="6"/>
            <w:tcBorders>
              <w:top w:val="single" w:sz="8" w:space="0" w:color="6B6B6A"/>
              <w:left w:val="single" w:sz="8" w:space="0" w:color="6B6B6A"/>
              <w:right w:val="single" w:sz="8" w:space="0" w:color="6B6B6A"/>
            </w:tcBorders>
            <w:shd w:fill="CE1141" w:val="clear"/>
            <w:tcMar>
              <w:top w:w="30" w:type="dxa"/>
              <w:bottom w:w="0" w:type="dxa"/>
            </w:tcMar>
            <w:vAlign w:val="center"/>
          </w:tcPr>
          <w:p>
            <w:pPr>
              <w:pStyle w:val="TableContents"/>
              <w:bidi w:val="0"/>
              <w:spacing w:lineRule="auto" w:line="268" w:before="0" w:after="0"/>
              <w:jc w:val="center"/>
              <w:rPr/>
            </w:pPr>
            <w:r>
              <w:rPr>
                <w:rFonts w:ascii="Arial;sans-serif" w:hAnsi="Arial;sans-serif"/>
                <w:b/>
                <w:color w:val="FFFFFF"/>
                <w:sz w:val="20"/>
              </w:rPr>
              <w:t xml:space="preserve">What We Do </w:t>
            </w:r>
            <w:r>
              <w:rPr>
                <w:rFonts w:ascii="Arial;sans-serif" w:hAnsi="Arial;sans-serif"/>
                <w:b/>
                <w:color w:val="FFFFFF"/>
                <w:sz w:val="20"/>
                <w:u w:val="single"/>
              </w:rPr>
              <w:t>Not</w:t>
            </w:r>
            <w:r>
              <w:rPr>
                <w:color w:val="FFFFFF"/>
              </w:rPr>
              <w:t xml:space="preserve"> </w:t>
            </w:r>
            <w:r>
              <w:rPr>
                <w:rFonts w:ascii="Arial;sans-serif" w:hAnsi="Arial;sans-serif"/>
                <w:b/>
                <w:color w:val="FFFFFF"/>
                <w:sz w:val="20"/>
              </w:rPr>
              <w:t>Do</w:t>
            </w:r>
          </w:p>
        </w:tc>
      </w:tr>
      <w:tr>
        <w:trPr/>
        <w:tc>
          <w:tcPr>
            <w:tcW w:w="389"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603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Pay-For-Performance — </w:t>
            </w:r>
            <w:r>
              <w:rPr>
                <w:rFonts w:ascii="Arial;sans-serif" w:hAnsi="Arial;sans-serif"/>
                <w:b w:val="false"/>
                <w:color w:val="000000"/>
                <w:sz w:val="16"/>
              </w:rPr>
              <w:t>We align the interests of our executives and shareholders through the use of performance-based annual cash incentive compensation and performance-based long-term equity incentive compensation.</w:t>
            </w:r>
          </w:p>
        </w:tc>
        <w:tc>
          <w:tcPr>
            <w:tcW w:w="42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357"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Automatic Salary Increases or Guaranteed Bonus Payments </w:t>
            </w:r>
          </w:p>
        </w:tc>
      </w:tr>
      <w:tr>
        <w:trPr/>
        <w:tc>
          <w:tcPr>
            <w:tcW w:w="389"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603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Double-Trigger Change in Control — </w:t>
            </w:r>
            <w:r>
              <w:rPr>
                <w:rFonts w:ascii="Arial;sans-serif" w:hAnsi="Arial;sans-serif"/>
                <w:b w:val="false"/>
                <w:color w:val="000000"/>
                <w:sz w:val="16"/>
              </w:rPr>
              <w:t>A “change in control” by itself is not sufficient to trigger payments, it must also be accompanied by a qualifying termination.</w:t>
            </w:r>
          </w:p>
        </w:tc>
        <w:tc>
          <w:tcPr>
            <w:tcW w:w="42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357"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Income or Excise Tax Gross Ups </w:t>
            </w:r>
          </w:p>
        </w:tc>
      </w:tr>
      <w:tr>
        <w:trPr/>
        <w:tc>
          <w:tcPr>
            <w:tcW w:w="389"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603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Clawback Policies — </w:t>
            </w:r>
            <w:r>
              <w:rPr>
                <w:rFonts w:ascii="Arial;sans-serif" w:hAnsi="Arial;sans-serif"/>
                <w:b w:val="false"/>
                <w:color w:val="000000"/>
                <w:sz w:val="16"/>
              </w:rPr>
              <w:t>We have a comprehensive executive officer clawback policy regarding the recoupment of incentive-based compensation in the event of a financial restatement in accordance with applicable law and Nasdaq listing requirements. We also maintain the discretionary ability to clawback incentive-based compensation if an executive engages in "detrimental activity.”</w:t>
            </w:r>
          </w:p>
        </w:tc>
        <w:tc>
          <w:tcPr>
            <w:tcW w:w="42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357"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pPr>
            <w:r>
              <w:rPr>
                <w:rFonts w:ascii="Arial;sans-serif" w:hAnsi="Arial;sans-serif"/>
                <w:b/>
                <w:color w:val="000000"/>
                <w:sz w:val="16"/>
              </w:rPr>
              <w:t xml:space="preserve">Permit Pledging &amp; Hedging of our Securities — </w:t>
            </w:r>
            <w:r>
              <w:rPr>
                <w:rFonts w:ascii="Arial;sans-serif" w:hAnsi="Arial;sans-serif"/>
                <w:b w:val="false"/>
                <w:color w:val="000000"/>
                <w:sz w:val="16"/>
              </w:rPr>
              <w:t>We maintain robust anti-pledging and anti-hedging policies that prohibit any short sale activities by our NEOs and independent directors.</w:t>
            </w:r>
          </w:p>
        </w:tc>
      </w:tr>
      <w:tr>
        <w:trPr/>
        <w:tc>
          <w:tcPr>
            <w:tcW w:w="389"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603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Share Ownership Guidelines — </w:t>
            </w:r>
            <w:r>
              <w:rPr>
                <w:rFonts w:ascii="Arial;sans-serif" w:hAnsi="Arial;sans-serif"/>
                <w:b w:val="false"/>
                <w:color w:val="000000"/>
                <w:sz w:val="16"/>
              </w:rPr>
              <w:t>We maintain rigorous and competitive share ownership guidelines for directors and executive officers, including the requirement that our CEO accumulate a holding of 10 times his base salary; that our other NEOs accumulate 5 times their base salaries; and that our independent directors accumulate 8 times their annual cash retainers.</w:t>
            </w:r>
          </w:p>
        </w:tc>
        <w:tc>
          <w:tcPr>
            <w:tcW w:w="42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357"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pPr>
            <w:r>
              <w:rPr>
                <w:rFonts w:ascii="Arial;sans-serif" w:hAnsi="Arial;sans-serif"/>
                <w:b/>
                <w:color w:val="000000"/>
                <w:sz w:val="16"/>
              </w:rPr>
              <w:t>Provide Defined Benefits / Supplemental Retirement Plans</w:t>
            </w:r>
            <w:r>
              <w:rPr>
                <w:color w:val="000000"/>
              </w:rPr>
              <w:t xml:space="preserve"> </w:t>
            </w:r>
          </w:p>
        </w:tc>
      </w:tr>
      <w:tr>
        <w:trPr/>
        <w:tc>
          <w:tcPr>
            <w:tcW w:w="389"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6036"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Annual Risk Assessment — </w:t>
            </w:r>
            <w:r>
              <w:rPr>
                <w:rFonts w:ascii="Arial;sans-serif" w:hAnsi="Arial;sans-serif"/>
                <w:b w:val="false"/>
                <w:color w:val="000000"/>
                <w:sz w:val="16"/>
              </w:rPr>
              <w:t>LB&amp;Co. conducts an annual comprehensive risk analysis of our executive compensation program to ensure that our program does not encourage inappropriate risk-taking.</w:t>
            </w:r>
          </w:p>
        </w:tc>
        <w:tc>
          <w:tcPr>
            <w:tcW w:w="423"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357" w:type="dxa"/>
            <w:gridSpan w:val="3"/>
            <w:tcBorders>
              <w:top w:val="single" w:sz="8" w:space="0" w:color="6B6B6A"/>
              <w:left w:val="single" w:sz="8" w:space="0" w:color="6B6B6A"/>
              <w:bottom w:val="single" w:sz="8" w:space="0" w:color="6B6B6A"/>
              <w:right w:val="single" w:sz="8" w:space="0" w:color="6B6B6A"/>
            </w:tcBorders>
            <w:tcMar>
              <w:top w:w="30" w:type="dxa"/>
              <w:bottom w:w="3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No Plan Design Features that Encourage Excessive or Imprudent Risk Taking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68325"/>
                <wp:effectExtent l="0" t="0" r="0" b="0"/>
                <wp:wrapNone/>
                <wp:docPr id="61" name="Frame3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THE COMPENSATION SETTING PROCESS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Committee oversees our executive compensation program and reviews the design of our compensation program at least annually to assess whether any changes are indicated by market practice or best governance standards. The Committee’s Charter, which documents its authority and responsibilities, is available on the Investor Relations page on the Company’s website by clicking Company Information, Corporate Governance and then Corporate Documents. </w:t>
      </w:r>
    </w:p>
    <w:p>
      <w:pPr>
        <w:pStyle w:val="TextBody"/>
        <w:bidi w:val="0"/>
        <w:spacing w:lineRule="auto" w:line="256" w:before="240" w:after="120"/>
        <w:jc w:val="left"/>
        <w:rPr>
          <w:rFonts w:ascii="Arial;sans-serif" w:hAnsi="Arial;sans-serif"/>
          <w:b w:val="false"/>
          <w:i/>
          <w:color w:val="000000"/>
          <w:sz w:val="22"/>
        </w:rPr>
      </w:pPr>
      <w:r>
        <w:rPr>
          <w:rFonts w:ascii="Arial;sans-serif" w:hAnsi="Arial;sans-serif"/>
          <w:b w:val="false"/>
          <w:i/>
          <w:color w:val="000000"/>
          <w:sz w:val="22"/>
        </w:rPr>
        <w:t>The Role of the Compensation and Human Resources Committee</w:t>
      </w:r>
    </w:p>
    <w:p>
      <w:pPr>
        <w:pStyle w:val="TextBody"/>
        <w:bidi w:val="0"/>
        <w:spacing w:lineRule="auto" w:line="256" w:before="0" w:after="120"/>
        <w:jc w:val="left"/>
        <w:rPr/>
      </w:pPr>
      <w:r>
        <w:rPr>
          <w:rFonts w:ascii="Arial;sans-serif" w:hAnsi="Arial;sans-serif"/>
          <w:b w:val="false"/>
          <w:i/>
          <w:color w:val="242424"/>
          <w:sz w:val="20"/>
        </w:rPr>
        <w:t>Structure of the Committee</w:t>
      </w:r>
      <w:r>
        <w:rPr>
          <w:rFonts w:ascii="Arial;sans-serif" w:hAnsi="Arial;sans-serif"/>
          <w:b w:val="false"/>
          <w:color w:val="242424"/>
          <w:sz w:val="20"/>
        </w:rPr>
        <w:t xml:space="preserve">: Currently, the Committee consists of </w:t>
      </w:r>
      <w:r>
        <w:rPr>
          <w:rFonts w:ascii="Arial;sans-serif" w:hAnsi="Arial;sans-serif"/>
          <w:b w:val="false"/>
          <w:color w:val="000000"/>
          <w:sz w:val="20"/>
        </w:rPr>
        <w:t>four</w:t>
      </w:r>
      <w:r>
        <w:rPr>
          <w:color w:val="242424"/>
        </w:rPr>
        <w:t xml:space="preserve"> </w:t>
      </w:r>
      <w:r>
        <w:rPr>
          <w:rFonts w:ascii="Arial;sans-serif" w:hAnsi="Arial;sans-serif"/>
          <w:b w:val="false"/>
          <w:color w:val="242424"/>
          <w:sz w:val="20"/>
        </w:rPr>
        <w:t xml:space="preserve">members of the Board, each of whom qualifies as independent and non-employee directors under Nasdaq listing standards and securities laws. We recognize the value of the independent directors’ perspectives on the Board and, as such, the non-executive Chairman of the Board, though not an official member of the Committee, generally participates in all Committee meetings. In 2024, the Committee held </w:t>
      </w:r>
      <w:r>
        <w:rPr>
          <w:rFonts w:ascii="Arial;sans-serif" w:hAnsi="Arial;sans-serif"/>
          <w:b w:val="false"/>
          <w:color w:val="000000"/>
          <w:sz w:val="18"/>
        </w:rPr>
        <w:t>nine</w:t>
      </w:r>
      <w:r>
        <w:rPr>
          <w:color w:val="242424"/>
        </w:rPr>
        <w:t xml:space="preserve"> </w:t>
      </w:r>
      <w:r>
        <w:rPr>
          <w:rFonts w:ascii="Arial;sans-serif" w:hAnsi="Arial;sans-serif"/>
          <w:b w:val="false"/>
          <w:color w:val="242424"/>
          <w:sz w:val="20"/>
        </w:rPr>
        <w:t>meetings, the majority of which ended with an executive session without management present.</w:t>
      </w:r>
    </w:p>
    <w:p>
      <w:pPr>
        <w:pStyle w:val="TextBody"/>
        <w:bidi w:val="0"/>
        <w:spacing w:lineRule="auto" w:line="288" w:before="0" w:after="120"/>
        <w:jc w:val="left"/>
        <w:rPr/>
      </w:pPr>
      <w:r>
        <w:rPr>
          <w:rFonts w:ascii="Arial;sans-serif" w:hAnsi="Arial;sans-serif"/>
          <w:b w:val="false"/>
          <w:i/>
          <w:color w:val="242424"/>
          <w:sz w:val="20"/>
        </w:rPr>
        <w:t>Decision Making</w:t>
      </w:r>
      <w:r>
        <w:rPr>
          <w:rFonts w:ascii="Arial;sans-serif" w:hAnsi="Arial;sans-serif"/>
          <w:b w:val="false"/>
          <w:color w:val="242424"/>
          <w:sz w:val="20"/>
        </w:rPr>
        <w:t xml:space="preserve">: The primary goal of the Committee is to fulfill the Board’s oversight responsibilities related to designing, implementing and monitoring the Company’s compensation philosophy, strategy and programs. In discharging its duties and determining compensation for our executive officers, the Committee considers, among other things, each executive officer’s position, responsibilities, experience, expertise, knowledge and qualifications; market factors; the industry in which we operate and compete; recruitment and retention factors; each executive officer’s individual performance and compensation history, as well as competitive positioning relative to similarly situated executives in our peer group, and our overall compensation philosophy. The Committee also considers the recommendations of the CEO relating to executive officers, other than himself, and is supported in its work by LB&amp;Co. </w:t>
      </w:r>
    </w:p>
    <w:p>
      <w:pPr>
        <w:pStyle w:val="TextBody"/>
        <w:bidi w:val="0"/>
        <w:spacing w:lineRule="auto" w:line="256" w:before="240" w:after="180"/>
        <w:jc w:val="left"/>
        <w:rPr>
          <w:rFonts w:ascii="Arial;sans-serif" w:hAnsi="Arial;sans-serif"/>
          <w:b w:val="false"/>
          <w:i/>
          <w:color w:val="000000"/>
          <w:sz w:val="22"/>
        </w:rPr>
      </w:pPr>
      <w:r>
        <w:rPr>
          <w:rFonts w:ascii="Arial;sans-serif" w:hAnsi="Arial;sans-serif"/>
          <w:b w:val="false"/>
          <w:i/>
          <w:color w:val="000000"/>
          <w:sz w:val="22"/>
        </w:rPr>
        <w:t>The Committee’s Compensation Setting &amp; Performance Review &amp; Measurement Process:</w:t>
      </w:r>
    </w:p>
    <w:p>
      <w:pPr>
        <w:pStyle w:val="TextBody"/>
        <w:bidi w:val="0"/>
        <w:spacing w:before="240" w:after="180"/>
        <w:jc w:val="center"/>
        <w:rPr/>
      </w:pPr>
      <w:r>
        <w:rPr/>
        <w:drawing>
          <wp:inline distT="0" distB="0" distL="0" distR="0">
            <wp:extent cx="6858000" cy="2419350"/>
            <wp:effectExtent l="0" t="0" r="0" b="0"/>
            <wp:docPr id="6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4" descr=""/>
                    <pic:cNvPicPr>
                      <a:picLocks noChangeAspect="1" noChangeArrowheads="1"/>
                    </pic:cNvPicPr>
                  </pic:nvPicPr>
                  <pic:blipFill>
                    <a:blip r:embed="rId25"/>
                    <a:stretch>
                      <a:fillRect/>
                    </a:stretch>
                  </pic:blipFill>
                  <pic:spPr bwMode="auto">
                    <a:xfrm>
                      <a:off x="0" y="0"/>
                      <a:ext cx="6858000" cy="24193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120"/>
        <w:jc w:val="left"/>
        <w:rPr/>
      </w:pPr>
      <w:r>
        <w:rPr>
          <w:rFonts w:ascii="Arial;sans-serif" w:hAnsi="Arial;sans-serif"/>
          <w:b w:val="false"/>
          <w:i/>
          <w:color w:val="000000"/>
          <w:sz w:val="20"/>
        </w:rPr>
        <w:t xml:space="preserve">Compensation Consultant Conflict of Interest Assessment: </w:t>
      </w:r>
      <w:r>
        <w:rPr>
          <w:rFonts w:ascii="Arial;sans-serif" w:hAnsi="Arial;sans-serif"/>
          <w:b w:val="false"/>
          <w:color w:val="000000"/>
          <w:sz w:val="20"/>
        </w:rPr>
        <w:t>As required by SEC rules, the Committee assessed all relevant factors and concluded that LB&amp;Co. was independent and that the work provided by LB&amp;Co. did not raise any conflict of interests in 2024. In making this determination, the Committee considered all relevant factors, including those set forth in Rule 10C-1(b)(4)(i) - (vi) under the Exchange Act.</w:t>
      </w:r>
    </w:p>
    <w:p>
      <w:pPr>
        <w:pStyle w:val="TextBody"/>
        <w:bidi w:val="0"/>
        <w:spacing w:lineRule="auto" w:line="268" w:before="0" w:after="120"/>
        <w:jc w:val="left"/>
        <w:rPr/>
      </w:pPr>
      <w:r>
        <w:rPr>
          <w:rFonts w:ascii="Arial;sans-serif" w:hAnsi="Arial;sans-serif"/>
          <w:b w:val="false"/>
          <w:i/>
          <w:color w:val="000000"/>
          <w:sz w:val="20"/>
        </w:rPr>
        <w:t xml:space="preserve">CEO Compensation: </w:t>
      </w:r>
      <w:r>
        <w:rPr>
          <w:rFonts w:ascii="Arial;sans-serif" w:hAnsi="Arial;sans-serif"/>
          <w:b w:val="false"/>
          <w:color w:val="242424"/>
          <w:sz w:val="20"/>
        </w:rPr>
        <w:t xml:space="preserve">The Committee reviews Mr. Saligram’s performance throughout the year, incorporating feedback directly from the Board. Based on their evaluation and input from LB&amp;Co., the Committee then recommends to the Board the compensation of the CEO without any management input. Compensation decisions related to the CEO are approved by the non-employee members of the Board after considering the recommendation of the Committee. The CEO is not present during voting or deliberations relating to his own compensation. </w:t>
      </w:r>
    </w:p>
    <w:p>
      <w:pPr>
        <w:pStyle w:val="TextBody"/>
        <w:bidi w:val="0"/>
        <w:spacing w:lineRule="auto" w:line="268" w:before="240" w:after="120"/>
        <w:jc w:val="left"/>
        <w:rPr>
          <w:rFonts w:ascii="Arial;sans-serif" w:hAnsi="Arial;sans-serif"/>
          <w:b w:val="false"/>
          <w:i/>
          <w:color w:val="000000"/>
          <w:sz w:val="22"/>
        </w:rPr>
      </w:pPr>
      <w:r>
        <w:rPr>
          <w:rFonts w:ascii="Arial;sans-serif" w:hAnsi="Arial;sans-serif"/>
          <w:b w:val="false"/>
          <w:i/>
          <w:color w:val="000000"/>
          <w:sz w:val="22"/>
        </w:rPr>
        <w:t>2024 Peer Group and Benchmarking</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The Committee reviews the potential total compensation package for each of the executive officers against a preselected peer group of companies, based on data compiled by LB&amp;Co. The Committee uses the peer group as a reference in assessing the competitiveness of its executive compensation arrangements. The Committee augments the peer group analyses with survey data from Willis Towers Watson and Mercer.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68325"/>
                <wp:effectExtent l="0" t="0" r="0" b="0"/>
                <wp:wrapNone/>
                <wp:docPr id="63" name="Frame3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88" w:before="0" w:after="0"/>
        <w:jc w:val="left"/>
        <w:rPr/>
      </w:pPr>
      <w:r>
        <w:rPr>
          <w:rFonts w:ascii="Arial;sans-serif" w:hAnsi="Arial;sans-serif"/>
          <w:b w:val="false"/>
          <w:color w:val="000000"/>
          <w:sz w:val="20"/>
        </w:rPr>
        <w:t xml:space="preserve">In the third quarter of 2023 and again in the first quarter of </w:t>
      </w:r>
      <w:r>
        <w:rPr>
          <w:rFonts w:ascii="Arial;sans-serif" w:hAnsi="Arial;sans-serif"/>
          <w:b w:val="false"/>
          <w:color w:val="242424"/>
          <w:sz w:val="20"/>
        </w:rPr>
        <w:t>2024</w:t>
      </w:r>
      <w:r>
        <w:rPr>
          <w:rFonts w:ascii="Arial;sans-serif" w:hAnsi="Arial;sans-serif"/>
          <w:b w:val="false"/>
          <w:color w:val="000000"/>
          <w:sz w:val="20"/>
        </w:rPr>
        <w:t xml:space="preserve">, the Committee, in consultation with LB&amp;Co. and management, reviewed the composition of our peer group to be utilized for </w:t>
      </w:r>
      <w:r>
        <w:rPr>
          <w:rFonts w:ascii="Arial;sans-serif" w:hAnsi="Arial;sans-serif"/>
          <w:b w:val="false"/>
          <w:color w:val="242424"/>
          <w:sz w:val="20"/>
        </w:rPr>
        <w:t>2024</w:t>
      </w:r>
      <w:r>
        <w:rPr>
          <w:color w:val="000000"/>
        </w:rPr>
        <w:t xml:space="preserve"> </w:t>
      </w:r>
      <w:r>
        <w:rPr>
          <w:rFonts w:ascii="Arial;sans-serif" w:hAnsi="Arial;sans-serif"/>
          <w:b w:val="false"/>
          <w:color w:val="000000"/>
          <w:sz w:val="20"/>
        </w:rPr>
        <w:t xml:space="preserve">and determined to streamline the group with the goal of arriving at a more industry specific peer group (primarily from the Oil &amp; Gas Drilling and Oil &amp; Gas Equipment &amp; Services industries) with competitive operations and financials more closely aligned with ours. </w:t>
      </w:r>
    </w:p>
    <w:tbl>
      <w:tblPr>
        <w:tblW w:w="10205" w:type="dxa"/>
        <w:jc w:val="center"/>
        <w:tblInd w:w="0" w:type="dxa"/>
        <w:tblLayout w:type="fixed"/>
        <w:tblCellMar>
          <w:top w:w="28" w:type="dxa"/>
          <w:left w:w="28" w:type="dxa"/>
          <w:bottom w:w="28" w:type="dxa"/>
          <w:right w:w="28" w:type="dxa"/>
        </w:tblCellMar>
      </w:tblPr>
      <w:tblGrid>
        <w:gridCol w:w="1726"/>
        <w:gridCol w:w="1514"/>
        <w:gridCol w:w="1523"/>
        <w:gridCol w:w="2176"/>
        <w:gridCol w:w="1341"/>
        <w:gridCol w:w="1925"/>
      </w:tblGrid>
      <w:tr>
        <w:trPr/>
        <w:tc>
          <w:tcPr>
            <w:tcW w:w="172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B6B6B6"/>
              <w:left w:val="single" w:sz="8" w:space="0" w:color="B6B6B6"/>
              <w:right w:val="single" w:sz="8" w:space="0" w:color="B6B6B6"/>
            </w:tcBorders>
            <w:shd w:fill="C3002F" w:val="clear"/>
            <w:tcMar>
              <w:top w:w="30" w:type="dxa"/>
              <w:bottom w:w="0" w:type="dxa"/>
            </w:tcMar>
            <w:vAlign w:val="center"/>
          </w:tcPr>
          <w:p>
            <w:pPr>
              <w:pStyle w:val="TableContents"/>
              <w:bidi w:val="0"/>
              <w:spacing w:before="0" w:after="0"/>
              <w:jc w:val="center"/>
              <w:rPr/>
            </w:pPr>
            <w:r>
              <w:rPr/>
            </w:r>
          </w:p>
          <w:p>
            <w:pPr>
              <w:pStyle w:val="TableContents"/>
              <w:bidi w:val="0"/>
              <w:spacing w:lineRule="auto" w:line="268" w:before="0" w:after="0"/>
              <w:jc w:val="center"/>
              <w:rPr/>
            </w:pPr>
            <w:r>
              <w:rPr>
                <w:rFonts w:ascii="Arial;sans-serif" w:hAnsi="Arial;sans-serif"/>
                <w:b/>
                <w:color w:val="FFFFFF"/>
                <w:sz w:val="22"/>
              </w:rPr>
              <w:t>2024 PEER GROUP</w:t>
            </w:r>
            <w:r>
              <w:rPr>
                <w:rFonts w:ascii="Arial;sans-serif" w:hAnsi="Arial;sans-serif"/>
                <w:b/>
                <w:color w:val="FFFFFF"/>
                <w:sz w:val="14"/>
              </w:rPr>
              <w:t>(1)</w:t>
            </w:r>
          </w:p>
        </w:tc>
      </w:tr>
      <w:tr>
        <w:trPr/>
        <w:tc>
          <w:tcPr>
            <w:tcW w:w="4763"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ChampionX Corporation</w:t>
            </w:r>
          </w:p>
        </w:tc>
        <w:tc>
          <w:tcPr>
            <w:tcW w:w="5442" w:type="dxa"/>
            <w:gridSpan w:val="3"/>
            <w:tcBorders>
              <w:top w:val="single" w:sz="8" w:space="0" w:color="B6B6B6"/>
              <w:left w:val="single" w:sz="8" w:space="0" w:color="B6B6B6"/>
              <w:right w:val="single" w:sz="8" w:space="0" w:color="B6B6B6"/>
            </w:tcBorders>
            <w:shd w:fill="DBDBDB" w:val="clear"/>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NOV Inc.</w:t>
            </w:r>
          </w:p>
        </w:tc>
      </w:tr>
      <w:tr>
        <w:trPr/>
        <w:tc>
          <w:tcPr>
            <w:tcW w:w="476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Expro Group Holdings N.V.</w:t>
            </w:r>
          </w:p>
        </w:tc>
        <w:tc>
          <w:tcPr>
            <w:tcW w:w="544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Oceaneering International, Inc.</w:t>
            </w:r>
          </w:p>
        </w:tc>
      </w:tr>
      <w:tr>
        <w:trPr/>
        <w:tc>
          <w:tcPr>
            <w:tcW w:w="4763"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Flowserve Corporation</w:t>
            </w:r>
          </w:p>
        </w:tc>
        <w:tc>
          <w:tcPr>
            <w:tcW w:w="5442" w:type="dxa"/>
            <w:gridSpan w:val="3"/>
            <w:tcBorders>
              <w:top w:val="single" w:sz="8" w:space="0" w:color="B6B6B6"/>
              <w:left w:val="single" w:sz="8" w:space="0" w:color="B6B6B6"/>
              <w:right w:val="single" w:sz="8" w:space="0" w:color="B6B6B6"/>
            </w:tcBorders>
            <w:shd w:fill="DBDBDB" w:val="clear"/>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Patterson-UTI Energy, Inc.</w:t>
            </w:r>
          </w:p>
        </w:tc>
      </w:tr>
      <w:tr>
        <w:trPr/>
        <w:tc>
          <w:tcPr>
            <w:tcW w:w="476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Halliburton Company</w:t>
            </w:r>
          </w:p>
        </w:tc>
        <w:tc>
          <w:tcPr>
            <w:tcW w:w="544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TechnipFMC plc</w:t>
            </w:r>
          </w:p>
        </w:tc>
      </w:tr>
      <w:tr>
        <w:trPr/>
        <w:tc>
          <w:tcPr>
            <w:tcW w:w="4763"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Liberty Energy Inc.</w:t>
            </w:r>
          </w:p>
        </w:tc>
        <w:tc>
          <w:tcPr>
            <w:tcW w:w="5442" w:type="dxa"/>
            <w:gridSpan w:val="3"/>
            <w:tcBorders>
              <w:top w:val="single" w:sz="8" w:space="0" w:color="B6B6B6"/>
              <w:left w:val="single" w:sz="8" w:space="0" w:color="B6B6B6"/>
              <w:right w:val="single" w:sz="8" w:space="0" w:color="B6B6B6"/>
            </w:tcBorders>
            <w:shd w:fill="DBDBDB" w:val="clear"/>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Transocean Ltd.</w:t>
            </w:r>
          </w:p>
        </w:tc>
      </w:tr>
      <w:tr>
        <w:trPr/>
        <w:tc>
          <w:tcPr>
            <w:tcW w:w="476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Nabors Industries Ltd.</w:t>
            </w:r>
          </w:p>
        </w:tc>
        <w:tc>
          <w:tcPr>
            <w:tcW w:w="5442" w:type="dxa"/>
            <w:gridSpan w:val="3"/>
            <w:tcBorders>
              <w:top w:val="single" w:sz="8" w:space="0" w:color="B6B6B6"/>
              <w:left w:val="single" w:sz="8" w:space="0" w:color="B6B6B6"/>
              <w:bottom w:val="single" w:sz="8" w:space="0" w:color="B6B6B6"/>
              <w:right w:val="single" w:sz="8" w:space="0" w:color="B6B6B6"/>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B6B6B6"/>
            </w:tcBorders>
            <w:tcMar>
              <w:top w:w="3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i/>
                <w:color w:val="C3002F"/>
                <w:sz w:val="12"/>
              </w:rPr>
              <w:t>(1)</w:t>
            </w:r>
            <w:r>
              <w:rPr>
                <w:color w:val="C3002F"/>
              </w:rPr>
              <w:t xml:space="preserve"> </w:t>
            </w:r>
            <w:r>
              <w:rPr>
                <w:rFonts w:ascii="sans-serif" w:hAnsi="sans-serif"/>
                <w:b w:val="false"/>
                <w:i/>
                <w:color w:val="000000"/>
                <w:sz w:val="18"/>
              </w:rPr>
              <w:t>The following changes have been made to the peer group as compared to 2023: (i) each of Clean Harbors, Inc., Donaldson Company, Inc., Helmerich &amp; Payne, Inc., Ingersoll Rand Inc., KBR, Inc., MasTec, Inc. and Vontier Corporation were removed; (ii) NexTier Oilfield Solutions, Inc. was removed, as it was acquired by Patterson-UTI Energy, Inc. in September 2023; and (iii) Liberty Energy Inc. was added.</w:t>
            </w:r>
          </w:p>
        </w:tc>
      </w:tr>
    </w:tbl>
    <w:p>
      <w:pPr>
        <w:pStyle w:val="TextBody"/>
        <w:bidi w:val="0"/>
        <w:spacing w:before="0" w:after="0"/>
        <w:jc w:val="left"/>
        <w:rPr/>
      </w:pPr>
      <w:r>
        <w:rPr/>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We believe the companies in the 2024 peer group are within an appropriate size range, have relevant compensation practices compared to us, and compete with us for employee talent. </w:t>
      </w:r>
    </w:p>
    <w:p>
      <w:pPr>
        <w:pStyle w:val="TextBody"/>
        <w:bidi w:val="0"/>
        <w:spacing w:lineRule="auto" w:line="256" w:before="240" w:after="120"/>
        <w:jc w:val="left"/>
        <w:rPr>
          <w:rFonts w:ascii="Arial;sans-serif" w:hAnsi="Arial;sans-serif"/>
          <w:b w:val="false"/>
          <w:i/>
          <w:color w:val="000000"/>
          <w:sz w:val="22"/>
        </w:rPr>
      </w:pPr>
      <w:r>
        <w:rPr>
          <w:rFonts w:ascii="Arial;sans-serif" w:hAnsi="Arial;sans-serif"/>
          <w:b w:val="false"/>
          <w:i/>
          <w:color w:val="000000"/>
          <w:sz w:val="22"/>
        </w:rPr>
        <w:t>Shareholder Engagement &amp; Say-on-Pay</w:t>
      </w:r>
    </w:p>
    <w:p>
      <w:pPr>
        <w:pStyle w:val="TextBody"/>
        <w:bidi w:val="0"/>
        <w:spacing w:lineRule="auto" w:line="256" w:before="0" w:after="120"/>
        <w:jc w:val="left"/>
        <w:rPr>
          <w:rFonts w:ascii="Arial;sans-serif" w:hAnsi="Arial;sans-serif"/>
          <w:b w:val="false"/>
          <w:color w:val="000000"/>
          <w:sz w:val="20"/>
        </w:rPr>
      </w:pPr>
      <w:r>
        <w:rPr>
          <w:rFonts w:ascii="Arial;sans-serif" w:hAnsi="Arial;sans-serif"/>
          <w:b w:val="false"/>
          <w:color w:val="000000"/>
          <w:sz w:val="20"/>
        </w:rPr>
        <w:t xml:space="preserve">The Committee values the input of our shareholders and takes their feedback into account when designing and approving our executive compensation programs. </w:t>
      </w:r>
    </w:p>
    <w:p>
      <w:pPr>
        <w:pStyle w:val="TextBody"/>
        <w:bidi w:val="0"/>
        <w:spacing w:before="0" w:after="120"/>
        <w:jc w:val="center"/>
        <w:rPr/>
      </w:pPr>
      <w:r>
        <w:rPr/>
        <w:drawing>
          <wp:inline distT="0" distB="0" distL="0" distR="0">
            <wp:extent cx="5210175" cy="2143125"/>
            <wp:effectExtent l="0" t="0" r="0" b="0"/>
            <wp:docPr id="6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5" descr=""/>
                    <pic:cNvPicPr>
                      <a:picLocks noChangeAspect="1" noChangeArrowheads="1"/>
                    </pic:cNvPicPr>
                  </pic:nvPicPr>
                  <pic:blipFill>
                    <a:blip r:embed="rId26"/>
                    <a:stretch>
                      <a:fillRect/>
                    </a:stretch>
                  </pic:blipFill>
                  <pic:spPr bwMode="auto">
                    <a:xfrm>
                      <a:off x="0" y="0"/>
                      <a:ext cx="5210175" cy="2143125"/>
                    </a:xfrm>
                    <a:prstGeom prst="rect">
                      <a:avLst/>
                    </a:prstGeom>
                  </pic:spPr>
                </pic:pic>
              </a:graphicData>
            </a:graphic>
          </wp:inline>
        </w:drawing>
      </w:r>
    </w:p>
    <w:p>
      <w:pPr>
        <w:pStyle w:val="TextBody"/>
        <w:bidi w:val="0"/>
        <w:spacing w:before="0" w:after="120"/>
        <w:jc w:val="center"/>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68325"/>
                <wp:effectExtent l="0" t="0" r="0" b="0"/>
                <wp:wrapNone/>
                <wp:docPr id="65" name="Frame40"/>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rFonts w:ascii="Arial;sans-serif" w:hAnsi="Arial;sans-serif"/>
          <w:b/>
          <w:color w:val="939598"/>
          <w:sz w:val="32"/>
        </w:rPr>
      </w:pPr>
      <w:r>
        <w:rPr>
          <w:rFonts w:ascii="Arial;sans-serif" w:hAnsi="Arial;sans-serif"/>
          <w:b/>
          <w:color w:val="939598"/>
          <w:sz w:val="32"/>
        </w:rPr>
        <w:t xml:space="preserve">Elements of the 2024 Executive Compensation Program </w:t>
      </w:r>
    </w:p>
    <w:p>
      <w:pPr>
        <w:pStyle w:val="TextBody"/>
        <w:bidi w:val="0"/>
        <w:spacing w:lineRule="auto" w:line="268" w:before="0" w:after="120"/>
        <w:jc w:val="left"/>
        <w:rPr>
          <w:rFonts w:ascii="Arial;sans-serif" w:hAnsi="Arial;sans-serif"/>
          <w:b w:val="false"/>
          <w:i/>
          <w:color w:val="000000"/>
          <w:sz w:val="22"/>
        </w:rPr>
      </w:pPr>
      <w:r>
        <w:rPr>
          <w:rFonts w:ascii="Arial;sans-serif" w:hAnsi="Arial;sans-serif"/>
          <w:b w:val="false"/>
          <w:i/>
          <w:color w:val="000000"/>
          <w:sz w:val="22"/>
        </w:rPr>
        <w:t>Base Salaries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The Committee reviews base salaries at least annually, but may also do so more frequently in connection with a promotion, a significant change in the scope and responsibility of a role, or changes in market conditions. </w:t>
      </w:r>
    </w:p>
    <w:p>
      <w:pPr>
        <w:pStyle w:val="TextBody"/>
        <w:bidi w:val="0"/>
        <w:spacing w:lineRule="auto" w:line="268" w:before="0" w:after="120"/>
        <w:jc w:val="left"/>
        <w:rPr/>
      </w:pPr>
      <w:r>
        <w:rPr>
          <w:rFonts w:ascii="Arial;sans-serif" w:hAnsi="Arial;sans-serif"/>
          <w:b w:val="false"/>
          <w:color w:val="000000"/>
          <w:sz w:val="20"/>
        </w:rPr>
        <w:t xml:space="preserve">The 2023 and </w:t>
      </w:r>
      <w:r>
        <w:rPr>
          <w:rFonts w:ascii="Arial;sans-serif" w:hAnsi="Arial;sans-serif"/>
          <w:b w:val="false"/>
          <w:color w:val="242424"/>
          <w:sz w:val="20"/>
        </w:rPr>
        <w:t>2024</w:t>
      </w:r>
      <w:r>
        <w:rPr>
          <w:color w:val="000000"/>
        </w:rPr>
        <w:t xml:space="preserve"> </w:t>
      </w:r>
      <w:r>
        <w:rPr>
          <w:rFonts w:ascii="Arial;sans-serif" w:hAnsi="Arial;sans-serif"/>
          <w:b w:val="false"/>
          <w:color w:val="000000"/>
          <w:sz w:val="20"/>
        </w:rPr>
        <w:t xml:space="preserve">base salaries for each of our NEOs are set forth in the table below, which also indicates the year-over-year percentage change. Base salaries for our NEOs were reviewed in January </w:t>
      </w:r>
      <w:r>
        <w:rPr>
          <w:rFonts w:ascii="Arial;sans-serif" w:hAnsi="Arial;sans-serif"/>
          <w:b w:val="false"/>
          <w:color w:val="242424"/>
          <w:sz w:val="20"/>
        </w:rPr>
        <w:t>2024</w:t>
      </w:r>
      <w:r>
        <w:rPr>
          <w:color w:val="000000"/>
        </w:rPr>
        <w:t xml:space="preserve"> </w:t>
      </w:r>
      <w:r>
        <w:rPr>
          <w:rFonts w:ascii="Arial;sans-serif" w:hAnsi="Arial;sans-serif"/>
          <w:b w:val="false"/>
          <w:color w:val="000000"/>
          <w:sz w:val="20"/>
        </w:rPr>
        <w:t>at which time it was determined that increases in base salaries were appropriate in light of the team’s successful contributions in 2023, as well as to remain competitive and promote retention, as detailed below.</w:t>
      </w:r>
    </w:p>
    <w:tbl>
      <w:tblPr>
        <w:tblW w:w="10205" w:type="dxa"/>
        <w:jc w:val="center"/>
        <w:tblInd w:w="0" w:type="dxa"/>
        <w:tblLayout w:type="fixed"/>
        <w:tblCellMar>
          <w:top w:w="28" w:type="dxa"/>
          <w:left w:w="28" w:type="dxa"/>
          <w:bottom w:w="28" w:type="dxa"/>
          <w:right w:w="28" w:type="dxa"/>
        </w:tblCellMar>
      </w:tblPr>
      <w:tblGrid>
        <w:gridCol w:w="1319"/>
        <w:gridCol w:w="1156"/>
        <w:gridCol w:w="1170"/>
        <w:gridCol w:w="926"/>
        <w:gridCol w:w="928"/>
        <w:gridCol w:w="319"/>
        <w:gridCol w:w="926"/>
        <w:gridCol w:w="928"/>
        <w:gridCol w:w="393"/>
        <w:gridCol w:w="490"/>
        <w:gridCol w:w="492"/>
        <w:gridCol w:w="1158"/>
      </w:tblGrid>
      <w:tr>
        <w:trPr/>
        <w:tc>
          <w:tcPr>
            <w:tcW w:w="131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9"/>
            <w:tcBorders>
              <w:top w:val="single" w:sz="8" w:space="0" w:color="B6B6B6"/>
              <w:left w:val="single" w:sz="8" w:space="0" w:color="B6B6B6"/>
              <w:right w:val="single" w:sz="8" w:space="0" w:color="B6B6B6"/>
            </w:tcBorders>
            <w:shd w:fill="C3002F"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Base Salary</w:t>
            </w:r>
          </w:p>
        </w:tc>
      </w:tr>
      <w:tr>
        <w:trPr/>
        <w:tc>
          <w:tcPr>
            <w:tcW w:w="3645"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NEO</w:t>
            </w:r>
          </w:p>
        </w:tc>
        <w:tc>
          <w:tcPr>
            <w:tcW w:w="2173"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2023</w:t>
            </w:r>
          </w:p>
        </w:tc>
        <w:tc>
          <w:tcPr>
            <w:tcW w:w="2247"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FFFFFF"/>
                <w:sz w:val="20"/>
              </w:rPr>
              <w:t>2024</w:t>
            </w:r>
            <w:r>
              <w:rPr>
                <w:rFonts w:ascii="Arial;sans-serif" w:hAnsi="Arial;sans-serif"/>
                <w:b w:val="false"/>
                <w:color w:val="FFFFFF"/>
                <w:sz w:val="13"/>
              </w:rPr>
              <w:t>(3)</w:t>
            </w:r>
          </w:p>
        </w:tc>
        <w:tc>
          <w:tcPr>
            <w:tcW w:w="2140" w:type="dxa"/>
            <w:gridSpan w:val="3"/>
            <w:tcBorders>
              <w:top w:val="single" w:sz="8" w:space="0" w:color="B6B6B6"/>
              <w:left w:val="single" w:sz="8" w:space="0" w:color="B6B6B6"/>
              <w:right w:val="single" w:sz="8" w:space="0" w:color="B6B6B6"/>
            </w:tcBorders>
            <w:shd w:fill="7F7F7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 Change</w:t>
            </w:r>
          </w:p>
        </w:tc>
      </w:tr>
      <w:tr>
        <w:trPr/>
        <w:tc>
          <w:tcPr>
            <w:tcW w:w="364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1854"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319"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1,250,000 </w:t>
            </w:r>
          </w:p>
        </w:tc>
        <w:tc>
          <w:tcPr>
            <w:tcW w:w="39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158"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185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31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39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58" w:type="dxa"/>
            <w:tcBorders>
              <w:top w:val="single" w:sz="8" w:space="0" w:color="B6B6B6"/>
              <w:right w:val="single" w:sz="8" w:space="0" w:color="B6B6B6"/>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Richard D. Ward</w:t>
            </w:r>
            <w:r>
              <w:rPr>
                <w:rFonts w:ascii="Arial;sans-serif" w:hAnsi="Arial;sans-serif"/>
                <w:b w:val="false"/>
                <w:color w:val="000000"/>
                <w:sz w:val="13"/>
              </w:rPr>
              <w:t>(1)</w:t>
            </w:r>
          </w:p>
        </w:tc>
        <w:tc>
          <w:tcPr>
            <w:tcW w:w="2173" w:type="dxa"/>
            <w:gridSpan w:val="3"/>
            <w:tcBorders>
              <w:top w:val="single" w:sz="8" w:space="0" w:color="B6B6B6"/>
              <w:left w:val="single" w:sz="8" w:space="0" w:color="B6B6B6"/>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39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B6B6B6"/>
              <w:left w:val="single" w:sz="8" w:space="0" w:color="B6B6B6"/>
              <w:right w:val="single" w:sz="8" w:space="0" w:color="B6B6B6"/>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185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31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420,000 </w:t>
            </w:r>
          </w:p>
        </w:tc>
        <w:tc>
          <w:tcPr>
            <w:tcW w:w="39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158" w:type="dxa"/>
            <w:tcBorders>
              <w:top w:val="single" w:sz="8" w:space="0" w:color="B6B6B6"/>
              <w:right w:val="single" w:sz="8" w:space="0" w:color="B6B6B6"/>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Arunava Mitra</w:t>
            </w:r>
          </w:p>
        </w:tc>
        <w:tc>
          <w:tcPr>
            <w:tcW w:w="1854"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525,000 </w:t>
            </w:r>
          </w:p>
        </w:tc>
        <w:tc>
          <w:tcPr>
            <w:tcW w:w="319"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585,000 </w:t>
            </w:r>
          </w:p>
        </w:tc>
        <w:tc>
          <w:tcPr>
            <w:tcW w:w="39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158"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Charles W. Davison, Jr.</w:t>
            </w:r>
            <w:r>
              <w:rPr>
                <w:rFonts w:ascii="Arial;sans-serif" w:hAnsi="Arial;sans-serif"/>
                <w:b w:val="false"/>
                <w:color w:val="000000"/>
                <w:sz w:val="13"/>
              </w:rPr>
              <w:t>(2)</w:t>
            </w:r>
          </w:p>
        </w:tc>
        <w:tc>
          <w:tcPr>
            <w:tcW w:w="1854"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319"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393"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8" w:type="dxa"/>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205" w:type="dxa"/>
            <w:gridSpan w:val="12"/>
            <w:tcBorders>
              <w:top w:val="single" w:sz="8" w:space="0" w:color="B6B6B6"/>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i/>
                <w:color w:val="C3002F"/>
                <w:sz w:val="12"/>
              </w:rPr>
              <w:t>(1)</w:t>
            </w:r>
            <w:r>
              <w:rPr>
                <w:color w:val="000000"/>
              </w:rPr>
              <w:t xml:space="preserve"> </w:t>
            </w:r>
            <w:r>
              <w:rPr>
                <w:rFonts w:ascii="Arial;sans-serif" w:hAnsi="Arial;sans-serif"/>
                <w:b w:val="false"/>
                <w:i/>
                <w:color w:val="000000"/>
                <w:sz w:val="18"/>
              </w:rPr>
              <w:t>Mr. Ward joined the Company in January 2024.</w:t>
            </w:r>
          </w:p>
          <w:p>
            <w:pPr>
              <w:pStyle w:val="TableContents"/>
              <w:bidi w:val="0"/>
              <w:spacing w:lineRule="auto" w:line="268" w:before="0" w:after="0"/>
              <w:jc w:val="left"/>
              <w:rPr/>
            </w:pPr>
            <w:r>
              <w:rPr>
                <w:rFonts w:ascii="Arial;sans-serif" w:hAnsi="Arial;sans-serif"/>
                <w:b w:val="false"/>
                <w:i/>
                <w:color w:val="C3002F"/>
                <w:sz w:val="12"/>
              </w:rPr>
              <w:t>(2)</w:t>
            </w:r>
            <w:r>
              <w:rPr>
                <w:color w:val="000000"/>
              </w:rPr>
              <w:t xml:space="preserve"> </w:t>
            </w:r>
            <w:r>
              <w:rPr>
                <w:rFonts w:ascii="Arial;sans-serif" w:hAnsi="Arial;sans-serif"/>
                <w:b w:val="false"/>
                <w:i/>
                <w:color w:val="000000"/>
                <w:sz w:val="18"/>
              </w:rPr>
              <w:t>Mr. Davison departed the Company on February 6, 2024 and only received $51,923 of his base salary for 2024. See the 2024 Summary Compensation Table for more information on compensation actually received by Mr. Davison.</w:t>
            </w:r>
          </w:p>
          <w:p>
            <w:pPr>
              <w:pStyle w:val="TableContents"/>
              <w:bidi w:val="0"/>
              <w:spacing w:lineRule="auto" w:line="268" w:before="0" w:after="0"/>
              <w:jc w:val="left"/>
              <w:rPr/>
            </w:pPr>
            <w:r>
              <w:rPr>
                <w:rFonts w:ascii="Arial;sans-serif" w:hAnsi="Arial;sans-serif"/>
                <w:b w:val="false"/>
                <w:i/>
                <w:color w:val="C3002F"/>
                <w:sz w:val="12"/>
              </w:rPr>
              <w:t>(3)</w:t>
            </w:r>
            <w:r>
              <w:rPr>
                <w:color w:val="000000"/>
              </w:rPr>
              <w:t xml:space="preserve"> </w:t>
            </w:r>
            <w:r>
              <w:rPr>
                <w:rFonts w:ascii="Arial;sans-serif" w:hAnsi="Arial;sans-serif"/>
                <w:b w:val="false"/>
                <w:i/>
                <w:color w:val="000000"/>
                <w:sz w:val="18"/>
              </w:rPr>
              <w:t xml:space="preserve">Actual amounts earned for 2024 were slightly higher due to the implementation of a bi-weekly payroll schedule in January 2024. The Committee ratified the additional amounts paid. See the 2024 Summary Compensation Table for more information. </w:t>
            </w:r>
          </w:p>
        </w:tc>
      </w:tr>
    </w:tbl>
    <w:p>
      <w:pPr>
        <w:pStyle w:val="TextBody"/>
        <w:bidi w:val="0"/>
        <w:spacing w:lineRule="auto" w:line="268" w:before="240" w:after="120"/>
        <w:jc w:val="left"/>
        <w:rPr>
          <w:rFonts w:ascii="Arial;sans-serif" w:hAnsi="Arial;sans-serif"/>
          <w:b w:val="false"/>
          <w:i/>
          <w:color w:val="000000"/>
          <w:sz w:val="22"/>
        </w:rPr>
      </w:pPr>
      <w:r>
        <w:rPr>
          <w:rFonts w:ascii="Arial;sans-serif" w:hAnsi="Arial;sans-serif"/>
          <w:b w:val="false"/>
          <w:i/>
          <w:color w:val="000000"/>
          <w:sz w:val="22"/>
        </w:rPr>
        <w:t>STI Plan Annual Incentive Awards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STI Plan awards are designed to reward executives for the achievement of Company and individual annual performance goals. Each year the Committee establishes a STI Plan target for each executive expressed as a percentage of their base salary.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2024 STI Plan targets, expressed as percentages of base salaries, for our NEOs are presented below:</w:t>
      </w:r>
    </w:p>
    <w:tbl>
      <w:tblPr>
        <w:tblW w:w="9974" w:type="dxa"/>
        <w:jc w:val="center"/>
        <w:tblInd w:w="0" w:type="dxa"/>
        <w:tblLayout w:type="fixed"/>
        <w:tblCellMar>
          <w:top w:w="28" w:type="dxa"/>
          <w:left w:w="28" w:type="dxa"/>
          <w:bottom w:w="28" w:type="dxa"/>
          <w:right w:w="28" w:type="dxa"/>
        </w:tblCellMar>
      </w:tblPr>
      <w:tblGrid>
        <w:gridCol w:w="1315"/>
        <w:gridCol w:w="1153"/>
        <w:gridCol w:w="1167"/>
        <w:gridCol w:w="444"/>
        <w:gridCol w:w="444"/>
        <w:gridCol w:w="1164"/>
        <w:gridCol w:w="444"/>
        <w:gridCol w:w="444"/>
        <w:gridCol w:w="1164"/>
        <w:gridCol w:w="444"/>
        <w:gridCol w:w="444"/>
        <w:gridCol w:w="1347"/>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9"/>
            <w:tcBorders>
              <w:top w:val="single" w:sz="8" w:space="0" w:color="C9C9C9"/>
              <w:left w:val="single" w:sz="8" w:space="0" w:color="C9C9C9"/>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Short-Term Incentive Target (% of Base Salary)</w:t>
            </w:r>
          </w:p>
        </w:tc>
      </w:tr>
      <w:tr>
        <w:trPr/>
        <w:tc>
          <w:tcPr>
            <w:tcW w:w="3635"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NEO</w:t>
            </w:r>
          </w:p>
        </w:tc>
        <w:tc>
          <w:tcPr>
            <w:tcW w:w="2052"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2023</w:t>
            </w:r>
          </w:p>
        </w:tc>
        <w:tc>
          <w:tcPr>
            <w:tcW w:w="2052"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2024</w:t>
            </w:r>
          </w:p>
        </w:tc>
        <w:tc>
          <w:tcPr>
            <w:tcW w:w="2235" w:type="dxa"/>
            <w:gridSpan w:val="3"/>
            <w:tcBorders>
              <w:top w:val="single" w:sz="8" w:space="0" w:color="B6B6B6"/>
              <w:left w:val="single" w:sz="8" w:space="0" w:color="B6B6B6"/>
              <w:right w:val="single" w:sz="8" w:space="0" w:color="B6B6B6"/>
            </w:tcBorders>
            <w:shd w:fill="7F7F7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 Change</w:t>
            </w:r>
          </w:p>
        </w:tc>
      </w:tr>
      <w:tr>
        <w:trPr/>
        <w:tc>
          <w:tcPr>
            <w:tcW w:w="363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888"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6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16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47"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3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88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6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6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7" w:type="dxa"/>
            <w:tcBorders>
              <w:top w:val="single" w:sz="8" w:space="0" w:color="B6B6B6"/>
              <w:right w:val="single" w:sz="8" w:space="0" w:color="B6B6B6"/>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3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Richard D. Ward</w:t>
            </w:r>
            <w:r>
              <w:rPr>
                <w:rFonts w:ascii="Arial;sans-serif" w:hAnsi="Arial;sans-serif"/>
                <w:b w:val="false"/>
                <w:color w:val="000000"/>
                <w:sz w:val="13"/>
              </w:rPr>
              <w:t>(1)</w:t>
            </w:r>
          </w:p>
        </w:tc>
        <w:tc>
          <w:tcPr>
            <w:tcW w:w="2052" w:type="dxa"/>
            <w:gridSpan w:val="3"/>
            <w:tcBorders>
              <w:top w:val="single" w:sz="8" w:space="0" w:color="B6B6B6"/>
              <w:left w:val="single" w:sz="8" w:space="0" w:color="B6B6B6"/>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6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235" w:type="dxa"/>
            <w:gridSpan w:val="3"/>
            <w:tcBorders>
              <w:top w:val="single" w:sz="8" w:space="0" w:color="B6B6B6"/>
              <w:left w:val="single" w:sz="8" w:space="0" w:color="B6B6B6"/>
              <w:right w:val="single" w:sz="8" w:space="0" w:color="B6B6B6"/>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88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16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16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7" w:type="dxa"/>
            <w:tcBorders>
              <w:top w:val="single" w:sz="8" w:space="0" w:color="B6B6B6"/>
              <w:right w:val="single" w:sz="8" w:space="0" w:color="B6B6B6"/>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3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Arunava Mitra</w:t>
            </w:r>
            <w:r>
              <w:rPr>
                <w:rFonts w:ascii="Arial;sans-serif" w:hAnsi="Arial;sans-serif"/>
                <w:b w:val="false"/>
                <w:color w:val="000000"/>
                <w:sz w:val="13"/>
              </w:rPr>
              <w:t>(2)</w:t>
            </w:r>
          </w:p>
        </w:tc>
        <w:tc>
          <w:tcPr>
            <w:tcW w:w="888"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6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6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7"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3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Charles W. Davison, Jr.</w:t>
            </w:r>
            <w:r>
              <w:rPr>
                <w:rFonts w:ascii="Arial;sans-serif" w:hAnsi="Arial;sans-serif"/>
                <w:b w:val="false"/>
                <w:color w:val="000000"/>
                <w:sz w:val="13"/>
              </w:rPr>
              <w:t>(3)</w:t>
            </w:r>
          </w:p>
        </w:tc>
        <w:tc>
          <w:tcPr>
            <w:tcW w:w="888"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64"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64"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88"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7" w:type="dxa"/>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974" w:type="dxa"/>
            <w:gridSpan w:val="12"/>
            <w:tcBorders>
              <w:top w:val="single" w:sz="8" w:space="0" w:color="B6B6B6"/>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i/>
                <w:color w:val="C3002F"/>
                <w:sz w:val="12"/>
              </w:rPr>
              <w:t>(1)</w:t>
            </w:r>
            <w:r>
              <w:rPr>
                <w:color w:val="000000"/>
              </w:rPr>
              <w:t xml:space="preserve"> </w:t>
            </w:r>
            <w:r>
              <w:rPr>
                <w:rFonts w:ascii="Arial;sans-serif" w:hAnsi="Arial;sans-serif"/>
                <w:b w:val="false"/>
                <w:i/>
                <w:color w:val="000000"/>
                <w:sz w:val="18"/>
              </w:rPr>
              <w:t>Mr. Ward joined the Company in January 2024.</w:t>
            </w:r>
          </w:p>
          <w:p>
            <w:pPr>
              <w:pStyle w:val="TableContents"/>
              <w:bidi w:val="0"/>
              <w:spacing w:lineRule="auto" w:line="268" w:before="0" w:after="0"/>
              <w:jc w:val="left"/>
              <w:rPr/>
            </w:pPr>
            <w:r>
              <w:rPr>
                <w:rFonts w:ascii="Arial;sans-serif" w:hAnsi="Arial;sans-serif"/>
                <w:b w:val="false"/>
                <w:i/>
                <w:color w:val="CE1141"/>
                <w:sz w:val="12"/>
              </w:rPr>
              <w:t>(2)</w:t>
            </w:r>
            <w:r>
              <w:rPr>
                <w:color w:val="000000"/>
              </w:rPr>
              <w:t xml:space="preserve"> </w:t>
            </w:r>
            <w:r>
              <w:rPr>
                <w:rFonts w:ascii="Arial;sans-serif" w:hAnsi="Arial;sans-serif"/>
                <w:b w:val="false"/>
                <w:i/>
                <w:color w:val="000000"/>
                <w:sz w:val="18"/>
              </w:rPr>
              <w:t xml:space="preserve">Mr. Mitra departed the Company on April 21, 2025, following the 2024 STI Plan payout date in the first quarter of 2025. </w:t>
            </w:r>
          </w:p>
          <w:p>
            <w:pPr>
              <w:pStyle w:val="TableContents"/>
              <w:bidi w:val="0"/>
              <w:spacing w:lineRule="auto" w:line="268" w:before="0" w:after="0"/>
              <w:jc w:val="left"/>
              <w:rPr/>
            </w:pPr>
            <w:r>
              <w:rPr>
                <w:rFonts w:ascii="Arial;sans-serif" w:hAnsi="Arial;sans-serif"/>
                <w:b w:val="false"/>
                <w:i/>
                <w:color w:val="C3002F"/>
                <w:sz w:val="12"/>
              </w:rPr>
              <w:t>(3)</w:t>
            </w:r>
            <w:r>
              <w:rPr>
                <w:color w:val="000000"/>
              </w:rPr>
              <w:t xml:space="preserve"> </w:t>
            </w:r>
            <w:r>
              <w:rPr>
                <w:rFonts w:ascii="Arial;sans-serif" w:hAnsi="Arial;sans-serif"/>
                <w:b w:val="false"/>
                <w:i/>
                <w:color w:val="000000"/>
                <w:sz w:val="18"/>
              </w:rPr>
              <w:t xml:space="preserve">Mr. Davison departed the Company on February 6, 2024. </w:t>
            </w:r>
          </w:p>
        </w:tc>
      </w:tr>
    </w:tbl>
    <w:p>
      <w:pPr>
        <w:pStyle w:val="TextBody"/>
        <w:bidi w:val="0"/>
        <w:spacing w:lineRule="auto" w:line="268" w:before="240" w:after="120"/>
        <w:jc w:val="left"/>
        <w:rPr>
          <w:rFonts w:ascii="Arial;sans-serif" w:hAnsi="Arial;sans-serif"/>
          <w:b w:val="false"/>
          <w:i/>
          <w:color w:val="000000"/>
          <w:sz w:val="22"/>
        </w:rPr>
      </w:pPr>
      <w:r>
        <w:rPr>
          <w:rFonts w:ascii="Arial;sans-serif" w:hAnsi="Arial;sans-serif"/>
          <w:b w:val="false"/>
          <w:i/>
          <w:color w:val="000000"/>
          <w:sz w:val="22"/>
        </w:rPr>
        <w:t xml:space="preserve">STI Plan: 2024 Performance Goals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Payouts under the 2024 STI Plan were determined primarily with reference to our achievement of corporate performance goals related to adjusted EBITDA* and adjusted free cash flow*, each weighted at 30% for our NEOs other than the CEO, and each being weighted at 35% for the CEO. For our NEOs other than our CEO, their respective Geozone or function’s qualitative performance was weighted at 20% and their individual performance ratings were weighted at 20%. In the case of our CEO, his individual performance rating was weighted at 30%.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The Geozone and individual metrics take into account individual objectives that are aligned to our annual strategy and each NEO’s specific scope of responsibility. The relative weight of adjusted EBITDA* and adjusted free cash flow* reflects the Committee’s continued belief that those metrics would have the most significant affect in building our strategic and financial position for the 2024 STI Plan performance period. The introduction of the Geozone or function operations metric in 2024 illustrates the Committee’s effort to more closely align compensation with the areas of Company performance where individual NEOs can drive significant individual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68325"/>
                <wp:effectExtent l="0" t="0" r="0" b="0"/>
                <wp:wrapNone/>
                <wp:docPr id="66" name="Frame41"/>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pPr>
      <w:r>
        <w:rPr>
          <w:rFonts w:ascii="Arial;sans-serif" w:hAnsi="Arial;sans-serif"/>
          <w:b w:val="false"/>
          <w:color w:val="000000"/>
          <w:sz w:val="20"/>
        </w:rPr>
        <w:t xml:space="preserve">Consistent with prior years, the Committee continues to believe that safety is a key and overriding principle of the Company’s culture. As such, the Committee utilized a safety modifier to allow for adjustments to our STI Plan payouts based on our </w:t>
      </w:r>
      <w:r>
        <w:rPr>
          <w:rFonts w:ascii="Arial;sans-serif" w:hAnsi="Arial;sans-serif"/>
          <w:b w:val="false"/>
          <w:color w:val="242424"/>
          <w:sz w:val="20"/>
        </w:rPr>
        <w:t>2024</w:t>
      </w:r>
      <w:r>
        <w:rPr>
          <w:color w:val="000000"/>
        </w:rPr>
        <w:t xml:space="preserve"> </w:t>
      </w:r>
      <w:r>
        <w:rPr>
          <w:rFonts w:ascii="Arial;sans-serif" w:hAnsi="Arial;sans-serif"/>
          <w:b w:val="false"/>
          <w:color w:val="000000"/>
          <w:sz w:val="20"/>
        </w:rPr>
        <w:t xml:space="preserve">Health Safety and Environment (“HSE”) performance. The HSE modifier is determined in the sole discretion of the Committee based on HSE performance during the year. </w:t>
      </w:r>
    </w:p>
    <w:p>
      <w:pPr>
        <w:pStyle w:val="TextBody"/>
        <w:bidi w:val="0"/>
        <w:spacing w:lineRule="auto" w:line="268" w:before="0" w:after="120"/>
        <w:jc w:val="left"/>
        <w:rPr/>
      </w:pPr>
      <w:r>
        <w:rPr>
          <w:rFonts w:ascii="Arial;sans-serif" w:hAnsi="Arial;sans-serif"/>
          <w:b w:val="false"/>
          <w:color w:val="000000"/>
          <w:sz w:val="20"/>
        </w:rPr>
        <w:t xml:space="preserve">The Committee set the following performance goals in the first quarter of </w:t>
      </w:r>
      <w:r>
        <w:rPr>
          <w:rFonts w:ascii="Arial;sans-serif" w:hAnsi="Arial;sans-serif"/>
          <w:b w:val="false"/>
          <w:color w:val="242424"/>
          <w:sz w:val="20"/>
        </w:rPr>
        <w:t>2024</w:t>
      </w:r>
      <w:r>
        <w:rPr>
          <w:color w:val="000000"/>
        </w:rPr>
        <w:t xml:space="preserve"> </w:t>
      </w:r>
      <w:r>
        <w:rPr>
          <w:rFonts w:ascii="Arial;sans-serif" w:hAnsi="Arial;sans-serif"/>
          <w:b w:val="false"/>
          <w:color w:val="000000"/>
          <w:sz w:val="20"/>
        </w:rPr>
        <w:t>based on the prevailing operating environment at that time and our associated business plan:</w:t>
      </w:r>
    </w:p>
    <w:tbl>
      <w:tblPr>
        <w:tblW w:w="6242" w:type="dxa"/>
        <w:jc w:val="center"/>
        <w:tblInd w:w="0" w:type="dxa"/>
        <w:tblLayout w:type="fixed"/>
        <w:tblCellMar>
          <w:top w:w="28" w:type="dxa"/>
          <w:left w:w="28" w:type="dxa"/>
          <w:bottom w:w="28" w:type="dxa"/>
          <w:right w:w="28" w:type="dxa"/>
        </w:tblCellMar>
      </w:tblPr>
      <w:tblGrid>
        <w:gridCol w:w="1245"/>
        <w:gridCol w:w="1091"/>
        <w:gridCol w:w="1098"/>
        <w:gridCol w:w="350"/>
        <w:gridCol w:w="350"/>
        <w:gridCol w:w="351"/>
        <w:gridCol w:w="230"/>
        <w:gridCol w:w="230"/>
        <w:gridCol w:w="231"/>
        <w:gridCol w:w="312"/>
        <w:gridCol w:w="312"/>
        <w:gridCol w:w="442"/>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B6B6B6"/>
              <w:left w:val="single" w:sz="8" w:space="0" w:color="B6B6B6"/>
            </w:tcBorders>
            <w:shd w:fill="C3002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Threshold</w:t>
            </w:r>
          </w:p>
        </w:tc>
        <w:tc>
          <w:tcPr>
            <w:tcW w:w="691"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Target</w:t>
            </w:r>
          </w:p>
        </w:tc>
        <w:tc>
          <w:tcPr>
            <w:tcW w:w="1066" w:type="dxa"/>
            <w:gridSpan w:val="3"/>
            <w:tcBorders>
              <w:top w:val="single" w:sz="8" w:space="0" w:color="B6B6B6"/>
              <w:left w:val="single" w:sz="8" w:space="0" w:color="B6B6B6"/>
              <w:right w:val="single" w:sz="8" w:space="0" w:color="B6B6B6"/>
            </w:tcBorders>
            <w:shd w:fill="C3002F"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Maximum</w:t>
            </w:r>
          </w:p>
        </w:tc>
      </w:tr>
      <w:tr>
        <w:trPr/>
        <w:tc>
          <w:tcPr>
            <w:tcW w:w="343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EBITDA* (in millions)</w:t>
            </w:r>
          </w:p>
        </w:tc>
        <w:tc>
          <w:tcPr>
            <w:tcW w:w="10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$1,175</w:t>
            </w:r>
          </w:p>
        </w:tc>
        <w:tc>
          <w:tcPr>
            <w:tcW w:w="6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$1,350</w:t>
            </w:r>
          </w:p>
        </w:tc>
        <w:tc>
          <w:tcPr>
            <w:tcW w:w="106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$1,550</w:t>
            </w:r>
          </w:p>
        </w:tc>
      </w:tr>
      <w:tr>
        <w:trPr/>
        <w:tc>
          <w:tcPr>
            <w:tcW w:w="343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Free Cash Flow* (in millions)</w:t>
            </w:r>
          </w:p>
        </w:tc>
        <w:tc>
          <w:tcPr>
            <w:tcW w:w="10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w:t>
            </w:r>
          </w:p>
        </w:tc>
        <w:tc>
          <w:tcPr>
            <w:tcW w:w="6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$425</w:t>
            </w:r>
          </w:p>
        </w:tc>
        <w:tc>
          <w:tcPr>
            <w:tcW w:w="106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$550</w:t>
            </w:r>
          </w:p>
        </w:tc>
      </w:tr>
      <w:tr>
        <w:trPr/>
        <w:tc>
          <w:tcPr>
            <w:tcW w:w="3434"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Payout (as a percentage of target)</w:t>
            </w:r>
          </w:p>
        </w:tc>
        <w:tc>
          <w:tcPr>
            <w:tcW w:w="105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69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066"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lineRule="auto" w:line="268" w:before="120" w:after="120"/>
        <w:jc w:val="left"/>
        <w:rPr/>
      </w:pPr>
      <w:r>
        <w:rPr>
          <w:rFonts w:ascii="Arial;sans-serif" w:hAnsi="Arial;sans-serif"/>
          <w:b w:val="false"/>
          <w:color w:val="000000"/>
          <w:sz w:val="20"/>
        </w:rPr>
        <w:t xml:space="preserve">The Committee acknowledged that the </w:t>
      </w:r>
      <w:r>
        <w:rPr>
          <w:rFonts w:ascii="Arial;sans-serif" w:hAnsi="Arial;sans-serif"/>
          <w:b w:val="false"/>
          <w:color w:val="242424"/>
          <w:sz w:val="20"/>
        </w:rPr>
        <w:t>2024</w:t>
      </w:r>
      <w:r>
        <w:rPr>
          <w:color w:val="000000"/>
        </w:rPr>
        <w:t xml:space="preserve"> </w:t>
      </w:r>
      <w:r>
        <w:rPr>
          <w:rFonts w:ascii="Arial;sans-serif" w:hAnsi="Arial;sans-serif"/>
          <w:b w:val="false"/>
          <w:color w:val="000000"/>
          <w:sz w:val="20"/>
        </w:rPr>
        <w:t xml:space="preserve">adjusted free cash flow* target was slightly below the previous year’s actual performance in order to account for the Company’s anticipated need to invest in both net working capital and capital expenditures throughout </w:t>
      </w:r>
      <w:r>
        <w:rPr>
          <w:rFonts w:ascii="Arial;sans-serif" w:hAnsi="Arial;sans-serif"/>
          <w:b w:val="false"/>
          <w:color w:val="242424"/>
          <w:sz w:val="20"/>
        </w:rPr>
        <w:t>2024</w:t>
      </w:r>
      <w:r>
        <w:rPr>
          <w:rFonts w:ascii="Arial;sans-serif" w:hAnsi="Arial;sans-serif"/>
          <w:b w:val="false"/>
          <w:color w:val="000000"/>
          <w:sz w:val="20"/>
        </w:rPr>
        <w:t>.</w:t>
      </w:r>
    </w:p>
    <w:p>
      <w:pPr>
        <w:pStyle w:val="TextBody"/>
        <w:bidi w:val="0"/>
        <w:spacing w:lineRule="auto" w:line="268" w:before="120" w:after="120"/>
        <w:jc w:val="left"/>
        <w:rPr/>
      </w:pPr>
      <w:r>
        <w:rPr>
          <w:rFonts w:ascii="Arial;sans-serif" w:hAnsi="Arial;sans-serif"/>
          <w:b/>
          <w:color w:val="000000"/>
          <w:sz w:val="20"/>
        </w:rPr>
        <w:t>Adjusted EBITDA</w:t>
      </w:r>
      <w:r>
        <w:rPr>
          <w:rFonts w:ascii="Arial;sans-serif" w:hAnsi="Arial;sans-serif"/>
          <w:b w:val="false"/>
          <w:color w:val="000000"/>
          <w:sz w:val="20"/>
        </w:rPr>
        <w:t xml:space="preserve">. Increasing the Company’s adjusted EBITDA continued to be a key objective for </w:t>
      </w:r>
      <w:r>
        <w:rPr>
          <w:rFonts w:ascii="Arial;sans-serif" w:hAnsi="Arial;sans-serif"/>
          <w:b w:val="false"/>
          <w:color w:val="242424"/>
          <w:sz w:val="20"/>
        </w:rPr>
        <w:t>2024</w:t>
      </w:r>
      <w:r>
        <w:rPr>
          <w:rFonts w:ascii="Arial;sans-serif" w:hAnsi="Arial;sans-serif"/>
          <w:b w:val="false"/>
          <w:color w:val="000000"/>
          <w:sz w:val="20"/>
        </w:rPr>
        <w:t xml:space="preserve">. Adjusted EBITDA is a non-GAAP financial measure. It represents earnings before interest, taxes, depreciation, and amortization and excludes, among other items, restructuring charges, share-based compensation expense, as well as other charges and credits.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*See Annex A to this proxy statement for a reconciliation of GAAP to Non-GAAP measures. </w:t>
      </w:r>
    </w:p>
    <w:p>
      <w:pPr>
        <w:pStyle w:val="TextBody"/>
        <w:bidi w:val="0"/>
        <w:spacing w:lineRule="auto" w:line="268" w:before="0" w:after="120"/>
        <w:jc w:val="left"/>
        <w:rPr/>
      </w:pPr>
      <w:r>
        <w:rPr>
          <w:rFonts w:ascii="Arial;sans-serif" w:hAnsi="Arial;sans-serif"/>
          <w:b/>
          <w:color w:val="000000"/>
          <w:sz w:val="20"/>
        </w:rPr>
        <w:t>Adjusted Free Cash Flow</w:t>
      </w:r>
      <w:r>
        <w:rPr>
          <w:rFonts w:ascii="Arial;sans-serif" w:hAnsi="Arial;sans-serif"/>
          <w:b w:val="false"/>
          <w:color w:val="000000"/>
          <w:sz w:val="20"/>
        </w:rPr>
        <w:t xml:space="preserve">. The Committee continued to believe that the adjusted free cash flow metric was important to the Company’s shareholders and generally viewed as a measure of financial success and ability to reduce debt—a key focus of the Company. In setting dollar thresholds, the Committee evaluated historical performance, as well as internal projections and expectations. Adjusted free cash flow is a non-GAAP financial measure calculated as cash flows provided by (used in) operating activities, less capital expenditures plus proceeds from disposition of assets.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*See Annex A to this proxy statement for a reconciliation of GAAP to Non-GAAP measures.</w:t>
      </w:r>
    </w:p>
    <w:p>
      <w:pPr>
        <w:pStyle w:val="TextBody"/>
        <w:bidi w:val="0"/>
        <w:spacing w:lineRule="auto" w:line="268" w:before="0" w:after="120"/>
        <w:jc w:val="left"/>
        <w:rPr/>
      </w:pPr>
      <w:r>
        <w:rPr>
          <w:rFonts w:ascii="Arial;sans-serif" w:hAnsi="Arial;sans-serif"/>
          <w:b/>
          <w:color w:val="000000"/>
          <w:sz w:val="20"/>
        </w:rPr>
        <w:t>Geozone or Function Operations</w:t>
      </w:r>
      <w:r>
        <w:rPr>
          <w:rFonts w:ascii="Arial;sans-serif" w:hAnsi="Arial;sans-serif"/>
          <w:b w:val="false"/>
          <w:color w:val="000000"/>
          <w:sz w:val="20"/>
        </w:rPr>
        <w:t>. The Committee introduced a qualitative metric relative to the specific business unit that each NEO supports in an effort to recognize each NEO’s direct contribution to the Company’s success. The business units are organized by Corporate Functions, Global Product Lines, R&amp;D Engineering, Sales, Fulfillment, or Geozone Operations. The success of the NEO’s business units is viewed as a direct contributor to the Adjusted EBITDA and Adjusted Free Cash Flow metrics for the Company.</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STI Plan awards earned for a given year are typically paid in the first quarter of the following year. All NEO award payments are approved by the Committee and certified by our Chief Assurance Officer (as directed by the Audit Committee) in advance of payment.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Maximum individual awards under the STI Plan are capped at 200% of target. In the event of unforeseen developments, the Committee may adjust the STI Plan goals or the potential award payments, as the Committee deems appropriate and equitable. </w:t>
      </w: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68325"/>
                <wp:effectExtent l="0" t="0" r="0" b="0"/>
                <wp:wrapNone/>
                <wp:docPr id="67" name="Frame42"/>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240" w:after="120"/>
        <w:jc w:val="left"/>
        <w:rPr>
          <w:rFonts w:ascii="Arial;sans-serif" w:hAnsi="Arial;sans-serif"/>
          <w:b w:val="false"/>
          <w:i/>
          <w:color w:val="000000"/>
          <w:sz w:val="22"/>
        </w:rPr>
      </w:pPr>
      <w:r>
        <w:rPr>
          <w:rFonts w:ascii="Arial;sans-serif" w:hAnsi="Arial;sans-serif"/>
          <w:b w:val="false"/>
          <w:i/>
          <w:color w:val="000000"/>
          <w:sz w:val="22"/>
        </w:rPr>
        <w:t xml:space="preserve">2024 STI Plan Results and Payouts.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Overall financial performance exceeded the target goals established for the year, resulting in 116% achievement for adjusted EBITDA* and 179% achievement for adjusted free cash flow*, resulting in total achievement of 148%. However, in consideration of the market situation and resultant market capitalization decline in the second half of 2024, the Committee determined to cap the financial portion of the STI award payout at 100% upon the recommendation of the CEO. Additionally, while the Committee believes the Company achieved good HSE results in 2024, a -1% HSE modifier was applied to payouts for some participants to emphasize further improvement in certain Geozones.</w:t>
      </w:r>
    </w:p>
    <w:p>
      <w:pPr>
        <w:pStyle w:val="TextBody"/>
        <w:bidi w:val="0"/>
        <w:spacing w:before="0" w:after="0"/>
        <w:jc w:val="left"/>
        <w:rPr/>
      </w:pPr>
      <w:r>
        <w:rPr/>
      </w:r>
    </w:p>
    <w:tbl>
      <w:tblPr>
        <w:tblW w:w="9664" w:type="dxa"/>
        <w:jc w:val="center"/>
        <w:tblInd w:w="0" w:type="dxa"/>
        <w:tblLayout w:type="fixed"/>
        <w:tblCellMar>
          <w:top w:w="28" w:type="dxa"/>
          <w:left w:w="28" w:type="dxa"/>
          <w:bottom w:w="28" w:type="dxa"/>
          <w:right w:w="28" w:type="dxa"/>
        </w:tblCellMar>
      </w:tblPr>
      <w:tblGrid>
        <w:gridCol w:w="1218"/>
        <w:gridCol w:w="1069"/>
        <w:gridCol w:w="1073"/>
        <w:gridCol w:w="350"/>
        <w:gridCol w:w="350"/>
        <w:gridCol w:w="351"/>
        <w:gridCol w:w="230"/>
        <w:gridCol w:w="230"/>
        <w:gridCol w:w="231"/>
        <w:gridCol w:w="340"/>
        <w:gridCol w:w="340"/>
        <w:gridCol w:w="341"/>
        <w:gridCol w:w="230"/>
        <w:gridCol w:w="230"/>
        <w:gridCol w:w="231"/>
        <w:gridCol w:w="310"/>
        <w:gridCol w:w="310"/>
        <w:gridCol w:w="311"/>
        <w:gridCol w:w="561"/>
        <w:gridCol w:w="561"/>
        <w:gridCol w:w="797"/>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B6B6B6"/>
              <w:left w:val="single" w:sz="8" w:space="0" w:color="B6B6B6"/>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B6B6B6"/>
              <w:left w:val="single" w:sz="8" w:space="0" w:color="B6B6B6"/>
            </w:tcBorders>
            <w:shd w:fill="929292"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Threshold</w:t>
            </w:r>
          </w:p>
        </w:tc>
        <w:tc>
          <w:tcPr>
            <w:tcW w:w="691" w:type="dxa"/>
            <w:gridSpan w:val="3"/>
            <w:tcBorders>
              <w:top w:val="single" w:sz="8" w:space="0" w:color="B6B6B6"/>
              <w:left w:val="single" w:sz="8" w:space="0" w:color="B6B6B6"/>
            </w:tcBorders>
            <w:shd w:fill="929292"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Target</w:t>
            </w:r>
          </w:p>
        </w:tc>
        <w:tc>
          <w:tcPr>
            <w:tcW w:w="1021" w:type="dxa"/>
            <w:gridSpan w:val="3"/>
            <w:tcBorders>
              <w:top w:val="single" w:sz="8" w:space="0" w:color="B6B6B6"/>
              <w:left w:val="single" w:sz="8" w:space="0" w:color="B6B6B6"/>
            </w:tcBorders>
            <w:shd w:fill="929292"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Maximum</w:t>
            </w:r>
          </w:p>
        </w:tc>
        <w:tc>
          <w:tcPr>
            <w:tcW w:w="691" w:type="dxa"/>
            <w:gridSpan w:val="3"/>
            <w:tcBorders>
              <w:top w:val="single" w:sz="8" w:space="0" w:color="B6B6B6"/>
              <w:left w:val="single" w:sz="8" w:space="0" w:color="B6B6B6"/>
            </w:tcBorders>
            <w:shd w:fill="929292"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Actual</w:t>
            </w:r>
          </w:p>
        </w:tc>
        <w:tc>
          <w:tcPr>
            <w:tcW w:w="931" w:type="dxa"/>
            <w:gridSpan w:val="3"/>
            <w:tcBorders>
              <w:top w:val="single" w:sz="8" w:space="0" w:color="B6B6B6"/>
              <w:left w:val="single" w:sz="8" w:space="0" w:color="B6B6B6"/>
            </w:tcBorders>
            <w:shd w:fill="929292"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 Actual</w:t>
            </w:r>
          </w:p>
        </w:tc>
        <w:tc>
          <w:tcPr>
            <w:tcW w:w="1919" w:type="dxa"/>
            <w:gridSpan w:val="3"/>
            <w:tcBorders>
              <w:top w:val="single" w:sz="8" w:space="0" w:color="B6B6B6"/>
              <w:left w:val="single" w:sz="8" w:space="0" w:color="B6B6B6"/>
              <w:right w:val="single" w:sz="8" w:space="0" w:color="B6B6B6"/>
            </w:tcBorders>
            <w:shd w:fill="929292" w:val="clear"/>
            <w:tcMar>
              <w:top w:w="30" w:type="dxa"/>
              <w:bottom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 Payout</w:t>
            </w:r>
          </w:p>
          <w:p>
            <w:pPr>
              <w:pStyle w:val="TableContents"/>
              <w:bidi w:val="0"/>
              <w:spacing w:lineRule="auto" w:line="268" w:before="0" w:after="0"/>
              <w:jc w:val="center"/>
              <w:rPr/>
            </w:pPr>
            <w:r>
              <w:rPr>
                <w:rFonts w:ascii="Arial;sans-serif" w:hAnsi="Arial;sans-serif"/>
                <w:b/>
                <w:color w:val="FFFFFF"/>
                <w:sz w:val="20"/>
              </w:rPr>
              <w:t>(Capped at 100%)</w:t>
            </w:r>
            <w:r>
              <w:rPr>
                <w:rFonts w:ascii="Arial;sans-serif" w:hAnsi="Arial;sans-serif"/>
                <w:b/>
                <w:color w:val="FFFFFF"/>
                <w:sz w:val="13"/>
              </w:rPr>
              <w:t>(1)</w:t>
            </w:r>
          </w:p>
        </w:tc>
      </w:tr>
      <w:tr>
        <w:trPr/>
        <w:tc>
          <w:tcPr>
            <w:tcW w:w="336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EBITDA (in millions)</w:t>
            </w:r>
          </w:p>
        </w:tc>
        <w:tc>
          <w:tcPr>
            <w:tcW w:w="10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$1,175</w:t>
            </w:r>
          </w:p>
        </w:tc>
        <w:tc>
          <w:tcPr>
            <w:tcW w:w="6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$1,350</w:t>
            </w:r>
          </w:p>
        </w:tc>
        <w:tc>
          <w:tcPr>
            <w:tcW w:w="10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$1,550</w:t>
            </w:r>
          </w:p>
        </w:tc>
        <w:tc>
          <w:tcPr>
            <w:tcW w:w="6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$1,382</w:t>
            </w:r>
          </w:p>
        </w:tc>
        <w:tc>
          <w:tcPr>
            <w:tcW w:w="93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116%</w:t>
            </w:r>
          </w:p>
        </w:tc>
        <w:tc>
          <w:tcPr>
            <w:tcW w:w="1919"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36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Free Cash Flow (in millions)</w:t>
            </w:r>
          </w:p>
        </w:tc>
        <w:tc>
          <w:tcPr>
            <w:tcW w:w="105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w:t>
            </w:r>
          </w:p>
        </w:tc>
        <w:tc>
          <w:tcPr>
            <w:tcW w:w="69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$425</w:t>
            </w:r>
          </w:p>
        </w:tc>
        <w:tc>
          <w:tcPr>
            <w:tcW w:w="102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$550</w:t>
            </w:r>
          </w:p>
        </w:tc>
        <w:tc>
          <w:tcPr>
            <w:tcW w:w="69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$524</w:t>
            </w:r>
          </w:p>
        </w:tc>
        <w:tc>
          <w:tcPr>
            <w:tcW w:w="93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179%</w:t>
            </w:r>
          </w:p>
        </w:tc>
        <w:tc>
          <w:tcPr>
            <w:tcW w:w="1919"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9664" w:type="dxa"/>
            <w:gridSpan w:val="21"/>
            <w:tcBorders>
              <w:top w:val="single" w:sz="8" w:space="0" w:color="B6B6B6"/>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C3002F"/>
                <w:sz w:val="13"/>
              </w:rPr>
              <w:t>(1)</w:t>
            </w:r>
            <w:r>
              <w:rPr>
                <w:color w:val="000000"/>
              </w:rPr>
              <w:t xml:space="preserve"> </w:t>
            </w:r>
            <w:r>
              <w:rPr>
                <w:rFonts w:ascii="Arial;sans-serif" w:hAnsi="Arial;sans-serif"/>
                <w:b w:val="false"/>
                <w:color w:val="000000"/>
                <w:sz w:val="16"/>
              </w:rPr>
              <w:t>As discussed above, the Committee capped the financial performance portion of the STI award payout at 100%.</w:t>
            </w:r>
          </w:p>
        </w:tc>
      </w:tr>
    </w:tbl>
    <w:tbl>
      <w:tblPr>
        <w:tblW w:w="10205" w:type="dxa"/>
        <w:jc w:val="center"/>
        <w:tblInd w:w="0" w:type="dxa"/>
        <w:tblLayout w:type="fixed"/>
        <w:tblCellMar>
          <w:top w:w="28" w:type="dxa"/>
          <w:left w:w="28" w:type="dxa"/>
          <w:bottom w:w="28" w:type="dxa"/>
          <w:right w:w="28" w:type="dxa"/>
        </w:tblCellMar>
      </w:tblPr>
      <w:tblGrid>
        <w:gridCol w:w="458"/>
        <w:gridCol w:w="400"/>
        <w:gridCol w:w="407"/>
        <w:gridCol w:w="119"/>
        <w:gridCol w:w="332"/>
        <w:gridCol w:w="317"/>
        <w:gridCol w:w="839"/>
        <w:gridCol w:w="358"/>
        <w:gridCol w:w="358"/>
        <w:gridCol w:w="943"/>
        <w:gridCol w:w="430"/>
        <w:gridCol w:w="430"/>
        <w:gridCol w:w="1132"/>
        <w:gridCol w:w="262"/>
        <w:gridCol w:w="209"/>
        <w:gridCol w:w="552"/>
        <w:gridCol w:w="391"/>
        <w:gridCol w:w="239"/>
        <w:gridCol w:w="634"/>
        <w:gridCol w:w="211"/>
        <w:gridCol w:w="1021"/>
        <w:gridCol w:w="163"/>
      </w:tblGrid>
      <w:tr>
        <w:trPr/>
        <w:tc>
          <w:tcPr>
            <w:tcW w:w="45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5"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8"/>
              </w:rPr>
            </w:pPr>
            <w:r>
              <w:rPr>
                <w:rFonts w:ascii="Arial;sans-serif" w:hAnsi="Arial;sans-serif"/>
                <w:b/>
                <w:color w:val="FFFFFF"/>
                <w:sz w:val="18"/>
              </w:rPr>
              <w:t>NEO</w:t>
            </w:r>
          </w:p>
        </w:tc>
        <w:tc>
          <w:tcPr>
            <w:tcW w:w="119" w:type="dxa"/>
            <w:tcBorders/>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Financial Metric Payout</w:t>
              <w:br/>
              <w:t>(%)</w:t>
            </w:r>
          </w:p>
        </w:tc>
        <w:tc>
          <w:tcPr>
            <w:tcW w:w="1659"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Geozone or Function Operations (%)</w:t>
            </w:r>
          </w:p>
        </w:tc>
        <w:tc>
          <w:tcPr>
            <w:tcW w:w="1992"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Individual Performance Rating Achievement</w:t>
              <w:br/>
              <w:t>(%)</w:t>
            </w:r>
          </w:p>
        </w:tc>
        <w:tc>
          <w:tcPr>
            <w:tcW w:w="1023"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HSE Modifier</w:t>
              <w:br/>
              <w:t>(%)</w:t>
            </w:r>
          </w:p>
        </w:tc>
        <w:tc>
          <w:tcPr>
            <w:tcW w:w="1264"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Payout as a % of Target</w:t>
            </w:r>
          </w:p>
        </w:tc>
        <w:tc>
          <w:tcPr>
            <w:tcW w:w="1395" w:type="dxa"/>
            <w:gridSpan w:val="3"/>
            <w:tcBorders>
              <w:top w:val="single" w:sz="8" w:space="0" w:color="B6B6B6"/>
              <w:left w:val="single" w:sz="8" w:space="0" w:color="B6B6B6"/>
              <w:right w:val="single" w:sz="8" w:space="0" w:color="B6B6B6"/>
            </w:tcBorders>
            <w:shd w:fill="C3002F"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Final Payout</w:t>
            </w:r>
          </w:p>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w:t>
            </w:r>
          </w:p>
        </w:tc>
      </w:tr>
      <w:tr>
        <w:trPr/>
        <w:tc>
          <w:tcPr>
            <w:tcW w:w="126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Saligram</w:t>
            </w:r>
            <w:r>
              <w:rPr>
                <w:rFonts w:ascii="Arial;sans-serif" w:hAnsi="Arial;sans-serif"/>
                <w:b w:val="false"/>
                <w:color w:val="000000"/>
                <w:sz w:val="13"/>
              </w:rPr>
              <w:t>(1)</w:t>
            </w:r>
          </w:p>
        </w:tc>
        <w:tc>
          <w:tcPr>
            <w:tcW w:w="119" w:type="dxa"/>
            <w:tcBorders/>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839"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59"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86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13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71"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63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1,923,750 </w:t>
            </w:r>
          </w:p>
        </w:tc>
        <w:tc>
          <w:tcPr>
            <w:tcW w:w="163"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Weatherholt</w:t>
            </w:r>
          </w:p>
        </w:tc>
        <w:tc>
          <w:tcPr>
            <w:tcW w:w="119" w:type="dxa"/>
            <w:tcBorders/>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83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6"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94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6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3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7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63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468,000 </w:t>
            </w:r>
          </w:p>
        </w:tc>
        <w:tc>
          <w:tcPr>
            <w:tcW w:w="163"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Ward</w:t>
            </w:r>
          </w:p>
        </w:tc>
        <w:tc>
          <w:tcPr>
            <w:tcW w:w="119" w:type="dxa"/>
            <w:tcBorders/>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839"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6"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943"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6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3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71"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63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391,500 </w:t>
            </w:r>
          </w:p>
        </w:tc>
        <w:tc>
          <w:tcPr>
            <w:tcW w:w="163"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Mills</w:t>
            </w:r>
          </w:p>
        </w:tc>
        <w:tc>
          <w:tcPr>
            <w:tcW w:w="119" w:type="dxa"/>
            <w:tcBorders/>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83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6"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94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6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3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7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63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270,270 </w:t>
            </w:r>
          </w:p>
        </w:tc>
        <w:tc>
          <w:tcPr>
            <w:tcW w:w="163"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Mitra</w:t>
            </w:r>
          </w:p>
        </w:tc>
        <w:tc>
          <w:tcPr>
            <w:tcW w:w="119" w:type="dxa"/>
            <w:tcBorders/>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839"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6"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943"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6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3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71"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63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394,875 </w:t>
            </w:r>
          </w:p>
        </w:tc>
        <w:tc>
          <w:tcPr>
            <w:tcW w:w="163"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Davison</w:t>
            </w:r>
            <w:r>
              <w:rPr>
                <w:rFonts w:ascii="Arial;sans-serif" w:hAnsi="Arial;sans-serif"/>
                <w:b w:val="false"/>
                <w:color w:val="000000"/>
                <w:sz w:val="13"/>
              </w:rPr>
              <w:t>(2)</w:t>
            </w:r>
          </w:p>
        </w:tc>
        <w:tc>
          <w:tcPr>
            <w:tcW w:w="119" w:type="dxa"/>
            <w:tcBorders/>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9"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6"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43"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60"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2"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71"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8810" w:type="dxa"/>
            <w:gridSpan w:val="19"/>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C3002F"/>
                <w:sz w:val="12"/>
              </w:rPr>
              <w:t>(1)</w:t>
            </w:r>
            <w:r>
              <w:rPr>
                <w:color w:val="000000"/>
              </w:rPr>
              <w:t xml:space="preserve"> </w:t>
            </w:r>
            <w:r>
              <w:rPr>
                <w:rFonts w:ascii="Arial;sans-serif" w:hAnsi="Arial;sans-serif"/>
                <w:b w:val="false"/>
                <w:i/>
                <w:color w:val="000000"/>
                <w:sz w:val="18"/>
              </w:rPr>
              <w:t xml:space="preserve">Mr. Saligram’s weighted financial metric payout is higher because his oversight is not limited to a distinct Geozone or function. </w:t>
            </w:r>
          </w:p>
          <w:p>
            <w:pPr>
              <w:pStyle w:val="TableContents"/>
              <w:bidi w:val="0"/>
              <w:spacing w:lineRule="auto" w:line="240" w:before="0" w:after="0"/>
              <w:jc w:val="left"/>
              <w:rPr/>
            </w:pPr>
            <w:r>
              <w:rPr>
                <w:rFonts w:ascii="Arial;sans-serif" w:hAnsi="Arial;sans-serif"/>
                <w:b w:val="false"/>
                <w:i/>
                <w:color w:val="C3002F"/>
                <w:sz w:val="12"/>
              </w:rPr>
              <w:t>(2)</w:t>
            </w:r>
            <w:r>
              <w:rPr>
                <w:color w:val="000000"/>
              </w:rPr>
              <w:t xml:space="preserve"> </w:t>
            </w:r>
            <w:r>
              <w:rPr>
                <w:rFonts w:ascii="Arial;sans-serif" w:hAnsi="Arial;sans-serif"/>
                <w:b w:val="false"/>
                <w:i/>
                <w:color w:val="000000"/>
                <w:sz w:val="18"/>
              </w:rPr>
              <w:t>Mr. Davison departed the Company on February 6, 2024 and did not receive a payout under the 2024</w:t>
            </w:r>
            <w:r>
              <w:rPr>
                <w:color w:val="000000"/>
              </w:rPr>
              <w:t xml:space="preserve"> </w:t>
            </w:r>
            <w:r>
              <w:rPr>
                <w:rFonts w:ascii="Arial;sans-serif" w:hAnsi="Arial;sans-serif"/>
                <w:b w:val="false"/>
                <w:i/>
                <w:color w:val="000000"/>
                <w:sz w:val="18"/>
              </w:rPr>
              <w:t xml:space="preserve">STI Plan. See “Executive Compensation Tables — 2024 Summary Compensation Table” and related footnotes for a discussion of amounts Mr. Davison received in connection with his departure. </w:t>
            </w:r>
          </w:p>
        </w:tc>
        <w:tc>
          <w:tcPr>
            <w:tcW w:w="139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pPr>
      <w:r>
        <w:rPr>
          <w:rFonts w:ascii="Arial;sans-serif" w:hAnsi="Arial;sans-serif"/>
          <w:b w:val="false"/>
          <w:color w:val="000000"/>
          <w:sz w:val="20"/>
        </w:rPr>
        <w:t xml:space="preserve">The Committee approved 2024 STI Plan payouts to each NEO in the amounts shown in the table above. The approved amounts were paid in cash to each of the NEOs in the first quarter of 2025. </w:t>
      </w:r>
      <w:r>
        <w:rPr>
          <w:rFonts w:ascii="Arial;sans-serif" w:hAnsi="Arial;sans-serif"/>
          <w:b w:val="false"/>
          <w:color w:val="242424"/>
          <w:sz w:val="20"/>
        </w:rPr>
        <w:t xml:space="preserve">The average </w:t>
      </w:r>
      <w:r>
        <w:rPr>
          <w:rFonts w:ascii="Arial;sans-serif" w:hAnsi="Arial;sans-serif"/>
          <w:b w:val="false"/>
          <w:color w:val="000000"/>
          <w:sz w:val="20"/>
        </w:rPr>
        <w:t xml:space="preserve">2024 </w:t>
      </w:r>
      <w:r>
        <w:rPr>
          <w:rFonts w:ascii="Arial;sans-serif" w:hAnsi="Arial;sans-serif"/>
          <w:b w:val="false"/>
          <w:color w:val="242424"/>
          <w:sz w:val="20"/>
        </w:rPr>
        <w:t xml:space="preserve">STI Plan payout for our NEOs (other than Mr. Davison) was approximately </w:t>
      </w:r>
      <w:r>
        <w:rPr>
          <w:rFonts w:ascii="Arial;sans-serif" w:hAnsi="Arial;sans-serif"/>
          <w:b w:val="false"/>
          <w:color w:val="000000"/>
          <w:sz w:val="20"/>
        </w:rPr>
        <w:t xml:space="preserve">96% </w:t>
      </w:r>
      <w:r>
        <w:rPr>
          <w:rFonts w:ascii="Arial;sans-serif" w:hAnsi="Arial;sans-serif"/>
          <w:b w:val="false"/>
          <w:color w:val="242424"/>
          <w:sz w:val="20"/>
        </w:rPr>
        <w:t>of target.</w:t>
      </w:r>
    </w:p>
    <w:p>
      <w:pPr>
        <w:pStyle w:val="TextBody"/>
        <w:bidi w:val="0"/>
        <w:spacing w:lineRule="auto" w:line="288" w:before="240" w:after="120"/>
        <w:jc w:val="left"/>
        <w:rPr>
          <w:rFonts w:ascii="Arial;sans-serif" w:hAnsi="Arial;sans-serif"/>
          <w:b w:val="false"/>
          <w:i/>
          <w:color w:val="000000"/>
          <w:sz w:val="22"/>
        </w:rPr>
      </w:pPr>
      <w:r>
        <w:rPr>
          <w:rFonts w:ascii="Arial;sans-serif" w:hAnsi="Arial;sans-serif"/>
          <w:b w:val="false"/>
          <w:i/>
          <w:color w:val="000000"/>
          <w:sz w:val="22"/>
        </w:rPr>
        <w:t>LTI Plan: 2024 Awards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Our annual equity-based long-term incentive compensation is designed to align the interests of our executives with those of our shareholders. In 2024, we sought to tie a significant portion of our NEO compensation to our financial and operational performance by designing our LTI Plan PSU metrics to include relative total shareholder return. For the awards made in January 2024, the Committee determined target LTI Plan award values for each NEO as set forth below. </w:t>
      </w:r>
    </w:p>
    <w:p>
      <w:pPr>
        <w:pStyle w:val="TextBody"/>
        <w:bidi w:val="0"/>
        <w:spacing w:before="0" w:after="120"/>
        <w:jc w:val="left"/>
        <w:rPr/>
      </w:pPr>
      <w:r>
        <w:rPr/>
      </w:r>
    </w:p>
    <w:tbl>
      <w:tblPr>
        <w:tblW w:w="10205" w:type="dxa"/>
        <w:jc w:val="center"/>
        <w:tblInd w:w="0" w:type="dxa"/>
        <w:tblLayout w:type="fixed"/>
        <w:tblCellMar>
          <w:top w:w="28" w:type="dxa"/>
          <w:left w:w="28" w:type="dxa"/>
          <w:bottom w:w="28" w:type="dxa"/>
          <w:right w:w="28" w:type="dxa"/>
        </w:tblCellMar>
      </w:tblPr>
      <w:tblGrid>
        <w:gridCol w:w="898"/>
        <w:gridCol w:w="787"/>
        <w:gridCol w:w="796"/>
        <w:gridCol w:w="330"/>
        <w:gridCol w:w="331"/>
        <w:gridCol w:w="412"/>
        <w:gridCol w:w="330"/>
        <w:gridCol w:w="331"/>
        <w:gridCol w:w="412"/>
        <w:gridCol w:w="389"/>
        <w:gridCol w:w="391"/>
        <w:gridCol w:w="787"/>
        <w:gridCol w:w="516"/>
        <w:gridCol w:w="517"/>
        <w:gridCol w:w="283"/>
        <w:gridCol w:w="516"/>
        <w:gridCol w:w="517"/>
        <w:gridCol w:w="283"/>
        <w:gridCol w:w="516"/>
        <w:gridCol w:w="517"/>
        <w:gridCol w:w="346"/>
      </w:tblGrid>
      <w:tr>
        <w:trPr/>
        <w:tc>
          <w:tcPr>
            <w:tcW w:w="89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18"/>
            <w:tcBorders>
              <w:top w:val="single" w:sz="8" w:space="0" w:color="DBDBDB"/>
              <w:bottom w:val="single" w:sz="8" w:space="0" w:color="DBDBDB"/>
              <w:right w:val="single" w:sz="8" w:space="0" w:color="DBDBDB"/>
            </w:tcBorders>
            <w:shd w:fill="C3002F" w:val="clear"/>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Long-Term Incentive Awards</w:t>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9"/>
            <w:tcBorders>
              <w:top w:val="single" w:sz="8" w:space="0" w:color="DBDBDB"/>
            </w:tcBorders>
            <w:shd w:fill="C3002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 of Base Salary</w:t>
            </w:r>
          </w:p>
        </w:tc>
        <w:tc>
          <w:tcPr>
            <w:tcW w:w="4011" w:type="dxa"/>
            <w:gridSpan w:val="9"/>
            <w:tcBorders>
              <w:top w:val="single" w:sz="8" w:space="0" w:color="DBDBDB"/>
              <w:left w:val="single" w:sz="8" w:space="0" w:color="DBDBDB"/>
              <w:right w:val="single" w:sz="8" w:space="0" w:color="DBDBDB"/>
            </w:tcBorders>
            <w:shd w:fill="C3002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2024 Awards</w:t>
            </w:r>
          </w:p>
        </w:tc>
      </w:tr>
      <w:tr>
        <w:trPr/>
        <w:tc>
          <w:tcPr>
            <w:tcW w:w="2481"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NEO</w:t>
            </w:r>
          </w:p>
        </w:tc>
        <w:tc>
          <w:tcPr>
            <w:tcW w:w="1073"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2023</w:t>
            </w:r>
          </w:p>
        </w:tc>
        <w:tc>
          <w:tcPr>
            <w:tcW w:w="1073"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2024</w:t>
            </w:r>
          </w:p>
        </w:tc>
        <w:tc>
          <w:tcPr>
            <w:tcW w:w="1567"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 Change</w:t>
            </w:r>
          </w:p>
        </w:tc>
        <w:tc>
          <w:tcPr>
            <w:tcW w:w="1316"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RSUs</w:t>
            </w:r>
          </w:p>
        </w:tc>
        <w:tc>
          <w:tcPr>
            <w:tcW w:w="1316" w:type="dxa"/>
            <w:gridSpan w:val="3"/>
            <w:tcBorders>
              <w:top w:val="single" w:sz="8" w:space="0" w:color="B6B6B6"/>
              <w:left w:val="single" w:sz="8" w:space="0" w:color="B6B6B6"/>
            </w:tcBorders>
            <w:shd w:fill="7F7F7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PSUs</w:t>
            </w:r>
          </w:p>
        </w:tc>
        <w:tc>
          <w:tcPr>
            <w:tcW w:w="1379" w:type="dxa"/>
            <w:gridSpan w:val="3"/>
            <w:tcBorders>
              <w:top w:val="single" w:sz="8" w:space="0" w:color="B6B6B6"/>
              <w:left w:val="single" w:sz="8" w:space="0" w:color="B6B6B6"/>
              <w:right w:val="single" w:sz="8" w:space="0" w:color="B6B6B6"/>
            </w:tcBorders>
            <w:shd w:fill="7F7F7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Total</w:t>
            </w:r>
          </w:p>
        </w:tc>
      </w:tr>
      <w:tr>
        <w:trPr/>
        <w:tc>
          <w:tcPr>
            <w:tcW w:w="2481"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661"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41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61"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41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8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787"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28,602 </w:t>
            </w:r>
          </w:p>
        </w:tc>
        <w:tc>
          <w:tcPr>
            <w:tcW w:w="28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66,740 </w:t>
            </w:r>
          </w:p>
        </w:tc>
        <w:tc>
          <w:tcPr>
            <w:tcW w:w="28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95,342 </w:t>
            </w:r>
          </w:p>
        </w:tc>
        <w:tc>
          <w:tcPr>
            <w:tcW w:w="346"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66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41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6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41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8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78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33"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6,755 </w:t>
            </w:r>
          </w:p>
        </w:tc>
        <w:tc>
          <w:tcPr>
            <w:tcW w:w="28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10,133 </w:t>
            </w:r>
          </w:p>
        </w:tc>
        <w:tc>
          <w:tcPr>
            <w:tcW w:w="28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16,888 </w:t>
            </w:r>
          </w:p>
        </w:tc>
        <w:tc>
          <w:tcPr>
            <w:tcW w:w="346"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Richard D. Ward</w:t>
            </w:r>
            <w:r>
              <w:rPr>
                <w:rFonts w:ascii="Arial;sans-serif" w:hAnsi="Arial;sans-serif"/>
                <w:b w:val="false"/>
                <w:color w:val="000000"/>
                <w:sz w:val="13"/>
              </w:rPr>
              <w:t>(1)</w:t>
            </w:r>
          </w:p>
        </w:tc>
        <w:tc>
          <w:tcPr>
            <w:tcW w:w="1073" w:type="dxa"/>
            <w:gridSpan w:val="3"/>
            <w:tcBorders>
              <w:top w:val="single" w:sz="8" w:space="0" w:color="B6B6B6"/>
              <w:left w:val="single" w:sz="8" w:space="0" w:color="B6B6B6"/>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41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7" w:type="dxa"/>
            <w:gridSpan w:val="3"/>
            <w:tcBorders>
              <w:top w:val="single" w:sz="8" w:space="0" w:color="B6B6B6"/>
              <w:left w:val="single" w:sz="8" w:space="0" w:color="B6B6B6"/>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5,448 </w:t>
            </w:r>
          </w:p>
        </w:tc>
        <w:tc>
          <w:tcPr>
            <w:tcW w:w="28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8,172 </w:t>
            </w:r>
          </w:p>
        </w:tc>
        <w:tc>
          <w:tcPr>
            <w:tcW w:w="28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13,620 </w:t>
            </w:r>
          </w:p>
        </w:tc>
        <w:tc>
          <w:tcPr>
            <w:tcW w:w="346"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66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41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6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41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8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78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33"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5,584 </w:t>
            </w:r>
          </w:p>
        </w:tc>
        <w:tc>
          <w:tcPr>
            <w:tcW w:w="28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2,860 </w:t>
            </w:r>
          </w:p>
        </w:tc>
        <w:tc>
          <w:tcPr>
            <w:tcW w:w="28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8,444 </w:t>
            </w:r>
          </w:p>
        </w:tc>
        <w:tc>
          <w:tcPr>
            <w:tcW w:w="346"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Arunava Mitra</w:t>
            </w:r>
            <w:r>
              <w:rPr>
                <w:rFonts w:ascii="Arial;sans-serif" w:hAnsi="Arial;sans-serif"/>
                <w:b w:val="false"/>
                <w:color w:val="000000"/>
                <w:sz w:val="13"/>
              </w:rPr>
              <w:t>(2)</w:t>
            </w:r>
          </w:p>
        </w:tc>
        <w:tc>
          <w:tcPr>
            <w:tcW w:w="661"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41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61"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412"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8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787"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8,924 </w:t>
            </w:r>
          </w:p>
        </w:tc>
        <w:tc>
          <w:tcPr>
            <w:tcW w:w="28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13,386 </w:t>
            </w:r>
          </w:p>
        </w:tc>
        <w:tc>
          <w:tcPr>
            <w:tcW w:w="283"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22,310 </w:t>
            </w:r>
          </w:p>
        </w:tc>
        <w:tc>
          <w:tcPr>
            <w:tcW w:w="346"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Charles W. Davison, Jr.</w:t>
            </w:r>
            <w:r>
              <w:rPr>
                <w:rFonts w:ascii="Arial;sans-serif" w:hAnsi="Arial;sans-serif"/>
                <w:b w:val="false"/>
                <w:color w:val="000000"/>
                <w:sz w:val="13"/>
              </w:rPr>
              <w:t>(2)</w:t>
            </w:r>
          </w:p>
        </w:tc>
        <w:tc>
          <w:tcPr>
            <w:tcW w:w="661"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412"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61"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412"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80"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787"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33"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3,268 </w:t>
            </w:r>
          </w:p>
        </w:tc>
        <w:tc>
          <w:tcPr>
            <w:tcW w:w="283"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4,903 </w:t>
            </w:r>
          </w:p>
        </w:tc>
        <w:tc>
          <w:tcPr>
            <w:tcW w:w="283"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8,171 </w:t>
            </w:r>
          </w:p>
        </w:tc>
        <w:tc>
          <w:tcPr>
            <w:tcW w:w="346" w:type="dxa"/>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C3002F"/>
                <w:sz w:val="12"/>
              </w:rPr>
              <w:t>(1)</w:t>
            </w:r>
            <w:r>
              <w:rPr>
                <w:color w:val="000000"/>
              </w:rPr>
              <w:t xml:space="preserve"> </w:t>
            </w:r>
            <w:r>
              <w:rPr>
                <w:rFonts w:ascii="Arial;sans-serif" w:hAnsi="Arial;sans-serif"/>
                <w:b w:val="false"/>
                <w:i/>
                <w:color w:val="000000"/>
                <w:sz w:val="18"/>
              </w:rPr>
              <w:t>Mr. Ward joined the Company in January 2024.</w:t>
            </w:r>
          </w:p>
          <w:p>
            <w:pPr>
              <w:pStyle w:val="TableContents"/>
              <w:bidi w:val="0"/>
              <w:spacing w:lineRule="auto" w:line="240" w:before="0" w:after="0"/>
              <w:jc w:val="left"/>
              <w:rPr/>
            </w:pPr>
            <w:r>
              <w:rPr>
                <w:rFonts w:ascii="Arial;sans-serif" w:hAnsi="Arial;sans-serif"/>
                <w:b w:val="false"/>
                <w:i/>
                <w:color w:val="C3002F"/>
                <w:sz w:val="12"/>
              </w:rPr>
              <w:t>(2)</w:t>
            </w:r>
            <w:r>
              <w:rPr>
                <w:color w:val="000000"/>
              </w:rPr>
              <w:t xml:space="preserve"> </w:t>
            </w:r>
            <w:r>
              <w:rPr>
                <w:rFonts w:ascii="Arial;sans-serif" w:hAnsi="Arial;sans-serif"/>
                <w:b w:val="false"/>
                <w:i/>
                <w:color w:val="000000"/>
                <w:sz w:val="18"/>
              </w:rPr>
              <w:t xml:space="preserve">Mr. Mitra departed the Company on April 21, 2025, and Mr. Davison departed the Company on February 6, 2024. See “Potential Payments Upon Termination or Change in Control” for more information on the treatment of equity awards upon termination. </w:t>
            </w:r>
          </w:p>
        </w:tc>
      </w:tr>
    </w:tbl>
    <w:p>
      <w:pPr>
        <w:pStyle w:val="TextBody"/>
        <w:bidi w:val="0"/>
        <w:spacing w:before="0" w:after="120"/>
        <w:jc w:val="left"/>
        <w:rPr/>
      </w:pPr>
      <w:r>
        <w:rPr/>
      </w:r>
    </w:p>
    <w:p>
      <w:pPr>
        <w:pStyle w:val="TextBody"/>
        <w:bidi w:val="0"/>
        <w:spacing w:lineRule="auto" w:line="268" w:before="0" w:after="120"/>
        <w:jc w:val="left"/>
        <w:rPr/>
      </w:pPr>
      <w:r>
        <w:rPr>
          <w:rFonts w:ascii="Arial;sans-serif" w:hAnsi="Arial;sans-serif"/>
          <w:b w:val="false"/>
          <w:color w:val="000000"/>
          <w:sz w:val="20"/>
          <w:u w:val="single"/>
        </w:rPr>
        <w:t>Award Mix</w:t>
      </w:r>
      <w:r>
        <w:rPr>
          <w:rFonts w:ascii="Arial;sans-serif" w:hAnsi="Arial;sans-serif"/>
          <w:b w:val="false"/>
          <w:color w:val="000000"/>
          <w:sz w:val="20"/>
        </w:rPr>
        <w:t xml:space="preserve">. LTI Plan awards are delivered as a mix of time-based RSUs and performance-based PSUs. In 2024, Mr. Saligram received 70% PSUs and 30% RSUs. All other NEOs received 60% PSUs and 40% RSUs, except for Mr. Mills, who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68325"/>
                <wp:effectExtent l="0" t="0" r="0" b="0"/>
                <wp:wrapNone/>
                <wp:docPr id="68" name="Frame43"/>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pPr>
      <w:r>
        <w:rPr>
          <w:rFonts w:ascii="Arial;sans-serif" w:hAnsi="Arial;sans-serif"/>
          <w:b w:val="false"/>
          <w:color w:val="000000"/>
          <w:sz w:val="20"/>
        </w:rPr>
        <w:t>an additional grant of 2,724 RSUs in recognition of his service, increasing his percentage of RSUs to 66%. The award mix is generally more heavily-weighted toward PSUs, underscoring our commitment to pay-for-performance.</w:t>
      </w:r>
      <w:r>
        <w:rPr>
          <w:color w:val="000000"/>
        </w:rPr>
        <w:t xml:space="preserve"> </w:t>
      </w:r>
    </w:p>
    <w:p>
      <w:pPr>
        <w:pStyle w:val="TextBody"/>
        <w:bidi w:val="0"/>
        <w:spacing w:lineRule="auto" w:line="268" w:before="0" w:after="120"/>
        <w:jc w:val="left"/>
        <w:rPr/>
      </w:pPr>
      <w:r>
        <w:rPr>
          <w:rFonts w:ascii="Arial;sans-serif" w:hAnsi="Arial;sans-serif"/>
          <w:b w:val="false"/>
          <w:color w:val="000000"/>
          <w:sz w:val="20"/>
          <w:u w:val="single"/>
        </w:rPr>
        <w:t>Number of Units</w:t>
      </w:r>
      <w:r>
        <w:rPr>
          <w:rFonts w:ascii="Arial;sans-serif" w:hAnsi="Arial;sans-serif"/>
          <w:b w:val="false"/>
          <w:color w:val="000000"/>
          <w:sz w:val="20"/>
        </w:rPr>
        <w:t>. The target number of PSUs and RSUs to each executive in 2024 was determined by dividing the target value by the volume-weighted average closing share price of our ordinary shares for the five trading days immediately preceding the grant date.</w:t>
      </w:r>
    </w:p>
    <w:p>
      <w:pPr>
        <w:pStyle w:val="TextBody"/>
        <w:bidi w:val="0"/>
        <w:spacing w:lineRule="auto" w:line="268" w:before="0" w:after="120"/>
        <w:jc w:val="left"/>
        <w:rPr/>
      </w:pPr>
      <w:r>
        <w:rPr>
          <w:rFonts w:ascii="Arial;sans-serif" w:hAnsi="Arial;sans-serif"/>
          <w:b w:val="false"/>
          <w:color w:val="000000"/>
          <w:sz w:val="20"/>
          <w:u w:val="single"/>
        </w:rPr>
        <w:t>Vesting Schedules</w:t>
      </w:r>
      <w:r>
        <w:rPr>
          <w:rFonts w:ascii="Arial;sans-serif" w:hAnsi="Arial;sans-serif"/>
          <w:b w:val="false"/>
          <w:color w:val="000000"/>
          <w:sz w:val="20"/>
        </w:rPr>
        <w:t xml:space="preserve">.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RSU awards generally vest in equal annual installments on each of the first three anniversaries of the grant date. Mr. Mills received an additional grant of 2,724 RSUs that will vest in full on the third anniversary of the grant date.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PSUs will vest, to the extent earned, following the conclusion of the performance period on December 31, 2026.</w:t>
      </w:r>
    </w:p>
    <w:p>
      <w:pPr>
        <w:pStyle w:val="TextBody"/>
        <w:bidi w:val="0"/>
        <w:spacing w:lineRule="auto" w:line="268" w:before="0" w:after="120"/>
        <w:jc w:val="left"/>
        <w:rPr/>
      </w:pPr>
      <w:r>
        <w:rPr>
          <w:rFonts w:ascii="Arial;sans-serif" w:hAnsi="Arial;sans-serif"/>
          <w:b w:val="false"/>
          <w:color w:val="000000"/>
          <w:sz w:val="20"/>
          <w:u w:val="single"/>
        </w:rPr>
        <w:t>Performance Metrics</w:t>
      </w:r>
      <w:r>
        <w:rPr>
          <w:rFonts w:ascii="Arial;sans-serif" w:hAnsi="Arial;sans-serif"/>
          <w:b w:val="false"/>
          <w:color w:val="000000"/>
          <w:sz w:val="20"/>
        </w:rPr>
        <w:t>. The PSUs are based on achievement of a specified cumulative three-year TSR, weighted at 40%, as well as adjusted EBITDA* and adjusted free cash flow* metrics, each weighted at 30%. Details regarding these performance targets are competitively sensitive information; therefore they will be disclosed only in our future SEC disclosures as the performance period is completed. No PSUs will be earned in the event that threshold levels are not achieved; 50% of PSUs awarded may be earned if threshold performance levels are achieved; 100% may be earned if target performance levels are achieved; and 200% may be earned if maximum levels of performance are achieved, with linear interpolation for any results that fall in between threshold and maximum.</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Adjusted EBITDA and adjusted free cash flow are non-GAAP financial measures. See Annex A to this proxy statement for a reconciliation of GAAP to Non-GAAP measures.</w:t>
      </w:r>
    </w:p>
    <w:p>
      <w:pPr>
        <w:pStyle w:val="TextBody"/>
        <w:bidi w:val="0"/>
        <w:spacing w:lineRule="auto" w:line="268" w:before="0" w:after="120"/>
        <w:jc w:val="left"/>
        <w:rPr/>
      </w:pPr>
      <w:r>
        <w:rPr>
          <w:rFonts w:ascii="Arial;sans-serif" w:hAnsi="Arial;sans-serif"/>
          <w:b w:val="false"/>
          <w:color w:val="000000"/>
          <w:sz w:val="20"/>
          <w:u w:val="single"/>
        </w:rPr>
        <w:t>Dividend Equivalent Rights</w:t>
      </w:r>
      <w:r>
        <w:rPr>
          <w:rFonts w:ascii="Arial;sans-serif" w:hAnsi="Arial;sans-serif"/>
          <w:b w:val="false"/>
          <w:color w:val="000000"/>
          <w:sz w:val="20"/>
        </w:rPr>
        <w:t xml:space="preserve">.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During 2024, the Company initiated a quarterly dividend of $0.25 per share, and the Committee determined that dividend equivalent rights apply to all outstanding equity awards in accordance with the 2019 EIP and corresponding award agreements. The dividend equivalent rights accrue on outstanding equity awards, but are not paid unless and until the underlying award vests. If an award does not vest, the accrued dividend equivalents are forfeited. </w:t>
      </w:r>
    </w:p>
    <w:p>
      <w:pPr>
        <w:pStyle w:val="TextBody"/>
        <w:bidi w:val="0"/>
        <w:spacing w:lineRule="auto" w:line="268" w:before="0" w:after="120"/>
        <w:jc w:val="left"/>
        <w:rPr/>
      </w:pPr>
      <w:r>
        <w:rPr>
          <w:rFonts w:ascii="Arial;sans-serif" w:hAnsi="Arial;sans-serif"/>
          <w:b w:val="false"/>
          <w:color w:val="242424"/>
          <w:sz w:val="20"/>
          <w:u w:val="single"/>
        </w:rPr>
        <w:t>Award Timing</w:t>
      </w:r>
      <w:r>
        <w:rPr>
          <w:rFonts w:ascii="Arial;sans-serif" w:hAnsi="Arial;sans-serif"/>
          <w:b w:val="false"/>
          <w:color w:val="242424"/>
          <w:sz w:val="20"/>
        </w:rPr>
        <w:t>.</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The Committee does not take into account material non-public information when determining the timing or terms of equity awards, nor do we time disclosure of material non-public information for the purpose of affecting the value of executive compensation. During 2024, the Company did not grant options (or similar awards) to any NEO during any period beginning four business days before and ending one business day after the filing of any periodic report on Form 10-Q or Form 10-K, or the filing or furnishing of any current report on Form 8-K that disclosed material non-public information. More broadly, the Company has not awarded options (or similar awards) in the last three years, and no such awards are currently outstanding or expected to be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68325"/>
                <wp:effectExtent l="0" t="0" r="0" b="0"/>
                <wp:wrapNone/>
                <wp:docPr id="69" name="Frame4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49" w:before="120" w:after="120"/>
        <w:jc w:val="left"/>
        <w:rPr>
          <w:rFonts w:ascii="Arial;sans-serif" w:hAnsi="Arial;sans-serif"/>
          <w:b/>
          <w:color w:val="939598"/>
          <w:sz w:val="32"/>
        </w:rPr>
      </w:pPr>
      <w:r>
        <w:rPr>
          <w:rFonts w:ascii="Arial;sans-serif" w:hAnsi="Arial;sans-serif"/>
          <w:b/>
          <w:color w:val="939598"/>
          <w:sz w:val="32"/>
        </w:rPr>
        <w:t>Awards that Vested in 2024</w:t>
      </w:r>
    </w:p>
    <w:p>
      <w:pPr>
        <w:pStyle w:val="TextBody"/>
        <w:bidi w:val="0"/>
        <w:spacing w:lineRule="auto" w:line="268" w:before="240" w:after="120"/>
        <w:jc w:val="left"/>
        <w:rPr>
          <w:rFonts w:ascii="Arial;sans-serif" w:hAnsi="Arial;sans-serif"/>
          <w:b w:val="false"/>
          <w:i/>
          <w:color w:val="242424"/>
          <w:sz w:val="22"/>
        </w:rPr>
      </w:pPr>
      <w:r>
        <w:rPr>
          <w:rFonts w:ascii="Arial;sans-serif" w:hAnsi="Arial;sans-serif"/>
          <w:b w:val="false"/>
          <w:i/>
          <w:color w:val="242424"/>
          <w:sz w:val="22"/>
        </w:rPr>
        <w:t xml:space="preserve">Vesting of 2022 PSU Awards </w:t>
      </w:r>
    </w:p>
    <w:p>
      <w:pPr>
        <w:pStyle w:val="TextBody"/>
        <w:bidi w:val="0"/>
        <w:spacing w:lineRule="auto" w:line="268" w:before="240" w:after="120"/>
        <w:jc w:val="left"/>
        <w:rPr>
          <w:rFonts w:ascii="Arial;sans-serif" w:hAnsi="Arial;sans-serif"/>
          <w:b w:val="false"/>
          <w:color w:val="242424"/>
          <w:sz w:val="20"/>
        </w:rPr>
      </w:pPr>
      <w:r>
        <w:rPr>
          <w:rFonts w:ascii="Arial;sans-serif" w:hAnsi="Arial;sans-serif"/>
          <w:b w:val="false"/>
          <w:color w:val="242424"/>
          <w:sz w:val="20"/>
        </w:rPr>
        <w:t>The Committee awarded PSUs in January 2022 (the “2022 PSUs”) with a performance period running from January 1, 2022 through December 31, 2024. The 2022 PSUs vested based on actual three-year cumulative achievement of the below performance metrics:</w:t>
      </w:r>
    </w:p>
    <w:tbl>
      <w:tblPr>
        <w:tblW w:w="10205" w:type="dxa"/>
        <w:jc w:val="center"/>
        <w:tblInd w:w="0" w:type="dxa"/>
        <w:tblLayout w:type="fixed"/>
        <w:tblCellMar>
          <w:top w:w="28" w:type="dxa"/>
          <w:left w:w="28" w:type="dxa"/>
          <w:bottom w:w="28" w:type="dxa"/>
          <w:right w:w="28" w:type="dxa"/>
        </w:tblCellMar>
      </w:tblPr>
      <w:tblGrid>
        <w:gridCol w:w="881"/>
        <w:gridCol w:w="343"/>
        <w:gridCol w:w="346"/>
        <w:gridCol w:w="251"/>
        <w:gridCol w:w="251"/>
        <w:gridCol w:w="252"/>
        <w:gridCol w:w="740"/>
        <w:gridCol w:w="740"/>
        <w:gridCol w:w="742"/>
        <w:gridCol w:w="432"/>
        <w:gridCol w:w="432"/>
        <w:gridCol w:w="435"/>
        <w:gridCol w:w="722"/>
        <w:gridCol w:w="722"/>
        <w:gridCol w:w="724"/>
        <w:gridCol w:w="259"/>
        <w:gridCol w:w="259"/>
        <w:gridCol w:w="263"/>
        <w:gridCol w:w="410"/>
        <w:gridCol w:w="410"/>
        <w:gridCol w:w="591"/>
      </w:tblGrid>
      <w:tr>
        <w:trPr/>
        <w:tc>
          <w:tcPr>
            <w:tcW w:w="88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Metric</w:t>
            </w:r>
          </w:p>
        </w:tc>
        <w:tc>
          <w:tcPr>
            <w:tcW w:w="754" w:type="dxa"/>
            <w:gridSpan w:val="3"/>
            <w:tcBorders>
              <w:top w:val="single" w:sz="8" w:space="0" w:color="B6B6B6"/>
              <w:left w:val="single" w:sz="8" w:space="0" w:color="B6B6B6"/>
              <w:bottom w:val="single" w:sz="8" w:space="0" w:color="B6B6B6"/>
            </w:tcBorders>
            <w:shd w:fill="C3002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 xml:space="preserve">Weight </w:t>
              <w:br/>
              <w:t>(%)</w:t>
            </w:r>
          </w:p>
        </w:tc>
        <w:tc>
          <w:tcPr>
            <w:tcW w:w="2222" w:type="dxa"/>
            <w:gridSpan w:val="3"/>
            <w:tcBorders>
              <w:top w:val="single" w:sz="8" w:space="0" w:color="B6B6B6"/>
              <w:left w:val="single" w:sz="8" w:space="0" w:color="B6B6B6"/>
              <w:bottom w:val="single" w:sz="8" w:space="0" w:color="B6B6B6"/>
            </w:tcBorders>
            <w:shd w:fill="C3002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Threshold (%)</w:t>
            </w:r>
          </w:p>
        </w:tc>
        <w:tc>
          <w:tcPr>
            <w:tcW w:w="1299" w:type="dxa"/>
            <w:gridSpan w:val="3"/>
            <w:tcBorders>
              <w:top w:val="single" w:sz="8" w:space="0" w:color="B6B6B6"/>
              <w:left w:val="single" w:sz="8" w:space="0" w:color="B6B6B6"/>
              <w:bottom w:val="single" w:sz="8" w:space="0" w:color="B6B6B6"/>
            </w:tcBorders>
            <w:shd w:fill="C3002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 xml:space="preserve">Target </w:t>
              <w:br/>
              <w:t>(%)</w:t>
            </w:r>
          </w:p>
        </w:tc>
        <w:tc>
          <w:tcPr>
            <w:tcW w:w="2168" w:type="dxa"/>
            <w:gridSpan w:val="3"/>
            <w:tcBorders>
              <w:top w:val="single" w:sz="8" w:space="0" w:color="B6B6B6"/>
              <w:left w:val="single" w:sz="8" w:space="0" w:color="B6B6B6"/>
              <w:bottom w:val="single" w:sz="8" w:space="0" w:color="B6B6B6"/>
            </w:tcBorders>
            <w:shd w:fill="C3002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Maximum (%)</w:t>
            </w:r>
          </w:p>
        </w:tc>
        <w:tc>
          <w:tcPr>
            <w:tcW w:w="781" w:type="dxa"/>
            <w:gridSpan w:val="3"/>
            <w:tcBorders>
              <w:top w:val="single" w:sz="8" w:space="0" w:color="B6B6B6"/>
              <w:left w:val="single" w:sz="8" w:space="0" w:color="B6B6B6"/>
              <w:bottom w:val="single" w:sz="8" w:space="0" w:color="B6B6B6"/>
            </w:tcBorders>
            <w:shd w:fill="C3002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Actual</w:t>
              <w:br/>
              <w:t>(%)</w:t>
            </w:r>
          </w:p>
        </w:tc>
        <w:tc>
          <w:tcPr>
            <w:tcW w:w="1411" w:type="dxa"/>
            <w:gridSpan w:val="3"/>
            <w:tcBorders>
              <w:top w:val="single" w:sz="8" w:space="0" w:color="B6B6B6"/>
              <w:left w:val="single" w:sz="8" w:space="0" w:color="B6B6B6"/>
              <w:bottom w:val="single" w:sz="8" w:space="0" w:color="B6B6B6"/>
              <w:right w:val="single" w:sz="8" w:space="0" w:color="B6B6B6"/>
            </w:tcBorders>
            <w:shd w:fill="C3002F" w:val="clear"/>
            <w:tcMar>
              <w:top w:w="30" w:type="dxa"/>
              <w:bottom w:w="3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 xml:space="preserve">Total Achievement </w:t>
              <w:br/>
              <w:t>(%)</w:t>
            </w:r>
          </w:p>
        </w:tc>
      </w:tr>
      <w:tr>
        <w:trPr/>
        <w:tc>
          <w:tcPr>
            <w:tcW w:w="10205" w:type="dxa"/>
            <w:gridSpan w:val="21"/>
            <w:tcBorders>
              <w:top w:val="single" w:sz="8" w:space="0" w:color="B6B6B6"/>
              <w:left w:val="single" w:sz="8" w:space="0" w:color="B6B6B6"/>
              <w:right w:val="single" w:sz="8" w:space="0" w:color="B6B6B6"/>
            </w:tcBorders>
            <w:shd w:fill="929292" w:val="clear"/>
            <w:tcMar>
              <w:top w:w="30" w:type="dxa"/>
              <w:bottom w:w="0" w:type="dxa"/>
            </w:tcMar>
            <w:vAlign w:val="center"/>
          </w:tcPr>
          <w:p>
            <w:pPr>
              <w:pStyle w:val="TableContents"/>
              <w:bidi w:val="0"/>
              <w:spacing w:lineRule="auto" w:line="240" w:before="0" w:after="0"/>
              <w:jc w:val="left"/>
              <w:rPr/>
            </w:pPr>
            <w:r>
              <w:rPr>
                <w:rFonts w:ascii="Arial;sans-serif" w:hAnsi="Arial;sans-serif"/>
                <w:b/>
                <w:color w:val="FFFFFF"/>
                <w:sz w:val="20"/>
              </w:rPr>
              <w:t>Financial Objectives</w:t>
            </w:r>
            <w:r>
              <w:rPr>
                <w:rFonts w:ascii="Arial;sans-serif" w:hAnsi="Arial;sans-serif"/>
                <w:b w:val="false"/>
                <w:color w:val="FFFFFF"/>
                <w:sz w:val="20"/>
              </w:rPr>
              <w:t>:</w:t>
            </w:r>
          </w:p>
        </w:tc>
      </w:tr>
      <w:tr>
        <w:trPr/>
        <w:tc>
          <w:tcPr>
            <w:tcW w:w="157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75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2222"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15.7</w:t>
            </w:r>
          </w:p>
        </w:tc>
        <w:tc>
          <w:tcPr>
            <w:tcW w:w="129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17.0</w:t>
            </w:r>
          </w:p>
        </w:tc>
        <w:tc>
          <w:tcPr>
            <w:tcW w:w="216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18.1</w:t>
            </w:r>
          </w:p>
        </w:tc>
        <w:tc>
          <w:tcPr>
            <w:tcW w:w="78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22.6</w:t>
            </w:r>
          </w:p>
        </w:tc>
        <w:tc>
          <w:tcPr>
            <w:tcW w:w="1411"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w:t>
            </w:r>
          </w:p>
        </w:tc>
      </w:tr>
      <w:tr>
        <w:trPr/>
        <w:tc>
          <w:tcPr>
            <w:tcW w:w="157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Free Cash Flow Margin*</w:t>
            </w:r>
          </w:p>
        </w:tc>
        <w:tc>
          <w:tcPr>
            <w:tcW w:w="754"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2222"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1299"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2168"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78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1411"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w:t>
            </w:r>
          </w:p>
        </w:tc>
      </w:tr>
      <w:tr>
        <w:trPr/>
        <w:tc>
          <w:tcPr>
            <w:tcW w:w="8794" w:type="dxa"/>
            <w:gridSpan w:val="18"/>
            <w:tcBorders>
              <w:top w:val="single" w:sz="8" w:space="0" w:color="B6B6B6"/>
              <w:left w:val="single" w:sz="8" w:space="0" w:color="B6B6B6"/>
            </w:tcBorders>
            <w:shd w:fill="929292"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20"/>
              </w:rPr>
              <w:t>Strategic Objectives</w:t>
            </w:r>
            <w:r>
              <w:rPr>
                <w:rFonts w:ascii="Arial;sans-serif" w:hAnsi="Arial;sans-serif"/>
                <w:b w:val="false"/>
                <w:color w:val="FFFFFF"/>
                <w:sz w:val="20"/>
              </w:rPr>
              <w:t>:</w:t>
            </w:r>
          </w:p>
        </w:tc>
        <w:tc>
          <w:tcPr>
            <w:tcW w:w="1411" w:type="dxa"/>
            <w:gridSpan w:val="3"/>
            <w:vMerge w:val="restart"/>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40" w:before="0" w:after="283"/>
              <w:ind w:left="0" w:right="0" w:firstLine="360"/>
              <w:jc w:val="center"/>
              <w:rPr>
                <w:rFonts w:ascii="Arial;sans-serif" w:hAnsi="Arial;sans-serif"/>
                <w:b w:val="false"/>
                <w:color w:val="000000"/>
                <w:sz w:val="20"/>
              </w:rPr>
            </w:pPr>
            <w:r>
              <w:rPr>
                <w:rFonts w:ascii="Arial;sans-serif" w:hAnsi="Arial;sans-serif"/>
                <w:b w:val="false"/>
                <w:color w:val="000000"/>
                <w:sz w:val="20"/>
              </w:rPr>
              <w:t>42</w:t>
            </w:r>
          </w:p>
        </w:tc>
      </w:tr>
      <w:tr>
        <w:trPr/>
        <w:tc>
          <w:tcPr>
            <w:tcW w:w="157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Organizational Scalability</w:t>
            </w:r>
          </w:p>
        </w:tc>
        <w:tc>
          <w:tcPr>
            <w:tcW w:w="75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689" w:type="dxa"/>
            <w:gridSpan w:val="9"/>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Committee mapped and tracked progress quarterly relating to the following objectives: (i) improve the Company’s job architecture to ensure global consistency, (ii) develop a more comprehensive M&amp;A and corporate development strategy, (iii) define and execute a nurture-fix-exit plan for each product line by country, and (iv) establish a robust operating paradigm.</w:t>
            </w:r>
          </w:p>
        </w:tc>
        <w:tc>
          <w:tcPr>
            <w:tcW w:w="781"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ind w:left="0" w:right="0" w:firstLine="360"/>
              <w:jc w:val="center"/>
              <w:rPr>
                <w:rFonts w:ascii="Arial;sans-serif" w:hAnsi="Arial;sans-serif"/>
                <w:b w:val="false"/>
                <w:color w:val="000000"/>
                <w:sz w:val="20"/>
              </w:rPr>
            </w:pPr>
            <w:r>
              <w:rPr>
                <w:rFonts w:ascii="Arial;sans-serif" w:hAnsi="Arial;sans-serif"/>
                <w:b w:val="false"/>
                <w:color w:val="000000"/>
                <w:sz w:val="20"/>
              </w:rPr>
              <w:t>180</w:t>
            </w:r>
          </w:p>
        </w:tc>
        <w:tc>
          <w:tcPr>
            <w:tcW w:w="1411" w:type="dxa"/>
            <w:gridSpan w:val="3"/>
            <w:vMerge w:val="continue"/>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Normal"/>
              <w:bidi w:val="0"/>
              <w:jc w:val="left"/>
              <w:rPr/>
            </w:pPr>
            <w:r>
              <w:rPr/>
            </w:r>
          </w:p>
        </w:tc>
      </w:tr>
      <w:tr>
        <w:trPr/>
        <w:tc>
          <w:tcPr>
            <w:tcW w:w="157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Transformation</w:t>
            </w:r>
          </w:p>
        </w:tc>
        <w:tc>
          <w:tcPr>
            <w:tcW w:w="75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689" w:type="dxa"/>
            <w:gridSpan w:val="9"/>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Committee periodically discussed and evaluated progress relating to the following objectives: (i) develop and execute a systems roadmap to drive simplification and efficiency across internal operations, (ii) grow digital and digital-enabled businesses to achieve specified run rates, and (iii) create a branding campaign to showcase the digital thread across all product lines.</w:t>
            </w:r>
          </w:p>
        </w:tc>
        <w:tc>
          <w:tcPr>
            <w:tcW w:w="781"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ind w:left="0" w:right="0" w:firstLine="360"/>
              <w:jc w:val="center"/>
              <w:rPr>
                <w:rFonts w:ascii="Arial;sans-serif" w:hAnsi="Arial;sans-serif"/>
                <w:b w:val="false"/>
                <w:color w:val="000000"/>
                <w:sz w:val="20"/>
              </w:rPr>
            </w:pPr>
            <w:r>
              <w:rPr>
                <w:rFonts w:ascii="Arial;sans-serif" w:hAnsi="Arial;sans-serif"/>
                <w:b w:val="false"/>
                <w:color w:val="000000"/>
                <w:sz w:val="20"/>
              </w:rPr>
              <w:t>140</w:t>
            </w:r>
          </w:p>
        </w:tc>
        <w:tc>
          <w:tcPr>
            <w:tcW w:w="1411" w:type="dxa"/>
            <w:gridSpan w:val="3"/>
            <w:vMerge w:val="continue"/>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Normal"/>
              <w:bidi w:val="0"/>
              <w:jc w:val="left"/>
              <w:rPr/>
            </w:pPr>
            <w:r>
              <w:rPr/>
            </w:r>
          </w:p>
        </w:tc>
      </w:tr>
      <w:tr>
        <w:trPr/>
        <w:tc>
          <w:tcPr>
            <w:tcW w:w="1570"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ESG</w:t>
            </w:r>
          </w:p>
        </w:tc>
        <w:tc>
          <w:tcPr>
            <w:tcW w:w="754"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689" w:type="dxa"/>
            <w:gridSpan w:val="9"/>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Committee periodically discussed and evaluated progress relating to the following objectives: (i) annually file a sustainability report, (ii) create a plan for phasing in adherence to new regulations, (iii) create a roadmap for sustainability goals and strategy, (iv) achieve improvement in specified social initiatives, and (v) define new energy platforms with a pathway to achieve new energy revenue by 2030.</w:t>
            </w:r>
          </w:p>
        </w:tc>
        <w:tc>
          <w:tcPr>
            <w:tcW w:w="781"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411" w:type="dxa"/>
            <w:gridSpan w:val="3"/>
            <w:vMerge w:val="continue"/>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Normal"/>
              <w:bidi w:val="0"/>
              <w:jc w:val="left"/>
              <w:rPr/>
            </w:pPr>
            <w:r>
              <w:rPr/>
            </w:r>
          </w:p>
        </w:tc>
      </w:tr>
    </w:tbl>
    <w:p>
      <w:pPr>
        <w:pStyle w:val="TextBody"/>
        <w:bidi w:val="0"/>
        <w:spacing w:lineRule="auto" w:line="268" w:before="240" w:after="120"/>
        <w:jc w:val="left"/>
        <w:rPr>
          <w:rFonts w:ascii="Arial;sans-serif" w:hAnsi="Arial;sans-serif"/>
          <w:b w:val="false"/>
          <w:color w:val="000000"/>
          <w:sz w:val="20"/>
        </w:rPr>
      </w:pPr>
      <w:r>
        <w:rPr>
          <w:rFonts w:ascii="Arial;sans-serif" w:hAnsi="Arial;sans-serif"/>
          <w:b w:val="false"/>
          <w:color w:val="000000"/>
          <w:sz w:val="20"/>
        </w:rPr>
        <w:t>*Adjusted EBITDA margin and adjusted free cash flow margin are non-GAAP measures. See Annex A to this proxy statement for a reconciliation of GAAP to Non-GAAP measures.</w:t>
      </w: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68325"/>
                <wp:effectExtent l="0" t="0" r="0" b="0"/>
                <wp:wrapNone/>
                <wp:docPr id="70" name="Frame4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240" w:after="120"/>
        <w:jc w:val="left"/>
        <w:rPr>
          <w:rFonts w:ascii="Arial;sans-serif" w:hAnsi="Arial;sans-serif"/>
          <w:b w:val="false"/>
          <w:color w:val="000000"/>
          <w:sz w:val="20"/>
        </w:rPr>
      </w:pPr>
      <w:r>
        <w:rPr>
          <w:rFonts w:ascii="Arial;sans-serif" w:hAnsi="Arial;sans-serif"/>
          <w:b w:val="false"/>
          <w:color w:val="000000"/>
          <w:sz w:val="20"/>
        </w:rPr>
        <w:t xml:space="preserve">Overall financial and operational performance exceeded the target goals established for the 2022 PSUs, resulting in a payout of 182% of the target awards. In February 2025, our NEOs received the following payouts under their 2022 PSUs: </w:t>
      </w:r>
    </w:p>
    <w:tbl>
      <w:tblPr>
        <w:tblW w:w="8068" w:type="dxa"/>
        <w:jc w:val="center"/>
        <w:tblInd w:w="0" w:type="dxa"/>
        <w:tblLayout w:type="fixed"/>
        <w:tblCellMar>
          <w:top w:w="28" w:type="dxa"/>
          <w:left w:w="28" w:type="dxa"/>
          <w:bottom w:w="28" w:type="dxa"/>
          <w:right w:w="28" w:type="dxa"/>
        </w:tblCellMar>
      </w:tblPr>
      <w:tblGrid>
        <w:gridCol w:w="1662"/>
        <w:gridCol w:w="1456"/>
        <w:gridCol w:w="1473"/>
        <w:gridCol w:w="1015"/>
        <w:gridCol w:w="1015"/>
        <w:gridCol w:w="1447"/>
      </w:tblGrid>
      <w:tr>
        <w:trPr/>
        <w:tc>
          <w:tcPr>
            <w:tcW w:w="166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4591"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pPr>
            <w:r>
              <w:rPr>
                <w:rFonts w:ascii="Arial;sans-serif" w:hAnsi="Arial;sans-serif"/>
                <w:b/>
                <w:sz w:val="20"/>
              </w:rPr>
              <w:br/>
            </w:r>
            <w:r>
              <w:rPr>
                <w:rFonts w:ascii="Arial;sans-serif" w:hAnsi="Arial;sans-serif"/>
                <w:b/>
                <w:color w:val="FFFFFF"/>
                <w:sz w:val="20"/>
              </w:rPr>
              <w:t>NEO</w:t>
            </w:r>
          </w:p>
        </w:tc>
        <w:tc>
          <w:tcPr>
            <w:tcW w:w="3477" w:type="dxa"/>
            <w:gridSpan w:val="3"/>
            <w:tcBorders>
              <w:top w:val="single" w:sz="8" w:space="0" w:color="B6B6B6"/>
              <w:left w:val="single" w:sz="8" w:space="0" w:color="B6B6B6"/>
              <w:right w:val="single" w:sz="8" w:space="0" w:color="B6B6B6"/>
            </w:tcBorders>
            <w:shd w:fill="C3002F"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2022 PSUs Vested</w:t>
            </w:r>
          </w:p>
        </w:tc>
      </w:tr>
      <w:tr>
        <w:trPr/>
        <w:tc>
          <w:tcPr>
            <w:tcW w:w="4591"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2030"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230,734 </w:t>
            </w:r>
          </w:p>
        </w:tc>
        <w:tc>
          <w:tcPr>
            <w:tcW w:w="1447"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2030" w:type="dxa"/>
            <w:gridSpan w:val="2"/>
            <w:tcBorders>
              <w:left w:val="single" w:sz="8" w:space="0" w:color="B6B6B6"/>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39,478 </w:t>
            </w:r>
          </w:p>
        </w:tc>
        <w:tc>
          <w:tcPr>
            <w:tcW w:w="1447" w:type="dxa"/>
            <w:tcBorders>
              <w:right w:val="single" w:sz="8" w:space="0" w:color="B6B6B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Richard D. Ward</w:t>
            </w:r>
            <w:r>
              <w:rPr>
                <w:rFonts w:ascii="Arial;sans-serif" w:hAnsi="Arial;sans-serif"/>
                <w:b w:val="false"/>
                <w:color w:val="000000"/>
                <w:sz w:val="13"/>
              </w:rPr>
              <w:t>(1)</w:t>
            </w:r>
          </w:p>
        </w:tc>
        <w:tc>
          <w:tcPr>
            <w:tcW w:w="2030" w:type="dxa"/>
            <w:gridSpan w:val="2"/>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7" w:type="dxa"/>
            <w:tcBorders>
              <w:right w:val="single" w:sz="8" w:space="0" w:color="B6B6B6"/>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203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10,254 </w:t>
            </w:r>
          </w:p>
        </w:tc>
        <w:tc>
          <w:tcPr>
            <w:tcW w:w="1447"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Arunava Mitra</w:t>
            </w:r>
            <w:r>
              <w:rPr>
                <w:rFonts w:ascii="Arial;sans-serif" w:hAnsi="Arial;sans-serif"/>
                <w:b w:val="false"/>
                <w:color w:val="000000"/>
                <w:sz w:val="13"/>
              </w:rPr>
              <w:t>(2)</w:t>
            </w:r>
          </w:p>
        </w:tc>
        <w:tc>
          <w:tcPr>
            <w:tcW w:w="2030" w:type="dxa"/>
            <w:gridSpan w:val="2"/>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7" w:type="dxa"/>
            <w:tcBorders>
              <w:right w:val="single" w:sz="8" w:space="0" w:color="B6B6B6"/>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Charles W. Davison, Jr.</w:t>
            </w:r>
            <w:r>
              <w:rPr>
                <w:rFonts w:ascii="Arial;sans-serif" w:hAnsi="Arial;sans-serif"/>
                <w:b w:val="false"/>
                <w:color w:val="000000"/>
                <w:sz w:val="13"/>
              </w:rPr>
              <w:t>(3)</w:t>
            </w:r>
            <w:r>
              <w:rPr>
                <w:color w:val="000000"/>
              </w:rPr>
              <w:t xml:space="preserve"> </w:t>
            </w:r>
          </w:p>
        </w:tc>
        <w:tc>
          <w:tcPr>
            <w:tcW w:w="2030" w:type="dxa"/>
            <w:gridSpan w:val="2"/>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7" w:type="dxa"/>
            <w:tcBorders>
              <w:top w:val="single" w:sz="8" w:space="0" w:color="B6B6B6"/>
              <w:bottom w:val="single" w:sz="8" w:space="0" w:color="B6B6B6"/>
              <w:right w:val="single" w:sz="8" w:space="0" w:color="B6B6B6"/>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8068" w:type="dxa"/>
            <w:gridSpan w:val="6"/>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C3002F"/>
                <w:sz w:val="12"/>
              </w:rPr>
              <w:t>(1)</w:t>
            </w:r>
            <w:r>
              <w:rPr>
                <w:color w:val="000000"/>
              </w:rPr>
              <w:t xml:space="preserve"> </w:t>
            </w:r>
            <w:r>
              <w:rPr>
                <w:rFonts w:ascii="Arial;sans-serif" w:hAnsi="Arial;sans-serif"/>
                <w:b w:val="false"/>
                <w:i/>
                <w:color w:val="000000"/>
                <w:sz w:val="18"/>
              </w:rPr>
              <w:t>Mr. Ward joined the Company in January 2024 and therefore was not issued 2022 PSUs.</w:t>
            </w:r>
          </w:p>
          <w:p>
            <w:pPr>
              <w:pStyle w:val="TableContents"/>
              <w:bidi w:val="0"/>
              <w:spacing w:lineRule="auto" w:line="240" w:before="0" w:after="0"/>
              <w:jc w:val="left"/>
              <w:rPr/>
            </w:pPr>
            <w:r>
              <w:rPr>
                <w:rFonts w:ascii="Arial;sans-serif" w:hAnsi="Arial;sans-serif"/>
                <w:b w:val="false"/>
                <w:i/>
                <w:color w:val="C3002F"/>
                <w:sz w:val="12"/>
              </w:rPr>
              <w:t>(2)</w:t>
            </w:r>
            <w:r>
              <w:rPr>
                <w:color w:val="000000"/>
              </w:rPr>
              <w:t xml:space="preserve"> </w:t>
            </w:r>
            <w:r>
              <w:rPr>
                <w:rFonts w:ascii="Arial;sans-serif" w:hAnsi="Arial;sans-serif"/>
                <w:b w:val="false"/>
                <w:i/>
                <w:color w:val="000000"/>
                <w:sz w:val="18"/>
              </w:rPr>
              <w:t>Mr. Mitra joined the Company in January 2023 and therefore was not issued 2022 PSUs</w:t>
            </w:r>
          </w:p>
          <w:p>
            <w:pPr>
              <w:pStyle w:val="TableContents"/>
              <w:bidi w:val="0"/>
              <w:spacing w:lineRule="auto" w:line="240" w:before="0" w:after="0"/>
              <w:jc w:val="left"/>
              <w:rPr/>
            </w:pPr>
            <w:r>
              <w:rPr>
                <w:rFonts w:ascii="Arial;sans-serif" w:hAnsi="Arial;sans-serif"/>
                <w:b w:val="false"/>
                <w:i/>
                <w:color w:val="C3002F"/>
                <w:sz w:val="12"/>
              </w:rPr>
              <w:t>(3)</w:t>
            </w:r>
            <w:r>
              <w:rPr>
                <w:color w:val="000000"/>
              </w:rPr>
              <w:t xml:space="preserve"> </w:t>
            </w:r>
            <w:r>
              <w:rPr>
                <w:rFonts w:ascii="Arial;sans-serif" w:hAnsi="Arial;sans-serif"/>
                <w:b w:val="false"/>
                <w:i/>
                <w:color w:val="000000"/>
                <w:sz w:val="18"/>
              </w:rPr>
              <w:t>Mr. Davison joined the Company in September 2022 and therefore was not issued 2022 PSUs.</w:t>
            </w:r>
          </w:p>
        </w:tc>
      </w:tr>
    </w:tbl>
    <w:p>
      <w:pPr>
        <w:pStyle w:val="TextBody"/>
        <w:bidi w:val="0"/>
        <w:spacing w:lineRule="auto" w:line="268" w:before="240" w:after="120"/>
        <w:ind w:left="0" w:right="0" w:firstLine="720"/>
        <w:jc w:val="left"/>
        <w:rPr>
          <w:rFonts w:ascii="Arial;sans-serif" w:hAnsi="Arial;sans-serif"/>
          <w:b w:val="false"/>
          <w:i/>
          <w:color w:val="242424"/>
          <w:sz w:val="22"/>
        </w:rPr>
      </w:pPr>
      <w:r>
        <w:rPr>
          <w:rFonts w:ascii="Arial;sans-serif" w:hAnsi="Arial;sans-serif"/>
          <w:b w:val="false"/>
          <w:i/>
          <w:color w:val="242424"/>
          <w:sz w:val="22"/>
        </w:rPr>
        <w:t>Vesting of WAGE Program Awards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November 2021, Weatherford introduced the Weatherford Accelerating Growth &amp; Efficiency Program ("WAGE Program"). This long-term incentive initiative was designed to reward the Weatherford team for transforming the Company's operational profile over a three-year period. The WAGE Program grants consisted entirely of PSUs governed by a single performance measure: sustained growth in share price. The performance measure, which we viewed as a substantial reach for the Company when the program was implemented, was achieved during 2023.</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On the last trading day before the WAGE Program was implemented, the Company’s ordinary shares closed at $29.06 per share.</w:t>
      </w:r>
      <w:r>
        <w:rPr>
          <w:color w:val="000000"/>
        </w:rPr>
        <w:t xml:space="preserve"> </w:t>
      </w:r>
      <w:r>
        <w:rPr>
          <w:rFonts w:ascii="Arial;sans-serif" w:hAnsi="Arial;sans-serif"/>
          <w:b w:val="false"/>
          <w:color w:val="000000"/>
          <w:sz w:val="20"/>
        </w:rPr>
        <w:t xml:space="preserve">In order to earn the WAGE PSUs at threshold, the Company had to achieve a closing share price of at least $43.00 per share and sustain that closing share price for a period of at least 45 consecutive trading days. In the event that the threshold of $43.00 per share was sustained for at least 45 consecutive trading days, the WAGE Program participants would be eligible to earn 50% of the WAGE PSUs awarded under their respective award agreements.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order to earn the WAGE PSUs at target (which was the maximum level of achievement available under the program), the Company had to achieve a closing share price of $50.00 and sustain that closing share price for at least 45 consecutive trading days. In the event that the target metric was achieved, the WAGE Program participants would be eligible to earn 100% of the WAGE PSUs awarded under their respective agreements.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performance goal could be achieved at any time during the performance period, which ran from January 1, 2022 through December 31, 2024; however, the shares underlying the PSUs would not vest until after the conclusion of the performance period, regardless of when the performance measure was achieved. Additionally, in order to promote retention among key executives and employees, all WAGE Program participants were required to remain employed by the Company through the end of the performance period on December 31, 2024 in order to receive full payout under the WAGE PSUs. Participants who were terminated without cause or resigned for good reason during the final year of the performance period were entitled to prorated vesting.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68325"/>
                <wp:effectExtent l="0" t="0" r="0" b="0"/>
                <wp:wrapNone/>
                <wp:docPr id="71" name="Frame4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0"/>
        <w:jc w:val="left"/>
        <w:rPr/>
      </w:pPr>
      <w:r>
        <w:rPr>
          <w:rFonts w:ascii="Arial;sans-serif" w:hAnsi="Arial;sans-serif"/>
          <w:b w:val="false"/>
          <w:color w:val="000000"/>
          <w:sz w:val="20"/>
        </w:rPr>
        <w:t>On February 16, 2023 the Company achieved the threshold performance metric under the WAGE Program, and on March 14, 2023, the Company achieved the target (maximum) performance metric.</w:t>
      </w:r>
      <w:r>
        <w:rPr>
          <w:color w:val="000000"/>
        </w:rPr>
        <w:t xml:space="preserve"> </w:t>
      </w:r>
      <w:r>
        <w:rPr>
          <w:rFonts w:ascii="Arial;sans-serif" w:hAnsi="Arial;sans-serif"/>
          <w:b w:val="false"/>
          <w:color w:val="000000"/>
          <w:sz w:val="20"/>
        </w:rPr>
        <w:t xml:space="preserve">Accordingly, the WAGE PSUs were earned at 100%. In January 2025, following the end of the performance period, our NEOs received the following payouts under their WAGE PSUs: </w:t>
      </w:r>
    </w:p>
    <w:tbl>
      <w:tblPr>
        <w:tblW w:w="10205" w:type="dxa"/>
        <w:jc w:val="center"/>
        <w:tblInd w:w="0" w:type="dxa"/>
        <w:tblLayout w:type="fixed"/>
        <w:tblCellMar>
          <w:top w:w="28" w:type="dxa"/>
          <w:left w:w="28" w:type="dxa"/>
          <w:bottom w:w="28" w:type="dxa"/>
          <w:right w:w="28" w:type="dxa"/>
        </w:tblCellMar>
      </w:tblPr>
      <w:tblGrid>
        <w:gridCol w:w="879"/>
        <w:gridCol w:w="770"/>
        <w:gridCol w:w="780"/>
        <w:gridCol w:w="816"/>
        <w:gridCol w:w="591"/>
        <w:gridCol w:w="594"/>
        <w:gridCol w:w="502"/>
        <w:gridCol w:w="2686"/>
        <w:gridCol w:w="259"/>
        <w:gridCol w:w="328"/>
        <w:gridCol w:w="1754"/>
        <w:gridCol w:w="246"/>
      </w:tblGrid>
      <w:tr>
        <w:trPr/>
        <w:tc>
          <w:tcPr>
            <w:tcW w:w="87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NEO</w:t>
            </w:r>
          </w:p>
        </w:tc>
        <w:tc>
          <w:tcPr>
            <w:tcW w:w="2001"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WAGE PSUs Vested</w:t>
            </w:r>
          </w:p>
        </w:tc>
        <w:tc>
          <w:tcPr>
            <w:tcW w:w="3447" w:type="dxa"/>
            <w:gridSpan w:val="3"/>
            <w:tcBorders>
              <w:top w:val="single" w:sz="8" w:space="0" w:color="B6B6B6"/>
              <w:left w:val="single" w:sz="8" w:space="0" w:color="B6B6B6"/>
            </w:tcBorders>
            <w:shd w:fill="C3002F"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20"/>
              </w:rPr>
              <w:t>Estimated Value at Target Share Price</w:t>
            </w:r>
            <w:r>
              <w:rPr>
                <w:rFonts w:ascii="Arial;sans-serif" w:hAnsi="Arial;sans-serif"/>
                <w:b/>
                <w:color w:val="FFFFFF"/>
                <w:sz w:val="13"/>
              </w:rPr>
              <w:t>(3)</w:t>
            </w:r>
          </w:p>
        </w:tc>
        <w:tc>
          <w:tcPr>
            <w:tcW w:w="2328" w:type="dxa"/>
            <w:gridSpan w:val="3"/>
            <w:tcBorders>
              <w:top w:val="single" w:sz="8" w:space="0" w:color="B6B6B6"/>
              <w:left w:val="single" w:sz="8" w:space="0" w:color="B6B6B6"/>
              <w:right w:val="single" w:sz="8" w:space="0" w:color="B6B6B6"/>
            </w:tcBorders>
            <w:shd w:fill="C3002F"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20"/>
              </w:rPr>
              <w:t>Value at 12/31/2024</w:t>
            </w:r>
            <w:r>
              <w:rPr>
                <w:rFonts w:ascii="Arial;sans-serif" w:hAnsi="Arial;sans-serif"/>
                <w:b/>
                <w:color w:val="FFFFFF"/>
                <w:sz w:val="13"/>
              </w:rPr>
              <w:t>(4)</w:t>
            </w:r>
          </w:p>
        </w:tc>
      </w:tr>
      <w:tr>
        <w:trPr/>
        <w:tc>
          <w:tcPr>
            <w:tcW w:w="2429" w:type="dxa"/>
            <w:gridSpan w:val="3"/>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1407" w:type="dxa"/>
            <w:gridSpan w:val="2"/>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237,529 </w:t>
            </w:r>
          </w:p>
        </w:tc>
        <w:tc>
          <w:tcPr>
            <w:tcW w:w="594"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6"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11,876,450 </w:t>
            </w:r>
          </w:p>
        </w:tc>
        <w:tc>
          <w:tcPr>
            <w:tcW w:w="259"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B6B6B6"/>
              <w:left w:val="single" w:sz="8" w:space="0" w:color="B6B6B6"/>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4"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17,132,967 </w:t>
            </w:r>
          </w:p>
        </w:tc>
        <w:tc>
          <w:tcPr>
            <w:tcW w:w="246" w:type="dxa"/>
            <w:tcBorders>
              <w:top w:val="single" w:sz="8" w:space="0" w:color="B6B6B6"/>
              <w:right w:val="single" w:sz="8" w:space="0" w:color="B6B6B6"/>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1407" w:type="dxa"/>
            <w:gridSpan w:val="2"/>
            <w:tcBorders>
              <w:left w:val="single" w:sz="8" w:space="0" w:color="B6B6B6"/>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60,570 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3,028,500 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4,368,914 </w:t>
            </w:r>
          </w:p>
        </w:tc>
        <w:tc>
          <w:tcPr>
            <w:tcW w:w="246" w:type="dxa"/>
            <w:tcBorders>
              <w:right w:val="single" w:sz="8" w:space="0" w:color="B6B6B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Richard D. Ward</w:t>
            </w:r>
            <w:r>
              <w:rPr>
                <w:rFonts w:ascii="Arial;sans-serif" w:hAnsi="Arial;sans-serif"/>
                <w:b w:val="false"/>
                <w:color w:val="000000"/>
                <w:sz w:val="13"/>
              </w:rPr>
              <w:t>(1)</w:t>
            </w:r>
          </w:p>
        </w:tc>
        <w:tc>
          <w:tcPr>
            <w:tcW w:w="1407" w:type="dxa"/>
            <w:gridSpan w:val="2"/>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right w:val="single" w:sz="8" w:space="0" w:color="B6B6B6"/>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1407"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27,102 </w:t>
            </w:r>
          </w:p>
        </w:tc>
        <w:tc>
          <w:tcPr>
            <w:tcW w:w="59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1,355,100 </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1,954,867 </w:t>
            </w:r>
          </w:p>
        </w:tc>
        <w:tc>
          <w:tcPr>
            <w:tcW w:w="246"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Arunava Mitra</w:t>
            </w:r>
          </w:p>
        </w:tc>
        <w:tc>
          <w:tcPr>
            <w:tcW w:w="1407" w:type="dxa"/>
            <w:gridSpan w:val="2"/>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5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2,000,000 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left w:val="single" w:sz="8" w:space="0" w:color="B6B6B6"/>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2,885,200 </w:t>
            </w:r>
          </w:p>
        </w:tc>
        <w:tc>
          <w:tcPr>
            <w:tcW w:w="246" w:type="dxa"/>
            <w:tcBorders>
              <w:right w:val="single" w:sz="8" w:space="0" w:color="B6B6B6"/>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Charles W. Davison, Jr.</w:t>
            </w:r>
            <w:r>
              <w:rPr>
                <w:rFonts w:ascii="Arial;sans-serif" w:hAnsi="Arial;sans-serif"/>
                <w:b w:val="false"/>
                <w:color w:val="000000"/>
                <w:sz w:val="13"/>
              </w:rPr>
              <w:t>(2)</w:t>
            </w:r>
          </w:p>
        </w:tc>
        <w:tc>
          <w:tcPr>
            <w:tcW w:w="1407" w:type="dxa"/>
            <w:gridSpan w:val="2"/>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11,040 </w:t>
            </w:r>
          </w:p>
        </w:tc>
        <w:tc>
          <w:tcPr>
            <w:tcW w:w="594"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6"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552,000 </w:t>
            </w:r>
          </w:p>
        </w:tc>
        <w:tc>
          <w:tcPr>
            <w:tcW w:w="259"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4"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796,315 </w:t>
            </w:r>
          </w:p>
        </w:tc>
        <w:tc>
          <w:tcPr>
            <w:tcW w:w="246" w:type="dxa"/>
            <w:tcBorders>
              <w:top w:val="single" w:sz="8" w:space="0" w:color="B6B6B6"/>
              <w:bottom w:val="single" w:sz="8" w:space="0" w:color="B6B6B6"/>
              <w:right w:val="single" w:sz="8" w:space="0" w:color="B6B6B6"/>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B6B6B6"/>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i/>
                <w:color w:val="C3002F"/>
                <w:sz w:val="12"/>
              </w:rPr>
              <w:t>(1)</w:t>
            </w:r>
            <w:r>
              <w:rPr>
                <w:color w:val="000000"/>
              </w:rPr>
              <w:t xml:space="preserve"> </w:t>
            </w:r>
            <w:r>
              <w:rPr>
                <w:rFonts w:ascii="Arial;sans-serif" w:hAnsi="Arial;sans-serif"/>
                <w:b w:val="false"/>
                <w:i/>
                <w:color w:val="000000"/>
                <w:sz w:val="18"/>
              </w:rPr>
              <w:t>Mr. Ward joined the Company in January 2024 and therefore was not issued WAGE PSUs</w:t>
            </w:r>
          </w:p>
          <w:p>
            <w:pPr>
              <w:pStyle w:val="TableContents"/>
              <w:bidi w:val="0"/>
              <w:spacing w:lineRule="auto" w:line="240" w:before="0" w:after="0"/>
              <w:ind w:left="0" w:right="0" w:hanging="180"/>
              <w:jc w:val="left"/>
              <w:rPr/>
            </w:pPr>
            <w:r>
              <w:rPr>
                <w:rFonts w:ascii="Arial;sans-serif" w:hAnsi="Arial;sans-serif"/>
                <w:b w:val="false"/>
                <w:i/>
                <w:color w:val="C3002F"/>
                <w:sz w:val="12"/>
              </w:rPr>
              <w:t>(2)</w:t>
            </w:r>
            <w:r>
              <w:rPr>
                <w:color w:val="000000"/>
              </w:rPr>
              <w:t xml:space="preserve"> </w:t>
            </w:r>
            <w:r>
              <w:rPr>
                <w:rFonts w:ascii="Arial;sans-serif" w:hAnsi="Arial;sans-serif"/>
                <w:b w:val="false"/>
                <w:i/>
                <w:color w:val="000000"/>
                <w:sz w:val="18"/>
              </w:rPr>
              <w:t>Mr. Davison departed the Company on February 6, 2024, during the final year of the performance period, and was entitled to a pro-rated portion of his WAGE awards.</w:t>
            </w:r>
          </w:p>
          <w:p>
            <w:pPr>
              <w:pStyle w:val="TableContents"/>
              <w:bidi w:val="0"/>
              <w:spacing w:lineRule="auto" w:line="240" w:before="0" w:after="0"/>
              <w:ind w:left="0" w:right="0" w:hanging="180"/>
              <w:jc w:val="left"/>
              <w:rPr/>
            </w:pPr>
            <w:r>
              <w:rPr>
                <w:rFonts w:ascii="Arial;sans-serif" w:hAnsi="Arial;sans-serif"/>
                <w:b w:val="false"/>
                <w:i/>
                <w:color w:val="C3002F"/>
                <w:sz w:val="12"/>
              </w:rPr>
              <w:t>(3)</w:t>
            </w:r>
            <w:r>
              <w:rPr>
                <w:color w:val="000000"/>
              </w:rPr>
              <w:t xml:space="preserve"> </w:t>
            </w:r>
            <w:r>
              <w:rPr>
                <w:rFonts w:ascii="Arial;sans-serif" w:hAnsi="Arial;sans-serif"/>
                <w:b w:val="false"/>
                <w:i/>
                <w:color w:val="000000"/>
                <w:sz w:val="18"/>
              </w:rPr>
              <w:t>Estimated value based on $50.00 per share, the target share price of the WAGE PSUs.</w:t>
            </w:r>
          </w:p>
          <w:p>
            <w:pPr>
              <w:pStyle w:val="TableContents"/>
              <w:bidi w:val="0"/>
              <w:spacing w:lineRule="auto" w:line="240" w:before="0" w:after="0"/>
              <w:ind w:left="0" w:right="0" w:hanging="180"/>
              <w:jc w:val="left"/>
              <w:rPr/>
            </w:pPr>
            <w:r>
              <w:rPr>
                <w:rFonts w:ascii="Arial;sans-serif" w:hAnsi="Arial;sans-serif"/>
                <w:b w:val="false"/>
                <w:i/>
                <w:color w:val="C3002F"/>
                <w:sz w:val="12"/>
              </w:rPr>
              <w:t>(4)</w:t>
            </w:r>
            <w:r>
              <w:rPr>
                <w:color w:val="000000"/>
              </w:rPr>
              <w:t xml:space="preserve"> </w:t>
            </w:r>
            <w:r>
              <w:rPr>
                <w:rFonts w:ascii="Arial;sans-serif" w:hAnsi="Arial;sans-serif"/>
                <w:b w:val="false"/>
                <w:i/>
                <w:color w:val="000000"/>
                <w:sz w:val="18"/>
              </w:rPr>
              <w:t xml:space="preserve">Value based on $71.63 per share, the closing price of our ordinary shares on December 31, 2024. The NEOs also received accrued cash dividend equivalent rights of $0.50 per share upon vesting of the WAGE PSUs. </w:t>
            </w:r>
          </w:p>
        </w:tc>
      </w:tr>
    </w:tbl>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We believe the one-time extraordinary award delivered the intended performance, both in terms of absolute value, and the “early” achievement of such significant growth in equity value (i.e., more than a full year ahead of the end of the performance period) warrant these award values.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120" w:after="120"/>
        <w:jc w:val="left"/>
        <w:rPr>
          <w:rFonts w:ascii="Arial;sans-serif" w:hAnsi="Arial;sans-serif"/>
          <w:b/>
          <w:color w:val="939598"/>
          <w:sz w:val="32"/>
        </w:rPr>
      </w:pPr>
      <w:r>
        <w:rPr>
          <w:rFonts w:ascii="Arial;sans-serif" w:hAnsi="Arial;sans-serif"/>
          <w:b/>
          <w:color w:val="939598"/>
          <w:sz w:val="32"/>
        </w:rPr>
        <w:t>PERQUISITES AND OTHER GENERALLY AVAILABLE BENEFITS AND COMPENSATION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From time to time, we provide our NEOs with limited perquisites and other personal benefits that we believe are reasonable and consistent with the practices of our peer group. Our NEOs are also eligible for Company-wide benefits on the same basis as other full-time employees in the countries in which the NEOs are employed. Each of our NEOs is employed in the United States, and as such, these benefits include the right to participate in a 401(k) plan, life insurance premiums, and health, medical and welfare programs. The Company does not consider the financial value of these benefits to be material within the context of the NEOs’ overall compensation packages. Additionally, each NEO is entitled to severance benefits under our Amended and Restated Executive Severance Plan and our Third Amended and Restated Change in Control Severance Plan, each as described below.</w:t>
      </w:r>
    </w:p>
    <w:p>
      <w:pPr>
        <w:pStyle w:val="TextBody"/>
        <w:bidi w:val="0"/>
        <w:spacing w:lineRule="auto" w:line="268" w:before="0" w:after="120"/>
        <w:jc w:val="left"/>
        <w:rPr/>
      </w:pPr>
      <w:r>
        <w:rPr>
          <w:rFonts w:ascii="Arial;sans-serif" w:hAnsi="Arial;sans-serif"/>
          <w:b w:val="false"/>
          <w:color w:val="242424"/>
          <w:sz w:val="20"/>
        </w:rPr>
        <w:t xml:space="preserve">The Company offers financial planning assistance for our vice presidents, senior vice presidents and executive vice presidents, including the NEOs, and executive health screenings for certain managerial level employees, including NEOs. Additionally, because the Committee believes the safety and security of our leadership is of the utmost importance to the Company and its shareholders, the Company provided physical and cyber security benefits to our NEOs in </w:t>
      </w:r>
      <w:r>
        <w:rPr>
          <w:rFonts w:ascii="Arial;sans-serif" w:hAnsi="Arial;sans-serif"/>
          <w:b w:val="false"/>
          <w:color w:val="000000"/>
          <w:sz w:val="20"/>
        </w:rPr>
        <w:t>2024</w:t>
      </w:r>
      <w:r>
        <w:rPr>
          <w:rFonts w:ascii="Arial;sans-serif" w:hAnsi="Arial;sans-serif"/>
          <w:b w:val="false"/>
          <w:color w:val="242424"/>
          <w:sz w:val="20"/>
        </w:rPr>
        <w:t xml:space="preserve">. Utilization of these benefits is at the discretion of the individual NEO. </w:t>
      </w:r>
    </w:p>
    <w:p>
      <w:pPr>
        <w:pStyle w:val="TextBody"/>
        <w:bidi w:val="0"/>
        <w:spacing w:lineRule="auto" w:line="268" w:before="0" w:after="120"/>
        <w:jc w:val="left"/>
        <w:rPr/>
      </w:pPr>
      <w:r>
        <w:rPr>
          <w:rFonts w:ascii="Arial;sans-serif" w:hAnsi="Arial;sans-serif"/>
          <w:b w:val="false"/>
          <w:color w:val="242424"/>
          <w:sz w:val="20"/>
        </w:rPr>
        <w:t xml:space="preserve">The amounts of these perquisites are shown in the </w:t>
      </w:r>
      <w:r>
        <w:rPr>
          <w:rFonts w:ascii="Arial;sans-serif" w:hAnsi="Arial;sans-serif"/>
          <w:b w:val="false"/>
          <w:color w:val="000000"/>
          <w:sz w:val="20"/>
        </w:rPr>
        <w:t>2024</w:t>
      </w:r>
      <w:r>
        <w:rPr>
          <w:color w:val="242424"/>
        </w:rPr>
        <w:t xml:space="preserve"> </w:t>
      </w:r>
      <w:r>
        <w:rPr>
          <w:rFonts w:ascii="Arial;sans-serif" w:hAnsi="Arial;sans-serif"/>
          <w:b w:val="false"/>
          <w:color w:val="242424"/>
          <w:sz w:val="20"/>
        </w:rPr>
        <w:t>Summary Compensation Table and the related footnotes. The Company considers these programs to be for the benefit of the Company because they encourage executives to proactively manage their health, security and complex financial/tax situations, thereby enabling them to focus on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68325"/>
                <wp:effectExtent l="0" t="0" r="0" b="0"/>
                <wp:wrapNone/>
                <wp:docPr id="72" name="Frame4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49" w:before="120" w:after="120"/>
        <w:jc w:val="left"/>
        <w:rPr>
          <w:rFonts w:ascii="Arial;sans-serif" w:hAnsi="Arial;sans-serif"/>
          <w:b/>
          <w:color w:val="939598"/>
          <w:sz w:val="32"/>
        </w:rPr>
      </w:pPr>
      <w:r>
        <w:rPr>
          <w:rFonts w:ascii="Arial;sans-serif" w:hAnsi="Arial;sans-serif"/>
          <w:b/>
          <w:color w:val="939598"/>
          <w:sz w:val="32"/>
        </w:rPr>
        <w:t>EXECUTIVE SEVERANCE PLAN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Weatherford International plc Amended and Restated Executive Severance Plan adopted by the Board (the “Executive Severance Plan”) covers certain executive officers selected by the Committee, including our NEOs. Under the Executive Severance Plan, participants will receive severance payments and benefits if they experience a termination of employment by the Company without “Cause” or by the participant for “Good Reason” (each as defined in the Executive Severance Plan). Upon such a termination, participants will be eligible to receive:</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an amount equal to (i) one and a half times for the CEO or (ii) one times for other participants (including Messrs. Mitra, Weatherholt, Ward, Mills and Davison) the sum of (x) participant’s base salary in effect up to and including the termination date, and (y) the participant’s target bonus, and provided that the amounts in (x) and (y) shall be annualized for any period of employment that is less than one full year;</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a prorated target annual incentive bonus for the year of termination;</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continued health and welfare benefits for (i) one and a half years for the CEO, and (ii) one year for other participants (including Messrs. Mitra, Weatherholt, Ward, Mills and Davison);</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other severance required by law;</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up to six months of outplacement services; and</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salary and benefits accrued through the date of termination.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To participate in the Executive Severance Plan, participants must execute the Company’s form Confidentiality and Restrictive Covenant Agreement, which provides for a 12-month post-termination non-competition covenant, 12-month post-termination non-solicitation of employees covenant, and perpetual confidentiality and non-disparagement covenants. </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receipt of such severance payments and benefits is subject to the execution and non-revocation of a release of claims by the participant.</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If we are obligated by law or contract to pay certain other severance pay to a participant, then the amount of severance otherwise payable to a participant will be reduced by the amount of any such other severance actually paid to the participant, but not below zero. The amount of severance, however, would not be reduced by amounts paid under any accelerated vesting, payment or settlement of equity incentive awards payable in connection with a qualifying termination or similar event under the applicable plans.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120" w:after="120"/>
        <w:jc w:val="left"/>
        <w:rPr>
          <w:rFonts w:ascii="Arial;sans-serif" w:hAnsi="Arial;sans-serif"/>
          <w:b/>
          <w:color w:val="939598"/>
          <w:sz w:val="32"/>
        </w:rPr>
      </w:pPr>
      <w:r>
        <w:rPr>
          <w:rFonts w:ascii="Arial;sans-serif" w:hAnsi="Arial;sans-serif"/>
          <w:b/>
          <w:color w:val="939598"/>
          <w:sz w:val="32"/>
        </w:rPr>
        <w:t>CHANGE IN CONTROL SEVERANCE PLAN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Third Amended and Restated Weatherford International plc Change in Control Severance Plan (the “CIC Severance Plan”) covers certain executive officers selected by the Committee, including our NEOs. Under the CIC Severance Plan, participants will receive severance payments and benefits if they experience a termination of employment by the Company without “Cause” or by the participant for “Good Reason” (each as defined in the CIC Severance Plan) in the six months prior to a “Change in Control” (as defined in the CIC Severance Plan) or within 24 months following a Change in Control while the CIC Severance Plan remains in effect. Under the CIC Severance Plan, in general, a change in control will occur if (i) another person becomes the owner of 50% or more of either the then outstanding ordinary shares of the Company or combined voting power of our shares, (ii) there is a change in a majority of the members of the then incumbent Board, or (iii) our shareholders approve a merger with another entity or other business consolidation in which our shareholders fail to own more than 50% of the combined voting power of the surviving entity. Upon such termination, participants will be eligible to receive:</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an amount equal to (i) two and a half times for the CEO; (ii) two times for participants with a title of Executive Vice President (which included Messrs. Mitra, Weatherholt, Ward and Davison) or (iii) one and one half times for other participants (which included Mr. Mills) the sum of (x) the higher of the participant’s base salary in effect immediately prior to the Change in Control or the rate of base salary in effect up to and including the termination date, and (y) the participant’s target bonus, and provided that the amounts in (x) and (y) shall be annualized for any period of employment that is less than one full year;</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a prorated target annual bonus for the year of termination;</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continued health and welfare benefits for (i) two and a half years, for the CEO; (ii) two years for participants with a title of Executive Vice President (which included Messrs. Mitra, Weatherholt, Ward and Davison), and (iii) one and one half year for other participants (which included Mr. Mills);</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other severance required by law;</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up to six months of outplacement services; and</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salary and benefits accrued through the date of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68325"/>
                <wp:effectExtent l="0" t="0" r="0" b="0"/>
                <wp:wrapNone/>
                <wp:docPr id="73" name="Frame4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To participate in the CIC Severance Plan, participants must execute the Company’s form Confidentiality and Restrictive Covenant Agreement described in “—Executive Severance Plan” above. The receipt of such severance payments and benefits is subject to the execution and non-revocation of a release of claims by the participant.</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If we are obligated by law or contract to pay certain other severance pay to a participant, then the amount of severance otherwise payable to the participant will be reduced by the amount of any such other severance actually paid to the participant, but not below zero. However, the amount of severance would not be reduced by amounts paid under any accelerated vesting, payment or settlement of equity incentive awards payable in connection with a qualifying termination or similar event under the applicable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120" w:after="120"/>
        <w:jc w:val="left"/>
        <w:rPr>
          <w:rFonts w:ascii="Arial;sans-serif" w:hAnsi="Arial;sans-serif"/>
          <w:b/>
          <w:color w:val="939598"/>
          <w:sz w:val="32"/>
        </w:rPr>
      </w:pPr>
      <w:r>
        <w:rPr>
          <w:rFonts w:ascii="Arial;sans-serif" w:hAnsi="Arial;sans-serif"/>
          <w:b/>
          <w:color w:val="939598"/>
          <w:sz w:val="32"/>
        </w:rPr>
        <w:t>CLAWBACK POLICIES</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In September 2023, the Board adopted the Weatherford International plc Executive Officer Compensation Clawback Policy (the “Executive Officer Clawback Policy”) as required by new SEC rules and related Nasdaq listing standards. The Executive Officer Clawback Policy applies to the Company’s executive officers, including the NEOs, and it requires the Company to seek recovery of certain incentive compensation paid to executive officers in the event the Company restates its financial statements either (a) due to a material noncompliance with the financial reporting requirements of the Federal securities laws or (b) to correct an error that is not material to previously issued financial statements, but would result in a material misstatement if the error were left uncorrected in the current period.</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Incentive compensation will be subject to recoupment if it was earned during the three years prior to the restatement and was based wholly or in part on the attainment of a financial reporting measure. The amount of incentive compensation recovered will be the portion that was in excess of what would have been earned if the compensation had been based on the restated financials. </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Executive Officer Clawback Policy may be found at www.weatherford.com by clicking on the “Investor Relations” page, then “Company Information” then “Corporate Governance,” then “Corporate Documents,” and then searching for “Clawback Policy.”</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The Company’s prior clawback policy, the Amended and Restated Weatherford International plc Compensation Clawback Policy (the “General Clawback Policy”) remains in effect, and it was amended and restated to clarify the interplay between the General Clawback Policy and the Executive Officer Clawback Policy. The General Clawback Policy applies to executive officers as well as participants in the Company’s STI or LTI Plans, as the Board determined that it was in the best interest of the Company to retain a policy applicable to a broader population of employees to reinforce accountability and the Company’s pay-for-performance philosophy. The General Clawback Policy applies to a narrower universe of accounting restatements and gives the Board discretion in choosing when and how to seek recoupment. </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In addition, and in line with best practices, under the General Clawback Policy, if the Board determines that a covered employee has engaged in any “Detrimental Activity” (as defined in the General Clawback Policy, and including fraud, willful misconduct, or gross negligence), or if the covered employee is in breach of any material terms of a written agreement between the Company and such person that results in a “material adverse effect” (as defined in the General Clawback Policy), the Board, in its reasonable discretion, may (i) within three years following payment or vesting of any incentive compensation, seek recoupment of all or a portion of such compensation and (ii) cancel, or otherwise cause the forfeiture of any unpaid or unvested incentive compensation then held by such covered employee that has not been earned.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68325"/>
                <wp:effectExtent l="0" t="0" r="0" b="0"/>
                <wp:wrapNone/>
                <wp:docPr id="74" name="Frame4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RISK ANALYSIS OF OUR COMPENSATION PROGRAMS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With the assistance of LB&amp;Co., the Committee regularly monitors and annually reviews our executive compensation program to determine whether the elements of the program are consistent with our objectives and principles. As part of this review, the Committee evaluates whether the Company’s risk management objectives are being met with respect to the executive compensation program. If the program elements are determined to be inconsistent with our objectives and principles, or if any incentives are determined to encourage risks that are reasonably likely to have a material adverse effect on the Company, then the elements will be adjusted as necessary.</w:t>
      </w:r>
    </w:p>
    <w:p>
      <w:pPr>
        <w:pStyle w:val="TextBody"/>
        <w:bidi w:val="0"/>
        <w:spacing w:lineRule="auto" w:line="288" w:before="0" w:after="120"/>
        <w:jc w:val="left"/>
        <w:rPr/>
      </w:pPr>
      <w:r>
        <w:rPr>
          <w:rFonts w:ascii="Arial;sans-serif" w:hAnsi="Arial;sans-serif"/>
          <w:b w:val="false"/>
          <w:color w:val="242424"/>
          <w:sz w:val="20"/>
        </w:rPr>
        <w:t xml:space="preserve">Following the Committee’s annual review in </w:t>
      </w:r>
      <w:r>
        <w:rPr>
          <w:rFonts w:ascii="Arial;sans-serif" w:hAnsi="Arial;sans-serif"/>
          <w:b w:val="false"/>
          <w:color w:val="000000"/>
          <w:sz w:val="20"/>
        </w:rPr>
        <w:t>2024</w:t>
      </w:r>
      <w:r>
        <w:rPr>
          <w:rFonts w:ascii="Arial;sans-serif" w:hAnsi="Arial;sans-serif"/>
          <w:b w:val="false"/>
          <w:color w:val="242424"/>
          <w:sz w:val="20"/>
        </w:rPr>
        <w:t>, it was concluded that there were no risks arising from our compensation policies and practices that are reasonably likely to have a material adverse effect on the Company. In reaching this conclusion, the Committee considered the following:</w:t>
      </w:r>
    </w:p>
    <w:tbl>
      <w:tblPr>
        <w:tblW w:w="10205" w:type="dxa"/>
        <w:jc w:val="center"/>
        <w:tblInd w:w="0" w:type="dxa"/>
        <w:tblLayout w:type="fixed"/>
        <w:tblCellMar>
          <w:top w:w="28" w:type="dxa"/>
          <w:left w:w="28" w:type="dxa"/>
          <w:bottom w:w="28" w:type="dxa"/>
          <w:right w:w="28" w:type="dxa"/>
        </w:tblCellMar>
      </w:tblPr>
      <w:tblGrid>
        <w:gridCol w:w="206"/>
        <w:gridCol w:w="181"/>
        <w:gridCol w:w="181"/>
        <w:gridCol w:w="1365"/>
        <w:gridCol w:w="1248"/>
        <w:gridCol w:w="1282"/>
        <w:gridCol w:w="260"/>
        <w:gridCol w:w="260"/>
        <w:gridCol w:w="260"/>
        <w:gridCol w:w="1456"/>
        <w:gridCol w:w="1444"/>
        <w:gridCol w:w="206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4463" w:type="dxa"/>
            <w:gridSpan w:val="6"/>
            <w:tcBorders>
              <w:top w:val="single" w:sz="4" w:space="0" w:color="242424"/>
              <w:left w:val="single" w:sz="4" w:space="0" w:color="242424"/>
            </w:tcBorders>
            <w:shd w:fill="CE1141"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Program Attribute</w:t>
            </w:r>
          </w:p>
        </w:tc>
        <w:tc>
          <w:tcPr>
            <w:tcW w:w="5742" w:type="dxa"/>
            <w:gridSpan w:val="6"/>
            <w:tcBorders>
              <w:top w:val="single" w:sz="4" w:space="0" w:color="242424"/>
              <w:right w:val="single" w:sz="4" w:space="0" w:color="242424"/>
            </w:tcBorders>
            <w:shd w:fill="CE1141" w:val="clear"/>
            <w:tcMar>
              <w:top w:w="30" w:type="dxa"/>
              <w:left w:w="0" w:type="dxa"/>
              <w:bottom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Risk-Mitigating Effect</w:t>
            </w:r>
          </w:p>
        </w:tc>
      </w:tr>
      <w:tr>
        <w:trPr/>
        <w:tc>
          <w:tcPr>
            <w:tcW w:w="568" w:type="dxa"/>
            <w:gridSpan w:val="3"/>
            <w:tcBorders>
              <w:top w:val="single" w:sz="8"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compensation mix between fixed and variable components and levels, and the balance between short-term and long-term variable compensation are reasonable and appropriate</w:t>
            </w:r>
          </w:p>
        </w:tc>
        <w:tc>
          <w:tcPr>
            <w:tcW w:w="780" w:type="dxa"/>
            <w:gridSpan w:val="3"/>
            <w:tcBorders>
              <w:top w:val="single" w:sz="8"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8" w:space="0" w:color="242424"/>
              <w:right w:val="single" w:sz="4" w:space="0" w:color="242424"/>
            </w:tcBorders>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Competitive levels of fixed compensation eliminate any day-to-day personal concerns, while variable compensation ensures our executives are appropriately motivated and rewarded both in the short and long-term</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quality and reasonableness of incentive plan performance goals and payout formulas</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Threshold, target and maximum performance and payout levels, funding formulas are not extreme, and goals are set within reach, thereby mitigating the likelihood of excessive risk taking in order to achieve a compensation result</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nature and breadth of the performance metrics that govern incentive compensation throughout the Company</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Encourages executives to avoid sacrificing short-term performance for long-term performance and vice versa</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existence of clawback policies</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Subjects executives to a requirement to surrender any undue incentive compensation that was paid on the basis of financial results that were required to be restated (other than as a result of a change in the applicable accounting rules or interpretations)</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existence of Anti-Pledging &amp; Anti-Hedging Policies</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Ensures the alignment of interests generated by our executives’ equity holdings is not undermined by hedging or similar transactions</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existence of robust share ownership guidelines</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Provides a clear link between the economic interests of executives and shareholders over the long-term</w:t>
            </w:r>
          </w:p>
        </w:tc>
      </w:tr>
      <w:tr>
        <w:trPr/>
        <w:tc>
          <w:tcPr>
            <w:tcW w:w="568"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bottom w:val="single" w:sz="4" w:space="0" w:color="242424"/>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Use of an independent compensation consultant that performs no other services for the Company (including management)</w:t>
            </w:r>
          </w:p>
        </w:tc>
        <w:tc>
          <w:tcPr>
            <w:tcW w:w="780"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bottom w:val="single" w:sz="4" w:space="0" w:color="242424"/>
              <w:right w:val="single" w:sz="4" w:space="0" w:color="242424"/>
            </w:tcBorders>
            <w:tcMar>
              <w:top w:w="3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Helps ensure advice will not be influenced by conflicts of interest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68325"/>
                <wp:effectExtent l="0" t="0" r="0" b="0"/>
                <wp:wrapNone/>
                <wp:docPr id="75" name="Frame50"/>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COMPENSATION COMMITTEE INTERLOCKS AND INSIDER PARTICIPATION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Committee’s current members are all independent, non-employee directors as of the date hereof. None of the current Committee members has served as an officer or employee of the Company.</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COMPENSATION AND HUMAN RESOURCES COMMITTEE REPORT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Committee reviewed the Compensation Discussion and Analysis, discussed it with management and recommended to the Board that the Compensation Discussion and Analysis be included in this Proxy Statement.</w:t>
      </w:r>
    </w:p>
    <w:tbl>
      <w:tblPr>
        <w:tblW w:w="10379" w:type="dxa"/>
        <w:jc w:val="left"/>
        <w:tblInd w:w="0" w:type="dxa"/>
        <w:tblLayout w:type="fixed"/>
        <w:tblCellMar>
          <w:top w:w="28" w:type="dxa"/>
          <w:left w:w="28" w:type="dxa"/>
          <w:bottom w:w="28" w:type="dxa"/>
          <w:right w:w="28" w:type="dxa"/>
        </w:tblCellMar>
      </w:tblPr>
      <w:tblGrid>
        <w:gridCol w:w="917"/>
        <w:gridCol w:w="806"/>
        <w:gridCol w:w="808"/>
        <w:gridCol w:w="938"/>
        <w:gridCol w:w="938"/>
        <w:gridCol w:w="940"/>
        <w:gridCol w:w="963"/>
        <w:gridCol w:w="963"/>
        <w:gridCol w:w="965"/>
        <w:gridCol w:w="627"/>
        <w:gridCol w:w="627"/>
        <w:gridCol w:w="887"/>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43050" cy="50482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27"/>
                          <a:stretch>
                            <a:fillRect/>
                          </a:stretch>
                        </pic:blipFill>
                        <pic:spPr bwMode="auto">
                          <a:xfrm>
                            <a:off x="0" y="0"/>
                            <a:ext cx="1543050" cy="504825"/>
                          </a:xfrm>
                          <a:prstGeom prst="rect">
                            <a:avLst/>
                          </a:prstGeom>
                        </pic:spPr>
                      </pic:pic>
                    </a:graphicData>
                  </a:graphic>
                </wp:inline>
              </w:drawing>
            </w:r>
          </w:p>
        </w:tc>
        <w:tc>
          <w:tcPr>
            <w:tcW w:w="28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33550" cy="361950"/>
                  <wp:effectExtent l="0" t="0" r="0" b="0"/>
                  <wp:docPr id="7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7" descr=""/>
                          <pic:cNvPicPr>
                            <a:picLocks noChangeAspect="1" noChangeArrowheads="1"/>
                          </pic:cNvPicPr>
                        </pic:nvPicPr>
                        <pic:blipFill>
                          <a:blip r:embed="rId28"/>
                          <a:stretch>
                            <a:fillRect/>
                          </a:stretch>
                        </pic:blipFill>
                        <pic:spPr bwMode="auto">
                          <a:xfrm>
                            <a:off x="0" y="0"/>
                            <a:ext cx="1733550" cy="361950"/>
                          </a:xfrm>
                          <a:prstGeom prst="rect">
                            <a:avLst/>
                          </a:prstGeom>
                        </pic:spPr>
                      </pic:pic>
                    </a:graphicData>
                  </a:graphic>
                </wp:inline>
              </w:drawing>
            </w:r>
          </w:p>
        </w:tc>
        <w:tc>
          <w:tcPr>
            <w:tcW w:w="28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81175" cy="466725"/>
                  <wp:effectExtent l="0" t="0" r="0" b="0"/>
                  <wp:docPr id="7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8" descr=""/>
                          <pic:cNvPicPr>
                            <a:picLocks noChangeAspect="1" noChangeArrowheads="1"/>
                          </pic:cNvPicPr>
                        </pic:nvPicPr>
                        <pic:blipFill>
                          <a:blip r:embed="rId29"/>
                          <a:stretch>
                            <a:fillRect/>
                          </a:stretch>
                        </pic:blipFill>
                        <pic:spPr bwMode="auto">
                          <a:xfrm>
                            <a:off x="0" y="0"/>
                            <a:ext cx="1781175" cy="466725"/>
                          </a:xfrm>
                          <a:prstGeom prst="rect">
                            <a:avLst/>
                          </a:prstGeom>
                        </pic:spPr>
                      </pic:pic>
                    </a:graphicData>
                  </a:graphic>
                </wp:inline>
              </w:drawing>
            </w:r>
          </w:p>
        </w:tc>
        <w:tc>
          <w:tcPr>
            <w:tcW w:w="21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438150"/>
                  <wp:effectExtent l="0" t="0" r="0" b="0"/>
                  <wp:docPr id="7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9" descr=""/>
                          <pic:cNvPicPr>
                            <a:picLocks noChangeAspect="1" noChangeArrowheads="1"/>
                          </pic:cNvPicPr>
                        </pic:nvPicPr>
                        <pic:blipFill>
                          <a:blip r:embed="rId30"/>
                          <a:stretch>
                            <a:fillRect/>
                          </a:stretch>
                        </pic:blipFill>
                        <pic:spPr bwMode="auto">
                          <a:xfrm>
                            <a:off x="0" y="0"/>
                            <a:ext cx="1276350" cy="438150"/>
                          </a:xfrm>
                          <a:prstGeom prst="rect">
                            <a:avLst/>
                          </a:prstGeom>
                        </pic:spPr>
                      </pic:pic>
                    </a:graphicData>
                  </a:graphic>
                </wp:inline>
              </w:drawing>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Benjamin C. Duster, IV (Chair)</w:t>
            </w:r>
          </w:p>
        </w:tc>
        <w:tc>
          <w:tcPr>
            <w:tcW w:w="28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Steven Beringhause</w:t>
            </w:r>
          </w:p>
        </w:tc>
        <w:tc>
          <w:tcPr>
            <w:tcW w:w="289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Neal P. Goldman</w:t>
            </w:r>
          </w:p>
        </w:tc>
        <w:tc>
          <w:tcPr>
            <w:tcW w:w="21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Jacqueline C. Mutschler</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68325"/>
                <wp:effectExtent l="0" t="0" r="0" b="0"/>
                <wp:wrapNone/>
                <wp:docPr id="80" name="Frame51"/>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before="0" w:after="120"/>
        <w:jc w:val="left"/>
        <w:rPr/>
      </w:pPr>
      <w:r>
        <w:rPr/>
      </w:r>
    </w:p>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2024 SUMMARY COMPENSATION TABLE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This table shows the total compensation paid for the years ended December 31, 2024, 2023 and 2022 to our NEOs, calculated in accordance with SEC regulations. Information is not provided (i) for 2022 and 2023 for Mr. Ward and (ii) for 2022 for Mr. Mitra, because they were not NEOs in those years.</w:t>
      </w:r>
    </w:p>
    <w:tbl>
      <w:tblPr>
        <w:tblW w:w="10205" w:type="dxa"/>
        <w:jc w:val="center"/>
        <w:tblInd w:w="0" w:type="dxa"/>
        <w:tblLayout w:type="fixed"/>
        <w:tblCellMar>
          <w:top w:w="28" w:type="dxa"/>
          <w:left w:w="28" w:type="dxa"/>
          <w:bottom w:w="28" w:type="dxa"/>
          <w:right w:w="28" w:type="dxa"/>
        </w:tblCellMar>
      </w:tblPr>
      <w:tblGrid>
        <w:gridCol w:w="972"/>
        <w:gridCol w:w="504"/>
        <w:gridCol w:w="508"/>
        <w:gridCol w:w="168"/>
        <w:gridCol w:w="168"/>
        <w:gridCol w:w="172"/>
        <w:gridCol w:w="475"/>
        <w:gridCol w:w="476"/>
        <w:gridCol w:w="226"/>
        <w:gridCol w:w="426"/>
        <w:gridCol w:w="378"/>
        <w:gridCol w:w="220"/>
        <w:gridCol w:w="524"/>
        <w:gridCol w:w="525"/>
        <w:gridCol w:w="263"/>
        <w:gridCol w:w="658"/>
        <w:gridCol w:w="410"/>
        <w:gridCol w:w="411"/>
        <w:gridCol w:w="470"/>
        <w:gridCol w:w="470"/>
        <w:gridCol w:w="471"/>
        <w:gridCol w:w="524"/>
        <w:gridCol w:w="525"/>
        <w:gridCol w:w="261"/>
      </w:tblGrid>
      <w:tr>
        <w:trPr/>
        <w:tc>
          <w:tcPr>
            <w:tcW w:w="97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Name and Principal Position</w:t>
            </w:r>
          </w:p>
        </w:tc>
        <w:tc>
          <w:tcPr>
            <w:tcW w:w="508"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Year</w:t>
            </w:r>
          </w:p>
        </w:tc>
        <w:tc>
          <w:tcPr>
            <w:tcW w:w="1177"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FFFFFF"/>
                <w:sz w:val="16"/>
              </w:rPr>
              <w:t>Salary ($)</w:t>
            </w:r>
            <w:r>
              <w:rPr>
                <w:rFonts w:ascii="Arial;sans-serif" w:hAnsi="Arial;sans-serif"/>
                <w:b w:val="false"/>
                <w:color w:val="FFFFFF"/>
                <w:sz w:val="10"/>
              </w:rPr>
              <w:t>(4)</w:t>
            </w:r>
          </w:p>
        </w:tc>
        <w:tc>
          <w:tcPr>
            <w:tcW w:w="1024"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Bonus ($)</w:t>
            </w:r>
          </w:p>
        </w:tc>
        <w:tc>
          <w:tcPr>
            <w:tcW w:w="1312"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FFFFFF"/>
                <w:sz w:val="16"/>
              </w:rPr>
            </w:pPr>
            <w:r>
              <w:rPr>
                <w:rFonts w:ascii="Arial;sans-serif" w:hAnsi="Arial;sans-serif"/>
                <w:b w:val="false"/>
                <w:color w:val="FFFFFF"/>
                <w:sz w:val="16"/>
              </w:rPr>
              <w:t>Stock Awards</w:t>
            </w:r>
          </w:p>
          <w:p>
            <w:pPr>
              <w:pStyle w:val="TableContents"/>
              <w:bidi w:val="0"/>
              <w:spacing w:lineRule="auto" w:line="240" w:before="0" w:after="0"/>
              <w:jc w:val="left"/>
              <w:rPr/>
            </w:pPr>
            <w:r>
              <w:rPr>
                <w:rFonts w:ascii="Arial;sans-serif" w:hAnsi="Arial;sans-serif"/>
                <w:b w:val="false"/>
                <w:color w:val="FFFFFF"/>
                <w:sz w:val="16"/>
              </w:rPr>
              <w:t>($)</w:t>
            </w:r>
            <w:r>
              <w:rPr>
                <w:rFonts w:ascii="Arial;sans-serif" w:hAnsi="Arial;sans-serif"/>
                <w:b w:val="false"/>
                <w:color w:val="FFFFFF"/>
                <w:sz w:val="10"/>
              </w:rPr>
              <w:t>(5)</w:t>
            </w:r>
          </w:p>
        </w:tc>
        <w:tc>
          <w:tcPr>
            <w:tcW w:w="1479"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FFFFFF"/>
                <w:sz w:val="16"/>
              </w:rPr>
              <w:t>Non-Equity (Cash) Incentive ($)</w:t>
            </w:r>
            <w:r>
              <w:rPr>
                <w:rFonts w:ascii="Arial;sans-serif" w:hAnsi="Arial;sans-serif"/>
                <w:b w:val="false"/>
                <w:color w:val="FFFFFF"/>
                <w:sz w:val="10"/>
              </w:rPr>
              <w:t>(6)</w:t>
            </w:r>
          </w:p>
        </w:tc>
        <w:tc>
          <w:tcPr>
            <w:tcW w:w="1411" w:type="dxa"/>
            <w:gridSpan w:val="3"/>
            <w:tcBorders>
              <w:top w:val="single" w:sz="8" w:space="0" w:color="B6B6B6"/>
              <w:left w:val="single" w:sz="8" w:space="0" w:color="B6B6B6"/>
            </w:tcBorders>
            <w:shd w:fill="CE1141"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FFFFFF"/>
                <w:sz w:val="16"/>
              </w:rPr>
              <w:t>All Other Compensation ($)</w:t>
            </w:r>
            <w:r>
              <w:rPr>
                <w:rFonts w:ascii="Arial;sans-serif" w:hAnsi="Arial;sans-serif"/>
                <w:b w:val="false"/>
                <w:color w:val="FFFFFF"/>
                <w:sz w:val="10"/>
              </w:rPr>
              <w:t>(7)</w:t>
            </w:r>
          </w:p>
        </w:tc>
        <w:tc>
          <w:tcPr>
            <w:tcW w:w="1310" w:type="dxa"/>
            <w:gridSpan w:val="3"/>
            <w:tcBorders>
              <w:top w:val="single" w:sz="8" w:space="0" w:color="B6B6B6"/>
              <w:left w:val="single" w:sz="8" w:space="0" w:color="B6B6B6"/>
              <w:right w:val="single" w:sz="8" w:space="0" w:color="B6B6B6"/>
            </w:tcBorders>
            <w:shd w:fill="CE1141" w:val="clear"/>
            <w:tcMar>
              <w:top w:w="30" w:type="dxa"/>
              <w:bottom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Total ($)</w:t>
            </w:r>
          </w:p>
        </w:tc>
      </w:tr>
      <w:tr>
        <w:trPr/>
        <w:tc>
          <w:tcPr>
            <w:tcW w:w="198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Girishchandra K. Saligram</w:t>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95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1,259,615 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11,549,276 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1,923,750 </w:t>
            </w:r>
          </w:p>
        </w:tc>
        <w:tc>
          <w:tcPr>
            <w:tcW w:w="4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45,363 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14,778,004 </w:t>
            </w:r>
          </w:p>
        </w:tc>
        <w:tc>
          <w:tcPr>
            <w:tcW w:w="261"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restart"/>
            <w:tcBorders>
              <w:top w:val="single" w:sz="8" w:space="0" w:color="B6B6B6"/>
              <w:left w:val="single" w:sz="8" w:space="0" w:color="B6B6B6"/>
            </w:tcBorders>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 President and Director</w:t>
            </w:r>
          </w:p>
        </w:tc>
        <w:tc>
          <w:tcPr>
            <w:tcW w:w="508" w:type="dxa"/>
            <w:gridSpan w:val="3"/>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1"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226"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7,723,345 </w:t>
            </w:r>
          </w:p>
        </w:tc>
        <w:tc>
          <w:tcPr>
            <w:tcW w:w="263"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2,400,000 </w:t>
            </w:r>
          </w:p>
        </w:tc>
        <w:tc>
          <w:tcPr>
            <w:tcW w:w="41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77,465 </w:t>
            </w:r>
          </w:p>
        </w:tc>
        <w:tc>
          <w:tcPr>
            <w:tcW w:w="47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11,200,810 </w:t>
            </w:r>
          </w:p>
        </w:tc>
        <w:tc>
          <w:tcPr>
            <w:tcW w:w="261" w:type="dxa"/>
            <w:tcBorders>
              <w:top w:val="single" w:sz="8" w:space="0" w:color="B6B6B6"/>
              <w:right w:val="single" w:sz="8" w:space="0" w:color="B6B6B6"/>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continue"/>
            <w:tcBorders>
              <w:top w:val="single" w:sz="8" w:space="0" w:color="B6B6B6"/>
              <w:left w:val="single" w:sz="8" w:space="0" w:color="B6B6B6"/>
            </w:tcBorders>
            <w:tcMar>
              <w:top w:w="30" w:type="dxa"/>
              <w:left w:w="140" w:type="dxa"/>
              <w:bottom w:w="0" w:type="dxa"/>
              <w:right w:w="0" w:type="dxa"/>
            </w:tcMar>
            <w:vAlign w:val="center"/>
          </w:tcPr>
          <w:p>
            <w:pPr>
              <w:pStyle w:val="Normal"/>
              <w:bidi w:val="0"/>
              <w:jc w:val="left"/>
              <w:rPr/>
            </w:pPr>
            <w:r>
              <w:rPr/>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6,541,693 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4,784,720 </w:t>
            </w:r>
          </w:p>
        </w:tc>
        <w:tc>
          <w:tcPr>
            <w:tcW w:w="4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15,908 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12,242,321 </w:t>
            </w:r>
          </w:p>
        </w:tc>
        <w:tc>
          <w:tcPr>
            <w:tcW w:w="261"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Scott C. Weatherholt</w:t>
            </w:r>
          </w:p>
        </w:tc>
        <w:tc>
          <w:tcPr>
            <w:tcW w:w="508" w:type="dxa"/>
            <w:gridSpan w:val="3"/>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951"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503,846 </w:t>
            </w:r>
          </w:p>
        </w:tc>
        <w:tc>
          <w:tcPr>
            <w:tcW w:w="226"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1,981,477 </w:t>
            </w:r>
          </w:p>
        </w:tc>
        <w:tc>
          <w:tcPr>
            <w:tcW w:w="263"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468,000 </w:t>
            </w:r>
          </w:p>
        </w:tc>
        <w:tc>
          <w:tcPr>
            <w:tcW w:w="41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60,450 </w:t>
            </w:r>
          </w:p>
        </w:tc>
        <w:tc>
          <w:tcPr>
            <w:tcW w:w="47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3,013,773 </w:t>
            </w:r>
          </w:p>
        </w:tc>
        <w:tc>
          <w:tcPr>
            <w:tcW w:w="261" w:type="dxa"/>
            <w:tcBorders>
              <w:top w:val="single" w:sz="8" w:space="0" w:color="B6B6B6"/>
              <w:right w:val="single" w:sz="8" w:space="0" w:color="B6B6B6"/>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restart"/>
            <w:tcBorders>
              <w:top w:val="single" w:sz="8" w:space="0" w:color="B6B6B6"/>
              <w:left w:val="single" w:sz="8" w:space="0" w:color="B6B6B6"/>
            </w:tcBorders>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General Counsel and Chief Compliance Officer</w:t>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475,000 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1,570,524 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820,800 </w:t>
            </w:r>
          </w:p>
        </w:tc>
        <w:tc>
          <w:tcPr>
            <w:tcW w:w="4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26,417 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2,892,741 </w:t>
            </w:r>
          </w:p>
        </w:tc>
        <w:tc>
          <w:tcPr>
            <w:tcW w:w="261"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continue"/>
            <w:tcBorders>
              <w:top w:val="single" w:sz="8" w:space="0" w:color="B6B6B6"/>
              <w:left w:val="single" w:sz="8" w:space="0" w:color="B6B6B6"/>
            </w:tcBorders>
            <w:tcMar>
              <w:top w:w="30" w:type="dxa"/>
              <w:left w:w="140" w:type="dxa"/>
              <w:bottom w:w="0" w:type="dxa"/>
              <w:right w:w="0" w:type="dxa"/>
            </w:tcMar>
            <w:vAlign w:val="center"/>
          </w:tcPr>
          <w:p>
            <w:pPr>
              <w:pStyle w:val="Normal"/>
              <w:bidi w:val="0"/>
              <w:jc w:val="left"/>
              <w:rPr/>
            </w:pPr>
            <w:r>
              <w:rPr/>
            </w:r>
          </w:p>
        </w:tc>
        <w:tc>
          <w:tcPr>
            <w:tcW w:w="508" w:type="dxa"/>
            <w:gridSpan w:val="3"/>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1"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425,000 </w:t>
            </w:r>
          </w:p>
        </w:tc>
        <w:tc>
          <w:tcPr>
            <w:tcW w:w="226"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1,343,106 </w:t>
            </w:r>
          </w:p>
        </w:tc>
        <w:tc>
          <w:tcPr>
            <w:tcW w:w="263"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1,494,101 </w:t>
            </w:r>
          </w:p>
        </w:tc>
        <w:tc>
          <w:tcPr>
            <w:tcW w:w="41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9,831 </w:t>
            </w:r>
          </w:p>
        </w:tc>
        <w:tc>
          <w:tcPr>
            <w:tcW w:w="47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3,272,038 </w:t>
            </w:r>
          </w:p>
        </w:tc>
        <w:tc>
          <w:tcPr>
            <w:tcW w:w="261" w:type="dxa"/>
            <w:tcBorders>
              <w:top w:val="single" w:sz="8" w:space="0" w:color="B6B6B6"/>
              <w:right w:val="single" w:sz="8" w:space="0" w:color="B6B6B6"/>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Richard D. Ward</w:t>
            </w:r>
            <w:r>
              <w:rPr>
                <w:rFonts w:ascii="Arial;sans-serif" w:hAnsi="Arial;sans-serif"/>
                <w:b w:val="false"/>
                <w:color w:val="000000"/>
                <w:sz w:val="10"/>
              </w:rPr>
              <w:t>(1)</w:t>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95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494,231 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1,598,035 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391,500 </w:t>
            </w:r>
          </w:p>
        </w:tc>
        <w:tc>
          <w:tcPr>
            <w:tcW w:w="4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41,723 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2,525,489 </w:t>
            </w:r>
          </w:p>
        </w:tc>
        <w:tc>
          <w:tcPr>
            <w:tcW w:w="261"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restart"/>
            <w:tcBorders>
              <w:top w:val="single" w:sz="8" w:space="0" w:color="B6B6B6"/>
              <w:left w:val="single" w:sz="8" w:space="0" w:color="B6B6B6"/>
            </w:tcBorders>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Global Field Operations</w:t>
            </w:r>
          </w:p>
        </w:tc>
        <w:tc>
          <w:tcPr>
            <w:tcW w:w="508" w:type="dxa"/>
            <w:gridSpan w:val="3"/>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1177" w:type="dxa"/>
            <w:gridSpan w:val="3"/>
            <w:tcBorders>
              <w:top w:val="single" w:sz="8" w:space="0" w:color="B6B6B6"/>
              <w:left w:val="single" w:sz="8" w:space="0" w:color="B6B6B6"/>
            </w:tcBorders>
            <w:shd w:fill="EDED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left w:val="single" w:sz="8" w:space="0" w:color="B6B6B6"/>
            </w:tcBorders>
            <w:shd w:fill="EDED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B6B6B6"/>
              <w:left w:val="single" w:sz="8" w:space="0" w:color="B6B6B6"/>
            </w:tcBorders>
            <w:shd w:fill="EDED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B6B6B6"/>
              <w:left w:val="single" w:sz="8" w:space="0" w:color="B6B6B6"/>
            </w:tcBorders>
            <w:shd w:fill="EDED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B6B6B6"/>
              <w:left w:val="single" w:sz="8" w:space="0" w:color="B6B6B6"/>
            </w:tcBorders>
            <w:shd w:fill="EDED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B6B6B6"/>
              <w:left w:val="single" w:sz="8" w:space="0" w:color="B6B6B6"/>
              <w:right w:val="single" w:sz="8" w:space="0" w:color="B6B6B6"/>
            </w:tcBorders>
            <w:shd w:fill="EDEDED" w:val="clear"/>
            <w:tcMar>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continue"/>
            <w:tcBorders>
              <w:top w:val="single" w:sz="8" w:space="0" w:color="B6B6B6"/>
              <w:left w:val="single" w:sz="8" w:space="0" w:color="B6B6B6"/>
            </w:tcBorders>
            <w:tcMar>
              <w:top w:w="30" w:type="dxa"/>
              <w:left w:w="140" w:type="dxa"/>
              <w:bottom w:w="0" w:type="dxa"/>
              <w:right w:w="0" w:type="dxa"/>
            </w:tcMar>
            <w:vAlign w:val="center"/>
          </w:tcPr>
          <w:p>
            <w:pPr>
              <w:pStyle w:val="Normal"/>
              <w:bidi w:val="0"/>
              <w:jc w:val="left"/>
              <w:rPr/>
            </w:pPr>
            <w:r>
              <w:rPr/>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1177"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B6B6B6"/>
              <w:left w:val="single" w:sz="8" w:space="0" w:color="B6B6B6"/>
              <w:right w:val="single" w:sz="8" w:space="0" w:color="B6B6B6"/>
            </w:tcBorders>
            <w:tcMar>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Desmond J. Mills</w:t>
            </w:r>
          </w:p>
        </w:tc>
        <w:tc>
          <w:tcPr>
            <w:tcW w:w="508" w:type="dxa"/>
            <w:gridSpan w:val="3"/>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951"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423,231 </w:t>
            </w:r>
          </w:p>
        </w:tc>
        <w:tc>
          <w:tcPr>
            <w:tcW w:w="226"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906,781 </w:t>
            </w:r>
          </w:p>
        </w:tc>
        <w:tc>
          <w:tcPr>
            <w:tcW w:w="263"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270,270 </w:t>
            </w:r>
          </w:p>
        </w:tc>
        <w:tc>
          <w:tcPr>
            <w:tcW w:w="41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49,528 </w:t>
            </w:r>
          </w:p>
        </w:tc>
        <w:tc>
          <w:tcPr>
            <w:tcW w:w="47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1,649,810 </w:t>
            </w:r>
          </w:p>
        </w:tc>
        <w:tc>
          <w:tcPr>
            <w:tcW w:w="261" w:type="dxa"/>
            <w:tcBorders>
              <w:top w:val="single" w:sz="8" w:space="0" w:color="B6B6B6"/>
              <w:right w:val="single" w:sz="8" w:space="0" w:color="B6B6B6"/>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restart"/>
            <w:tcBorders>
              <w:top w:val="single" w:sz="8" w:space="0" w:color="B6B6B6"/>
              <w:left w:val="single" w:sz="8" w:space="0" w:color="B6B6B6"/>
            </w:tcBorders>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Vice President and Chief Accounting Officer</w:t>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736,473 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499,200 </w:t>
            </w:r>
          </w:p>
        </w:tc>
        <w:tc>
          <w:tcPr>
            <w:tcW w:w="4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20,765 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1,656,438 </w:t>
            </w:r>
          </w:p>
        </w:tc>
        <w:tc>
          <w:tcPr>
            <w:tcW w:w="261"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continue"/>
            <w:tcBorders>
              <w:top w:val="single" w:sz="8" w:space="0" w:color="B6B6B6"/>
              <w:left w:val="single" w:sz="8" w:space="0" w:color="B6B6B6"/>
            </w:tcBorders>
            <w:tcMar>
              <w:top w:w="30" w:type="dxa"/>
              <w:left w:w="140" w:type="dxa"/>
              <w:bottom w:w="0" w:type="dxa"/>
              <w:right w:w="0" w:type="dxa"/>
            </w:tcMar>
            <w:vAlign w:val="center"/>
          </w:tcPr>
          <w:p>
            <w:pPr>
              <w:pStyle w:val="Normal"/>
              <w:bidi w:val="0"/>
              <w:jc w:val="left"/>
              <w:rPr/>
            </w:pPr>
            <w:r>
              <w:rPr/>
            </w:r>
          </w:p>
        </w:tc>
        <w:tc>
          <w:tcPr>
            <w:tcW w:w="508" w:type="dxa"/>
            <w:gridSpan w:val="3"/>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1"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360,000 </w:t>
            </w:r>
          </w:p>
        </w:tc>
        <w:tc>
          <w:tcPr>
            <w:tcW w:w="226"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20"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475,422 </w:t>
            </w:r>
          </w:p>
        </w:tc>
        <w:tc>
          <w:tcPr>
            <w:tcW w:w="263"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434,070 </w:t>
            </w:r>
          </w:p>
        </w:tc>
        <w:tc>
          <w:tcPr>
            <w:tcW w:w="41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13,114 </w:t>
            </w:r>
          </w:p>
        </w:tc>
        <w:tc>
          <w:tcPr>
            <w:tcW w:w="47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1,287,606 </w:t>
            </w:r>
          </w:p>
        </w:tc>
        <w:tc>
          <w:tcPr>
            <w:tcW w:w="261" w:type="dxa"/>
            <w:tcBorders>
              <w:top w:val="single" w:sz="8" w:space="0" w:color="B6B6B6"/>
              <w:right w:val="single" w:sz="8" w:space="0" w:color="B6B6B6"/>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Arunava Mitra</w:t>
            </w:r>
            <w:r>
              <w:rPr>
                <w:rFonts w:ascii="Arial;sans-serif" w:hAnsi="Arial;sans-serif"/>
                <w:b w:val="false"/>
                <w:color w:val="000000"/>
                <w:sz w:val="10"/>
              </w:rPr>
              <w:t>(2)</w:t>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95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589,500 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2,617,632 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394,875 </w:t>
            </w:r>
          </w:p>
        </w:tc>
        <w:tc>
          <w:tcPr>
            <w:tcW w:w="4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68,040 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3,670,047 </w:t>
            </w:r>
          </w:p>
        </w:tc>
        <w:tc>
          <w:tcPr>
            <w:tcW w:w="261"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restart"/>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Former Executive Vice President and Chief Financial Officer</w:t>
            </w:r>
          </w:p>
        </w:tc>
        <w:tc>
          <w:tcPr>
            <w:tcW w:w="508" w:type="dxa"/>
            <w:gridSpan w:val="3"/>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1"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522,813 </w:t>
            </w:r>
          </w:p>
        </w:tc>
        <w:tc>
          <w:tcPr>
            <w:tcW w:w="226"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410,000 </w:t>
            </w:r>
          </w:p>
        </w:tc>
        <w:tc>
          <w:tcPr>
            <w:tcW w:w="220"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3,916,223 </w:t>
            </w:r>
          </w:p>
        </w:tc>
        <w:tc>
          <w:tcPr>
            <w:tcW w:w="263"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907,200 </w:t>
            </w:r>
          </w:p>
        </w:tc>
        <w:tc>
          <w:tcPr>
            <w:tcW w:w="41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33,646 </w:t>
            </w:r>
          </w:p>
        </w:tc>
        <w:tc>
          <w:tcPr>
            <w:tcW w:w="47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5,789,882 </w:t>
            </w:r>
          </w:p>
        </w:tc>
        <w:tc>
          <w:tcPr>
            <w:tcW w:w="261" w:type="dxa"/>
            <w:tcBorders>
              <w:top w:val="single" w:sz="8" w:space="0" w:color="B6B6B6"/>
              <w:right w:val="single" w:sz="8" w:space="0" w:color="B6B6B6"/>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1177"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B6B6B6"/>
              <w:left w:val="single" w:sz="8" w:space="0" w:color="B6B6B6"/>
              <w:right w:val="single" w:sz="8" w:space="0" w:color="B6B6B6"/>
            </w:tcBorders>
            <w:tcMar>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Charles W. Davison, Jr.</w:t>
            </w:r>
            <w:r>
              <w:rPr>
                <w:rFonts w:ascii="Arial;sans-serif" w:hAnsi="Arial;sans-serif"/>
                <w:b w:val="false"/>
                <w:color w:val="000000"/>
                <w:sz w:val="10"/>
              </w:rPr>
              <w:t>(3)</w:t>
            </w:r>
          </w:p>
        </w:tc>
        <w:tc>
          <w:tcPr>
            <w:tcW w:w="508" w:type="dxa"/>
            <w:gridSpan w:val="3"/>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951"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51,923 </w:t>
            </w:r>
          </w:p>
        </w:tc>
        <w:tc>
          <w:tcPr>
            <w:tcW w:w="226"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958,719 </w:t>
            </w:r>
          </w:p>
        </w:tc>
        <w:tc>
          <w:tcPr>
            <w:tcW w:w="263"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996,603 </w:t>
            </w:r>
          </w:p>
        </w:tc>
        <w:tc>
          <w:tcPr>
            <w:tcW w:w="471" w:type="dxa"/>
            <w:tcBorders>
              <w:top w:val="single" w:sz="8" w:space="0" w:color="B6B6B6"/>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shd w:fill="EDEDED"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2,007,245 </w:t>
            </w:r>
          </w:p>
        </w:tc>
        <w:tc>
          <w:tcPr>
            <w:tcW w:w="261" w:type="dxa"/>
            <w:tcBorders>
              <w:top w:val="single" w:sz="8" w:space="0" w:color="B6B6B6"/>
              <w:right w:val="single" w:sz="8" w:space="0" w:color="B6B6B6"/>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restart"/>
            <w:tcBorders>
              <w:top w:val="single" w:sz="8" w:space="0" w:color="B6B6B6"/>
              <w:left w:val="single" w:sz="8" w:space="0" w:color="B6B6B6"/>
            </w:tcBorders>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Former Executive Vice President, Chief Fulfillment &amp; Enterprise Infrastructure Officer</w:t>
            </w:r>
          </w:p>
        </w:tc>
        <w:tc>
          <w:tcPr>
            <w:tcW w:w="50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1"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1,515,359 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675,000 </w:t>
            </w:r>
          </w:p>
        </w:tc>
        <w:tc>
          <w:tcPr>
            <w:tcW w:w="4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12,965 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2,703,324 </w:t>
            </w:r>
          </w:p>
        </w:tc>
        <w:tc>
          <w:tcPr>
            <w:tcW w:w="261" w:type="dxa"/>
            <w:tcBorders>
              <w:top w:val="single" w:sz="8" w:space="0" w:color="B6B6B6"/>
              <w:right w:val="single" w:sz="8" w:space="0" w:color="B6B6B6"/>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84" w:type="dxa"/>
            <w:gridSpan w:val="3"/>
            <w:vMerge w:val="continue"/>
            <w:tcBorders>
              <w:top w:val="single" w:sz="8" w:space="0" w:color="B6B6B6"/>
              <w:left w:val="single" w:sz="8" w:space="0" w:color="B6B6B6"/>
            </w:tcBorders>
            <w:tcMar>
              <w:top w:w="30" w:type="dxa"/>
              <w:left w:w="140" w:type="dxa"/>
              <w:bottom w:w="0" w:type="dxa"/>
              <w:right w:w="0" w:type="dxa"/>
            </w:tcMar>
            <w:vAlign w:val="center"/>
          </w:tcPr>
          <w:p>
            <w:pPr>
              <w:pStyle w:val="Normal"/>
              <w:bidi w:val="0"/>
              <w:jc w:val="left"/>
              <w:rPr/>
            </w:pPr>
            <w:r>
              <w:rPr/>
            </w:r>
          </w:p>
        </w:tc>
        <w:tc>
          <w:tcPr>
            <w:tcW w:w="508" w:type="dxa"/>
            <w:gridSpan w:val="3"/>
            <w:tcBorders>
              <w:top w:val="single" w:sz="8" w:space="0" w:color="B6B6B6"/>
              <w:left w:val="single" w:sz="8" w:space="0" w:color="B6B6B6"/>
              <w:bottom w:val="single" w:sz="8" w:space="0" w:color="B6B6B6"/>
            </w:tcBorders>
            <w:shd w:fill="EDEDED"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1" w:type="dxa"/>
            <w:gridSpan w:val="2"/>
            <w:tcBorders>
              <w:top w:val="single" w:sz="8" w:space="0" w:color="B6B6B6"/>
              <w:left w:val="single" w:sz="8" w:space="0" w:color="B6B6B6"/>
              <w:bottom w:val="single" w:sz="8" w:space="0" w:color="B6B6B6"/>
            </w:tcBorders>
            <w:shd w:fill="EDEDED"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120,549 </w:t>
            </w:r>
          </w:p>
        </w:tc>
        <w:tc>
          <w:tcPr>
            <w:tcW w:w="226" w:type="dxa"/>
            <w:tcBorders>
              <w:top w:val="single" w:sz="8" w:space="0" w:color="B6B6B6"/>
              <w:bottom w:val="single" w:sz="8" w:space="0" w:color="B6B6B6"/>
            </w:tcBorders>
            <w:shd w:fill="EDED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6B6B6"/>
              <w:left w:val="single" w:sz="8" w:space="0" w:color="B6B6B6"/>
              <w:bottom w:val="single" w:sz="8" w:space="0" w:color="B6B6B6"/>
            </w:tcBorders>
            <w:shd w:fill="EDEDED"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B6B6B6"/>
              <w:bottom w:val="single" w:sz="8" w:space="0" w:color="B6B6B6"/>
            </w:tcBorders>
            <w:shd w:fill="EDED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bottom w:val="single" w:sz="8" w:space="0" w:color="B6B6B6"/>
            </w:tcBorders>
            <w:shd w:fill="EDEDED"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530,750 </w:t>
            </w:r>
          </w:p>
        </w:tc>
        <w:tc>
          <w:tcPr>
            <w:tcW w:w="263" w:type="dxa"/>
            <w:tcBorders>
              <w:top w:val="single" w:sz="8" w:space="0" w:color="B6B6B6"/>
              <w:bottom w:val="single" w:sz="8" w:space="0" w:color="B6B6B6"/>
            </w:tcBorders>
            <w:shd w:fill="EDED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6B6B6"/>
              <w:left w:val="single" w:sz="8" w:space="0" w:color="B6B6B6"/>
              <w:bottom w:val="single" w:sz="8" w:space="0" w:color="B6B6B6"/>
            </w:tcBorders>
            <w:shd w:fill="EDEDED"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181,688 </w:t>
            </w:r>
          </w:p>
        </w:tc>
        <w:tc>
          <w:tcPr>
            <w:tcW w:w="411" w:type="dxa"/>
            <w:tcBorders>
              <w:top w:val="single" w:sz="8" w:space="0" w:color="B6B6B6"/>
              <w:bottom w:val="single" w:sz="8" w:space="0" w:color="B6B6B6"/>
            </w:tcBorders>
            <w:shd w:fill="EDED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B6B6B6"/>
              <w:left w:val="single" w:sz="8" w:space="0" w:color="B6B6B6"/>
              <w:bottom w:val="single" w:sz="8" w:space="0" w:color="B6B6B6"/>
            </w:tcBorders>
            <w:shd w:fill="EDEDED"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4,001 </w:t>
            </w:r>
          </w:p>
        </w:tc>
        <w:tc>
          <w:tcPr>
            <w:tcW w:w="471" w:type="dxa"/>
            <w:tcBorders>
              <w:top w:val="single" w:sz="8" w:space="0" w:color="B6B6B6"/>
              <w:bottom w:val="single" w:sz="8" w:space="0" w:color="B6B6B6"/>
            </w:tcBorders>
            <w:shd w:fill="EDED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B6B6B6"/>
              <w:left w:val="single" w:sz="8" w:space="0" w:color="B6B6B6"/>
              <w:bottom w:val="single" w:sz="8" w:space="0" w:color="B6B6B6"/>
            </w:tcBorders>
            <w:shd w:fill="EDEDED"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836,988 </w:t>
            </w:r>
          </w:p>
        </w:tc>
        <w:tc>
          <w:tcPr>
            <w:tcW w:w="261" w:type="dxa"/>
            <w:tcBorders>
              <w:top w:val="single" w:sz="8" w:space="0" w:color="B6B6B6"/>
              <w:bottom w:val="single" w:sz="8" w:space="0" w:color="B6B6B6"/>
              <w:right w:val="single" w:sz="8" w:space="0" w:color="B6B6B6"/>
            </w:tcBorders>
            <w:shd w:fill="EDEDED"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B6B6B6"/>
            </w:tcBorders>
            <w:tcMar>
              <w:top w:w="30" w:type="dxa"/>
              <w:left w:w="0" w:type="dxa"/>
              <w:bottom w:w="0" w:type="dxa"/>
              <w:right w:w="0" w:type="dxa"/>
            </w:tcMar>
            <w:vAlign w:val="center"/>
          </w:tcPr>
          <w:p>
            <w:pPr>
              <w:pStyle w:val="TableContents"/>
              <w:bidi w:val="0"/>
              <w:spacing w:lineRule="auto" w:line="252" w:before="0" w:after="60"/>
              <w:ind w:left="0" w:right="0" w:hanging="360"/>
              <w:jc w:val="left"/>
              <w:rPr/>
            </w:pPr>
            <w:r>
              <w:rPr>
                <w:rFonts w:ascii="Arial;sans-serif" w:hAnsi="Arial;sans-serif"/>
                <w:b w:val="false"/>
                <w:color w:val="C3002F"/>
                <w:sz w:val="16"/>
              </w:rPr>
              <w:t>(1)</w:t>
            </w:r>
            <w:r>
              <w:rPr>
                <w:rFonts w:ascii="Arial;sans-serif" w:hAnsi="Arial;sans-serif"/>
                <w:b w:val="false"/>
                <w:color w:val="242424"/>
                <w:sz w:val="16"/>
              </w:rPr>
              <w:t xml:space="preserve">Mr. Ward was appointed as our Executive Vice President, Global Field Operations, effective </w:t>
            </w:r>
            <w:r>
              <w:rPr>
                <w:rFonts w:ascii="Arial;sans-serif" w:hAnsi="Arial;sans-serif"/>
                <w:b w:val="false"/>
                <w:color w:val="000000"/>
                <w:sz w:val="16"/>
              </w:rPr>
              <w:t>January 17, 2024</w:t>
            </w:r>
            <w:r>
              <w:rPr>
                <w:rFonts w:ascii="Arial;sans-serif" w:hAnsi="Arial;sans-serif"/>
                <w:b w:val="false"/>
                <w:color w:val="242424"/>
                <w:sz w:val="16"/>
              </w:rPr>
              <w:t>.</w:t>
            </w:r>
          </w:p>
          <w:p>
            <w:pPr>
              <w:pStyle w:val="TableContents"/>
              <w:bidi w:val="0"/>
              <w:spacing w:lineRule="auto" w:line="252"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 xml:space="preserve">Mr. Mitra served as our Executive Vice President and Chief Financial Officer from </w:t>
            </w:r>
            <w:r>
              <w:rPr>
                <w:rFonts w:ascii="Arial;sans-serif" w:hAnsi="Arial;sans-serif"/>
                <w:b w:val="false"/>
                <w:color w:val="000000"/>
                <w:sz w:val="16"/>
              </w:rPr>
              <w:t>January 3, 2023 until his departure from the Company on April 21, 2025</w:t>
            </w:r>
            <w:r>
              <w:rPr>
                <w:rFonts w:ascii="Arial;sans-serif" w:hAnsi="Arial;sans-serif"/>
                <w:b w:val="false"/>
                <w:color w:val="242424"/>
                <w:sz w:val="16"/>
              </w:rPr>
              <w:t>.</w:t>
            </w:r>
          </w:p>
          <w:p>
            <w:pPr>
              <w:pStyle w:val="TableContents"/>
              <w:bidi w:val="0"/>
              <w:spacing w:lineRule="auto" w:line="252" w:before="0" w:after="60"/>
              <w:ind w:left="0" w:right="0" w:hanging="360"/>
              <w:jc w:val="left"/>
              <w:rPr/>
            </w:pPr>
            <w:r>
              <w:rPr>
                <w:rFonts w:ascii="Arial;sans-serif" w:hAnsi="Arial;sans-serif"/>
                <w:b w:val="false"/>
                <w:color w:val="C3002F"/>
                <w:sz w:val="16"/>
              </w:rPr>
              <w:t>(3)</w:t>
            </w:r>
            <w:r>
              <w:rPr>
                <w:rFonts w:ascii="Arial;sans-serif" w:hAnsi="Arial;sans-serif"/>
                <w:b w:val="false"/>
                <w:color w:val="242424"/>
                <w:sz w:val="16"/>
              </w:rPr>
              <w:t xml:space="preserve">Mr. Davison joined the Company in September 2022 and departed the Company effective </w:t>
            </w:r>
            <w:r>
              <w:rPr>
                <w:rFonts w:ascii="Arial;sans-serif" w:hAnsi="Arial;sans-serif"/>
                <w:b w:val="false"/>
                <w:color w:val="000000"/>
                <w:sz w:val="16"/>
              </w:rPr>
              <w:t>February 6, 2024</w:t>
            </w:r>
            <w:r>
              <w:rPr>
                <w:rFonts w:ascii="Arial;sans-serif" w:hAnsi="Arial;sans-serif"/>
                <w:b w:val="false"/>
                <w:color w:val="242424"/>
                <w:sz w:val="16"/>
              </w:rPr>
              <w:t>.</w:t>
            </w:r>
          </w:p>
          <w:p>
            <w:pPr>
              <w:pStyle w:val="TableContents"/>
              <w:bidi w:val="0"/>
              <w:spacing w:lineRule="auto" w:line="252"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 xml:space="preserve">NEOs earned the equivalent of </w:t>
            </w:r>
            <w:r>
              <w:rPr>
                <w:rFonts w:ascii="Arial;sans-serif" w:hAnsi="Arial;sans-serif"/>
                <w:b w:val="false"/>
                <w:color w:val="000000"/>
                <w:sz w:val="16"/>
              </w:rPr>
              <w:t>26.2</w:t>
            </w:r>
            <w:r>
              <w:rPr>
                <w:color w:val="242424"/>
              </w:rPr>
              <w:t xml:space="preserve"> </w:t>
            </w:r>
            <w:r>
              <w:rPr>
                <w:rFonts w:ascii="Arial;sans-serif" w:hAnsi="Arial;sans-serif"/>
                <w:b w:val="false"/>
                <w:color w:val="242424"/>
                <w:sz w:val="16"/>
              </w:rPr>
              <w:t xml:space="preserve">pay periods for 2024 instead of </w:t>
            </w:r>
            <w:r>
              <w:rPr>
                <w:rFonts w:ascii="Arial;sans-serif" w:hAnsi="Arial;sans-serif"/>
                <w:b w:val="false"/>
                <w:color w:val="000000"/>
                <w:sz w:val="16"/>
              </w:rPr>
              <w:t>26</w:t>
            </w:r>
            <w:r>
              <w:rPr>
                <w:rFonts w:ascii="Arial;sans-serif" w:hAnsi="Arial;sans-serif"/>
                <w:b w:val="false"/>
                <w:color w:val="242424"/>
                <w:sz w:val="16"/>
              </w:rPr>
              <w:t>, reflecting the impact of the bi-weekly payroll structure implemented in January 2024. Additional amounts were ratified by the Committee.</w:t>
            </w:r>
          </w:p>
          <w:p>
            <w:pPr>
              <w:pStyle w:val="TableContents"/>
              <w:bidi w:val="0"/>
              <w:spacing w:lineRule="auto" w:line="252" w:before="0" w:after="60"/>
              <w:ind w:left="0" w:right="0" w:hanging="360"/>
              <w:jc w:val="left"/>
              <w:rPr/>
            </w:pPr>
            <w:r>
              <w:rPr>
                <w:rFonts w:ascii="Arial;sans-serif" w:hAnsi="Arial;sans-serif"/>
                <w:b w:val="false"/>
                <w:color w:val="C3002F"/>
                <w:sz w:val="16"/>
              </w:rPr>
              <w:t>(5)</w:t>
            </w:r>
            <w:r>
              <w:rPr>
                <w:rFonts w:ascii="Arial;sans-serif" w:hAnsi="Arial;sans-serif"/>
                <w:b w:val="false"/>
                <w:color w:val="242424"/>
                <w:sz w:val="16"/>
              </w:rPr>
              <w:t xml:space="preserve">Amounts reflect values calculated in accordance with SEC rules. The NEOs may not realize any value from their equity awards and, to the extent that they do, the amounts realized may have no correlation to the amounts reported above. For the 2024 fiscal year, in accordance with FASB ASC Topic 718, the grant date fair value of RSU awards and the portion of PSU awards subject to metrics defined solely by reference to our own operations was determined based on the closing price of our ordinary shares on the date of grant. The portion of PSU awards subject to the market performance of our shares was determined using a Monte Carlo simulation model. </w:t>
            </w:r>
          </w:p>
          <w:p>
            <w:pPr>
              <w:pStyle w:val="TableContents"/>
              <w:bidi w:val="0"/>
              <w:spacing w:lineRule="auto" w:line="252" w:before="0" w:after="60"/>
              <w:jc w:val="left"/>
              <w:rPr>
                <w:rFonts w:ascii="Arial;sans-serif" w:hAnsi="Arial;sans-serif"/>
                <w:b w:val="false"/>
                <w:color w:val="242424"/>
                <w:sz w:val="16"/>
              </w:rPr>
            </w:pPr>
            <w:r>
              <w:rPr>
                <w:rFonts w:ascii="Arial;sans-serif" w:hAnsi="Arial;sans-serif"/>
                <w:b w:val="false"/>
                <w:color w:val="242424"/>
                <w:sz w:val="16"/>
              </w:rPr>
              <w:t>The fair value of PSUs with a performance condition based on the market performance of our shares (“market condition”) incorporates the likelihood of achieving the market condition. However, there is not market data to determine whether PSUs with a performance condition defined solely by reference to our own operations (“performance condition”) will be achieved. For PSUs with a performance condition, we have assessed the likelihood that these PSUs will payout based upon target achievement. The table below shows the hypothetical grant date fair value of 2024 awards assuming the highest level of performance (maximum) is achieved.</w:t>
            </w:r>
          </w:p>
        </w:tc>
      </w:tr>
    </w:tbl>
    <w:tbl>
      <w:tblPr>
        <w:tblW w:w="10205" w:type="dxa"/>
        <w:jc w:val="center"/>
        <w:tblInd w:w="0" w:type="dxa"/>
        <w:tblLayout w:type="fixed"/>
        <w:tblCellMar>
          <w:top w:w="28" w:type="dxa"/>
          <w:left w:w="28" w:type="dxa"/>
          <w:bottom w:w="28" w:type="dxa"/>
          <w:right w:w="28" w:type="dxa"/>
        </w:tblCellMar>
      </w:tblPr>
      <w:tblGrid>
        <w:gridCol w:w="484"/>
        <w:gridCol w:w="366"/>
        <w:gridCol w:w="367"/>
        <w:gridCol w:w="710"/>
        <w:gridCol w:w="549"/>
        <w:gridCol w:w="551"/>
        <w:gridCol w:w="747"/>
        <w:gridCol w:w="669"/>
        <w:gridCol w:w="671"/>
        <w:gridCol w:w="763"/>
        <w:gridCol w:w="570"/>
        <w:gridCol w:w="572"/>
        <w:gridCol w:w="435"/>
        <w:gridCol w:w="436"/>
        <w:gridCol w:w="265"/>
        <w:gridCol w:w="745"/>
        <w:gridCol w:w="534"/>
        <w:gridCol w:w="771"/>
      </w:tblGrid>
      <w:tr>
        <w:trPr/>
        <w:tc>
          <w:tcPr>
            <w:tcW w:w="48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Named Executive</w:t>
            </w:r>
          </w:p>
        </w:tc>
        <w:tc>
          <w:tcPr>
            <w:tcW w:w="1810"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PSUs with Market Condition ($)</w:t>
            </w:r>
          </w:p>
        </w:tc>
        <w:tc>
          <w:tcPr>
            <w:tcW w:w="2087"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PSUs with Performance Condition ($)</w:t>
            </w:r>
          </w:p>
        </w:tc>
        <w:tc>
          <w:tcPr>
            <w:tcW w:w="1905"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All PSUs at Maximum Payout ($)</w:t>
            </w:r>
          </w:p>
        </w:tc>
        <w:tc>
          <w:tcPr>
            <w:tcW w:w="1136"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All RSUs ($)</w:t>
            </w:r>
          </w:p>
        </w:tc>
        <w:tc>
          <w:tcPr>
            <w:tcW w:w="2050" w:type="dxa"/>
            <w:gridSpan w:val="3"/>
            <w:tcBorders>
              <w:top w:val="single" w:sz="4" w:space="0" w:color="6B6B6A"/>
              <w:left w:val="single" w:sz="4" w:space="0" w:color="6B6B6A"/>
              <w:right w:val="single" w:sz="4" w:space="0" w:color="6B6B6A"/>
            </w:tcBorders>
            <w:shd w:fill="CE1141" w:val="clear"/>
            <w:tcMar>
              <w:top w:w="30" w:type="dxa"/>
              <w:bottom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All Awards at Maximum Payout ($)</w:t>
            </w:r>
          </w:p>
        </w:tc>
      </w:tr>
      <w:tr>
        <w:trPr/>
        <w:tc>
          <w:tcPr>
            <w:tcW w:w="1217" w:type="dxa"/>
            <w:gridSpan w:val="3"/>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Saligram</w:t>
            </w:r>
          </w:p>
        </w:tc>
        <w:tc>
          <w:tcPr>
            <w:tcW w:w="1259"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4,141,884 </w:t>
            </w:r>
          </w:p>
        </w:tc>
        <w:tc>
          <w:tcPr>
            <w:tcW w:w="551"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9,409,539 </w:t>
            </w:r>
          </w:p>
        </w:tc>
        <w:tc>
          <w:tcPr>
            <w:tcW w:w="671"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13,551,423 </w:t>
            </w:r>
          </w:p>
        </w:tc>
        <w:tc>
          <w:tcPr>
            <w:tcW w:w="572"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2,702,889 </w:t>
            </w:r>
          </w:p>
        </w:tc>
        <w:tc>
          <w:tcPr>
            <w:tcW w:w="265"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16,254,312 </w:t>
            </w:r>
          </w:p>
        </w:tc>
        <w:tc>
          <w:tcPr>
            <w:tcW w:w="771" w:type="dxa"/>
            <w:tcBorders>
              <w:top w:val="single" w:sz="4" w:space="0" w:color="6B6B6A"/>
              <w:right w:val="single" w:sz="4" w:space="0" w:color="6B6B6A"/>
            </w:tcBorders>
            <w:shd w:fill="E7E6E6"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Weatherholt</w:t>
            </w:r>
          </w:p>
        </w:tc>
        <w:tc>
          <w:tcPr>
            <w:tcW w:w="1259"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628,823 </w:t>
            </w:r>
          </w:p>
        </w:tc>
        <w:tc>
          <w:tcPr>
            <w:tcW w:w="551"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1,428,678 </w:t>
            </w:r>
          </w:p>
        </w:tc>
        <w:tc>
          <w:tcPr>
            <w:tcW w:w="671"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2,057,501 </w:t>
            </w:r>
          </w:p>
        </w:tc>
        <w:tc>
          <w:tcPr>
            <w:tcW w:w="572"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638,348 </w:t>
            </w:r>
          </w:p>
        </w:tc>
        <w:tc>
          <w:tcPr>
            <w:tcW w:w="265"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2,695,849 </w:t>
            </w:r>
          </w:p>
        </w:tc>
        <w:tc>
          <w:tcPr>
            <w:tcW w:w="771" w:type="dxa"/>
            <w:tcBorders>
              <w:top w:val="single" w:sz="4" w:space="0" w:color="6B6B6A"/>
              <w:right w:val="single" w:sz="4" w:space="0" w:color="6B6B6A"/>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Ward</w:t>
            </w:r>
          </w:p>
        </w:tc>
        <w:tc>
          <w:tcPr>
            <w:tcW w:w="1259"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507,185 </w:t>
            </w:r>
          </w:p>
        </w:tc>
        <w:tc>
          <w:tcPr>
            <w:tcW w:w="551"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1,152,107 </w:t>
            </w:r>
          </w:p>
        </w:tc>
        <w:tc>
          <w:tcPr>
            <w:tcW w:w="671"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1,659,292 </w:t>
            </w:r>
          </w:p>
        </w:tc>
        <w:tc>
          <w:tcPr>
            <w:tcW w:w="572"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514,836 </w:t>
            </w:r>
          </w:p>
        </w:tc>
        <w:tc>
          <w:tcPr>
            <w:tcW w:w="265"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2,174,128 </w:t>
            </w:r>
          </w:p>
        </w:tc>
        <w:tc>
          <w:tcPr>
            <w:tcW w:w="771" w:type="dxa"/>
            <w:tcBorders>
              <w:top w:val="single" w:sz="4" w:space="0" w:color="6B6B6A"/>
              <w:right w:val="single" w:sz="4" w:space="0" w:color="6B6B6A"/>
            </w:tcBorders>
            <w:shd w:fill="E7E6E6"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Mills</w:t>
            </w:r>
          </w:p>
        </w:tc>
        <w:tc>
          <w:tcPr>
            <w:tcW w:w="1259"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177,492 </w:t>
            </w:r>
          </w:p>
        </w:tc>
        <w:tc>
          <w:tcPr>
            <w:tcW w:w="551"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403,226 </w:t>
            </w:r>
          </w:p>
        </w:tc>
        <w:tc>
          <w:tcPr>
            <w:tcW w:w="671"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580,718 </w:t>
            </w:r>
          </w:p>
        </w:tc>
        <w:tc>
          <w:tcPr>
            <w:tcW w:w="572"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527,688 </w:t>
            </w:r>
          </w:p>
        </w:tc>
        <w:tc>
          <w:tcPr>
            <w:tcW w:w="265"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1,108,406 </w:t>
            </w:r>
          </w:p>
        </w:tc>
        <w:tc>
          <w:tcPr>
            <w:tcW w:w="771" w:type="dxa"/>
            <w:tcBorders>
              <w:top w:val="single" w:sz="4" w:space="0" w:color="6B6B6A"/>
              <w:right w:val="single" w:sz="4" w:space="0" w:color="6B6B6A"/>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Mitra</w:t>
            </w:r>
          </w:p>
        </w:tc>
        <w:tc>
          <w:tcPr>
            <w:tcW w:w="1259"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830,673 </w:t>
            </w:r>
          </w:p>
        </w:tc>
        <w:tc>
          <w:tcPr>
            <w:tcW w:w="551"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1,887,359 </w:t>
            </w:r>
          </w:p>
        </w:tc>
        <w:tc>
          <w:tcPr>
            <w:tcW w:w="671"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2,718,032 </w:t>
            </w:r>
          </w:p>
        </w:tc>
        <w:tc>
          <w:tcPr>
            <w:tcW w:w="572"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843,318 </w:t>
            </w:r>
          </w:p>
        </w:tc>
        <w:tc>
          <w:tcPr>
            <w:tcW w:w="265"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3,561,350 </w:t>
            </w:r>
          </w:p>
        </w:tc>
        <w:tc>
          <w:tcPr>
            <w:tcW w:w="771" w:type="dxa"/>
            <w:tcBorders>
              <w:top w:val="single" w:sz="4" w:space="0" w:color="6B6B6A"/>
              <w:right w:val="single" w:sz="4" w:space="0" w:color="6B6B6A"/>
            </w:tcBorders>
            <w:shd w:fill="E7E6E6"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Davison</w:t>
            </w:r>
          </w:p>
        </w:tc>
        <w:tc>
          <w:tcPr>
            <w:tcW w:w="1259"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304,249 </w:t>
            </w:r>
          </w:p>
        </w:tc>
        <w:tc>
          <w:tcPr>
            <w:tcW w:w="551"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691,311 </w:t>
            </w:r>
          </w:p>
        </w:tc>
        <w:tc>
          <w:tcPr>
            <w:tcW w:w="671"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995,560 </w:t>
            </w:r>
          </w:p>
        </w:tc>
        <w:tc>
          <w:tcPr>
            <w:tcW w:w="572"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308,826 </w:t>
            </w:r>
          </w:p>
        </w:tc>
        <w:tc>
          <w:tcPr>
            <w:tcW w:w="265"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1,304,386 </w:t>
            </w:r>
          </w:p>
        </w:tc>
        <w:tc>
          <w:tcPr>
            <w:tcW w:w="771" w:type="dxa"/>
            <w:tcBorders>
              <w:top w:val="single" w:sz="4" w:space="0" w:color="6B6B6A"/>
              <w:bottom w:val="single" w:sz="4" w:space="0" w:color="6B6B6A"/>
              <w:right w:val="single" w:sz="4" w:space="0" w:color="6B6B6A"/>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4602" w:type="dxa"/>
        <w:jc w:val="center"/>
        <w:tblInd w:w="0" w:type="dxa"/>
        <w:tblLayout w:type="fixed"/>
        <w:tblCellMar>
          <w:top w:w="28" w:type="dxa"/>
          <w:left w:w="28" w:type="dxa"/>
          <w:bottom w:w="28" w:type="dxa"/>
          <w:right w:w="28" w:type="dxa"/>
        </w:tblCellMar>
      </w:tblPr>
      <w:tblGrid>
        <w:gridCol w:w="336"/>
        <w:gridCol w:w="296"/>
        <w:gridCol w:w="296"/>
        <w:gridCol w:w="296"/>
        <w:gridCol w:w="296"/>
        <w:gridCol w:w="296"/>
        <w:gridCol w:w="296"/>
        <w:gridCol w:w="296"/>
        <w:gridCol w:w="296"/>
        <w:gridCol w:w="296"/>
        <w:gridCol w:w="296"/>
        <w:gridCol w:w="296"/>
        <w:gridCol w:w="296"/>
        <w:gridCol w:w="296"/>
        <w:gridCol w:w="418"/>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602" w:type="dxa"/>
            <w:gridSpan w:val="15"/>
            <w:tcBorders/>
            <w:tcMar>
              <w:top w:w="0" w:type="dxa"/>
              <w:left w:w="0" w:type="dxa"/>
              <w:bottom w:w="0" w:type="dxa"/>
              <w:right w:w="0" w:type="dxa"/>
            </w:tcMar>
            <w:vAlign w:val="center"/>
          </w:tcPr>
          <w:p>
            <w:pPr>
              <w:pStyle w:val="TableContents"/>
              <w:bidi w:val="0"/>
              <w:spacing w:lineRule="auto" w:line="252" w:before="0" w:after="60"/>
              <w:ind w:left="0" w:right="0" w:hanging="360"/>
              <w:jc w:val="left"/>
              <w:rPr/>
            </w:pPr>
            <w:r>
              <w:rPr>
                <w:rFonts w:ascii="Arial;sans-serif" w:hAnsi="Arial;sans-serif"/>
                <w:b w:val="false"/>
                <w:color w:val="CE1141"/>
                <w:sz w:val="16"/>
              </w:rPr>
              <w:t>(6)</w:t>
            </w:r>
            <w:r>
              <w:rPr>
                <w:color w:val="242424"/>
              </w:rPr>
              <w:t xml:space="preserve"> </w:t>
            </w:r>
            <w:r>
              <w:rPr>
                <w:rFonts w:ascii="Arial;sans-serif" w:hAnsi="Arial;sans-serif"/>
                <w:b w:val="false"/>
                <w:color w:val="242424"/>
                <w:sz w:val="16"/>
              </w:rPr>
              <w:t>Amounts reflect cash payments under our 2024 STI Plan.</w:t>
            </w:r>
          </w:p>
          <w:p>
            <w:pPr>
              <w:pStyle w:val="TableContents"/>
              <w:bidi w:val="0"/>
              <w:spacing w:lineRule="auto" w:line="252" w:before="0" w:after="60"/>
              <w:ind w:left="0" w:right="0" w:hanging="360"/>
              <w:jc w:val="left"/>
              <w:rPr/>
            </w:pPr>
            <w:r>
              <w:rPr>
                <w:rFonts w:ascii="Arial;sans-serif" w:hAnsi="Arial;sans-serif"/>
                <w:b w:val="false"/>
                <w:color w:val="CE1141"/>
                <w:sz w:val="16"/>
              </w:rPr>
              <w:t xml:space="preserve">(7) </w:t>
            </w:r>
            <w:r>
              <w:rPr>
                <w:rFonts w:ascii="Arial;sans-serif" w:hAnsi="Arial;sans-serif"/>
                <w:b w:val="false"/>
                <w:color w:val="242424"/>
                <w:sz w:val="16"/>
              </w:rPr>
              <w:t>All Other Compensation for 2024 consists of the following: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68325"/>
                <wp:effectExtent l="0" t="0" r="0" b="0"/>
                <wp:wrapNone/>
                <wp:docPr id="81" name="Frame52"/>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tbl>
      <w:tblPr>
        <w:tblW w:w="10205" w:type="dxa"/>
        <w:jc w:val="center"/>
        <w:tblInd w:w="0" w:type="dxa"/>
        <w:tblLayout w:type="fixed"/>
        <w:tblCellMar>
          <w:top w:w="28" w:type="dxa"/>
          <w:left w:w="28" w:type="dxa"/>
          <w:bottom w:w="28" w:type="dxa"/>
          <w:right w:w="28" w:type="dxa"/>
        </w:tblCellMar>
      </w:tblPr>
      <w:tblGrid>
        <w:gridCol w:w="490"/>
        <w:gridCol w:w="334"/>
        <w:gridCol w:w="336"/>
        <w:gridCol w:w="504"/>
        <w:gridCol w:w="267"/>
        <w:gridCol w:w="256"/>
        <w:gridCol w:w="418"/>
        <w:gridCol w:w="418"/>
        <w:gridCol w:w="420"/>
        <w:gridCol w:w="577"/>
        <w:gridCol w:w="577"/>
        <w:gridCol w:w="578"/>
        <w:gridCol w:w="113"/>
        <w:gridCol w:w="441"/>
        <w:gridCol w:w="359"/>
        <w:gridCol w:w="352"/>
        <w:gridCol w:w="395"/>
        <w:gridCol w:w="312"/>
        <w:gridCol w:w="290"/>
        <w:gridCol w:w="605"/>
        <w:gridCol w:w="586"/>
        <w:gridCol w:w="588"/>
        <w:gridCol w:w="368"/>
        <w:gridCol w:w="368"/>
        <w:gridCol w:w="253"/>
      </w:tblGrid>
      <w:tr>
        <w:trPr/>
        <w:tc>
          <w:tcPr>
            <w:tcW w:w="4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160"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Named Executive</w:t>
            </w:r>
          </w:p>
        </w:tc>
        <w:tc>
          <w:tcPr>
            <w:tcW w:w="1027"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FFFFFF"/>
                <w:sz w:val="16"/>
              </w:rPr>
              <w:t>401(k) Match ($)</w:t>
            </w:r>
            <w:r>
              <w:rPr>
                <w:rFonts w:ascii="Arial;sans-serif" w:hAnsi="Arial;sans-serif"/>
                <w:b w:val="false"/>
                <w:color w:val="FFFFFF"/>
                <w:sz w:val="10"/>
              </w:rPr>
              <w:t>(1)</w:t>
            </w:r>
          </w:p>
        </w:tc>
        <w:tc>
          <w:tcPr>
            <w:tcW w:w="1256"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Life Insurance Premium ($)</w:t>
            </w:r>
          </w:p>
        </w:tc>
        <w:tc>
          <w:tcPr>
            <w:tcW w:w="1732"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Relocation &amp; Geographic Differential ($)</w:t>
            </w:r>
          </w:p>
        </w:tc>
        <w:tc>
          <w:tcPr>
            <w:tcW w:w="113" w:type="dxa"/>
            <w:tcBorders/>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FFFFFF"/>
                <w:sz w:val="16"/>
              </w:rPr>
              <w:t>Severance ($)</w:t>
            </w:r>
            <w:r>
              <w:rPr>
                <w:rFonts w:ascii="Arial;sans-serif" w:hAnsi="Arial;sans-serif"/>
                <w:b w:val="false"/>
                <w:color w:val="FFFFFF"/>
                <w:sz w:val="10"/>
              </w:rPr>
              <w:t>(2)</w:t>
            </w:r>
          </w:p>
        </w:tc>
        <w:tc>
          <w:tcPr>
            <w:tcW w:w="997"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FFFFFF"/>
                <w:sz w:val="16"/>
              </w:rPr>
              <w:t>Security ($)</w:t>
            </w:r>
            <w:r>
              <w:rPr>
                <w:rFonts w:ascii="Arial;sans-serif" w:hAnsi="Arial;sans-serif"/>
                <w:b w:val="false"/>
                <w:color w:val="FFFFFF"/>
                <w:sz w:val="10"/>
              </w:rPr>
              <w:t>(3)</w:t>
            </w:r>
            <w:r>
              <w:rPr>
                <w:color w:val="FFFFFF"/>
              </w:rPr>
              <w:t xml:space="preserve"> </w:t>
            </w:r>
          </w:p>
        </w:tc>
        <w:tc>
          <w:tcPr>
            <w:tcW w:w="1779"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Financial Consulting and Health Screenings ($)</w:t>
            </w:r>
          </w:p>
        </w:tc>
        <w:tc>
          <w:tcPr>
            <w:tcW w:w="989" w:type="dxa"/>
            <w:gridSpan w:val="3"/>
            <w:tcBorders>
              <w:top w:val="single" w:sz="4" w:space="0" w:color="6B6B6A"/>
              <w:left w:val="single" w:sz="4" w:space="0" w:color="6B6B6A"/>
              <w:right w:val="single" w:sz="4" w:space="0" w:color="6B6B6A"/>
            </w:tcBorders>
            <w:shd w:fill="CE1141" w:val="clear"/>
            <w:tcMar>
              <w:top w:w="30" w:type="dxa"/>
              <w:bottom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Total ($)</w:t>
            </w:r>
          </w:p>
        </w:tc>
      </w:tr>
      <w:tr>
        <w:trPr/>
        <w:tc>
          <w:tcPr>
            <w:tcW w:w="1160" w:type="dxa"/>
            <w:gridSpan w:val="3"/>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Saligram</w:t>
            </w:r>
          </w:p>
        </w:tc>
        <w:tc>
          <w:tcPr>
            <w:tcW w:w="77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13,800 </w:t>
            </w:r>
          </w:p>
        </w:tc>
        <w:tc>
          <w:tcPr>
            <w:tcW w:w="256"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4,085 </w:t>
            </w:r>
          </w:p>
        </w:tc>
        <w:tc>
          <w:tcPr>
            <w:tcW w:w="420"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12,478 </w:t>
            </w:r>
          </w:p>
        </w:tc>
        <w:tc>
          <w:tcPr>
            <w:tcW w:w="290"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588"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45,363 </w:t>
            </w:r>
          </w:p>
        </w:tc>
        <w:tc>
          <w:tcPr>
            <w:tcW w:w="253" w:type="dxa"/>
            <w:tcBorders>
              <w:top w:val="single" w:sz="4" w:space="0" w:color="6B6B6A"/>
              <w:right w:val="single" w:sz="4" w:space="0" w:color="6B6B6A"/>
            </w:tcBorders>
            <w:shd w:fill="E7E6E6"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Weatherholt</w:t>
            </w:r>
          </w:p>
        </w:tc>
        <w:tc>
          <w:tcPr>
            <w:tcW w:w="771"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13,800 </w:t>
            </w:r>
          </w:p>
        </w:tc>
        <w:tc>
          <w:tcPr>
            <w:tcW w:w="256"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1,553 </w:t>
            </w:r>
          </w:p>
        </w:tc>
        <w:tc>
          <w:tcPr>
            <w:tcW w:w="420"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27,947 </w:t>
            </w:r>
          </w:p>
        </w:tc>
        <w:tc>
          <w:tcPr>
            <w:tcW w:w="290"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17,150 </w:t>
            </w:r>
          </w:p>
        </w:tc>
        <w:tc>
          <w:tcPr>
            <w:tcW w:w="588"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B6B6A"/>
              <w:left w:val="single" w:sz="4" w:space="0" w:color="6B6B6A"/>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60,450 </w:t>
            </w:r>
          </w:p>
        </w:tc>
        <w:tc>
          <w:tcPr>
            <w:tcW w:w="253" w:type="dxa"/>
            <w:tcBorders>
              <w:top w:val="single" w:sz="4" w:space="0" w:color="6B6B6A"/>
              <w:right w:val="single" w:sz="4"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Ward</w:t>
            </w:r>
          </w:p>
        </w:tc>
        <w:tc>
          <w:tcPr>
            <w:tcW w:w="77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8,619 </w:t>
            </w:r>
          </w:p>
        </w:tc>
        <w:tc>
          <w:tcPr>
            <w:tcW w:w="256"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2,976 </w:t>
            </w:r>
          </w:p>
        </w:tc>
        <w:tc>
          <w:tcPr>
            <w:tcW w:w="420"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6B6B6A"/>
              <w:left w:val="single" w:sz="4" w:space="0" w:color="6B6B6A"/>
            </w:tcBorders>
            <w:shd w:fill="E7E6E6"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27,457 </w:t>
            </w:r>
          </w:p>
        </w:tc>
        <w:tc>
          <w:tcPr>
            <w:tcW w:w="290"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588"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41,723 </w:t>
            </w:r>
          </w:p>
        </w:tc>
        <w:tc>
          <w:tcPr>
            <w:tcW w:w="253" w:type="dxa"/>
            <w:tcBorders>
              <w:top w:val="single" w:sz="4" w:space="0" w:color="6B6B6A"/>
              <w:right w:val="single" w:sz="4" w:space="0" w:color="6B6B6A"/>
            </w:tcBorders>
            <w:shd w:fill="E7E6E6"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Mills</w:t>
            </w:r>
          </w:p>
        </w:tc>
        <w:tc>
          <w:tcPr>
            <w:tcW w:w="771"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13,800 </w:t>
            </w:r>
          </w:p>
        </w:tc>
        <w:tc>
          <w:tcPr>
            <w:tcW w:w="256"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1,649 </w:t>
            </w:r>
          </w:p>
        </w:tc>
        <w:tc>
          <w:tcPr>
            <w:tcW w:w="420"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28,079 </w:t>
            </w:r>
          </w:p>
        </w:tc>
        <w:tc>
          <w:tcPr>
            <w:tcW w:w="290"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588" w:type="dxa"/>
            <w:tcBorders>
              <w:top w:val="single" w:sz="4"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B6B6A"/>
              <w:left w:val="single" w:sz="4" w:space="0" w:color="6B6B6A"/>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49,528 </w:t>
            </w:r>
          </w:p>
        </w:tc>
        <w:tc>
          <w:tcPr>
            <w:tcW w:w="253" w:type="dxa"/>
            <w:tcBorders>
              <w:top w:val="single" w:sz="4" w:space="0" w:color="6B6B6A"/>
              <w:right w:val="single" w:sz="4"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Mitra</w:t>
            </w:r>
          </w:p>
        </w:tc>
        <w:tc>
          <w:tcPr>
            <w:tcW w:w="77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13,800 </w:t>
            </w:r>
          </w:p>
        </w:tc>
        <w:tc>
          <w:tcPr>
            <w:tcW w:w="256"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2,342 </w:t>
            </w:r>
          </w:p>
        </w:tc>
        <w:tc>
          <w:tcPr>
            <w:tcW w:w="420"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39,748 </w:t>
            </w:r>
          </w:p>
        </w:tc>
        <w:tc>
          <w:tcPr>
            <w:tcW w:w="578"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12,150 </w:t>
            </w:r>
          </w:p>
        </w:tc>
        <w:tc>
          <w:tcPr>
            <w:tcW w:w="588" w:type="dxa"/>
            <w:tcBorders>
              <w:top w:val="single" w:sz="4" w:space="0" w:color="6B6B6A"/>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B6B6A"/>
              <w:left w:val="single" w:sz="4" w:space="0" w:color="6B6B6A"/>
            </w:tcBorders>
            <w:shd w:fill="E7E6E6"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68,040 </w:t>
            </w:r>
          </w:p>
        </w:tc>
        <w:tc>
          <w:tcPr>
            <w:tcW w:w="253" w:type="dxa"/>
            <w:tcBorders>
              <w:top w:val="single" w:sz="4" w:space="0" w:color="6B6B6A"/>
              <w:right w:val="single" w:sz="4" w:space="0" w:color="6B6B6A"/>
            </w:tcBorders>
            <w:shd w:fill="E7E6E6"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top w:val="single" w:sz="4" w:space="0" w:color="6B6B6A"/>
              <w:left w:val="single" w:sz="4" w:space="0" w:color="6B6B6A"/>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Davison</w:t>
            </w:r>
          </w:p>
        </w:tc>
        <w:tc>
          <w:tcPr>
            <w:tcW w:w="771"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256"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420"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994,045 </w:t>
            </w:r>
          </w:p>
        </w:tc>
        <w:tc>
          <w:tcPr>
            <w:tcW w:w="352"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6B6B6A"/>
              <w:left w:val="single" w:sz="4" w:space="0" w:color="6B6B6A"/>
              <w:bottom w:val="single" w:sz="4" w:space="0" w:color="6B6B6A"/>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88" w:type="dxa"/>
            <w:tcBorders>
              <w:top w:val="single" w:sz="4" w:space="0" w:color="6B6B6A"/>
              <w:bottom w:val="single" w:sz="4" w:space="0" w:color="6B6B6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B6B6A"/>
              <w:left w:val="single" w:sz="4" w:space="0" w:color="6B6B6A"/>
              <w:bottom w:val="single" w:sz="4" w:space="0" w:color="6B6B6A"/>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996,603 </w:t>
            </w:r>
          </w:p>
        </w:tc>
        <w:tc>
          <w:tcPr>
            <w:tcW w:w="253" w:type="dxa"/>
            <w:tcBorders>
              <w:top w:val="single" w:sz="4" w:space="0" w:color="6B6B6A"/>
              <w:bottom w:val="single" w:sz="4" w:space="0" w:color="6B6B6A"/>
              <w:right w:val="single" w:sz="4" w:space="0" w:color="6B6B6A"/>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9216" w:type="dxa"/>
            <w:gridSpan w:val="22"/>
            <w:tcBorders>
              <w:top w:val="single" w:sz="4" w:space="0" w:color="6B6B6A"/>
            </w:tcBorders>
            <w:shd w:fill="FFFFFF" w:val="clear"/>
            <w:tcMar>
              <w:top w:w="30" w:type="dxa"/>
              <w:left w:w="0" w:type="dxa"/>
              <w:bottom w:w="0" w:type="dxa"/>
              <w:right w:w="0" w:type="dxa"/>
            </w:tcMar>
            <w:vAlign w:val="center"/>
          </w:tcPr>
          <w:p>
            <w:pPr>
              <w:pStyle w:val="TableContents"/>
              <w:bidi w:val="0"/>
              <w:spacing w:lineRule="auto" w:line="240" w:before="60" w:after="60"/>
              <w:ind w:left="0" w:right="0" w:hanging="270"/>
              <w:jc w:val="left"/>
              <w:rPr/>
            </w:pPr>
            <w:r>
              <w:rPr>
                <w:rFonts w:ascii="Arial;sans-serif" w:hAnsi="Arial;sans-serif"/>
                <w:b w:val="false"/>
                <w:color w:val="CE1141"/>
                <w:sz w:val="10"/>
              </w:rPr>
              <w:t>(1)</w:t>
            </w:r>
            <w:r>
              <w:rPr>
                <w:rFonts w:ascii="Arial;sans-serif" w:hAnsi="Arial;sans-serif"/>
                <w:b w:val="false"/>
                <w:color w:val="000000"/>
                <w:sz w:val="16"/>
              </w:rPr>
              <w:t>Amounts shown represent the Company contributions to the U.S. 401(k) plan for each of the NEOs.</w:t>
            </w:r>
          </w:p>
          <w:p>
            <w:pPr>
              <w:pStyle w:val="TableContents"/>
              <w:bidi w:val="0"/>
              <w:spacing w:lineRule="auto" w:line="240" w:before="0" w:after="60"/>
              <w:ind w:left="0" w:right="0" w:hanging="270"/>
              <w:jc w:val="left"/>
              <w:rPr/>
            </w:pPr>
            <w:r>
              <w:rPr>
                <w:rFonts w:ascii="Arial;sans-serif" w:hAnsi="Arial;sans-serif"/>
                <w:b w:val="false"/>
                <w:color w:val="CE1141"/>
                <w:sz w:val="10"/>
              </w:rPr>
              <w:t>(2)</w:t>
            </w:r>
            <w:r>
              <w:rPr>
                <w:rFonts w:ascii="Arial;sans-serif" w:hAnsi="Arial;sans-serif"/>
                <w:b w:val="false"/>
                <w:color w:val="000000"/>
                <w:sz w:val="16"/>
              </w:rPr>
              <w:t xml:space="preserve">Amounts shown were received by Mr. Davison under the Company’s Executive Severance Plan. See “Compensation Discussion and Analysis--Executive Severance Plan” above for a description of our severance policy. </w:t>
            </w:r>
          </w:p>
          <w:p>
            <w:pPr>
              <w:pStyle w:val="TableContents"/>
              <w:bidi w:val="0"/>
              <w:spacing w:lineRule="auto" w:line="240" w:before="0" w:after="60"/>
              <w:ind w:left="0" w:right="0" w:hanging="270"/>
              <w:jc w:val="left"/>
              <w:rPr/>
            </w:pPr>
            <w:r>
              <w:rPr>
                <w:rFonts w:ascii="Arial;sans-serif" w:hAnsi="Arial;sans-serif"/>
                <w:b w:val="false"/>
                <w:color w:val="CE1141"/>
                <w:sz w:val="10"/>
              </w:rPr>
              <w:t>(3)</w:t>
            </w:r>
            <w:r>
              <w:rPr>
                <w:rFonts w:ascii="Arial;sans-serif" w:hAnsi="Arial;sans-serif"/>
                <w:b w:val="false"/>
                <w:color w:val="000000"/>
                <w:sz w:val="16"/>
              </w:rPr>
              <w:t>Amounts shown include physical security and cyber protection services provided at the NEO’s personal residence. Amounts include initial installation costs for Messrs. Weatherholt, Ward and Mills.</w:t>
            </w:r>
          </w:p>
        </w:tc>
        <w:tc>
          <w:tcPr>
            <w:tcW w:w="989"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68325"/>
                <wp:effectExtent l="0" t="0" r="0" b="0"/>
                <wp:wrapNone/>
                <wp:docPr id="82" name="Frame53"/>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GRANTS OF PLAN-BASED AWARDS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provides information regarding plan-based awards granted in 2024 to the NEOs.</w:t>
      </w:r>
    </w:p>
    <w:tbl>
      <w:tblPr>
        <w:tblW w:w="10205" w:type="dxa"/>
        <w:jc w:val="center"/>
        <w:tblInd w:w="0" w:type="dxa"/>
        <w:tblLayout w:type="fixed"/>
        <w:tblCellMar>
          <w:top w:w="28" w:type="dxa"/>
          <w:left w:w="28" w:type="dxa"/>
          <w:bottom w:w="28" w:type="dxa"/>
          <w:right w:w="28" w:type="dxa"/>
        </w:tblCellMar>
      </w:tblPr>
      <w:tblGrid>
        <w:gridCol w:w="436"/>
        <w:gridCol w:w="385"/>
        <w:gridCol w:w="388"/>
        <w:gridCol w:w="183"/>
        <w:gridCol w:w="183"/>
        <w:gridCol w:w="184"/>
        <w:gridCol w:w="111"/>
        <w:gridCol w:w="111"/>
        <w:gridCol w:w="111"/>
        <w:gridCol w:w="627"/>
        <w:gridCol w:w="208"/>
        <w:gridCol w:w="130"/>
        <w:gridCol w:w="627"/>
        <w:gridCol w:w="273"/>
        <w:gridCol w:w="130"/>
        <w:gridCol w:w="627"/>
        <w:gridCol w:w="273"/>
        <w:gridCol w:w="139"/>
        <w:gridCol w:w="584"/>
        <w:gridCol w:w="250"/>
        <w:gridCol w:w="127"/>
        <w:gridCol w:w="549"/>
        <w:gridCol w:w="127"/>
        <w:gridCol w:w="127"/>
        <w:gridCol w:w="584"/>
        <w:gridCol w:w="206"/>
        <w:gridCol w:w="127"/>
        <w:gridCol w:w="392"/>
        <w:gridCol w:w="357"/>
        <w:gridCol w:w="358"/>
        <w:gridCol w:w="674"/>
        <w:gridCol w:w="249"/>
        <w:gridCol w:w="368"/>
      </w:tblGrid>
      <w:tr>
        <w:trPr/>
        <w:tc>
          <w:tcPr>
            <w:tcW w:w="4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shd w:fill="CE114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Name</w:t>
            </w:r>
          </w:p>
        </w:tc>
        <w:tc>
          <w:tcPr>
            <w:tcW w:w="550" w:type="dxa"/>
            <w:gridSpan w:val="3"/>
            <w:tcBorders/>
            <w:shd w:fill="CE114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Grant Date</w:t>
            </w:r>
          </w:p>
        </w:tc>
        <w:tc>
          <w:tcPr>
            <w:tcW w:w="333"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Estimated Possible Payouts Under Non-Equity Incentive Plan Awards</w:t>
            </w:r>
          </w:p>
        </w:tc>
        <w:tc>
          <w:tcPr>
            <w:tcW w:w="2681" w:type="dxa"/>
            <w:gridSpan w:val="9"/>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Estimated Future Payouts Under Equity Incentive Plan Awards</w:t>
            </w:r>
            <w:r>
              <w:rPr>
                <w:rFonts w:ascii="Arial;sans-serif" w:hAnsi="Arial;sans-serif"/>
                <w:b/>
                <w:color w:val="FFFFFF"/>
                <w:sz w:val="10"/>
              </w:rPr>
              <w:t>(1)</w:t>
            </w:r>
          </w:p>
        </w:tc>
        <w:tc>
          <w:tcPr>
            <w:tcW w:w="1107" w:type="dxa"/>
            <w:gridSpan w:val="3"/>
            <w:vMerge w:val="restart"/>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All Other Stock Awards: Number of Restricted Shares/Units </w:t>
            </w:r>
          </w:p>
        </w:tc>
        <w:tc>
          <w:tcPr>
            <w:tcW w:w="1291" w:type="dxa"/>
            <w:gridSpan w:val="3"/>
            <w:vMerge w:val="restart"/>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Grant Date Fair Value of Share Awards </w:t>
            </w:r>
          </w:p>
        </w:tc>
      </w:tr>
      <w:tr>
        <w:trPr/>
        <w:tc>
          <w:tcPr>
            <w:tcW w:w="1209"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Threshold </w:t>
            </w:r>
          </w:p>
        </w:tc>
        <w:tc>
          <w:tcPr>
            <w:tcW w:w="1030"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Target </w:t>
            </w:r>
          </w:p>
        </w:tc>
        <w:tc>
          <w:tcPr>
            <w:tcW w:w="103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Maximum </w:t>
            </w:r>
          </w:p>
        </w:tc>
        <w:tc>
          <w:tcPr>
            <w:tcW w:w="961"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Threshold </w:t>
            </w:r>
          </w:p>
        </w:tc>
        <w:tc>
          <w:tcPr>
            <w:tcW w:w="80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Target </w:t>
            </w:r>
          </w:p>
        </w:tc>
        <w:tc>
          <w:tcPr>
            <w:tcW w:w="91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Maximum </w:t>
            </w:r>
          </w:p>
        </w:tc>
        <w:tc>
          <w:tcPr>
            <w:tcW w:w="1107" w:type="dxa"/>
            <w:gridSpan w:val="3"/>
            <w:vMerge w:val="continue"/>
            <w:tcBorders/>
            <w:shd w:fill="CE1141" w:val="clear"/>
            <w:tcMar>
              <w:top w:w="0" w:type="dxa"/>
              <w:left w:w="0" w:type="dxa"/>
              <w:bottom w:w="0" w:type="dxa"/>
              <w:right w:w="0" w:type="dxa"/>
            </w:tcMar>
            <w:vAlign w:val="center"/>
          </w:tcPr>
          <w:p>
            <w:pPr>
              <w:pStyle w:val="Normal"/>
              <w:bidi w:val="0"/>
              <w:jc w:val="left"/>
              <w:rPr/>
            </w:pPr>
            <w:r>
              <w:rPr/>
            </w:r>
          </w:p>
        </w:tc>
        <w:tc>
          <w:tcPr>
            <w:tcW w:w="1291" w:type="dxa"/>
            <w:gridSpan w:val="3"/>
            <w:vMerge w:val="continue"/>
            <w:tcBorders/>
            <w:shd w:fill="CE1141" w:val="clear"/>
            <w:tcMar>
              <w:top w:w="0" w:type="dxa"/>
              <w:left w:w="0" w:type="dxa"/>
              <w:bottom w:w="0" w:type="dxa"/>
              <w:right w:w="0" w:type="dxa"/>
            </w:tcMar>
            <w:vAlign w:val="center"/>
          </w:tcPr>
          <w:p>
            <w:pPr>
              <w:pStyle w:val="Normal"/>
              <w:bidi w:val="0"/>
              <w:jc w:val="left"/>
              <w:rPr/>
            </w:pPr>
            <w:r>
              <w:rPr/>
            </w:r>
          </w:p>
        </w:tc>
      </w:tr>
      <w:tr>
        <w:trPr/>
        <w:tc>
          <w:tcPr>
            <w:tcW w:w="1209" w:type="dxa"/>
            <w:gridSpan w:val="3"/>
            <w:tcBorders>
              <w:top w:val="single" w:sz="4" w:space="0" w:color="DBDBDB"/>
              <w:left w:val="single" w:sz="4" w:space="0" w:color="DBDBDB"/>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Girishchandra K. Saligram</w:t>
            </w:r>
          </w:p>
        </w:tc>
        <w:tc>
          <w:tcPr>
            <w:tcW w:w="550"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(2)</w:t>
            </w:r>
          </w:p>
        </w:tc>
        <w:tc>
          <w:tcPr>
            <w:tcW w:w="835"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843,750 </w:t>
            </w:r>
          </w:p>
        </w:tc>
        <w:tc>
          <w:tcPr>
            <w:tcW w:w="130"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1,687,500 </w:t>
            </w:r>
          </w:p>
        </w:tc>
        <w:tc>
          <w:tcPr>
            <w:tcW w:w="130"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3,375,000 </w:t>
            </w:r>
          </w:p>
        </w:tc>
        <w:tc>
          <w:tcPr>
            <w:tcW w:w="139"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DBDBDB"/>
              <w:left w:val="single" w:sz="4" w:space="0" w:color="DBDBDB"/>
              <w:right w:val="single" w:sz="4" w:space="0" w:color="DBDBDB"/>
            </w:tcBorders>
            <w:shd w:fill="D1D3D4" w:val="clear"/>
            <w:tcMar>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(3)</w:t>
            </w:r>
          </w:p>
        </w:tc>
        <w:tc>
          <w:tcPr>
            <w:tcW w:w="965"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33,370 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66,740 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133,480 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8,846,387 </w:t>
            </w:r>
          </w:p>
        </w:tc>
        <w:tc>
          <w:tcPr>
            <w:tcW w:w="368" w:type="dxa"/>
            <w:tcBorders>
              <w:top w:val="single" w:sz="4" w:space="0" w:color="DBDBDB"/>
              <w:right w:val="single" w:sz="4" w:space="0" w:color="DBDBDB"/>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(4)</w:t>
            </w:r>
          </w:p>
        </w:tc>
        <w:tc>
          <w:tcPr>
            <w:tcW w:w="965"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28,602 </w:t>
            </w:r>
          </w:p>
        </w:tc>
        <w:tc>
          <w:tcPr>
            <w:tcW w:w="358"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2,702,889 </w:t>
            </w:r>
          </w:p>
        </w:tc>
        <w:tc>
          <w:tcPr>
            <w:tcW w:w="368" w:type="dxa"/>
            <w:tcBorders>
              <w:top w:val="single" w:sz="4" w:space="0" w:color="DBDBDB"/>
              <w:right w:val="single" w:sz="4" w:space="0" w:color="DBDBDB"/>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8" w:space="0" w:color="000000"/>
              <w:left w:val="single" w:sz="4" w:space="0" w:color="DBDBDB"/>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Scott C. Weatherholt</w:t>
            </w:r>
          </w:p>
        </w:tc>
        <w:tc>
          <w:tcPr>
            <w:tcW w:w="550" w:type="dxa"/>
            <w:gridSpan w:val="3"/>
            <w:tcBorders>
              <w:top w:val="single" w:sz="8" w:space="0" w:color="000000"/>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8" w:space="0" w:color="000000"/>
              <w:left w:val="single" w:sz="4" w:space="0" w:color="DBDBDB"/>
            </w:tcBorders>
            <w:shd w:fill="FFFFFF"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(2)</w:t>
            </w:r>
          </w:p>
        </w:tc>
        <w:tc>
          <w:tcPr>
            <w:tcW w:w="835" w:type="dxa"/>
            <w:gridSpan w:val="2"/>
            <w:tcBorders>
              <w:top w:val="single" w:sz="8" w:space="0" w:color="000000"/>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225,000 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left w:val="single" w:sz="4" w:space="0" w:color="DBDBDB"/>
              <w:right w:val="single" w:sz="4" w:space="0" w:color="DBDBDB"/>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(3)</w:t>
            </w:r>
          </w:p>
        </w:tc>
        <w:tc>
          <w:tcPr>
            <w:tcW w:w="965"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5,066 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10,133 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20,266 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1,343,129 </w:t>
            </w:r>
          </w:p>
        </w:tc>
        <w:tc>
          <w:tcPr>
            <w:tcW w:w="368" w:type="dxa"/>
            <w:tcBorders>
              <w:top w:val="single" w:sz="4" w:space="0" w:color="DBDBDB"/>
              <w:right w:val="single" w:sz="4" w:space="0" w:color="DBDBDB"/>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(4)</w:t>
            </w:r>
          </w:p>
        </w:tc>
        <w:tc>
          <w:tcPr>
            <w:tcW w:w="965"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6,755 </w:t>
            </w:r>
          </w:p>
        </w:tc>
        <w:tc>
          <w:tcPr>
            <w:tcW w:w="358"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638,348 </w:t>
            </w:r>
          </w:p>
        </w:tc>
        <w:tc>
          <w:tcPr>
            <w:tcW w:w="368" w:type="dxa"/>
            <w:tcBorders>
              <w:top w:val="single" w:sz="4" w:space="0" w:color="DBDBDB"/>
              <w:right w:val="single" w:sz="4" w:space="0" w:color="DBDBDB"/>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8" w:space="0" w:color="494949"/>
              <w:left w:val="single" w:sz="4" w:space="0" w:color="DBDBDB"/>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Richard D. Ward</w:t>
            </w:r>
          </w:p>
        </w:tc>
        <w:tc>
          <w:tcPr>
            <w:tcW w:w="550" w:type="dxa"/>
            <w:gridSpan w:val="3"/>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(2)</w:t>
            </w:r>
          </w:p>
        </w:tc>
        <w:tc>
          <w:tcPr>
            <w:tcW w:w="835" w:type="dxa"/>
            <w:gridSpan w:val="2"/>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225,000 </w:t>
            </w:r>
          </w:p>
        </w:tc>
        <w:tc>
          <w:tcPr>
            <w:tcW w:w="130" w:type="dxa"/>
            <w:tcBorders>
              <w:top w:val="single" w:sz="8" w:space="0" w:color="494949"/>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30" w:type="dxa"/>
            <w:tcBorders>
              <w:top w:val="single" w:sz="8" w:space="0" w:color="494949"/>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39" w:type="dxa"/>
            <w:tcBorders>
              <w:top w:val="single" w:sz="8" w:space="0" w:color="494949"/>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494949"/>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494949"/>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494949"/>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494949"/>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494949"/>
              <w:left w:val="single" w:sz="4" w:space="0" w:color="DBDBDB"/>
              <w:right w:val="single" w:sz="4" w:space="0" w:color="DBDBDB"/>
            </w:tcBorders>
            <w:shd w:fill="D1D3D4" w:val="clear"/>
            <w:tcMar>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(3)</w:t>
            </w:r>
          </w:p>
        </w:tc>
        <w:tc>
          <w:tcPr>
            <w:tcW w:w="965"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4,086 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8,172 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16,344 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1,083,199 </w:t>
            </w:r>
          </w:p>
        </w:tc>
        <w:tc>
          <w:tcPr>
            <w:tcW w:w="368" w:type="dxa"/>
            <w:tcBorders>
              <w:top w:val="single" w:sz="4" w:space="0" w:color="DBDBDB"/>
              <w:right w:val="single" w:sz="4" w:space="0" w:color="DBDBDB"/>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(4)</w:t>
            </w:r>
          </w:p>
        </w:tc>
        <w:tc>
          <w:tcPr>
            <w:tcW w:w="965"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5,448 </w:t>
            </w:r>
          </w:p>
        </w:tc>
        <w:tc>
          <w:tcPr>
            <w:tcW w:w="358"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514,836 </w:t>
            </w:r>
          </w:p>
        </w:tc>
        <w:tc>
          <w:tcPr>
            <w:tcW w:w="368" w:type="dxa"/>
            <w:tcBorders>
              <w:top w:val="single" w:sz="4" w:space="0" w:color="DBDBDB"/>
              <w:right w:val="single" w:sz="4" w:space="0" w:color="DBDBDB"/>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8" w:space="0" w:color="494949"/>
              <w:left w:val="single" w:sz="4" w:space="0" w:color="DBDBDB"/>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Desmond J. Mills</w:t>
            </w:r>
          </w:p>
        </w:tc>
        <w:tc>
          <w:tcPr>
            <w:tcW w:w="550" w:type="dxa"/>
            <w:gridSpan w:val="3"/>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0"/>
              </w:rPr>
            </w:pPr>
            <w:r>
              <w:rPr>
                <w:rFonts w:ascii="Arial;sans-serif" w:hAnsi="Arial;sans-serif"/>
                <w:b w:val="false"/>
                <w:color w:val="000000"/>
                <w:sz w:val="10"/>
              </w:rPr>
              <w:t>(2)</w:t>
            </w:r>
          </w:p>
        </w:tc>
        <w:tc>
          <w:tcPr>
            <w:tcW w:w="835" w:type="dxa"/>
            <w:gridSpan w:val="2"/>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136,500 </w:t>
            </w:r>
          </w:p>
        </w:tc>
        <w:tc>
          <w:tcPr>
            <w:tcW w:w="130" w:type="dxa"/>
            <w:tcBorders>
              <w:top w:val="single" w:sz="8"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273,000 </w:t>
            </w:r>
          </w:p>
        </w:tc>
        <w:tc>
          <w:tcPr>
            <w:tcW w:w="130" w:type="dxa"/>
            <w:tcBorders>
              <w:top w:val="single" w:sz="8"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546,000 </w:t>
            </w:r>
          </w:p>
        </w:tc>
        <w:tc>
          <w:tcPr>
            <w:tcW w:w="139" w:type="dxa"/>
            <w:tcBorders>
              <w:top w:val="single" w:sz="8"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494949"/>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494949"/>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494949"/>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494949"/>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494949"/>
              <w:left w:val="single" w:sz="4" w:space="0" w:color="DBDBDB"/>
              <w:right w:val="single" w:sz="4" w:space="0" w:color="DBDBDB"/>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0"/>
              </w:rPr>
            </w:pPr>
            <w:r>
              <w:rPr>
                <w:rFonts w:ascii="Arial;sans-serif" w:hAnsi="Arial;sans-serif"/>
                <w:b w:val="false"/>
                <w:color w:val="000000"/>
                <w:sz w:val="10"/>
              </w:rPr>
              <w:t>(3)</w:t>
            </w:r>
          </w:p>
        </w:tc>
        <w:tc>
          <w:tcPr>
            <w:tcW w:w="965"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2,860 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5,720 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379,093 </w:t>
            </w:r>
          </w:p>
        </w:tc>
        <w:tc>
          <w:tcPr>
            <w:tcW w:w="368" w:type="dxa"/>
            <w:tcBorders>
              <w:top w:val="single" w:sz="4" w:space="0" w:color="DBDBDB"/>
              <w:right w:val="single" w:sz="4" w:space="0" w:color="DBDBDB"/>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0"/>
              </w:rPr>
            </w:pPr>
            <w:r>
              <w:rPr>
                <w:rFonts w:ascii="Arial;sans-serif" w:hAnsi="Arial;sans-serif"/>
                <w:b w:val="false"/>
                <w:color w:val="000000"/>
                <w:sz w:val="10"/>
              </w:rPr>
              <w:t>(4)</w:t>
            </w:r>
          </w:p>
        </w:tc>
        <w:tc>
          <w:tcPr>
            <w:tcW w:w="965"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2,860</w:t>
            </w:r>
          </w:p>
        </w:tc>
        <w:tc>
          <w:tcPr>
            <w:tcW w:w="923"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270,270 </w:t>
            </w:r>
          </w:p>
        </w:tc>
        <w:tc>
          <w:tcPr>
            <w:tcW w:w="368" w:type="dxa"/>
            <w:tcBorders>
              <w:top w:val="single" w:sz="4" w:space="0" w:color="DBDBDB"/>
              <w:right w:val="single" w:sz="4" w:space="0" w:color="DBDBDB"/>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0"/>
              </w:rPr>
            </w:pPr>
            <w:r>
              <w:rPr>
                <w:rFonts w:ascii="Arial;sans-serif" w:hAnsi="Arial;sans-serif"/>
                <w:b w:val="false"/>
                <w:color w:val="000000"/>
                <w:sz w:val="10"/>
              </w:rPr>
              <w:t>(5)</w:t>
            </w:r>
          </w:p>
        </w:tc>
        <w:tc>
          <w:tcPr>
            <w:tcW w:w="965"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2,724 </w:t>
            </w:r>
          </w:p>
        </w:tc>
        <w:tc>
          <w:tcPr>
            <w:tcW w:w="358"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257,418 </w:t>
            </w:r>
          </w:p>
        </w:tc>
        <w:tc>
          <w:tcPr>
            <w:tcW w:w="368" w:type="dxa"/>
            <w:tcBorders>
              <w:top w:val="single" w:sz="4" w:space="0" w:color="DBDBDB"/>
              <w:right w:val="single" w:sz="4" w:space="0" w:color="DBDBDB"/>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8" w:space="0" w:color="494949"/>
              <w:left w:val="single" w:sz="4" w:space="0" w:color="DBDBDB"/>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Arunava Mitra</w:t>
            </w:r>
          </w:p>
        </w:tc>
        <w:tc>
          <w:tcPr>
            <w:tcW w:w="550" w:type="dxa"/>
            <w:gridSpan w:val="3"/>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(2)</w:t>
            </w:r>
          </w:p>
        </w:tc>
        <w:tc>
          <w:tcPr>
            <w:tcW w:w="835" w:type="dxa"/>
            <w:gridSpan w:val="2"/>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263,250 </w:t>
            </w:r>
          </w:p>
        </w:tc>
        <w:tc>
          <w:tcPr>
            <w:tcW w:w="130" w:type="dxa"/>
            <w:tcBorders>
              <w:top w:val="single" w:sz="8"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526,500 </w:t>
            </w:r>
          </w:p>
        </w:tc>
        <w:tc>
          <w:tcPr>
            <w:tcW w:w="130" w:type="dxa"/>
            <w:tcBorders>
              <w:top w:val="single" w:sz="8"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494949"/>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1,053,000 </w:t>
            </w:r>
          </w:p>
        </w:tc>
        <w:tc>
          <w:tcPr>
            <w:tcW w:w="139" w:type="dxa"/>
            <w:tcBorders>
              <w:top w:val="single" w:sz="8"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494949"/>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494949"/>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494949"/>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494949"/>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494949"/>
              <w:left w:val="single" w:sz="4" w:space="0" w:color="DBDBDB"/>
              <w:right w:val="single" w:sz="4" w:space="0" w:color="DBDBDB"/>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(3)</w:t>
            </w:r>
          </w:p>
        </w:tc>
        <w:tc>
          <w:tcPr>
            <w:tcW w:w="965"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6,693 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13,386 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26,772 </w:t>
            </w:r>
          </w:p>
        </w:tc>
        <w:tc>
          <w:tcPr>
            <w:tcW w:w="127" w:type="dxa"/>
            <w:tcBorders>
              <w:top w:val="single" w:sz="4" w:space="0" w:color="DBDBDB"/>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DBDBDB"/>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1,774,314 </w:t>
            </w:r>
          </w:p>
        </w:tc>
        <w:tc>
          <w:tcPr>
            <w:tcW w:w="368" w:type="dxa"/>
            <w:tcBorders>
              <w:top w:val="single" w:sz="4" w:space="0" w:color="DBDBDB"/>
              <w:right w:val="single" w:sz="4" w:space="0" w:color="DBDBDB"/>
            </w:tcBorders>
            <w:shd w:fill="D1D3D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(4)</w:t>
            </w:r>
          </w:p>
        </w:tc>
        <w:tc>
          <w:tcPr>
            <w:tcW w:w="965"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8,924 </w:t>
            </w:r>
          </w:p>
        </w:tc>
        <w:tc>
          <w:tcPr>
            <w:tcW w:w="358"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843,318 </w:t>
            </w:r>
          </w:p>
        </w:tc>
        <w:tc>
          <w:tcPr>
            <w:tcW w:w="368" w:type="dxa"/>
            <w:tcBorders>
              <w:top w:val="single" w:sz="4" w:space="0" w:color="DBDBDB"/>
              <w:right w:val="single" w:sz="4" w:space="0" w:color="DBDBDB"/>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8" w:space="0" w:color="494949"/>
              <w:left w:val="single" w:sz="4" w:space="0" w:color="DBDBDB"/>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Charles W. Davison, Jr.</w:t>
            </w:r>
          </w:p>
        </w:tc>
        <w:tc>
          <w:tcPr>
            <w:tcW w:w="550" w:type="dxa"/>
            <w:gridSpan w:val="3"/>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(2)</w:t>
            </w:r>
          </w:p>
        </w:tc>
        <w:tc>
          <w:tcPr>
            <w:tcW w:w="835" w:type="dxa"/>
            <w:gridSpan w:val="2"/>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225,000 </w:t>
            </w:r>
          </w:p>
        </w:tc>
        <w:tc>
          <w:tcPr>
            <w:tcW w:w="130" w:type="dxa"/>
            <w:tcBorders>
              <w:top w:val="single" w:sz="8" w:space="0" w:color="494949"/>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30" w:type="dxa"/>
            <w:tcBorders>
              <w:top w:val="single" w:sz="8" w:space="0" w:color="494949"/>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494949"/>
              <w:left w:val="single" w:sz="4" w:space="0" w:color="DBDBDB"/>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39" w:type="dxa"/>
            <w:tcBorders>
              <w:top w:val="single" w:sz="8" w:space="0" w:color="494949"/>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494949"/>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494949"/>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494949"/>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494949"/>
              <w:left w:val="single" w:sz="4" w:space="0" w:color="DBDBDB"/>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494949"/>
              <w:left w:val="single" w:sz="4" w:space="0" w:color="DBDBDB"/>
              <w:right w:val="single" w:sz="4" w:space="0" w:color="DBDBDB"/>
            </w:tcBorders>
            <w:shd w:fill="D1D3D4" w:val="clear"/>
            <w:tcMar>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(3)</w:t>
            </w:r>
          </w:p>
        </w:tc>
        <w:tc>
          <w:tcPr>
            <w:tcW w:w="965"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4,903 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9,806 </w:t>
            </w:r>
          </w:p>
        </w:tc>
        <w:tc>
          <w:tcPr>
            <w:tcW w:w="127"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DBDBDB"/>
              <w:left w:val="single" w:sz="4"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649,893 </w:t>
            </w:r>
          </w:p>
        </w:tc>
        <w:tc>
          <w:tcPr>
            <w:tcW w:w="368" w:type="dxa"/>
            <w:tcBorders>
              <w:top w:val="single" w:sz="4" w:space="0" w:color="DBDBDB"/>
              <w:right w:val="single" w:sz="4" w:space="0" w:color="DBDBDB"/>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4" w:space="0" w:color="DBDBDB"/>
              <w:left w:val="single" w:sz="4"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DBDBDB"/>
              <w:left w:val="single" w:sz="4" w:space="0" w:color="DBDBDB"/>
              <w:bottom w:val="single" w:sz="8" w:space="0" w:color="494949"/>
            </w:tcBorders>
            <w:shd w:fill="D1D3D4"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18-Jan</w:t>
            </w:r>
          </w:p>
        </w:tc>
        <w:tc>
          <w:tcPr>
            <w:tcW w:w="333" w:type="dxa"/>
            <w:gridSpan w:val="3"/>
            <w:tcBorders>
              <w:top w:val="single" w:sz="4" w:space="0" w:color="DBDBDB"/>
              <w:left w:val="single" w:sz="4" w:space="0" w:color="DBDBDB"/>
              <w:bottom w:val="single" w:sz="8" w:space="0" w:color="494949"/>
            </w:tcBorders>
            <w:shd w:fill="D1D3D4" w:val="clear"/>
            <w:tcMar>
              <w:top w:w="30" w:type="dxa"/>
              <w:bottom w:w="30" w:type="dxa"/>
              <w:right w:w="0" w:type="dxa"/>
            </w:tcMar>
            <w:vAlign w:val="center"/>
          </w:tcPr>
          <w:p>
            <w:pPr>
              <w:pStyle w:val="TableContents"/>
              <w:bidi w:val="0"/>
              <w:spacing w:lineRule="auto" w:line="240" w:before="40" w:after="283"/>
              <w:jc w:val="center"/>
              <w:rPr>
                <w:rFonts w:ascii="Arial;sans-serif" w:hAnsi="Arial;sans-serif"/>
                <w:b w:val="false"/>
                <w:color w:val="000000"/>
                <w:sz w:val="10"/>
              </w:rPr>
            </w:pPr>
            <w:r>
              <w:rPr>
                <w:rFonts w:ascii="Arial;sans-serif" w:hAnsi="Arial;sans-serif"/>
                <w:b w:val="false"/>
                <w:color w:val="000000"/>
                <w:sz w:val="10"/>
              </w:rPr>
              <w:t>(4)</w:t>
            </w:r>
          </w:p>
        </w:tc>
        <w:tc>
          <w:tcPr>
            <w:tcW w:w="965" w:type="dxa"/>
            <w:gridSpan w:val="3"/>
            <w:tcBorders>
              <w:top w:val="single" w:sz="4" w:space="0" w:color="DBDBDB"/>
              <w:left w:val="single" w:sz="4" w:space="0" w:color="DBDBDB"/>
              <w:bottom w:val="single" w:sz="8" w:space="0" w:color="494949"/>
            </w:tcBorders>
            <w:shd w:fill="D1D3D4" w:val="clear"/>
            <w:tcMar>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DBDBDB"/>
              <w:left w:val="single" w:sz="4" w:space="0" w:color="DBDBDB"/>
              <w:bottom w:val="single" w:sz="8" w:space="0" w:color="494949"/>
            </w:tcBorders>
            <w:shd w:fill="D1D3D4" w:val="clear"/>
            <w:tcMar>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DBDBDB"/>
              <w:left w:val="single" w:sz="4" w:space="0" w:color="DBDBDB"/>
              <w:bottom w:val="single" w:sz="8" w:space="0" w:color="494949"/>
            </w:tcBorders>
            <w:shd w:fill="D1D3D4"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BDBDB"/>
              <w:left w:val="single" w:sz="4" w:space="0" w:color="DBDBDB"/>
              <w:bottom w:val="single" w:sz="8" w:space="0" w:color="494949"/>
            </w:tcBorders>
            <w:shd w:fill="D1D3D4" w:val="clear"/>
            <w:tcMar>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DBDBDB"/>
              <w:left w:val="single" w:sz="4" w:space="0" w:color="DBDBDB"/>
              <w:bottom w:val="single" w:sz="8" w:space="0" w:color="494949"/>
            </w:tcBorders>
            <w:shd w:fill="D1D3D4" w:val="clear"/>
            <w:tcMar>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BDBDB"/>
              <w:left w:val="single" w:sz="4" w:space="0" w:color="DBDBDB"/>
              <w:bottom w:val="single" w:sz="8" w:space="0" w:color="494949"/>
            </w:tcBorders>
            <w:shd w:fill="D1D3D4" w:val="clear"/>
            <w:tcMar>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DBDBDB"/>
              <w:left w:val="single" w:sz="4" w:space="0" w:color="DBDBDB"/>
              <w:bottom w:val="single" w:sz="8" w:space="0" w:color="494949"/>
            </w:tcBorders>
            <w:shd w:fill="D1D3D4"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3,268 </w:t>
            </w:r>
          </w:p>
        </w:tc>
        <w:tc>
          <w:tcPr>
            <w:tcW w:w="358" w:type="dxa"/>
            <w:tcBorders>
              <w:top w:val="single" w:sz="4" w:space="0" w:color="DBDBDB"/>
              <w:bottom w:val="single" w:sz="8" w:space="0" w:color="494949"/>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DBDBDB"/>
              <w:left w:val="single" w:sz="4" w:space="0" w:color="DBDBDB"/>
              <w:bottom w:val="single" w:sz="8" w:space="0" w:color="494949"/>
            </w:tcBorders>
            <w:shd w:fill="D1D3D4"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308,826 </w:t>
            </w:r>
          </w:p>
        </w:tc>
        <w:tc>
          <w:tcPr>
            <w:tcW w:w="368" w:type="dxa"/>
            <w:tcBorders>
              <w:top w:val="single" w:sz="4" w:space="0" w:color="DBDBDB"/>
              <w:bottom w:val="single" w:sz="8" w:space="0" w:color="494949"/>
              <w:right w:val="single" w:sz="4" w:space="0" w:color="DBDBDB"/>
            </w:tcBorders>
            <w:shd w:fill="D1D3D4"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494949"/>
            </w:tcBorders>
            <w:tcMar>
              <w:top w:w="30" w:type="dxa"/>
              <w:left w:w="0" w:type="dxa"/>
              <w:bottom w:w="0" w:type="dxa"/>
              <w:right w:w="0" w:type="dxa"/>
            </w:tcMar>
            <w:vAlign w:val="center"/>
          </w:tcPr>
          <w:p>
            <w:pPr>
              <w:pStyle w:val="TableContents"/>
              <w:bidi w:val="0"/>
              <w:spacing w:lineRule="auto" w:line="264" w:before="0" w:after="60"/>
              <w:ind w:left="0" w:right="0" w:hanging="360"/>
              <w:jc w:val="left"/>
              <w:rPr/>
            </w:pPr>
            <w:r>
              <w:rPr>
                <w:rFonts w:ascii="Arial;sans-serif" w:hAnsi="Arial;sans-serif"/>
                <w:b w:val="false"/>
                <w:color w:val="CE1141"/>
                <w:sz w:val="16"/>
              </w:rPr>
              <w:t>(1)</w:t>
            </w:r>
            <w:r>
              <w:rPr>
                <w:rFonts w:ascii="Arial;sans-serif" w:hAnsi="Arial;sans-serif"/>
                <w:b w:val="false"/>
                <w:color w:val="242424"/>
                <w:sz w:val="16"/>
              </w:rPr>
              <w:t xml:space="preserve">Includes PSUs granted during 2024 under the 2019 EIP that may be earned if performance conditions are met. The number of shares earned will be determined based on the achievement of the specified performance metrics over the three-year performance period beginning January 1, 2024 and ending December 31, 2026. No PSUs will be earned in the event that threshold levels are not achieved; 50% of PSUs awarded may be earned if threshold performance levels are achieved; 100% may be earned if target performance levels are achieved; and 200% may be earned if maximum levels of performance are achieved, with linear interpolation for any results that fall in between threshold and maximum. </w:t>
            </w:r>
          </w:p>
          <w:p>
            <w:pPr>
              <w:pStyle w:val="TableContents"/>
              <w:bidi w:val="0"/>
              <w:spacing w:lineRule="auto" w:line="264"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Represents potential payments for the year ended December 31, 2024 under the terms of the 2024 STI Plan. See “Elements of Our 2024 Executive Compensation Program — STI Plan Annual Incentive Awards” in the CD&amp;A section of this Proxy Statement for more information.</w:t>
            </w:r>
          </w:p>
          <w:p>
            <w:pPr>
              <w:pStyle w:val="TableContents"/>
              <w:bidi w:val="0"/>
              <w:spacing w:lineRule="auto" w:line="264" w:before="0" w:after="60"/>
              <w:ind w:left="0" w:right="0" w:hanging="360"/>
              <w:jc w:val="left"/>
              <w:rPr/>
            </w:pPr>
            <w:r>
              <w:rPr>
                <w:rFonts w:ascii="Arial;sans-serif" w:hAnsi="Arial;sans-serif"/>
                <w:b w:val="false"/>
                <w:color w:val="CE1141"/>
                <w:sz w:val="16"/>
              </w:rPr>
              <w:t>(3)</w:t>
            </w:r>
            <w:r>
              <w:rPr>
                <w:rFonts w:ascii="Arial;sans-serif" w:hAnsi="Arial;sans-serif"/>
                <w:b w:val="false"/>
                <w:color w:val="242424"/>
                <w:sz w:val="16"/>
              </w:rPr>
              <w:t xml:space="preserve">Represents PSUs granted to the applicable NEO during 2024 under the 2019 EIP. The portion of PSU awards subject to metrics defined solely by reference to our own operations was determined based on the closing price of our ordinary shares on the date of grant in accordance with FASB ASC Topic 718. The portion of PSU awards subject to the market performance of our ordinary shares is based on a fair value price derived via the Company’s Monte Carlo simulation model in accordance with FASB ASC Topic 718. </w:t>
            </w:r>
          </w:p>
          <w:p>
            <w:pPr>
              <w:pStyle w:val="TableContents"/>
              <w:bidi w:val="0"/>
              <w:spacing w:lineRule="auto" w:line="264"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Represents RSUs granted to the applicable NEO during 2024 under the 2019 EIP. These shares vest in three equal installments on each of January 18, 2025, 2026 and 2027. The grant date fair value of each award is based on the closing share price of the Company’s ordinary shares on the date of grant in accordance with FASB ASC Topic 718.</w:t>
            </w:r>
          </w:p>
          <w:p>
            <w:pPr>
              <w:pStyle w:val="TableContents"/>
              <w:bidi w:val="0"/>
              <w:spacing w:lineRule="auto" w:line="264" w:before="0" w:after="60"/>
              <w:ind w:left="0" w:right="0" w:hanging="360"/>
              <w:jc w:val="left"/>
              <w:rPr/>
            </w:pPr>
            <w:r>
              <w:rPr>
                <w:rFonts w:ascii="Arial;sans-serif" w:hAnsi="Arial;sans-serif"/>
                <w:b w:val="false"/>
                <w:color w:val="CE1141"/>
                <w:sz w:val="16"/>
              </w:rPr>
              <w:t>(5)</w:t>
            </w:r>
            <w:r>
              <w:rPr>
                <w:rFonts w:ascii="Arial;sans-serif" w:hAnsi="Arial;sans-serif"/>
                <w:b w:val="false"/>
                <w:color w:val="242424"/>
                <w:sz w:val="16"/>
              </w:rPr>
              <w:t xml:space="preserve">Represents RSUs granted to the applicable NEO during 2024 under the 2019 EIP. These shares will vest in full on January 18, 2027. The grant date fair value of each award is based on the closing share price of the Company’s ordinary shares on the date of grant in accordance with FASB ASC Topic 718. </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68325"/>
                <wp:effectExtent l="0" t="0" r="0" b="0"/>
                <wp:wrapNone/>
                <wp:docPr id="83" name="Frame5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OUTSTANDING EQUITY AWARDS AT DECEMBER 31, 2024</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provides information about the number of outstanding equity awards held by our NEOs on December 31, 2024.</w:t>
      </w:r>
    </w:p>
    <w:tbl>
      <w:tblPr>
        <w:tblW w:w="10205" w:type="dxa"/>
        <w:jc w:val="center"/>
        <w:tblInd w:w="0" w:type="dxa"/>
        <w:tblLayout w:type="fixed"/>
        <w:tblCellMar>
          <w:top w:w="28" w:type="dxa"/>
          <w:left w:w="28" w:type="dxa"/>
          <w:bottom w:w="28" w:type="dxa"/>
          <w:right w:w="28" w:type="dxa"/>
        </w:tblCellMar>
      </w:tblPr>
      <w:tblGrid>
        <w:gridCol w:w="508"/>
        <w:gridCol w:w="448"/>
        <w:gridCol w:w="452"/>
        <w:gridCol w:w="591"/>
        <w:gridCol w:w="236"/>
        <w:gridCol w:w="236"/>
        <w:gridCol w:w="236"/>
        <w:gridCol w:w="236"/>
        <w:gridCol w:w="238"/>
        <w:gridCol w:w="875"/>
        <w:gridCol w:w="490"/>
        <w:gridCol w:w="493"/>
        <w:gridCol w:w="527"/>
        <w:gridCol w:w="365"/>
        <w:gridCol w:w="365"/>
        <w:gridCol w:w="365"/>
        <w:gridCol w:w="365"/>
        <w:gridCol w:w="375"/>
        <w:gridCol w:w="1036"/>
        <w:gridCol w:w="727"/>
        <w:gridCol w:w="1041"/>
      </w:tblGrid>
      <w:tr>
        <w:trPr/>
        <w:tc>
          <w:tcPr>
            <w:tcW w:w="50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18"/>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FFFFFF"/>
                <w:sz w:val="16"/>
              </w:rPr>
            </w:pPr>
            <w:r>
              <w:rPr>
                <w:rFonts w:ascii="Arial;sans-serif" w:hAnsi="Arial;sans-serif"/>
                <w:b w:val="false"/>
                <w:color w:val="FFFFFF"/>
                <w:sz w:val="16"/>
              </w:rPr>
              <w:t>Stock Awards</w:t>
            </w:r>
          </w:p>
        </w:tc>
      </w:tr>
      <w:tr>
        <w:trPr/>
        <w:tc>
          <w:tcPr>
            <w:tcW w:w="1408"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FFFFFF"/>
                <w:sz w:val="16"/>
              </w:rPr>
            </w:pPr>
            <w:r>
              <w:rPr>
                <w:rFonts w:ascii="Arial;sans-serif" w:hAnsi="Arial;sans-serif"/>
                <w:b w:val="false"/>
                <w:color w:val="FFFFFF"/>
                <w:sz w:val="16"/>
              </w:rPr>
              <w:t>Name</w:t>
            </w:r>
          </w:p>
        </w:tc>
        <w:tc>
          <w:tcPr>
            <w:tcW w:w="1773"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FFFFFF"/>
                <w:sz w:val="16"/>
              </w:rPr>
            </w:pPr>
            <w:r>
              <w:rPr>
                <w:rFonts w:ascii="Arial;sans-serif" w:hAnsi="Arial;sans-serif"/>
                <w:b w:val="false"/>
                <w:color w:val="FFFFFF"/>
                <w:sz w:val="16"/>
              </w:rPr>
              <w:t>Number of Shares or Units That Have Not Vested (#)</w:t>
            </w:r>
          </w:p>
        </w:tc>
        <w:tc>
          <w:tcPr>
            <w:tcW w:w="185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right"/>
              <w:rPr/>
            </w:pPr>
            <w:r>
              <w:rPr>
                <w:rFonts w:ascii="Arial;sans-serif" w:hAnsi="Arial;sans-serif"/>
                <w:b w:val="false"/>
                <w:color w:val="FFFFFF"/>
                <w:sz w:val="16"/>
              </w:rPr>
              <w:t>Market Value of Shares or Units That Have Not Vested ($)</w:t>
            </w:r>
            <w:r>
              <w:rPr>
                <w:rFonts w:ascii="Arial;sans-serif" w:hAnsi="Arial;sans-serif"/>
                <w:b w:val="false"/>
                <w:color w:val="FFFFFF"/>
                <w:sz w:val="10"/>
              </w:rPr>
              <w:t>(1)</w:t>
            </w:r>
          </w:p>
        </w:tc>
        <w:tc>
          <w:tcPr>
            <w:tcW w:w="2362"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FFFFFF"/>
                <w:sz w:val="16"/>
              </w:rPr>
            </w:pPr>
            <w:r>
              <w:rPr>
                <w:rFonts w:ascii="Arial;sans-serif" w:hAnsi="Arial;sans-serif"/>
                <w:b w:val="false"/>
                <w:color w:val="FFFFFF"/>
                <w:sz w:val="16"/>
              </w:rPr>
              <w:t>Equity Incentive Plan Awards: Number of Unearned Shares, Units or Other Rights That Have Not</w:t>
              <w:br/>
              <w:t>Vested (#)</w:t>
            </w:r>
          </w:p>
        </w:tc>
        <w:tc>
          <w:tcPr>
            <w:tcW w:w="280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FFFFFF"/>
                <w:sz w:val="16"/>
              </w:rPr>
            </w:pPr>
            <w:r>
              <w:rPr>
                <w:rFonts w:ascii="Arial;sans-serif" w:hAnsi="Arial;sans-serif"/>
                <w:b w:val="false"/>
                <w:color w:val="FFFFFF"/>
                <w:sz w:val="16"/>
              </w:rPr>
              <w:t>Equity Incentive Plan Awards: Market or Payout Value of Unearned Shares, Units or Other Rights That Have Not</w:t>
            </w:r>
          </w:p>
          <w:p>
            <w:pPr>
              <w:pStyle w:val="TableContents"/>
              <w:bidi w:val="0"/>
              <w:spacing w:lineRule="auto" w:line="268" w:before="0" w:after="0"/>
              <w:jc w:val="right"/>
              <w:rPr/>
            </w:pPr>
            <w:r>
              <w:rPr>
                <w:rFonts w:ascii="Arial;sans-serif" w:hAnsi="Arial;sans-serif"/>
                <w:b w:val="false"/>
                <w:color w:val="FFFFFF"/>
                <w:sz w:val="16"/>
              </w:rPr>
              <w:t>Vested ($)</w:t>
            </w:r>
            <w:r>
              <w:rPr>
                <w:rFonts w:ascii="Arial;sans-serif" w:hAnsi="Arial;sans-serif"/>
                <w:b w:val="false"/>
                <w:color w:val="FFFFFF"/>
                <w:sz w:val="10"/>
              </w:rPr>
              <w:t>(1)</w:t>
            </w:r>
          </w:p>
        </w:tc>
      </w:tr>
      <w:tr>
        <w:trPr/>
        <w:tc>
          <w:tcPr>
            <w:tcW w:w="140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Girishchandra K. Saligram</w:t>
            </w:r>
          </w:p>
        </w:tc>
        <w:tc>
          <w:tcPr>
            <w:tcW w:w="82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28,173 </w:t>
            </w:r>
          </w:p>
        </w:tc>
        <w:tc>
          <w:tcPr>
            <w:tcW w:w="23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(2)</w:t>
            </w:r>
          </w:p>
        </w:tc>
        <w:tc>
          <w:tcPr>
            <w:tcW w:w="136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2,032,118 </w:t>
            </w:r>
          </w:p>
        </w:tc>
        <w:tc>
          <w:tcPr>
            <w:tcW w:w="49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25,724 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(3)</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1,855,472 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90,036</w:t>
            </w:r>
          </w:p>
        </w:tc>
        <w:tc>
          <w:tcPr>
            <w:tcW w:w="1105"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(4)</w:t>
            </w:r>
          </w:p>
        </w:tc>
        <w:tc>
          <w:tcPr>
            <w:tcW w:w="1763"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6,494,297 </w:t>
            </w:r>
          </w:p>
        </w:tc>
        <w:tc>
          <w:tcPr>
            <w:tcW w:w="104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28,602 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(5)</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2,063,062 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33,370</w:t>
            </w:r>
          </w:p>
        </w:tc>
        <w:tc>
          <w:tcPr>
            <w:tcW w:w="1105"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(6)</w:t>
            </w:r>
          </w:p>
        </w:tc>
        <w:tc>
          <w:tcPr>
            <w:tcW w:w="1763"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2,406,978 </w:t>
            </w:r>
          </w:p>
        </w:tc>
        <w:tc>
          <w:tcPr>
            <w:tcW w:w="104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Scott C. Weatherholt</w:t>
            </w:r>
          </w:p>
        </w:tc>
        <w:tc>
          <w:tcPr>
            <w:tcW w:w="82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7,230 </w:t>
            </w:r>
          </w:p>
        </w:tc>
        <w:tc>
          <w:tcPr>
            <w:tcW w:w="23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(2)</w:t>
            </w:r>
          </w:p>
        </w:tc>
        <w:tc>
          <w:tcPr>
            <w:tcW w:w="1365"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521,500 </w:t>
            </w:r>
          </w:p>
        </w:tc>
        <w:tc>
          <w:tcPr>
            <w:tcW w:w="49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7,083 </w:t>
            </w:r>
          </w:p>
        </w:tc>
        <w:tc>
          <w:tcPr>
            <w:tcW w:w="23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(3)</w:t>
            </w:r>
          </w:p>
        </w:tc>
        <w:tc>
          <w:tcPr>
            <w:tcW w:w="136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510,897 </w:t>
            </w:r>
          </w:p>
        </w:tc>
        <w:tc>
          <w:tcPr>
            <w:tcW w:w="49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15,938</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(4)</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1,149,608 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6,755 </w:t>
            </w:r>
          </w:p>
        </w:tc>
        <w:tc>
          <w:tcPr>
            <w:tcW w:w="23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(5)</w:t>
            </w:r>
          </w:p>
        </w:tc>
        <w:tc>
          <w:tcPr>
            <w:tcW w:w="136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487,238 </w:t>
            </w:r>
          </w:p>
        </w:tc>
        <w:tc>
          <w:tcPr>
            <w:tcW w:w="49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5,067</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(6)</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365,483 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Richard D. Ward</w:t>
            </w:r>
          </w:p>
        </w:tc>
        <w:tc>
          <w:tcPr>
            <w:tcW w:w="827" w:type="dxa"/>
            <w:gridSpan w:val="2"/>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5,448 </w:t>
            </w:r>
          </w:p>
        </w:tc>
        <w:tc>
          <w:tcPr>
            <w:tcW w:w="236"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(5)</w:t>
            </w:r>
          </w:p>
        </w:tc>
        <w:tc>
          <w:tcPr>
            <w:tcW w:w="1365" w:type="dxa"/>
            <w:gridSpan w:val="2"/>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392,964 </w:t>
            </w:r>
          </w:p>
        </w:tc>
        <w:tc>
          <w:tcPr>
            <w:tcW w:w="49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4,086</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(6)</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294,723 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Desmond J. Mills</w:t>
            </w:r>
          </w:p>
        </w:tc>
        <w:tc>
          <w:tcPr>
            <w:tcW w:w="827" w:type="dxa"/>
            <w:gridSpan w:val="2"/>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2,817 </w:t>
            </w:r>
          </w:p>
        </w:tc>
        <w:tc>
          <w:tcPr>
            <w:tcW w:w="236"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(2)</w:t>
            </w:r>
          </w:p>
        </w:tc>
        <w:tc>
          <w:tcPr>
            <w:tcW w:w="1365" w:type="dxa"/>
            <w:gridSpan w:val="2"/>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203,190 </w:t>
            </w:r>
          </w:p>
        </w:tc>
        <w:tc>
          <w:tcPr>
            <w:tcW w:w="49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2,734 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(3)</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197,203 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4,101</w:t>
            </w:r>
          </w:p>
        </w:tc>
        <w:tc>
          <w:tcPr>
            <w:tcW w:w="1105"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(4)</w:t>
            </w:r>
          </w:p>
        </w:tc>
        <w:tc>
          <w:tcPr>
            <w:tcW w:w="1763"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295,805 </w:t>
            </w:r>
          </w:p>
        </w:tc>
        <w:tc>
          <w:tcPr>
            <w:tcW w:w="104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2,860 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(5)</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206,292 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1,430</w:t>
            </w:r>
          </w:p>
        </w:tc>
        <w:tc>
          <w:tcPr>
            <w:tcW w:w="1105"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(6)</w:t>
            </w:r>
          </w:p>
        </w:tc>
        <w:tc>
          <w:tcPr>
            <w:tcW w:w="1763"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103,146 </w:t>
            </w:r>
          </w:p>
        </w:tc>
        <w:tc>
          <w:tcPr>
            <w:tcW w:w="104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2,724 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(7)</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196,482 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Arunava Mitra</w:t>
            </w:r>
          </w:p>
        </w:tc>
        <w:tc>
          <w:tcPr>
            <w:tcW w:w="827" w:type="dxa"/>
            <w:gridSpan w:val="2"/>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8,612 </w:t>
            </w:r>
          </w:p>
        </w:tc>
        <w:tc>
          <w:tcPr>
            <w:tcW w:w="236"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(3)</w:t>
            </w:r>
          </w:p>
        </w:tc>
        <w:tc>
          <w:tcPr>
            <w:tcW w:w="1365" w:type="dxa"/>
            <w:gridSpan w:val="2"/>
            <w:tcBorders>
              <w:top w:val="single" w:sz="8" w:space="0" w:color="B6B6B6"/>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621,184 </w:t>
            </w:r>
          </w:p>
        </w:tc>
        <w:tc>
          <w:tcPr>
            <w:tcW w:w="49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B6B6B6"/>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19,377</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(4)</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1,397,663 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8,924 </w:t>
            </w:r>
          </w:p>
        </w:tc>
        <w:tc>
          <w:tcPr>
            <w:tcW w:w="23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(5)</w:t>
            </w:r>
          </w:p>
        </w:tc>
        <w:tc>
          <w:tcPr>
            <w:tcW w:w="136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643,688 </w:t>
            </w:r>
          </w:p>
        </w:tc>
        <w:tc>
          <w:tcPr>
            <w:tcW w:w="49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6,693</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2"/>
              </w:rPr>
            </w:pPr>
            <w:r>
              <w:rPr>
                <w:rFonts w:ascii="Arial;sans-serif" w:hAnsi="Arial;sans-serif"/>
                <w:b w:val="false"/>
                <w:color w:val="242424"/>
                <w:sz w:val="12"/>
              </w:rPr>
              <w:t>(6)</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482,766 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Charles W. Davison, Jr.</w:t>
            </w:r>
            <w:r>
              <w:rPr>
                <w:rFonts w:ascii="Arial;sans-serif" w:hAnsi="Arial;sans-serif"/>
                <w:b w:val="false"/>
                <w:color w:val="242424"/>
                <w:sz w:val="10"/>
              </w:rPr>
              <w:t>(8)</w:t>
            </w:r>
          </w:p>
        </w:tc>
        <w:tc>
          <w:tcPr>
            <w:tcW w:w="827" w:type="dxa"/>
            <w:gridSpan w:val="2"/>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color w:val="242424"/>
              </w:rPr>
            </w:pPr>
            <w:r>
              <w:rPr>
                <w:color w:val="242424"/>
              </w:rPr>
              <w:t>— </w:t>
            </w:r>
          </w:p>
        </w:tc>
        <w:tc>
          <w:tcPr>
            <w:tcW w:w="236"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bottom w:val="single" w:sz="8" w:space="0" w:color="B6B6B6"/>
            </w:tcBorders>
            <w:shd w:fill="D1D3D4" w:val="clear"/>
            <w:tcMar>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color w:val="242424"/>
              </w:rPr>
            </w:pPr>
            <w:r>
              <w:rPr>
                <w:color w:val="242424"/>
              </w:rPr>
              <w:t>— </w:t>
            </w:r>
          </w:p>
        </w:tc>
        <w:tc>
          <w:tcPr>
            <w:tcW w:w="493"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color w:val="242424"/>
              </w:rPr>
            </w:pPr>
            <w:r>
              <w:rPr>
                <w:color w:val="242424"/>
              </w:rPr>
              <w:t>— </w:t>
            </w:r>
          </w:p>
        </w:tc>
        <w:tc>
          <w:tcPr>
            <w:tcW w:w="365"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B6B6B6"/>
              <w:bottom w:val="single" w:sz="8" w:space="0" w:color="B6B6B6"/>
            </w:tcBorders>
            <w:shd w:fill="D1D3D4" w:val="clear"/>
            <w:tcMar>
              <w:left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lineRule="auto" w:line="240" w:before="0" w:after="283"/>
              <w:jc w:val="right"/>
              <w:rPr>
                <w:color w:val="242424"/>
              </w:rPr>
            </w:pPr>
            <w:r>
              <w:rPr>
                <w:color w:val="242424"/>
              </w:rPr>
              <w:t>— </w:t>
            </w:r>
          </w:p>
        </w:tc>
        <w:tc>
          <w:tcPr>
            <w:tcW w:w="1041" w:type="dxa"/>
            <w:tcBorders>
              <w:top w:val="single" w:sz="8" w:space="0" w:color="B6B6B6"/>
              <w:bottom w:val="single" w:sz="8" w:space="0" w:color="B6B6B6"/>
            </w:tcBorders>
            <w:shd w:fill="D1D3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B6B6B6"/>
            </w:tcBorders>
            <w:tcMar>
              <w:top w:w="3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3"/>
              </w:rPr>
              <w:t>(1)</w:t>
            </w:r>
            <w:r>
              <w:rPr>
                <w:rFonts w:ascii="Arial;sans-serif" w:hAnsi="Arial;sans-serif"/>
                <w:b w:val="false"/>
                <w:color w:val="242424"/>
                <w:sz w:val="16"/>
              </w:rPr>
              <w:t>To determine Market or Payout Value, the closing price of our ordinary shares on the last trading day of 2024, $71.63, plus $0.50 for accrued dividend equivalent rights.</w:t>
            </w:r>
          </w:p>
          <w:p>
            <w:pPr>
              <w:pStyle w:val="TableContents"/>
              <w:bidi w:val="0"/>
              <w:spacing w:lineRule="auto" w:line="240" w:before="0" w:after="60"/>
              <w:ind w:left="0" w:right="0" w:hanging="360"/>
              <w:jc w:val="left"/>
              <w:rPr/>
            </w:pPr>
            <w:r>
              <w:rPr>
                <w:rFonts w:ascii="Arial;sans-serif" w:hAnsi="Arial;sans-serif"/>
                <w:b w:val="false"/>
                <w:color w:val="CE1141"/>
                <w:sz w:val="13"/>
              </w:rPr>
              <w:t>(2)</w:t>
            </w:r>
            <w:r>
              <w:rPr>
                <w:rFonts w:ascii="Arial;sans-serif" w:hAnsi="Arial;sans-serif"/>
                <w:b w:val="false"/>
                <w:color w:val="242424"/>
                <w:sz w:val="16"/>
              </w:rPr>
              <w:t>Includes the final tranche of the 2022 RSUs, which vested in full on January 18, 2025.</w:t>
            </w:r>
          </w:p>
          <w:p>
            <w:pPr>
              <w:pStyle w:val="TableContents"/>
              <w:bidi w:val="0"/>
              <w:spacing w:lineRule="auto" w:line="240" w:before="0" w:after="60"/>
              <w:ind w:left="0" w:right="0" w:hanging="360"/>
              <w:jc w:val="left"/>
              <w:rPr/>
            </w:pPr>
            <w:r>
              <w:rPr>
                <w:rFonts w:ascii="Arial;sans-serif" w:hAnsi="Arial;sans-serif"/>
                <w:b w:val="false"/>
                <w:color w:val="CE1141"/>
                <w:sz w:val="13"/>
              </w:rPr>
              <w:t>(3)</w:t>
            </w:r>
            <w:r>
              <w:rPr>
                <w:rFonts w:ascii="Arial;sans-serif" w:hAnsi="Arial;sans-serif"/>
                <w:b w:val="false"/>
                <w:color w:val="242424"/>
                <w:sz w:val="16"/>
              </w:rPr>
              <w:t>Includes the second and third tranches of the 2023 RSUs, which vest in equal installments on January 18, 2025 and January 18 2026.</w:t>
            </w:r>
          </w:p>
          <w:p>
            <w:pPr>
              <w:pStyle w:val="TableContents"/>
              <w:bidi w:val="0"/>
              <w:spacing w:lineRule="auto" w:line="240" w:before="0" w:after="60"/>
              <w:ind w:left="0" w:right="0" w:hanging="360"/>
              <w:jc w:val="left"/>
              <w:rPr/>
            </w:pPr>
            <w:r>
              <w:rPr>
                <w:rFonts w:ascii="Arial;sans-serif" w:hAnsi="Arial;sans-serif"/>
                <w:b w:val="false"/>
                <w:color w:val="CE1141"/>
                <w:sz w:val="13"/>
              </w:rPr>
              <w:t>(4)</w:t>
            </w:r>
            <w:r>
              <w:rPr>
                <w:rFonts w:ascii="Arial;sans-serif" w:hAnsi="Arial;sans-serif"/>
                <w:b w:val="false"/>
                <w:color w:val="242424"/>
                <w:sz w:val="16"/>
              </w:rPr>
              <w:t xml:space="preserve">2023 PSUs are eligible to vest on December 31, 2025 subject to the attainment of applicable performance objectives. The number of shares or units and the payout value reported are based upon achieving the target performance level, which is 100% of the PSUs granted. </w:t>
            </w:r>
          </w:p>
          <w:p>
            <w:pPr>
              <w:pStyle w:val="TableContents"/>
              <w:bidi w:val="0"/>
              <w:spacing w:lineRule="auto" w:line="240" w:before="0" w:after="60"/>
              <w:ind w:left="0" w:right="0" w:hanging="360"/>
              <w:jc w:val="left"/>
              <w:rPr/>
            </w:pPr>
            <w:r>
              <w:rPr>
                <w:rFonts w:ascii="Arial;sans-serif" w:hAnsi="Arial;sans-serif"/>
                <w:b w:val="false"/>
                <w:color w:val="CE1141"/>
                <w:sz w:val="13"/>
              </w:rPr>
              <w:t>(5)</w:t>
            </w:r>
            <w:r>
              <w:rPr>
                <w:rFonts w:ascii="Arial;sans-serif" w:hAnsi="Arial;sans-serif"/>
                <w:b w:val="false"/>
                <w:color w:val="242424"/>
                <w:sz w:val="16"/>
              </w:rPr>
              <w:t>2024 RSUs vest in equal installments on January 18, 2025, 2026 and 2027.</w:t>
            </w:r>
          </w:p>
          <w:p>
            <w:pPr>
              <w:pStyle w:val="TableContents"/>
              <w:bidi w:val="0"/>
              <w:spacing w:lineRule="auto" w:line="240" w:before="0" w:after="60"/>
              <w:ind w:left="0" w:right="0" w:hanging="360"/>
              <w:jc w:val="left"/>
              <w:rPr/>
            </w:pPr>
            <w:r>
              <w:rPr>
                <w:rFonts w:ascii="Arial;sans-serif" w:hAnsi="Arial;sans-serif"/>
                <w:b w:val="false"/>
                <w:color w:val="CE1141"/>
                <w:sz w:val="13"/>
              </w:rPr>
              <w:t>(6)</w:t>
            </w:r>
            <w:r>
              <w:rPr>
                <w:rFonts w:ascii="Arial;sans-serif" w:hAnsi="Arial;sans-serif"/>
                <w:b w:val="false"/>
                <w:color w:val="242424"/>
                <w:sz w:val="16"/>
              </w:rPr>
              <w:t xml:space="preserve">2024 PSUs are eligible to vest on December 31, 2026 subject to the attainment of applicable performance objectives. The number of shares or units and the payout value reported are based upon achieving the threshold performance level, which is 50% of the PSUs granted. </w:t>
            </w:r>
          </w:p>
          <w:p>
            <w:pPr>
              <w:pStyle w:val="TableContents"/>
              <w:bidi w:val="0"/>
              <w:spacing w:lineRule="auto" w:line="240" w:before="0" w:after="60"/>
              <w:ind w:left="0" w:right="0" w:hanging="360"/>
              <w:jc w:val="left"/>
              <w:rPr/>
            </w:pPr>
            <w:r>
              <w:rPr>
                <w:rFonts w:ascii="Arial;sans-serif" w:hAnsi="Arial;sans-serif"/>
                <w:b w:val="false"/>
                <w:color w:val="CE1141"/>
                <w:sz w:val="13"/>
              </w:rPr>
              <w:t>(7)</w:t>
            </w:r>
            <w:r>
              <w:rPr>
                <w:rFonts w:ascii="Arial;sans-serif" w:hAnsi="Arial;sans-serif"/>
                <w:b w:val="false"/>
                <w:color w:val="242424"/>
                <w:sz w:val="16"/>
              </w:rPr>
              <w:t>Additional 2024 RSUs vest in full on January 18, 2027.</w:t>
            </w:r>
          </w:p>
          <w:p>
            <w:pPr>
              <w:pStyle w:val="TableContents"/>
              <w:bidi w:val="0"/>
              <w:spacing w:lineRule="auto" w:line="240" w:before="0" w:after="60"/>
              <w:ind w:left="0" w:right="0" w:hanging="360"/>
              <w:jc w:val="left"/>
              <w:rPr/>
            </w:pPr>
            <w:r>
              <w:rPr>
                <w:rFonts w:ascii="Arial;sans-serif" w:hAnsi="Arial;sans-serif"/>
                <w:b w:val="false"/>
                <w:color w:val="C3002F"/>
                <w:sz w:val="13"/>
              </w:rPr>
              <w:t>(8)</w:t>
            </w:r>
            <w:r>
              <w:rPr>
                <w:rFonts w:ascii="Arial;sans-serif" w:hAnsi="Arial;sans-serif"/>
                <w:b w:val="false"/>
                <w:color w:val="242424"/>
                <w:sz w:val="16"/>
              </w:rPr>
              <w:t>Mr. Davison departed the Company effective February 6, 2024, triggering the forfeiture of 13,960 WAGE PSUs, 15,378 2023 PSUs and 4,903 2024 PSUs as well as the immediate vesting of 11,040 WAGE Program PSUs and 10,102 RSUs. Of these vested units 11,040 WAGE PSUs were distributed to Mr. Davison on January 2, 2025, and 4,507 RSUs were distributed on January 18, 2025. 4,506 RSUs and 1,089 RSUs are expected to be distributed on January 18, 2026 and January 18, 2027, respectively.</w:t>
            </w:r>
          </w:p>
        </w:tc>
      </w:tr>
    </w:tbl>
    <w:p>
      <w:pPr>
        <w:pStyle w:val="TextBody"/>
        <w:bidi w:val="0"/>
        <w:spacing w:before="0" w:after="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68325"/>
                <wp:effectExtent l="0" t="0" r="0" b="0"/>
                <wp:wrapNone/>
                <wp:docPr id="84" name="Frame5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OPTION EXERCISES AND SHARES VESTED IN 2024</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provides information about equity awards that vested, and the value realized on vesting by our NEOs during 2024.</w:t>
      </w:r>
    </w:p>
    <w:tbl>
      <w:tblPr>
        <w:tblW w:w="10205" w:type="dxa"/>
        <w:jc w:val="center"/>
        <w:tblInd w:w="0" w:type="dxa"/>
        <w:tblLayout w:type="fixed"/>
        <w:tblCellMar>
          <w:top w:w="28" w:type="dxa"/>
          <w:left w:w="28" w:type="dxa"/>
          <w:bottom w:w="28" w:type="dxa"/>
          <w:right w:w="28" w:type="dxa"/>
        </w:tblCellMar>
      </w:tblPr>
      <w:tblGrid>
        <w:gridCol w:w="969"/>
        <w:gridCol w:w="846"/>
        <w:gridCol w:w="858"/>
        <w:gridCol w:w="1416"/>
        <w:gridCol w:w="1263"/>
        <w:gridCol w:w="1268"/>
        <w:gridCol w:w="202"/>
        <w:gridCol w:w="202"/>
        <w:gridCol w:w="202"/>
        <w:gridCol w:w="1096"/>
        <w:gridCol w:w="809"/>
        <w:gridCol w:w="1074"/>
      </w:tblGrid>
      <w:tr>
        <w:trPr/>
        <w:tc>
          <w:tcPr>
            <w:tcW w:w="96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2" w:type="dxa"/>
            <w:gridSpan w:val="9"/>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Share Awards</w:t>
            </w:r>
          </w:p>
        </w:tc>
      </w:tr>
      <w:tr>
        <w:trPr/>
        <w:tc>
          <w:tcPr>
            <w:tcW w:w="2673"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Name</w:t>
            </w:r>
          </w:p>
        </w:tc>
        <w:tc>
          <w:tcPr>
            <w:tcW w:w="394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Number of Shares/Units Acquired on Vesting</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w:t>
            </w:r>
          </w:p>
        </w:tc>
        <w:tc>
          <w:tcPr>
            <w:tcW w:w="606"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Value Realized On Vesting</w:t>
            </w:r>
          </w:p>
          <w:p>
            <w:pPr>
              <w:pStyle w:val="TableContents"/>
              <w:bidi w:val="0"/>
              <w:spacing w:lineRule="auto" w:line="268" w:before="0" w:after="0"/>
              <w:ind w:left="0" w:right="0" w:hanging="180"/>
              <w:jc w:val="center"/>
              <w:rPr/>
            </w:pPr>
            <w:r>
              <w:rPr>
                <w:rFonts w:ascii="Arial;sans-serif" w:hAnsi="Arial;sans-serif"/>
                <w:b/>
                <w:color w:val="FFFFFF"/>
                <w:sz w:val="16"/>
              </w:rPr>
              <w:t>($)</w:t>
            </w:r>
            <w:r>
              <w:rPr>
                <w:rFonts w:ascii="Arial;sans-serif" w:hAnsi="Arial;sans-serif"/>
                <w:b/>
                <w:color w:val="FFFFFF"/>
                <w:sz w:val="10"/>
              </w:rPr>
              <w:t>(1)</w:t>
            </w:r>
          </w:p>
        </w:tc>
      </w:tr>
      <w:tr>
        <w:trPr/>
        <w:tc>
          <w:tcPr>
            <w:tcW w:w="2673"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Girishchandra K. Saligram</w:t>
            </w:r>
          </w:p>
        </w:tc>
        <w:tc>
          <w:tcPr>
            <w:tcW w:w="267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509,297 </w:t>
            </w:r>
          </w:p>
        </w:tc>
        <w:tc>
          <w:tcPr>
            <w:tcW w:w="126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D1D3D4" w:val="clear"/>
            <w:tcMar>
              <w:top w:w="0" w:type="dxa"/>
              <w:left w:w="0" w:type="dxa"/>
              <w:bottom w:w="0" w:type="dxa"/>
              <w:right w:w="0" w:type="dxa"/>
            </w:tcMar>
            <w:vAlign w:val="center"/>
          </w:tcPr>
          <w:p>
            <w:pPr>
              <w:pStyle w:val="TableContents"/>
              <w:bidi w:val="0"/>
              <w:spacing w:lineRule="auto" w:line="268" w:before="40" w:after="283"/>
              <w:jc w:val="right"/>
              <w:rPr>
                <w:rFonts w:ascii="Arial;sans-serif" w:hAnsi="Arial;sans-serif"/>
                <w:b w:val="false"/>
                <w:color w:val="242424"/>
                <w:sz w:val="10"/>
              </w:rPr>
            </w:pPr>
            <w:r>
              <w:rPr>
                <w:rFonts w:ascii="Arial;sans-serif" w:hAnsi="Arial;sans-serif"/>
                <w:b w:val="false"/>
                <w:color w:val="242424"/>
                <w:sz w:val="10"/>
              </w:rPr>
              <w:t>(2)</w:t>
            </w:r>
          </w:p>
        </w:tc>
        <w:tc>
          <w:tcPr>
            <w:tcW w:w="190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37,653,523 </w:t>
            </w:r>
          </w:p>
        </w:tc>
        <w:tc>
          <w:tcPr>
            <w:tcW w:w="1074"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Scott C. Weatherholt</w:t>
            </w:r>
          </w:p>
        </w:tc>
        <w:tc>
          <w:tcPr>
            <w:tcW w:w="26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110,820 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right"/>
              <w:rPr>
                <w:rFonts w:ascii="Arial;sans-serif" w:hAnsi="Arial;sans-serif"/>
                <w:b w:val="false"/>
                <w:color w:val="242424"/>
                <w:sz w:val="10"/>
              </w:rPr>
            </w:pPr>
            <w:r>
              <w:rPr>
                <w:rFonts w:ascii="Arial;sans-serif" w:hAnsi="Arial;sans-serif"/>
                <w:b w:val="false"/>
                <w:color w:val="242424"/>
                <w:sz w:val="10"/>
              </w:rPr>
              <w:t>(3)</w:t>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8,234,416 </w:t>
            </w:r>
          </w:p>
        </w:tc>
        <w:tc>
          <w:tcPr>
            <w:tcW w:w="10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3"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Richard D. Ward</w:t>
            </w:r>
          </w:p>
        </w:tc>
        <w:tc>
          <w:tcPr>
            <w:tcW w:w="267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6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74"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Desmond J. Mills</w:t>
            </w:r>
          </w:p>
        </w:tc>
        <w:tc>
          <w:tcPr>
            <w:tcW w:w="26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41,540 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right"/>
              <w:rPr>
                <w:rFonts w:ascii="Arial;sans-serif" w:hAnsi="Arial;sans-serif"/>
                <w:b w:val="false"/>
                <w:color w:val="242424"/>
                <w:sz w:val="10"/>
              </w:rPr>
            </w:pPr>
            <w:r>
              <w:rPr>
                <w:rFonts w:ascii="Arial;sans-serif" w:hAnsi="Arial;sans-serif"/>
                <w:b w:val="false"/>
                <w:color w:val="242424"/>
                <w:sz w:val="10"/>
              </w:rPr>
              <w:t>(4)</w:t>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3,089,877 </w:t>
            </w:r>
          </w:p>
        </w:tc>
        <w:tc>
          <w:tcPr>
            <w:tcW w:w="10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3"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Arunava Mitra</w:t>
            </w:r>
          </w:p>
        </w:tc>
        <w:tc>
          <w:tcPr>
            <w:tcW w:w="267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44,306 </w:t>
            </w:r>
          </w:p>
        </w:tc>
        <w:tc>
          <w:tcPr>
            <w:tcW w:w="126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D1D3D4" w:val="clear"/>
            <w:tcMar>
              <w:top w:w="0" w:type="dxa"/>
              <w:left w:w="0" w:type="dxa"/>
              <w:bottom w:w="0" w:type="dxa"/>
              <w:right w:w="0" w:type="dxa"/>
            </w:tcMar>
            <w:vAlign w:val="center"/>
          </w:tcPr>
          <w:p>
            <w:pPr>
              <w:pStyle w:val="TableContents"/>
              <w:bidi w:val="0"/>
              <w:spacing w:lineRule="auto" w:line="268" w:before="40" w:after="283"/>
              <w:jc w:val="right"/>
              <w:rPr>
                <w:rFonts w:ascii="Arial;sans-serif" w:hAnsi="Arial;sans-serif"/>
                <w:b w:val="false"/>
                <w:color w:val="242424"/>
                <w:sz w:val="10"/>
              </w:rPr>
            </w:pPr>
            <w:r>
              <w:rPr>
                <w:rFonts w:ascii="Arial;sans-serif" w:hAnsi="Arial;sans-serif"/>
                <w:b w:val="false"/>
                <w:color w:val="242424"/>
                <w:sz w:val="10"/>
              </w:rPr>
              <w:t>(5)</w:t>
            </w:r>
          </w:p>
        </w:tc>
        <w:tc>
          <w:tcPr>
            <w:tcW w:w="190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3,292,117 </w:t>
            </w:r>
          </w:p>
        </w:tc>
        <w:tc>
          <w:tcPr>
            <w:tcW w:w="1074"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Charles W. Davison, Jr.</w:t>
            </w:r>
          </w:p>
        </w:tc>
        <w:tc>
          <w:tcPr>
            <w:tcW w:w="2679"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24,560 </w:t>
            </w:r>
          </w:p>
        </w:tc>
        <w:tc>
          <w:tcPr>
            <w:tcW w:w="1268"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68" w:before="40" w:after="283"/>
              <w:jc w:val="right"/>
              <w:rPr>
                <w:rFonts w:ascii="Arial;sans-serif" w:hAnsi="Arial;sans-serif"/>
                <w:b w:val="false"/>
                <w:color w:val="242424"/>
                <w:sz w:val="10"/>
              </w:rPr>
            </w:pPr>
            <w:r>
              <w:rPr>
                <w:rFonts w:ascii="Arial;sans-serif" w:hAnsi="Arial;sans-serif"/>
                <w:b w:val="false"/>
                <w:color w:val="242424"/>
                <w:sz w:val="10"/>
              </w:rPr>
              <w:t>(6)</w:t>
            </w:r>
          </w:p>
        </w:tc>
        <w:tc>
          <w:tcPr>
            <w:tcW w:w="1905"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2,176,943 </w:t>
            </w:r>
          </w:p>
        </w:tc>
        <w:tc>
          <w:tcPr>
            <w:tcW w:w="1074"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B6B6B6"/>
            </w:tcBorders>
            <w:tcMar>
              <w:top w:w="3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6"/>
              </w:rPr>
              <w:t>(1)</w:t>
            </w:r>
            <w:r>
              <w:rPr>
                <w:rFonts w:ascii="Arial;sans-serif" w:hAnsi="Arial;sans-serif"/>
                <w:b w:val="false"/>
                <w:color w:val="242424"/>
                <w:sz w:val="16"/>
              </w:rPr>
              <w:t>Calculated by multiplying the number of ordinary shares by the closing price of our ordinary shares on the date of vest, plus the amount of corresponding dividend equivalent rights paid in cash upon vesting. The vest date marks the time when the awards are no longer at risk of forfeiture, which was December 31, 2024 for the WAGE PSUs and the 2022 PSUs. The WAGE PSUs and 2022 PSUs were not distributed until January 2, 2025 and February 6, 2025, respectively, following the Committee’s certification of the relevant performance results.</w:t>
            </w:r>
          </w:p>
          <w:p>
            <w:pPr>
              <w:pStyle w:val="TableContents"/>
              <w:bidi w:val="0"/>
              <w:spacing w:lineRule="auto" w:line="240"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Includes 41,034 RSUs vested on January 18, 2024, 237,529 WAGE Program PSUs vested on December 31, 2024 and 230,734 2022 PSUs vested on December 31, 2024.</w:t>
            </w:r>
          </w:p>
          <w:p>
            <w:pPr>
              <w:pStyle w:val="TableContents"/>
              <w:bidi w:val="0"/>
              <w:spacing w:lineRule="auto" w:line="240" w:before="0" w:after="60"/>
              <w:ind w:left="0" w:right="0" w:hanging="360"/>
              <w:jc w:val="left"/>
              <w:rPr/>
            </w:pPr>
            <w:r>
              <w:rPr>
                <w:rFonts w:ascii="Arial;sans-serif" w:hAnsi="Arial;sans-serif"/>
                <w:b w:val="false"/>
                <w:color w:val="CE1141"/>
                <w:sz w:val="16"/>
              </w:rPr>
              <w:t>(3)</w:t>
            </w:r>
            <w:r>
              <w:rPr>
                <w:rFonts w:ascii="Arial;sans-serif" w:hAnsi="Arial;sans-serif"/>
                <w:b w:val="false"/>
                <w:color w:val="242424"/>
                <w:sz w:val="16"/>
              </w:rPr>
              <w:t>Includes 10,772 RSUs vested on January 18, 2024, 60,570 WAGE Program PSUs vested December 31, 2024, and 39,478 2022 PSUs vested December 31, 2024.</w:t>
            </w:r>
          </w:p>
          <w:p>
            <w:pPr>
              <w:pStyle w:val="TableContents"/>
              <w:bidi w:val="0"/>
              <w:spacing w:lineRule="auto" w:line="240"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Includes 4,184 RSUs vested on January 18, 2024, 27,102 WAGE Program PSUs vested December 31, 2024, and 10,254 2022 PSUs vested December 31, 2024.</w:t>
            </w:r>
          </w:p>
          <w:p>
            <w:pPr>
              <w:pStyle w:val="TableContents"/>
              <w:bidi w:val="0"/>
              <w:spacing w:lineRule="auto" w:line="240" w:before="0" w:after="60"/>
              <w:ind w:left="0" w:right="0" w:hanging="360"/>
              <w:jc w:val="left"/>
              <w:rPr/>
            </w:pPr>
            <w:r>
              <w:rPr>
                <w:rFonts w:ascii="Arial;sans-serif" w:hAnsi="Arial;sans-serif"/>
                <w:b w:val="false"/>
                <w:color w:val="CE1141"/>
                <w:sz w:val="16"/>
              </w:rPr>
              <w:t>(5)</w:t>
            </w:r>
            <w:r>
              <w:rPr>
                <w:rFonts w:ascii="Arial;sans-serif" w:hAnsi="Arial;sans-serif"/>
                <w:b w:val="false"/>
                <w:color w:val="242424"/>
                <w:sz w:val="16"/>
              </w:rPr>
              <w:t>Includes 4,306 RSUs vested on January 18, 2024, and 40,000 WAGE Program PSUs vested on December 31, 2024.</w:t>
            </w:r>
          </w:p>
          <w:p>
            <w:pPr>
              <w:pStyle w:val="TableContents"/>
              <w:bidi w:val="0"/>
              <w:spacing w:lineRule="auto" w:line="240" w:before="0" w:after="60"/>
              <w:ind w:left="0" w:right="0" w:hanging="360"/>
              <w:jc w:val="left"/>
              <w:rPr/>
            </w:pPr>
            <w:r>
              <w:rPr>
                <w:rFonts w:ascii="Arial;sans-serif" w:hAnsi="Arial;sans-serif"/>
                <w:b w:val="false"/>
                <w:color w:val="CE1141"/>
                <w:sz w:val="16"/>
              </w:rPr>
              <w:t>(6)</w:t>
            </w:r>
            <w:r>
              <w:rPr>
                <w:rFonts w:ascii="Arial;sans-serif" w:hAnsi="Arial;sans-serif"/>
                <w:b w:val="false"/>
                <w:color w:val="242424"/>
                <w:sz w:val="16"/>
              </w:rPr>
              <w:t>Includes 3,418 RSUs vested on January 18, 2024, as well as 11,040 WAGE Program PSUs and 10,102 RSUs that vested in connection with Mr. Davison’s departure from the Company on February 6, 2024. Of these vested units 11,040 WAGE PSUs were distributed to Mr. Davison on January 2, 2025, and 4,507 RSUs were distributed on January 18, 2025. The remaining 4,506 RSUs and 1,089 RSUs are expected to be distributed on January 18, 2026 and January 18, 2027, respectively.</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68325"/>
                <wp:effectExtent l="0" t="0" r="0" b="0"/>
                <wp:wrapNone/>
                <wp:docPr id="85" name="Frame5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POTENTIAL PAYMENTS UPON TERMINATION OR CHANGE OF CONTROL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lists the compensation and benefits that Weatherford would provide to our current NEOs in various scenarios involving a termination of employment or upon a change of control. It is always possible that different arrangements could be negotiated in connection with an actual termination of employment or change of control. Compensation and benefits generally available to salaried employees are not included in the below. As described previously in this Proxy Statement, all NEOs are covered under our Executive Severance Plan and CIC Severance Plan. The following summary is qualified in its entirety by the terms of the applicable Executive Severance Plan, CIC Severance Plan and the 2019 EIP, each as in effect as of December 31, 2024, and the applicable individual award agreements entered into with each NEO.</w:t>
      </w:r>
    </w:p>
    <w:tbl>
      <w:tblPr>
        <w:tblW w:w="10205" w:type="dxa"/>
        <w:jc w:val="left"/>
        <w:tblInd w:w="0" w:type="dxa"/>
        <w:tblLayout w:type="fixed"/>
        <w:tblCellMar>
          <w:top w:w="28" w:type="dxa"/>
          <w:left w:w="28" w:type="dxa"/>
          <w:bottom w:w="28" w:type="dxa"/>
          <w:right w:w="28" w:type="dxa"/>
        </w:tblCellMar>
      </w:tblPr>
      <w:tblGrid>
        <w:gridCol w:w="489"/>
        <w:gridCol w:w="429"/>
        <w:gridCol w:w="430"/>
        <w:gridCol w:w="373"/>
        <w:gridCol w:w="373"/>
        <w:gridCol w:w="374"/>
        <w:gridCol w:w="512"/>
        <w:gridCol w:w="306"/>
        <w:gridCol w:w="307"/>
        <w:gridCol w:w="788"/>
        <w:gridCol w:w="301"/>
        <w:gridCol w:w="289"/>
        <w:gridCol w:w="795"/>
        <w:gridCol w:w="288"/>
        <w:gridCol w:w="294"/>
        <w:gridCol w:w="389"/>
        <w:gridCol w:w="389"/>
        <w:gridCol w:w="390"/>
        <w:gridCol w:w="785"/>
        <w:gridCol w:w="262"/>
        <w:gridCol w:w="262"/>
        <w:gridCol w:w="750"/>
        <w:gridCol w:w="255"/>
        <w:gridCol w:w="375"/>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21"/>
            <w:tcBorders>
              <w:bottom w:val="single" w:sz="8" w:space="0" w:color="FFFFFF"/>
            </w:tcBorders>
            <w:shd w:fill="CE1141" w:val="clear"/>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 Change in Control Scenarios</w:t>
            </w:r>
          </w:p>
        </w:tc>
      </w:tr>
      <w:tr>
        <w:trPr/>
        <w:tc>
          <w:tcPr>
            <w:tcW w:w="1348"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Resignation or Termination with Cause</w:t>
            </w:r>
          </w:p>
        </w:tc>
        <w:tc>
          <w:tcPr>
            <w:tcW w:w="112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Death or Disability</w:t>
            </w:r>
          </w:p>
        </w:tc>
        <w:tc>
          <w:tcPr>
            <w:tcW w:w="2755"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Cause or Resignation for Good Reason</w:t>
            </w:r>
          </w:p>
        </w:tc>
        <w:tc>
          <w:tcPr>
            <w:tcW w:w="116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without Termination of Employment</w:t>
            </w:r>
          </w:p>
        </w:tc>
        <w:tc>
          <w:tcPr>
            <w:tcW w:w="2689"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 Termination without Cause or Resignation for Good Reason</w:t>
            </w:r>
          </w:p>
        </w:tc>
      </w:tr>
      <w:tr>
        <w:trPr/>
        <w:tc>
          <w:tcPr>
            <w:tcW w:w="1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Compensation Elements</w:t>
            </w:r>
          </w:p>
        </w:tc>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3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CEO</w:t>
            </w:r>
          </w:p>
        </w:tc>
        <w:tc>
          <w:tcPr>
            <w:tcW w:w="13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NEOs other than CEO</w:t>
            </w:r>
          </w:p>
        </w:tc>
        <w:tc>
          <w:tcPr>
            <w:tcW w:w="11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CEO</w:t>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NEOs other than CEO</w:t>
            </w:r>
          </w:p>
        </w:tc>
      </w:tr>
      <w:tr>
        <w:trPr/>
        <w:tc>
          <w:tcPr>
            <w:tcW w:w="1348" w:type="dxa"/>
            <w:gridSpan w:val="3"/>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Base Salary</w:t>
            </w:r>
          </w:p>
        </w:tc>
        <w:tc>
          <w:tcPr>
            <w:tcW w:w="1120" w:type="dxa"/>
            <w:gridSpan w:val="3"/>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Paid through date of termination</w:t>
            </w:r>
            <w:r>
              <w:rPr>
                <w:rFonts w:ascii="Arial;sans-serif" w:hAnsi="Arial;sans-serif"/>
                <w:b w:val="false"/>
                <w:color w:val="242424"/>
                <w:sz w:val="10"/>
              </w:rPr>
              <w:t>(1)</w:t>
            </w:r>
          </w:p>
        </w:tc>
        <w:tc>
          <w:tcPr>
            <w:tcW w:w="1125" w:type="dxa"/>
            <w:gridSpan w:val="3"/>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Paid through date of termination</w:t>
            </w:r>
            <w:r>
              <w:rPr>
                <w:rFonts w:ascii="Arial;sans-serif" w:hAnsi="Arial;sans-serif"/>
                <w:b w:val="false"/>
                <w:color w:val="242424"/>
                <w:sz w:val="10"/>
              </w:rPr>
              <w:t>(1)</w:t>
            </w:r>
          </w:p>
        </w:tc>
        <w:tc>
          <w:tcPr>
            <w:tcW w:w="1378" w:type="dxa"/>
            <w:gridSpan w:val="3"/>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Paid through date of termination</w:t>
            </w:r>
          </w:p>
        </w:tc>
        <w:tc>
          <w:tcPr>
            <w:tcW w:w="1377" w:type="dxa"/>
            <w:gridSpan w:val="3"/>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Paid through date of termination</w:t>
            </w:r>
          </w:p>
        </w:tc>
        <w:tc>
          <w:tcPr>
            <w:tcW w:w="1168" w:type="dxa"/>
            <w:gridSpan w:val="3"/>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Continues</w:t>
            </w:r>
          </w:p>
        </w:tc>
        <w:tc>
          <w:tcPr>
            <w:tcW w:w="1309" w:type="dxa"/>
            <w:gridSpan w:val="3"/>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Paid through date of termination</w:t>
            </w:r>
          </w:p>
        </w:tc>
        <w:tc>
          <w:tcPr>
            <w:tcW w:w="1380" w:type="dxa"/>
            <w:gridSpan w:val="3"/>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Paid through date of termination</w:t>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Cash Severance</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(1)</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None</w:t>
            </w:r>
            <w:r>
              <w:rPr>
                <w:rFonts w:ascii="Arial;sans-serif" w:hAnsi="Arial;sans-serif"/>
                <w:b w:val="false"/>
                <w:color w:val="242424"/>
                <w:sz w:val="10"/>
              </w:rPr>
              <w:t>(1)</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(a) 1.5x the sum of the Base Salary plus Annual Bonus at target; and (b) the target Annual Bonus for the current fiscal year prorated for the number of days in the current fiscal year through the termination date</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(a) 1.0x the sum of the Base Salary plus Annual Bonus at target; and (b) the target Annual Bonus for the current fiscal year prorated for the number of days in the current fiscal year through the termination date</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None</w:t>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(a) 2.5x the sum of the Base Salary plus Annual Bonus at target; and (b) the target Annual Bonus for the current fiscal year prorated for the number of days in the current fiscal year through the termination date</w:t>
            </w:r>
            <w:r>
              <w:rPr>
                <w:rFonts w:ascii="Arial;sans-serif" w:hAnsi="Arial;sans-serif"/>
                <w:b w:val="false"/>
                <w:color w:val="242424"/>
                <w:sz w:val="10"/>
              </w:rPr>
              <w:t>(2)</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(a) 2.0x (1.5x for Mr. Mills) the sum of the Base Salary plus Annual Bonus at target; and (b) the target Annual Bonus for the current fiscal year prorated for the number of days in the current fiscal year through the termination date</w:t>
            </w:r>
            <w:r>
              <w:rPr>
                <w:rFonts w:ascii="Arial;sans-serif" w:hAnsi="Arial;sans-serif"/>
                <w:b w:val="false"/>
                <w:color w:val="242424"/>
                <w:sz w:val="10"/>
              </w:rPr>
              <w:t>(2)</w:t>
            </w:r>
          </w:p>
        </w:tc>
      </w:tr>
      <w:tr>
        <w:trPr/>
        <w:tc>
          <w:tcPr>
            <w:tcW w:w="134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STI Plan – 2024 Short-Term Cash Incentive Compensation</w:t>
            </w:r>
          </w:p>
        </w:tc>
        <w:tc>
          <w:tcPr>
            <w:tcW w:w="112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(3)</w:t>
            </w:r>
          </w:p>
        </w:tc>
        <w:tc>
          <w:tcPr>
            <w:tcW w:w="112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(3)</w:t>
            </w:r>
          </w:p>
        </w:tc>
        <w:tc>
          <w:tcPr>
            <w:tcW w:w="13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 except that a Participant who is terminated without cause after the end of the plan year but prior to the relevant payment date will be entitled to payment</w:t>
            </w:r>
            <w:r>
              <w:rPr>
                <w:rFonts w:ascii="Arial;sans-serif" w:hAnsi="Arial;sans-serif"/>
                <w:b w:val="false"/>
                <w:color w:val="242424"/>
                <w:sz w:val="10"/>
              </w:rPr>
              <w:t>(3)</w:t>
            </w:r>
          </w:p>
        </w:tc>
        <w:tc>
          <w:tcPr>
            <w:tcW w:w="1377"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 except that a Participant who is terminated without cause after the end of the plan year but prior to the relevant payment date will be entitled to payment</w:t>
            </w:r>
            <w:r>
              <w:rPr>
                <w:rFonts w:ascii="Arial;sans-serif" w:hAnsi="Arial;sans-serif"/>
                <w:b w:val="false"/>
                <w:color w:val="242424"/>
                <w:sz w:val="10"/>
              </w:rPr>
              <w:t>(3)</w:t>
            </w:r>
          </w:p>
        </w:tc>
        <w:tc>
          <w:tcPr>
            <w:tcW w:w="116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Continues</w:t>
            </w:r>
            <w:r>
              <w:rPr>
                <w:rFonts w:ascii="Arial;sans-serif" w:hAnsi="Arial;sans-serif"/>
                <w:b w:val="false"/>
                <w:color w:val="242424"/>
                <w:sz w:val="10"/>
              </w:rPr>
              <w:t>(3)</w:t>
            </w:r>
          </w:p>
        </w:tc>
        <w:tc>
          <w:tcPr>
            <w:tcW w:w="130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 except that a Participant who is terminated without cause after the end of the plan year but prior to the relevant payment date will be entitled to payment</w:t>
            </w:r>
            <w:r>
              <w:rPr>
                <w:rFonts w:ascii="Arial;sans-serif" w:hAnsi="Arial;sans-serif"/>
                <w:b w:val="false"/>
                <w:color w:val="242424"/>
                <w:sz w:val="10"/>
              </w:rPr>
              <w:t>(3)</w:t>
            </w:r>
          </w:p>
        </w:tc>
        <w:tc>
          <w:tcPr>
            <w:tcW w:w="138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 except that a Participant who is terminated without cause after the end of the plan year but prior to the relevant payment date will be entitled to payment</w:t>
            </w:r>
            <w:r>
              <w:rPr>
                <w:rFonts w:ascii="Arial;sans-serif" w:hAnsi="Arial;sans-serif"/>
                <w:b w:val="false"/>
                <w:color w:val="242424"/>
                <w:sz w:val="10"/>
              </w:rPr>
              <w:t>(3)</w:t>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2022 RSUs</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Pro-rated vesting of next unvested tranche</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Pro-rated vesting of next unvested tranche</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No accelerated vesting</w:t>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r>
      <w:tr>
        <w:trPr/>
        <w:tc>
          <w:tcPr>
            <w:tcW w:w="1348"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16"/>
              </w:rPr>
            </w:pPr>
            <w:r>
              <w:rPr>
                <w:rFonts w:ascii="Arial;sans-serif" w:hAnsi="Arial;sans-serif"/>
                <w:b/>
                <w:color w:val="242424"/>
                <w:sz w:val="16"/>
              </w:rPr>
              <w:t>2023 RSUs</w:t>
            </w:r>
          </w:p>
        </w:tc>
        <w:tc>
          <w:tcPr>
            <w:tcW w:w="112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w:t>
            </w:r>
          </w:p>
        </w:tc>
        <w:tc>
          <w:tcPr>
            <w:tcW w:w="112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78"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377"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168"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30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8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16"/>
              </w:rPr>
            </w:pPr>
            <w:r>
              <w:rPr>
                <w:rFonts w:ascii="Arial;sans-serif" w:hAnsi="Arial;sans-serif"/>
                <w:b/>
                <w:color w:val="242424"/>
                <w:sz w:val="16"/>
              </w:rPr>
              <w:t>2023 PSUs</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Vest at the end of the Performance Period based on actual performance</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termination occurs prior to third year of the Performance Period; if termination occurs during the third year of the Performance Period, a pro-rated portion of the Award shall remain eligible to vest at the end of the Performance Period based on actual performance</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termination occurs prior to third year of the Performance Period; if termination occurs during the third year of the Performance Period, a pro-rated portion of the Award shall remain eligible to vest at the end of the Performance Period based on actual performance</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Continues</w:t>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68325"/>
                <wp:effectExtent l="0" t="0" r="0" b="0"/>
                <wp:wrapNone/>
                <wp:docPr id="86" name="Frame5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tbl>
      <w:tblPr>
        <w:tblW w:w="10205" w:type="dxa"/>
        <w:jc w:val="left"/>
        <w:tblInd w:w="0" w:type="dxa"/>
        <w:tblLayout w:type="fixed"/>
        <w:tblCellMar>
          <w:top w:w="28" w:type="dxa"/>
          <w:left w:w="28" w:type="dxa"/>
          <w:bottom w:w="28" w:type="dxa"/>
          <w:right w:w="28" w:type="dxa"/>
        </w:tblCellMar>
      </w:tblPr>
      <w:tblGrid>
        <w:gridCol w:w="478"/>
        <w:gridCol w:w="419"/>
        <w:gridCol w:w="420"/>
        <w:gridCol w:w="373"/>
        <w:gridCol w:w="373"/>
        <w:gridCol w:w="374"/>
        <w:gridCol w:w="513"/>
        <w:gridCol w:w="306"/>
        <w:gridCol w:w="307"/>
        <w:gridCol w:w="644"/>
        <w:gridCol w:w="451"/>
        <w:gridCol w:w="292"/>
        <w:gridCol w:w="711"/>
        <w:gridCol w:w="378"/>
        <w:gridCol w:w="298"/>
        <w:gridCol w:w="390"/>
        <w:gridCol w:w="390"/>
        <w:gridCol w:w="391"/>
        <w:gridCol w:w="788"/>
        <w:gridCol w:w="266"/>
        <w:gridCol w:w="266"/>
        <w:gridCol w:w="749"/>
        <w:gridCol w:w="254"/>
        <w:gridCol w:w="37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21"/>
            <w:tcBorders>
              <w:bottom w:val="single" w:sz="8" w:space="0" w:color="FFFFFF"/>
            </w:tcBorders>
            <w:shd w:fill="CE1141" w:val="clear"/>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 Change in Control Scenarios</w:t>
            </w:r>
          </w:p>
        </w:tc>
      </w:tr>
      <w:tr>
        <w:trPr/>
        <w:tc>
          <w:tcPr>
            <w:tcW w:w="131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Resignation or Termination with Cause</w:t>
            </w:r>
          </w:p>
        </w:tc>
        <w:tc>
          <w:tcPr>
            <w:tcW w:w="1126"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Death or Disability</w:t>
            </w:r>
          </w:p>
        </w:tc>
        <w:tc>
          <w:tcPr>
            <w:tcW w:w="2774"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Cause or Resignation for Good Reason</w:t>
            </w:r>
          </w:p>
        </w:tc>
        <w:tc>
          <w:tcPr>
            <w:tcW w:w="1171"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without Termination of Employment</w:t>
            </w:r>
          </w:p>
        </w:tc>
        <w:tc>
          <w:tcPr>
            <w:tcW w:w="2697"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 Termination without Cause or Resignation for Good Reason</w:t>
            </w:r>
          </w:p>
        </w:tc>
      </w:tr>
      <w:tr>
        <w:trPr/>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Compensation Elements</w:t>
            </w:r>
          </w:p>
        </w:tc>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CEO</w:t>
            </w:r>
          </w:p>
        </w:tc>
        <w:tc>
          <w:tcPr>
            <w:tcW w:w="1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NEOs other than CEO</w:t>
            </w:r>
          </w:p>
        </w:tc>
        <w:tc>
          <w:tcPr>
            <w:tcW w:w="11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CEO</w:t>
            </w:r>
          </w:p>
        </w:tc>
        <w:tc>
          <w:tcPr>
            <w:tcW w:w="13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NEOs other than CEO</w:t>
            </w:r>
          </w:p>
        </w:tc>
      </w:tr>
      <w:tr>
        <w:trPr/>
        <w:tc>
          <w:tcPr>
            <w:tcW w:w="1317"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16"/>
              </w:rPr>
            </w:pPr>
            <w:r>
              <w:rPr>
                <w:rFonts w:ascii="Arial;sans-serif" w:hAnsi="Arial;sans-serif"/>
                <w:b/>
                <w:color w:val="242424"/>
                <w:sz w:val="16"/>
              </w:rPr>
              <w:t>2024 RSUs</w:t>
            </w:r>
          </w:p>
        </w:tc>
        <w:tc>
          <w:tcPr>
            <w:tcW w:w="112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 except in the case of qualifying retirements</w:t>
            </w:r>
            <w:r>
              <w:rPr>
                <w:rFonts w:ascii="Arial;sans-serif" w:hAnsi="Arial;sans-serif"/>
                <w:b w:val="false"/>
                <w:color w:val="242424"/>
                <w:sz w:val="10"/>
              </w:rPr>
              <w:t>(4)</w:t>
            </w:r>
          </w:p>
        </w:tc>
        <w:tc>
          <w:tcPr>
            <w:tcW w:w="112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87"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387"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17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32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77"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16"/>
              </w:rPr>
            </w:pPr>
            <w:r>
              <w:rPr>
                <w:rFonts w:ascii="Arial;sans-serif" w:hAnsi="Arial;sans-serif"/>
                <w:b/>
                <w:color w:val="242424"/>
                <w:sz w:val="16"/>
              </w:rPr>
              <w:t>2024 PSUs</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 except in the case of qualifying retirements</w:t>
            </w:r>
            <w:r>
              <w:rPr>
                <w:rFonts w:ascii="Arial;sans-serif" w:hAnsi="Arial;sans-serif"/>
                <w:b w:val="false"/>
                <w:color w:val="242424"/>
                <w:sz w:val="10"/>
              </w:rPr>
              <w:t>(4)</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Vest at the end of the Performance Period based on actual performance</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termination occurs prior to third year of the Performance Period; if termination occurs during the third year of the Performance Period, a pro-rated portion of the Award shall remain eligible to vest at the end of the Performance Period based on actual performance</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termination occurs prior to third year of the Performance Period; if termination occurs during the third year of the Performance Period, a pro-rated portion of the Award shall remain eligible to vest at the end of the Performance Period based on actual performance</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Continues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r>
              <w:rPr>
                <w:rFonts w:ascii="Arial;sans-serif" w:hAnsi="Arial;sans-serif"/>
                <w:b w:val="false"/>
                <w:color w:val="242424"/>
                <w:sz w:val="10"/>
              </w:rPr>
              <w:t>(4)</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r>
              <w:rPr>
                <w:rFonts w:ascii="Arial;sans-serif" w:hAnsi="Arial;sans-serif"/>
                <w:b w:val="false"/>
                <w:color w:val="242424"/>
                <w:sz w:val="10"/>
              </w:rPr>
              <w:t>(4)</w:t>
            </w:r>
          </w:p>
        </w:tc>
      </w:tr>
      <w:tr>
        <w:trPr/>
        <w:tc>
          <w:tcPr>
            <w:tcW w:w="1317"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Health, Welfare and Other Benefits</w:t>
            </w:r>
          </w:p>
        </w:tc>
        <w:tc>
          <w:tcPr>
            <w:tcW w:w="1120"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None</w:t>
            </w:r>
          </w:p>
        </w:tc>
        <w:tc>
          <w:tcPr>
            <w:tcW w:w="1126"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None</w:t>
            </w:r>
          </w:p>
        </w:tc>
        <w:tc>
          <w:tcPr>
            <w:tcW w:w="1387"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18 months of continued dental and health benefits; outplacement services for a period of 6 months</w:t>
            </w:r>
          </w:p>
        </w:tc>
        <w:tc>
          <w:tcPr>
            <w:tcW w:w="1387"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12 months of continued dental and health benefits; outplacement services for a period of 6 months</w:t>
            </w:r>
          </w:p>
        </w:tc>
        <w:tc>
          <w:tcPr>
            <w:tcW w:w="1171"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Continues</w:t>
            </w:r>
          </w:p>
        </w:tc>
        <w:tc>
          <w:tcPr>
            <w:tcW w:w="1320"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2.5 years of continued dental and health benefits; outplacement services for a period of 6 months</w:t>
            </w:r>
          </w:p>
        </w:tc>
        <w:tc>
          <w:tcPr>
            <w:tcW w:w="1377"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 years (1 year for Mr. Mills) of continued dental and health benefits; outplacement services for a period of 6 months</w:t>
            </w:r>
          </w:p>
        </w:tc>
      </w:tr>
    </w:tbl>
    <w:p>
      <w:pPr>
        <w:pStyle w:val="TextBody"/>
        <w:bidi w:val="0"/>
        <w:spacing w:lineRule="auto" w:line="240" w:before="0" w:after="60"/>
        <w:ind w:left="0" w:right="0" w:hanging="360"/>
        <w:jc w:val="left"/>
        <w:rPr/>
      </w:pPr>
      <w:r>
        <w:rPr>
          <w:rFonts w:ascii="Arial;sans-serif" w:hAnsi="Arial;sans-serif"/>
          <w:b w:val="false"/>
          <w:color w:val="CE1141"/>
          <w:sz w:val="13"/>
        </w:rPr>
        <w:t>(1)</w:t>
      </w:r>
      <w:r>
        <w:rPr>
          <w:rFonts w:ascii="Arial;sans-serif" w:hAnsi="Arial;sans-serif"/>
          <w:b w:val="false"/>
          <w:color w:val="242424"/>
          <w:sz w:val="16"/>
        </w:rPr>
        <w:t>Under the Executive Severance Plan, benefits are only payable in the event of a “Qualifying Termination” which is defined as a termination by the Company without “Cause” or by the participant for “Good Reason” (each as defined in the Executive Severance Plan).</w:t>
      </w:r>
    </w:p>
    <w:p>
      <w:pPr>
        <w:pStyle w:val="TextBody"/>
        <w:bidi w:val="0"/>
        <w:spacing w:lineRule="auto" w:line="240" w:before="0" w:after="60"/>
        <w:ind w:left="0" w:right="0" w:hanging="360"/>
        <w:jc w:val="left"/>
        <w:rPr/>
      </w:pPr>
      <w:r>
        <w:rPr>
          <w:rFonts w:ascii="Arial;sans-serif" w:hAnsi="Arial;sans-serif"/>
          <w:b w:val="false"/>
          <w:color w:val="CE1141"/>
          <w:sz w:val="13"/>
        </w:rPr>
        <w:t>(2)</w:t>
      </w:r>
      <w:r>
        <w:rPr>
          <w:rFonts w:ascii="Arial;sans-serif" w:hAnsi="Arial;sans-serif"/>
          <w:b w:val="false"/>
          <w:color w:val="242424"/>
          <w:sz w:val="16"/>
        </w:rPr>
        <w:t>Under the terms of the CIC Severance Plan, “Annual Bonus” is defined as the NEO’s annual bonus under the then-current non-equity incentive compensation plan.</w:t>
      </w:r>
    </w:p>
    <w:p>
      <w:pPr>
        <w:pStyle w:val="TextBody"/>
        <w:bidi w:val="0"/>
        <w:spacing w:lineRule="auto" w:line="240" w:before="0" w:after="60"/>
        <w:ind w:left="0" w:right="0" w:hanging="360"/>
        <w:jc w:val="left"/>
        <w:rPr/>
      </w:pPr>
      <w:r>
        <w:rPr>
          <w:rFonts w:ascii="sans-serif" w:hAnsi="sans-serif"/>
          <w:b w:val="false"/>
          <w:color w:val="CE1141"/>
          <w:sz w:val="14"/>
        </w:rPr>
        <w:t>(3)</w:t>
      </w:r>
      <w:r>
        <w:rPr>
          <w:rFonts w:ascii="Arial;sans-serif" w:hAnsi="Arial;sans-serif"/>
          <w:b w:val="false"/>
          <w:color w:val="242424"/>
          <w:sz w:val="16"/>
        </w:rPr>
        <w:t xml:space="preserve">An NEO must be continuously employed by the Company on the payment date in order to receive a payment under our STI Plans; except that a participant who is terminated without Cause after the end of the plan year but before the relevant payment date is entitled to payment. </w:t>
      </w:r>
    </w:p>
    <w:p>
      <w:pPr>
        <w:pStyle w:val="TextBody"/>
        <w:bidi w:val="0"/>
        <w:spacing w:lineRule="auto" w:line="240" w:before="0" w:after="60"/>
        <w:ind w:left="0" w:right="0" w:hanging="360"/>
        <w:jc w:val="left"/>
        <w:rPr/>
      </w:pPr>
      <w:r>
        <w:rPr>
          <w:rFonts w:ascii="Arial;sans-serif" w:hAnsi="Arial;sans-serif"/>
          <w:b w:val="false"/>
          <w:color w:val="C3002F"/>
          <w:sz w:val="13"/>
        </w:rPr>
        <w:t>(4)</w:t>
      </w:r>
      <w:r>
        <w:rPr>
          <w:rFonts w:ascii="Arial;sans-serif" w:hAnsi="Arial;sans-serif"/>
          <w:b w:val="false"/>
          <w:color w:val="242424"/>
          <w:sz w:val="16"/>
        </w:rPr>
        <w:t>2024 RSUs and 2024 PSUs will continue to vest following a participant’s voluntarily retirement more than 11 months following the Grant Date, after attainment of the age of 60, with at least ten years of service to the Company and at least six months prior written notice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68325"/>
                <wp:effectExtent l="0" t="0" r="0" b="0"/>
                <wp:wrapNone/>
                <wp:docPr id="87" name="Frame5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ESTIMATE OF POTENTIAL PAYMENTS UPON TERMINATION OR CHANGE OF CONTROL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2024, and using the closing market price of our ordinary shares as of that date. For Mr. Davison, who departed his role prior to December 31, 2024, the information in the table reflects the actual payments made in connection with his termination on February 6, 2024.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A “—” indicates either that there is no amount payable to the NEO, or the amount payable is generally available for both the NEOs and all salaried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0"/>
        <w:gridCol w:w="467"/>
        <w:gridCol w:w="468"/>
        <w:gridCol w:w="403"/>
        <w:gridCol w:w="403"/>
        <w:gridCol w:w="404"/>
        <w:gridCol w:w="114"/>
        <w:gridCol w:w="114"/>
        <w:gridCol w:w="114"/>
        <w:gridCol w:w="209"/>
        <w:gridCol w:w="1026"/>
        <w:gridCol w:w="116"/>
        <w:gridCol w:w="114"/>
        <w:gridCol w:w="114"/>
        <w:gridCol w:w="114"/>
        <w:gridCol w:w="218"/>
        <w:gridCol w:w="1071"/>
        <w:gridCol w:w="121"/>
        <w:gridCol w:w="114"/>
        <w:gridCol w:w="114"/>
        <w:gridCol w:w="114"/>
        <w:gridCol w:w="432"/>
        <w:gridCol w:w="432"/>
        <w:gridCol w:w="433"/>
        <w:gridCol w:w="114"/>
        <w:gridCol w:w="114"/>
        <w:gridCol w:w="114"/>
        <w:gridCol w:w="263"/>
        <w:gridCol w:w="1293"/>
        <w:gridCol w:w="146"/>
        <w:gridCol w:w="114"/>
        <w:gridCol w:w="114"/>
        <w:gridCol w:w="174"/>
      </w:tblGrid>
      <w:tr>
        <w:trPr/>
        <w:tc>
          <w:tcPr>
            <w:tcW w:w="53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8"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40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Girishchandra K. Saligram</w:t>
            </w:r>
          </w:p>
        </w:tc>
        <w:tc>
          <w:tcPr>
            <w:tcW w:w="1210"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42"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42"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42"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42"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40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 xml:space="preserve">Cash Severance </w:t>
            </w:r>
            <w:r>
              <w:rPr>
                <w:rFonts w:ascii="Arial;sans-serif" w:hAnsi="Arial;sans-serif"/>
                <w:b w:val="false"/>
                <w:color w:val="242424"/>
                <w:sz w:val="10"/>
              </w:rPr>
              <w:t>(1)</w:t>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6,093,750 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9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9,031,250 </w:t>
            </w:r>
          </w:p>
        </w:tc>
        <w:tc>
          <w:tcPr>
            <w:tcW w:w="1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color w:val="242424"/>
              </w:rPr>
              <w:t xml:space="preserve"> </w:t>
            </w:r>
            <w:r>
              <w:rPr>
                <w:rFonts w:ascii="Arial;sans-serif" w:hAnsi="Arial;sans-serif"/>
                <w:b w:val="false"/>
                <w:color w:val="242424"/>
                <w:sz w:val="10"/>
              </w:rPr>
              <w:t>(2)</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w:t>
            </w:r>
            <w:r>
              <w:rPr>
                <w:color w:val="242424"/>
              </w:rPr>
              <w:t xml:space="preserve"> </w:t>
            </w:r>
            <w:r>
              <w:rPr>
                <w:rFonts w:ascii="Arial;sans-serif" w:hAnsi="Arial;sans-serif"/>
                <w:b w:val="false"/>
                <w:color w:val="242424"/>
                <w:sz w:val="10"/>
              </w:rPr>
              <w:t>(3)(7)</w:t>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2,032,118 </w:t>
            </w:r>
          </w:p>
        </w:tc>
        <w:tc>
          <w:tcPr>
            <w:tcW w:w="11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1,932,178 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9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2,032,118 </w:t>
            </w:r>
          </w:p>
        </w:tc>
        <w:tc>
          <w:tcPr>
            <w:tcW w:w="1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w:t>
            </w:r>
            <w:r>
              <w:rPr>
                <w:rFonts w:ascii="Arial;sans-serif" w:hAnsi="Arial;sans-serif"/>
                <w:b w:val="false"/>
                <w:color w:val="242424"/>
                <w:sz w:val="10"/>
              </w:rPr>
              <w:t>(4)(7)</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1,855,472 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1,855,472 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1,855,472 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w:t>
            </w:r>
            <w:r>
              <w:rPr>
                <w:rFonts w:ascii="Arial;sans-serif" w:hAnsi="Arial;sans-serif"/>
                <w:b w:val="false"/>
                <w:color w:val="242424"/>
                <w:sz w:val="10"/>
              </w:rPr>
              <w:t>(5)(7)</w:t>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6,494,297 </w:t>
            </w:r>
          </w:p>
        </w:tc>
        <w:tc>
          <w:tcPr>
            <w:tcW w:w="11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9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6,494,297 </w:t>
            </w:r>
          </w:p>
        </w:tc>
        <w:tc>
          <w:tcPr>
            <w:tcW w:w="1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RSUs</w:t>
            </w:r>
            <w:r>
              <w:rPr>
                <w:rFonts w:ascii="Arial;sans-serif" w:hAnsi="Arial;sans-serif"/>
                <w:b w:val="false"/>
                <w:color w:val="242424"/>
                <w:sz w:val="10"/>
              </w:rPr>
              <w:t>(4)(7)</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2,063,062 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2,063,062 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2,063,062 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PSUs</w:t>
            </w:r>
            <w:r>
              <w:rPr>
                <w:rFonts w:ascii="Arial;sans-serif" w:hAnsi="Arial;sans-serif"/>
                <w:b w:val="false"/>
                <w:color w:val="242424"/>
                <w:sz w:val="10"/>
              </w:rPr>
              <w:t>(6)(7)</w:t>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4,813,956 </w:t>
            </w:r>
          </w:p>
        </w:tc>
        <w:tc>
          <w:tcPr>
            <w:tcW w:w="11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9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4,813,956 </w:t>
            </w:r>
          </w:p>
        </w:tc>
        <w:tc>
          <w:tcPr>
            <w:tcW w:w="1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23,577 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39,295 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06"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0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26"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17,258,905 </w:t>
            </w:r>
          </w:p>
        </w:tc>
        <w:tc>
          <w:tcPr>
            <w:tcW w:w="116"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7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11,968,039 </w:t>
            </w:r>
          </w:p>
        </w:tc>
        <w:tc>
          <w:tcPr>
            <w:tcW w:w="12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3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9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26,329,450 </w:t>
            </w:r>
          </w:p>
        </w:tc>
        <w:tc>
          <w:tcPr>
            <w:tcW w:w="146"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4"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360"/>
              <w:jc w:val="left"/>
              <w:rPr/>
            </w:pPr>
            <w:r>
              <w:rPr>
                <w:rFonts w:ascii="Arial;sans-serif" w:hAnsi="Arial;sans-serif"/>
                <w:b w:val="false"/>
                <w:color w:val="CE1141"/>
                <w:sz w:val="13"/>
              </w:rPr>
              <w:t>(1)</w:t>
            </w:r>
            <w:r>
              <w:rPr>
                <w:rFonts w:ascii="Arial;sans-serif" w:hAnsi="Arial;sans-serif"/>
                <w:b w:val="false"/>
                <w:color w:val="242424"/>
                <w:sz w:val="16"/>
              </w:rPr>
              <w:t>Under the Executive Severance Plan, an NEO is only eligible for severance payments in the event his employment is terminated by the Company without Cause or by the NEO for Good Reason.</w:t>
            </w:r>
          </w:p>
          <w:p>
            <w:pPr>
              <w:pStyle w:val="TableContents"/>
              <w:bidi w:val="0"/>
              <w:spacing w:lineRule="auto" w:line="276" w:before="0" w:after="0"/>
              <w:ind w:left="0" w:right="0" w:hanging="360"/>
              <w:jc w:val="left"/>
              <w:rPr/>
            </w:pPr>
            <w:r>
              <w:rPr>
                <w:rFonts w:ascii="Arial;sans-serif" w:hAnsi="Arial;sans-serif"/>
                <w:b w:val="false"/>
                <w:color w:val="CE1141"/>
                <w:sz w:val="13"/>
              </w:rPr>
              <w:t>(2)</w:t>
            </w:r>
            <w:r>
              <w:rPr>
                <w:rFonts w:ascii="Arial;sans-serif" w:hAnsi="Arial;sans-serif"/>
                <w:b w:val="false"/>
                <w:color w:val="242424"/>
                <w:sz w:val="16"/>
              </w:rPr>
              <w:t xml:space="preserve">Under the STI Plan, an NEO forfeits any rights to a payment if his employment with the Company terminates for any reason on or prior to December 31, 2024, the final date of the plan year. </w:t>
            </w:r>
          </w:p>
          <w:p>
            <w:pPr>
              <w:pStyle w:val="TableContents"/>
              <w:bidi w:val="0"/>
              <w:spacing w:lineRule="auto" w:line="276" w:before="0" w:after="0"/>
              <w:ind w:left="0" w:right="0" w:hanging="360"/>
              <w:jc w:val="left"/>
              <w:rPr/>
            </w:pPr>
            <w:r>
              <w:rPr>
                <w:rFonts w:ascii="Arial;sans-serif" w:hAnsi="Arial;sans-serif"/>
                <w:b w:val="false"/>
                <w:color w:val="CE1141"/>
                <w:sz w:val="13"/>
              </w:rPr>
              <w:t>(3)</w:t>
            </w:r>
            <w:r>
              <w:rPr>
                <w:rFonts w:ascii="Arial;sans-serif" w:hAnsi="Arial;sans-serif"/>
                <w:b w:val="false"/>
                <w:color w:val="242424"/>
                <w:sz w:val="16"/>
              </w:rPr>
              <w:t>2022 RSUs will accelerate and vest in the event of Death or Disability (as defined in the 2019 EIP) or a Qualifying Termination in connection with a Change in Control (“Change in Control Termination”). In the event of a Termination without Cause or for Good Reason without a Change in Control (as defined in the 2019 EIP), a pro-rated portion of the next unvested tranche will accelerate and vest.</w:t>
            </w:r>
          </w:p>
          <w:p>
            <w:pPr>
              <w:pStyle w:val="TableContents"/>
              <w:bidi w:val="0"/>
              <w:spacing w:lineRule="auto" w:line="276" w:before="0" w:after="0"/>
              <w:ind w:left="0" w:right="0" w:hanging="360"/>
              <w:jc w:val="left"/>
              <w:rPr/>
            </w:pPr>
            <w:r>
              <w:rPr>
                <w:rFonts w:ascii="Arial;sans-serif" w:hAnsi="Arial;sans-serif"/>
                <w:b w:val="false"/>
                <w:color w:val="CE1141"/>
                <w:sz w:val="13"/>
              </w:rPr>
              <w:t>(4)</w:t>
            </w:r>
            <w:r>
              <w:rPr>
                <w:rFonts w:ascii="Arial;sans-serif" w:hAnsi="Arial;sans-serif"/>
                <w:b w:val="false"/>
                <w:color w:val="242424"/>
                <w:sz w:val="16"/>
              </w:rPr>
              <w:t xml:space="preserve">2023 RSUs and 2024 RSUs will accelerate and vest in the event of Death or Disability or a Change in Control Termination. In the event of a Termination without Cause or for Good Reason without a Change in Control, all unvested 2023 and 2024 RSUs shall become vested on each vesting date as if the Participant had not incurred a termination of service prior to the applicable vesting date. </w:t>
            </w:r>
          </w:p>
          <w:p>
            <w:pPr>
              <w:pStyle w:val="TableContents"/>
              <w:bidi w:val="0"/>
              <w:spacing w:lineRule="auto" w:line="276" w:before="0" w:after="0"/>
              <w:ind w:left="0" w:right="0" w:hanging="360"/>
              <w:jc w:val="left"/>
              <w:rPr/>
            </w:pPr>
            <w:r>
              <w:rPr>
                <w:rFonts w:ascii="Arial;sans-serif" w:hAnsi="Arial;sans-serif"/>
                <w:b w:val="false"/>
                <w:color w:val="CE1141"/>
                <w:sz w:val="13"/>
              </w:rPr>
              <w:t>(5)</w:t>
            </w:r>
            <w:r>
              <w:rPr>
                <w:rFonts w:ascii="Arial;sans-serif" w:hAnsi="Arial;sans-serif"/>
                <w:b w:val="false"/>
                <w:color w:val="242424"/>
                <w:sz w:val="16"/>
              </w:rPr>
              <w:t>2023 PSUs will vest at the end of the performance period based on actual performance in the event of Death or Disability. In the case of Termination without Cause or for Good Reason, there is no amount reflected because those awards are only prorated after January 1, 2025. In the case of a Change in Control with a Termination without Cause or for Good Reason after January 18, 2024, then awards vest at the greater of target or actual achievement of the performance goals. Amounts reflect vesting at target, as actual achievement of the performance goals as of December 31, 2024 was less than target.</w:t>
            </w:r>
          </w:p>
          <w:p>
            <w:pPr>
              <w:pStyle w:val="TableContents"/>
              <w:bidi w:val="0"/>
              <w:spacing w:lineRule="auto" w:line="276" w:before="0" w:after="0"/>
              <w:ind w:left="0" w:right="0" w:hanging="360"/>
              <w:jc w:val="left"/>
              <w:rPr/>
            </w:pPr>
            <w:r>
              <w:rPr>
                <w:rFonts w:ascii="Arial;sans-serif" w:hAnsi="Arial;sans-serif"/>
                <w:b w:val="false"/>
                <w:color w:val="CE1141"/>
                <w:sz w:val="13"/>
              </w:rPr>
              <w:t>(6)</w:t>
            </w:r>
            <w:r>
              <w:rPr>
                <w:rFonts w:ascii="Arial;sans-serif" w:hAnsi="Arial;sans-serif"/>
                <w:b w:val="false"/>
                <w:color w:val="242424"/>
                <w:sz w:val="16"/>
              </w:rPr>
              <w:t>2024 PSUs will vest at the end of the performance period based on actual performance in the event of Death or Disability. In the case of Termination without Cause or for Good Reason, there is no amount reflected because those awards are only prorated after January 1, 2026. In the case of a Change in Control with a Termination without Cause or for Good Reason prior to January 18, 2025, then awards vest at target achievement of the performance goals. Amounts reflect vesting at target because the hypothetical termination date is prior to January 18, 2025 and actual achievement of the performance goals as of December 31, 2024 was less than target.</w:t>
            </w:r>
          </w:p>
          <w:p>
            <w:pPr>
              <w:pStyle w:val="TableContents"/>
              <w:bidi w:val="0"/>
              <w:spacing w:lineRule="auto" w:line="276" w:before="0" w:after="0"/>
              <w:ind w:left="0" w:right="0" w:hanging="360"/>
              <w:jc w:val="left"/>
              <w:rPr/>
            </w:pPr>
            <w:r>
              <w:rPr>
                <w:rFonts w:ascii="Arial;sans-serif" w:hAnsi="Arial;sans-serif"/>
                <w:b w:val="false"/>
                <w:color w:val="CE1141"/>
                <w:sz w:val="13"/>
              </w:rPr>
              <w:t>(7)</w:t>
            </w:r>
            <w:r>
              <w:rPr>
                <w:rFonts w:ascii="Arial;sans-serif" w:hAnsi="Arial;sans-serif"/>
                <w:b w:val="false"/>
                <w:color w:val="242424"/>
                <w:sz w:val="16"/>
              </w:rPr>
              <w:t>Equity awards are valued using the closing price of our ordinary shares on the last trading day of 2024, $71.63, plus $0.50 for accrued dividend equivalent rights.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68325"/>
                <wp:effectExtent l="0" t="0" r="0" b="0"/>
                <wp:wrapNone/>
                <wp:docPr id="88" name="Frame5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tbl>
      <w:tblPr>
        <w:tblW w:w="10205" w:type="dxa"/>
        <w:jc w:val="center"/>
        <w:tblInd w:w="0" w:type="dxa"/>
        <w:tblLayout w:type="fixed"/>
        <w:tblCellMar>
          <w:top w:w="28" w:type="dxa"/>
          <w:left w:w="28" w:type="dxa"/>
          <w:bottom w:w="28" w:type="dxa"/>
          <w:right w:w="28" w:type="dxa"/>
        </w:tblCellMar>
      </w:tblPr>
      <w:tblGrid>
        <w:gridCol w:w="638"/>
        <w:gridCol w:w="465"/>
        <w:gridCol w:w="360"/>
        <w:gridCol w:w="411"/>
        <w:gridCol w:w="411"/>
        <w:gridCol w:w="412"/>
        <w:gridCol w:w="110"/>
        <w:gridCol w:w="110"/>
        <w:gridCol w:w="110"/>
        <w:gridCol w:w="207"/>
        <w:gridCol w:w="920"/>
        <w:gridCol w:w="114"/>
        <w:gridCol w:w="110"/>
        <w:gridCol w:w="110"/>
        <w:gridCol w:w="110"/>
        <w:gridCol w:w="223"/>
        <w:gridCol w:w="994"/>
        <w:gridCol w:w="124"/>
        <w:gridCol w:w="110"/>
        <w:gridCol w:w="110"/>
        <w:gridCol w:w="110"/>
        <w:gridCol w:w="380"/>
        <w:gridCol w:w="789"/>
        <w:gridCol w:w="214"/>
        <w:gridCol w:w="110"/>
        <w:gridCol w:w="110"/>
        <w:gridCol w:w="110"/>
        <w:gridCol w:w="306"/>
        <w:gridCol w:w="1365"/>
        <w:gridCol w:w="170"/>
        <w:gridCol w:w="109"/>
        <w:gridCol w:w="109"/>
        <w:gridCol w:w="164"/>
      </w:tblGrid>
      <w:tr>
        <w:trPr/>
        <w:tc>
          <w:tcPr>
            <w:tcW w:w="63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Arunava Mitra</w:t>
            </w:r>
          </w:p>
        </w:tc>
        <w:tc>
          <w:tcPr>
            <w:tcW w:w="123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30"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30"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30"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30"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 xml:space="preserve">Cash Severance </w:t>
            </w:r>
            <w:r>
              <w:rPr>
                <w:rFonts w:ascii="Arial;sans-serif" w:hAnsi="Arial;sans-serif"/>
                <w:b w:val="false"/>
                <w:color w:val="242424"/>
                <w:sz w:val="10"/>
              </w:rPr>
              <w:t>(1)</w:t>
            </w:r>
          </w:p>
        </w:tc>
        <w:tc>
          <w:tcPr>
            <w:tcW w:w="8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4"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1,638,000 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6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2,749,500 </w:t>
            </w:r>
          </w:p>
        </w:tc>
        <w:tc>
          <w:tcPr>
            <w:tcW w:w="17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color w:val="242424"/>
              </w:rPr>
              <w:t xml:space="preserve"> </w:t>
            </w:r>
            <w:r>
              <w:rPr>
                <w:rFonts w:ascii="Arial;sans-serif" w:hAnsi="Arial;sans-serif"/>
                <w:b w:val="false"/>
                <w:color w:val="242424"/>
                <w:sz w:val="10"/>
              </w:rPr>
              <w:t>(2)</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w:t>
            </w:r>
            <w:r>
              <w:rPr>
                <w:rFonts w:ascii="Arial;sans-serif" w:hAnsi="Arial;sans-serif"/>
                <w:b w:val="false"/>
                <w:color w:val="242424"/>
                <w:sz w:val="10"/>
              </w:rPr>
              <w:t>(3)(7)</w:t>
            </w:r>
          </w:p>
        </w:tc>
        <w:tc>
          <w:tcPr>
            <w:tcW w:w="8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7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w:t>
            </w:r>
            <w:r>
              <w:rPr>
                <w:rFonts w:ascii="Arial;sans-serif" w:hAnsi="Arial;sans-serif"/>
                <w:b w:val="false"/>
                <w:color w:val="242424"/>
                <w:sz w:val="10"/>
              </w:rPr>
              <w:t>(4)(7)</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621,184 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621,184 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621,184 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w:t>
            </w:r>
            <w:r>
              <w:rPr>
                <w:rFonts w:ascii="Arial;sans-serif" w:hAnsi="Arial;sans-serif"/>
                <w:b w:val="false"/>
                <w:color w:val="242424"/>
                <w:sz w:val="10"/>
              </w:rPr>
              <w:t>(5)(7)</w:t>
            </w:r>
          </w:p>
        </w:tc>
        <w:tc>
          <w:tcPr>
            <w:tcW w:w="8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2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1,397,663 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6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1,397,663 </w:t>
            </w:r>
          </w:p>
        </w:tc>
        <w:tc>
          <w:tcPr>
            <w:tcW w:w="17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RSUs</w:t>
            </w:r>
            <w:r>
              <w:rPr>
                <w:rFonts w:ascii="Arial;sans-serif" w:hAnsi="Arial;sans-serif"/>
                <w:b w:val="false"/>
                <w:color w:val="242424"/>
                <w:sz w:val="10"/>
              </w:rPr>
              <w:t>(4)(7)</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643,688 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643,688 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643,688 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PSUs</w:t>
            </w:r>
            <w:r>
              <w:rPr>
                <w:rFonts w:ascii="Arial;sans-serif" w:hAnsi="Arial;sans-serif"/>
                <w:b w:val="false"/>
                <w:color w:val="242424"/>
                <w:sz w:val="10"/>
              </w:rPr>
              <w:t>(6)(7)</w:t>
            </w:r>
          </w:p>
        </w:tc>
        <w:tc>
          <w:tcPr>
            <w:tcW w:w="8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2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965,532 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6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965,532 </w:t>
            </w:r>
          </w:p>
        </w:tc>
        <w:tc>
          <w:tcPr>
            <w:tcW w:w="17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15,718 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31,436 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22"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20"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3,628,067 </w:t>
            </w:r>
          </w:p>
        </w:tc>
        <w:tc>
          <w:tcPr>
            <w:tcW w:w="11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2,918,590 </w:t>
            </w:r>
          </w:p>
        </w:tc>
        <w:tc>
          <w:tcPr>
            <w:tcW w:w="12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8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65"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6,409,003 </w:t>
            </w:r>
          </w:p>
        </w:tc>
        <w:tc>
          <w:tcPr>
            <w:tcW w:w="170"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3"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120"/>
              <w:jc w:val="left"/>
              <w:rPr>
                <w:rFonts w:ascii="Arial;sans-serif" w:hAnsi="Arial;sans-serif"/>
                <w:b w:val="false"/>
                <w:color w:val="242424"/>
                <w:sz w:val="16"/>
              </w:rPr>
            </w:pPr>
            <w:r>
              <w:rPr>
                <w:rFonts w:ascii="Arial;sans-serif" w:hAnsi="Arial;sans-serif"/>
                <w:b w:val="false"/>
                <w:color w:val="242424"/>
                <w:sz w:val="16"/>
              </w:rPr>
              <w:t xml:space="preserve">For footnotes, see table for Mr. Saligram, above. The above table references hypothetical payments and benefits. Mr. Mitra departed the Company on April 21, 2025, and any actual severance paid to Mr. Mitra in connection with his departure will be disclosed in our 2026 proxy statement. </w:t>
            </w:r>
          </w:p>
        </w:tc>
        <w:tc>
          <w:tcPr>
            <w:tcW w:w="382"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579"/>
        <w:gridCol w:w="442"/>
        <w:gridCol w:w="445"/>
        <w:gridCol w:w="410"/>
        <w:gridCol w:w="410"/>
        <w:gridCol w:w="412"/>
        <w:gridCol w:w="109"/>
        <w:gridCol w:w="109"/>
        <w:gridCol w:w="109"/>
        <w:gridCol w:w="205"/>
        <w:gridCol w:w="913"/>
        <w:gridCol w:w="114"/>
        <w:gridCol w:w="109"/>
        <w:gridCol w:w="109"/>
        <w:gridCol w:w="109"/>
        <w:gridCol w:w="223"/>
        <w:gridCol w:w="991"/>
        <w:gridCol w:w="124"/>
        <w:gridCol w:w="109"/>
        <w:gridCol w:w="109"/>
        <w:gridCol w:w="109"/>
        <w:gridCol w:w="381"/>
        <w:gridCol w:w="792"/>
        <w:gridCol w:w="214"/>
        <w:gridCol w:w="109"/>
        <w:gridCol w:w="109"/>
        <w:gridCol w:w="109"/>
        <w:gridCol w:w="310"/>
        <w:gridCol w:w="1380"/>
        <w:gridCol w:w="172"/>
        <w:gridCol w:w="109"/>
        <w:gridCol w:w="109"/>
        <w:gridCol w:w="162"/>
      </w:tblGrid>
      <w:tr>
        <w:trPr/>
        <w:tc>
          <w:tcPr>
            <w:tcW w:w="57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Scott C. Weatherholt</w:t>
            </w:r>
          </w:p>
        </w:tc>
        <w:tc>
          <w:tcPr>
            <w:tcW w:w="12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 xml:space="preserve">Cash Severance </w:t>
            </w:r>
            <w:r>
              <w:rPr>
                <w:rFonts w:ascii="Arial;sans-serif" w:hAnsi="Arial;sans-serif"/>
                <w:b w:val="false"/>
                <w:color w:val="242424"/>
                <w:sz w:val="10"/>
              </w:rPr>
              <w:t>(1)</w:t>
            </w:r>
          </w:p>
        </w:tc>
        <w:tc>
          <w:tcPr>
            <w:tcW w:w="82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1,400,000 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2,350,000 </w:t>
            </w:r>
          </w:p>
        </w:tc>
        <w:tc>
          <w:tcPr>
            <w:tcW w:w="17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color w:val="242424"/>
              </w:rPr>
              <w:t xml:space="preserve"> </w:t>
            </w:r>
            <w:r>
              <w:rPr>
                <w:rFonts w:ascii="Arial;sans-serif" w:hAnsi="Arial;sans-serif"/>
                <w:b w:val="false"/>
                <w:color w:val="242424"/>
                <w:sz w:val="10"/>
              </w:rPr>
              <w:t>(2)</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w:t>
            </w:r>
            <w:r>
              <w:rPr>
                <w:rFonts w:ascii="Arial;sans-serif" w:hAnsi="Arial;sans-serif"/>
                <w:b w:val="false"/>
                <w:color w:val="242424"/>
                <w:sz w:val="10"/>
              </w:rPr>
              <w:t>(3)(7)</w:t>
            </w:r>
          </w:p>
        </w:tc>
        <w:tc>
          <w:tcPr>
            <w:tcW w:w="82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521,500 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495,852 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521,500 </w:t>
            </w:r>
          </w:p>
        </w:tc>
        <w:tc>
          <w:tcPr>
            <w:tcW w:w="17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w:t>
            </w:r>
            <w:r>
              <w:rPr>
                <w:rFonts w:ascii="Arial;sans-serif" w:hAnsi="Arial;sans-serif"/>
                <w:b w:val="false"/>
                <w:color w:val="242424"/>
                <w:sz w:val="10"/>
              </w:rPr>
              <w:t>(4)(7)</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510,897 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510,897 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510,897 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w:t>
            </w:r>
            <w:r>
              <w:rPr>
                <w:rFonts w:ascii="Arial;sans-serif" w:hAnsi="Arial;sans-serif"/>
                <w:b w:val="false"/>
                <w:color w:val="242424"/>
                <w:sz w:val="10"/>
              </w:rPr>
              <w:t>(5)(7)</w:t>
            </w:r>
          </w:p>
        </w:tc>
        <w:tc>
          <w:tcPr>
            <w:tcW w:w="82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1,149,608 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1,149,608 </w:t>
            </w:r>
          </w:p>
        </w:tc>
        <w:tc>
          <w:tcPr>
            <w:tcW w:w="17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RSUs</w:t>
            </w:r>
            <w:r>
              <w:rPr>
                <w:rFonts w:ascii="Arial;sans-serif" w:hAnsi="Arial;sans-serif"/>
                <w:b w:val="false"/>
                <w:color w:val="242424"/>
                <w:sz w:val="10"/>
              </w:rPr>
              <w:t>(4)(7)</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487,238 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487,238 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487,238 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PSUs</w:t>
            </w:r>
            <w:r>
              <w:rPr>
                <w:rFonts w:ascii="Arial;sans-serif" w:hAnsi="Arial;sans-serif"/>
                <w:b w:val="false"/>
                <w:color w:val="242424"/>
                <w:sz w:val="10"/>
              </w:rPr>
              <w:t>(6)(7)</w:t>
            </w:r>
          </w:p>
        </w:tc>
        <w:tc>
          <w:tcPr>
            <w:tcW w:w="82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730,893 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730,893 </w:t>
            </w:r>
          </w:p>
        </w:tc>
        <w:tc>
          <w:tcPr>
            <w:tcW w:w="17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15,718 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31,436 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20"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3,400,136 </w:t>
            </w:r>
          </w:p>
        </w:tc>
        <w:tc>
          <w:tcPr>
            <w:tcW w:w="11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2,909,705 </w:t>
            </w:r>
          </w:p>
        </w:tc>
        <w:tc>
          <w:tcPr>
            <w:tcW w:w="12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92"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21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5,781,572 </w:t>
            </w:r>
          </w:p>
        </w:tc>
        <w:tc>
          <w:tcPr>
            <w:tcW w:w="172"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120"/>
              <w:jc w:val="left"/>
              <w:rPr>
                <w:rFonts w:ascii="Arial;sans-serif" w:hAnsi="Arial;sans-serif"/>
                <w:b w:val="false"/>
                <w:color w:val="242424"/>
                <w:sz w:val="16"/>
              </w:rPr>
            </w:pPr>
            <w:r>
              <w:rPr>
                <w:rFonts w:ascii="Arial;sans-serif" w:hAnsi="Arial;sans-serif"/>
                <w:b w:val="false"/>
                <w:color w:val="242424"/>
                <w:sz w:val="16"/>
              </w:rPr>
              <w:t>For footnotes, see table for Mr. Saligram, above.</w:t>
            </w:r>
          </w:p>
        </w:tc>
        <w:tc>
          <w:tcPr>
            <w:tcW w:w="380"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642"/>
        <w:gridCol w:w="484"/>
        <w:gridCol w:w="359"/>
        <w:gridCol w:w="414"/>
        <w:gridCol w:w="414"/>
        <w:gridCol w:w="415"/>
        <w:gridCol w:w="109"/>
        <w:gridCol w:w="109"/>
        <w:gridCol w:w="109"/>
        <w:gridCol w:w="211"/>
        <w:gridCol w:w="794"/>
        <w:gridCol w:w="117"/>
        <w:gridCol w:w="109"/>
        <w:gridCol w:w="109"/>
        <w:gridCol w:w="109"/>
        <w:gridCol w:w="224"/>
        <w:gridCol w:w="999"/>
        <w:gridCol w:w="125"/>
        <w:gridCol w:w="109"/>
        <w:gridCol w:w="109"/>
        <w:gridCol w:w="109"/>
        <w:gridCol w:w="469"/>
        <w:gridCol w:w="469"/>
        <w:gridCol w:w="471"/>
        <w:gridCol w:w="109"/>
        <w:gridCol w:w="109"/>
        <w:gridCol w:w="109"/>
        <w:gridCol w:w="318"/>
        <w:gridCol w:w="1414"/>
        <w:gridCol w:w="176"/>
        <w:gridCol w:w="109"/>
        <w:gridCol w:w="109"/>
        <w:gridCol w:w="164"/>
      </w:tblGrid>
      <w:tr>
        <w:trPr/>
        <w:tc>
          <w:tcPr>
            <w:tcW w:w="6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8"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Richard D. Ward</w:t>
            </w:r>
          </w:p>
        </w:tc>
        <w:tc>
          <w:tcPr>
            <w:tcW w:w="124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 xml:space="preserve">Cash Severance </w:t>
            </w:r>
            <w:r>
              <w:rPr>
                <w:rFonts w:ascii="Arial;sans-serif" w:hAnsi="Arial;sans-serif"/>
                <w:b w:val="false"/>
                <w:color w:val="242424"/>
                <w:sz w:val="10"/>
              </w:rPr>
              <w:t>(1)</w:t>
            </w:r>
          </w:p>
        </w:tc>
        <w:tc>
          <w:tcPr>
            <w:tcW w:w="82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9"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1,400,000 </w:t>
            </w:r>
          </w:p>
        </w:tc>
        <w:tc>
          <w:tcPr>
            <w:tcW w:w="1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414"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2,350,000 </w:t>
            </w:r>
          </w:p>
        </w:tc>
        <w:tc>
          <w:tcPr>
            <w:tcW w:w="17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color w:val="242424"/>
              </w:rPr>
              <w:t xml:space="preserve"> </w:t>
            </w:r>
            <w:r>
              <w:rPr>
                <w:rFonts w:ascii="Arial;sans-serif" w:hAnsi="Arial;sans-serif"/>
                <w:b w:val="false"/>
                <w:color w:val="242424"/>
                <w:sz w:val="10"/>
              </w:rPr>
              <w:t>(2)</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w:t>
            </w:r>
            <w:r>
              <w:rPr>
                <w:rFonts w:ascii="Arial;sans-serif" w:hAnsi="Arial;sans-serif"/>
                <w:b w:val="false"/>
                <w:color w:val="242424"/>
                <w:sz w:val="10"/>
              </w:rPr>
              <w:t>(3)(7)</w:t>
            </w:r>
          </w:p>
        </w:tc>
        <w:tc>
          <w:tcPr>
            <w:tcW w:w="82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7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w:t>
            </w:r>
            <w:r>
              <w:rPr>
                <w:rFonts w:ascii="Arial;sans-serif" w:hAnsi="Arial;sans-serif"/>
                <w:b w:val="false"/>
                <w:color w:val="242424"/>
                <w:sz w:val="10"/>
              </w:rPr>
              <w:t>(4)(7)</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w:t>
            </w:r>
            <w:r>
              <w:rPr>
                <w:rFonts w:ascii="Arial;sans-serif" w:hAnsi="Arial;sans-serif"/>
                <w:b w:val="false"/>
                <w:color w:val="242424"/>
                <w:sz w:val="10"/>
              </w:rPr>
              <w:t>(5)(7)</w:t>
            </w:r>
          </w:p>
        </w:tc>
        <w:tc>
          <w:tcPr>
            <w:tcW w:w="82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7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RSUs</w:t>
            </w:r>
            <w:r>
              <w:rPr>
                <w:rFonts w:ascii="Arial;sans-serif" w:hAnsi="Arial;sans-serif"/>
                <w:b w:val="false"/>
                <w:color w:val="242424"/>
                <w:sz w:val="10"/>
              </w:rPr>
              <w:t>(4)(7)</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392,964 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392,964 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41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392,964 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PSUs</w:t>
            </w:r>
            <w:r>
              <w:rPr>
                <w:rFonts w:ascii="Arial;sans-serif" w:hAnsi="Arial;sans-serif"/>
                <w:b w:val="false"/>
                <w:color w:val="242424"/>
                <w:sz w:val="10"/>
              </w:rPr>
              <w:t>(6)(7)</w:t>
            </w:r>
          </w:p>
        </w:tc>
        <w:tc>
          <w:tcPr>
            <w:tcW w:w="82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94"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589,446 </w:t>
            </w:r>
          </w:p>
        </w:tc>
        <w:tc>
          <w:tcPr>
            <w:tcW w:w="11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414"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589,446 </w:t>
            </w:r>
          </w:p>
        </w:tc>
        <w:tc>
          <w:tcPr>
            <w:tcW w:w="17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15,718 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41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31,436 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28"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15"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9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982,410 </w:t>
            </w:r>
          </w:p>
        </w:tc>
        <w:tc>
          <w:tcPr>
            <w:tcW w:w="117"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1,808,682 </w:t>
            </w:r>
          </w:p>
        </w:tc>
        <w:tc>
          <w:tcPr>
            <w:tcW w:w="125"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7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41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3,363,846 </w:t>
            </w:r>
          </w:p>
        </w:tc>
        <w:tc>
          <w:tcPr>
            <w:tcW w:w="176"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3"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120"/>
              <w:jc w:val="left"/>
              <w:rPr>
                <w:rFonts w:ascii="Arial;sans-serif" w:hAnsi="Arial;sans-serif"/>
                <w:b w:val="false"/>
                <w:color w:val="242424"/>
                <w:sz w:val="16"/>
              </w:rPr>
            </w:pPr>
            <w:r>
              <w:rPr>
                <w:rFonts w:ascii="Arial;sans-serif" w:hAnsi="Arial;sans-serif"/>
                <w:b w:val="false"/>
                <w:color w:val="242424"/>
                <w:sz w:val="16"/>
              </w:rPr>
              <w:t>For footnotes, see table for Mr. Saligram, above.</w:t>
            </w:r>
          </w:p>
        </w:tc>
        <w:tc>
          <w:tcPr>
            <w:tcW w:w="382"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68325"/>
                <wp:effectExtent l="0" t="0" r="0" b="0"/>
                <wp:wrapNone/>
                <wp:docPr id="89" name="Frame60"/>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tbl>
      <w:tblPr>
        <w:tblW w:w="10205" w:type="dxa"/>
        <w:jc w:val="center"/>
        <w:tblInd w:w="0" w:type="dxa"/>
        <w:tblLayout w:type="fixed"/>
        <w:tblCellMar>
          <w:top w:w="28" w:type="dxa"/>
          <w:left w:w="28" w:type="dxa"/>
          <w:bottom w:w="28" w:type="dxa"/>
          <w:right w:w="28" w:type="dxa"/>
        </w:tblCellMar>
      </w:tblPr>
      <w:tblGrid>
        <w:gridCol w:w="637"/>
        <w:gridCol w:w="438"/>
        <w:gridCol w:w="391"/>
        <w:gridCol w:w="410"/>
        <w:gridCol w:w="410"/>
        <w:gridCol w:w="412"/>
        <w:gridCol w:w="109"/>
        <w:gridCol w:w="109"/>
        <w:gridCol w:w="109"/>
        <w:gridCol w:w="205"/>
        <w:gridCol w:w="913"/>
        <w:gridCol w:w="114"/>
        <w:gridCol w:w="109"/>
        <w:gridCol w:w="109"/>
        <w:gridCol w:w="109"/>
        <w:gridCol w:w="223"/>
        <w:gridCol w:w="991"/>
        <w:gridCol w:w="124"/>
        <w:gridCol w:w="109"/>
        <w:gridCol w:w="109"/>
        <w:gridCol w:w="109"/>
        <w:gridCol w:w="462"/>
        <w:gridCol w:w="462"/>
        <w:gridCol w:w="463"/>
        <w:gridCol w:w="109"/>
        <w:gridCol w:w="109"/>
        <w:gridCol w:w="109"/>
        <w:gridCol w:w="310"/>
        <w:gridCol w:w="1380"/>
        <w:gridCol w:w="172"/>
        <w:gridCol w:w="109"/>
        <w:gridCol w:w="109"/>
        <w:gridCol w:w="162"/>
      </w:tblGrid>
      <w:tr>
        <w:trPr/>
        <w:tc>
          <w:tcPr>
            <w:tcW w:w="6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Desmond J. Mills</w:t>
            </w:r>
          </w:p>
        </w:tc>
        <w:tc>
          <w:tcPr>
            <w:tcW w:w="12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 xml:space="preserve">Cash Severance </w:t>
            </w:r>
            <w:r>
              <w:rPr>
                <w:rFonts w:ascii="Arial;sans-serif" w:hAnsi="Arial;sans-serif"/>
                <w:b w:val="false"/>
                <w:color w:val="242424"/>
                <w:sz w:val="10"/>
              </w:rPr>
              <w:t>(1)</w:t>
            </w:r>
          </w:p>
        </w:tc>
        <w:tc>
          <w:tcPr>
            <w:tcW w:w="82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966,000 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1,312,500 </w:t>
            </w:r>
          </w:p>
        </w:tc>
        <w:tc>
          <w:tcPr>
            <w:tcW w:w="17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color w:val="242424"/>
              </w:rPr>
              <w:t xml:space="preserve"> </w:t>
            </w:r>
            <w:r>
              <w:rPr>
                <w:rFonts w:ascii="Arial;sans-serif" w:hAnsi="Arial;sans-serif"/>
                <w:b w:val="false"/>
                <w:color w:val="242424"/>
                <w:sz w:val="10"/>
              </w:rPr>
              <w:t>(2)</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w:t>
            </w:r>
            <w:r>
              <w:rPr>
                <w:rFonts w:ascii="Arial;sans-serif" w:hAnsi="Arial;sans-serif"/>
                <w:b w:val="false"/>
                <w:color w:val="242424"/>
                <w:sz w:val="10"/>
              </w:rPr>
              <w:t>(3)(7)</w:t>
            </w:r>
          </w:p>
        </w:tc>
        <w:tc>
          <w:tcPr>
            <w:tcW w:w="82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203,190 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193,197 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203,190 </w:t>
            </w:r>
          </w:p>
        </w:tc>
        <w:tc>
          <w:tcPr>
            <w:tcW w:w="17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w:t>
            </w:r>
            <w:r>
              <w:rPr>
                <w:rFonts w:ascii="Arial;sans-serif" w:hAnsi="Arial;sans-serif"/>
                <w:b w:val="false"/>
                <w:color w:val="242424"/>
                <w:sz w:val="10"/>
              </w:rPr>
              <w:t>(4)(7)</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197,203 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197,203 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197,203 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w:t>
            </w:r>
            <w:r>
              <w:rPr>
                <w:rFonts w:ascii="Arial;sans-serif" w:hAnsi="Arial;sans-serif"/>
                <w:b w:val="false"/>
                <w:color w:val="242424"/>
                <w:sz w:val="10"/>
              </w:rPr>
              <w:t>(5)(7)</w:t>
            </w:r>
          </w:p>
        </w:tc>
        <w:tc>
          <w:tcPr>
            <w:tcW w:w="82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295,805 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295,805 </w:t>
            </w:r>
          </w:p>
        </w:tc>
        <w:tc>
          <w:tcPr>
            <w:tcW w:w="17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RSUs</w:t>
            </w:r>
            <w:r>
              <w:rPr>
                <w:rFonts w:ascii="Arial;sans-serif" w:hAnsi="Arial;sans-serif"/>
                <w:b w:val="false"/>
                <w:color w:val="242424"/>
                <w:sz w:val="10"/>
              </w:rPr>
              <w:t>(4)(7)</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402,773 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402,773 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402,773 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2024 PSUs</w:t>
            </w:r>
            <w:r>
              <w:rPr>
                <w:rFonts w:ascii="Arial;sans-serif" w:hAnsi="Arial;sans-serif"/>
                <w:b w:val="false"/>
                <w:color w:val="242424"/>
                <w:sz w:val="10"/>
              </w:rPr>
              <w:t>(6)(7)</w:t>
            </w:r>
          </w:p>
        </w:tc>
        <w:tc>
          <w:tcPr>
            <w:tcW w:w="82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206,292 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206,292 </w:t>
            </w:r>
          </w:p>
        </w:tc>
        <w:tc>
          <w:tcPr>
            <w:tcW w:w="17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15,718 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15,718 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20"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12"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1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1,305,263 </w:t>
            </w:r>
          </w:p>
        </w:tc>
        <w:tc>
          <w:tcPr>
            <w:tcW w:w="11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9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1,774,891 </w:t>
            </w:r>
          </w:p>
        </w:tc>
        <w:tc>
          <w:tcPr>
            <w:tcW w:w="12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80"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2,633,481 </w:t>
            </w:r>
          </w:p>
        </w:tc>
        <w:tc>
          <w:tcPr>
            <w:tcW w:w="172"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 xml:space="preserve">For footnotes, see table for Mr. Saligram, above. </w:t>
            </w:r>
          </w:p>
        </w:tc>
        <w:tc>
          <w:tcPr>
            <w:tcW w:w="380"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31"/>
        <w:gridCol w:w="384"/>
        <w:gridCol w:w="386"/>
        <w:gridCol w:w="423"/>
        <w:gridCol w:w="423"/>
        <w:gridCol w:w="425"/>
        <w:gridCol w:w="109"/>
        <w:gridCol w:w="109"/>
        <w:gridCol w:w="109"/>
        <w:gridCol w:w="324"/>
        <w:gridCol w:w="324"/>
        <w:gridCol w:w="325"/>
        <w:gridCol w:w="109"/>
        <w:gridCol w:w="109"/>
        <w:gridCol w:w="109"/>
        <w:gridCol w:w="229"/>
        <w:gridCol w:w="1019"/>
        <w:gridCol w:w="127"/>
        <w:gridCol w:w="109"/>
        <w:gridCol w:w="109"/>
        <w:gridCol w:w="109"/>
        <w:gridCol w:w="487"/>
        <w:gridCol w:w="487"/>
        <w:gridCol w:w="489"/>
        <w:gridCol w:w="109"/>
        <w:gridCol w:w="109"/>
        <w:gridCol w:w="109"/>
        <w:gridCol w:w="644"/>
        <w:gridCol w:w="644"/>
        <w:gridCol w:w="645"/>
        <w:gridCol w:w="109"/>
        <w:gridCol w:w="109"/>
        <w:gridCol w:w="163"/>
      </w:tblGrid>
      <w:tr>
        <w:trPr/>
        <w:tc>
          <w:tcPr>
            <w:tcW w:w="73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3" w:type="dxa"/>
            <w:gridSpan w:val="27"/>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Actual Severance</w:t>
            </w:r>
            <w:r>
              <w:rPr>
                <w:rFonts w:ascii="Arial;sans-serif" w:hAnsi="Arial;sans-serif"/>
                <w:b/>
                <w:color w:val="FFFFFF"/>
                <w:sz w:val="10"/>
              </w:rPr>
              <w:t>(1)</w:t>
            </w:r>
          </w:p>
        </w:tc>
        <w:tc>
          <w:tcPr>
            <w:tcW w:w="38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Charles W. Davison, Jr.</w:t>
            </w:r>
          </w:p>
        </w:tc>
        <w:tc>
          <w:tcPr>
            <w:tcW w:w="1271"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Cash Severance</w:t>
            </w:r>
          </w:p>
        </w:tc>
        <w:tc>
          <w:tcPr>
            <w:tcW w:w="84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987,500 </w:t>
            </w:r>
          </w:p>
        </w:tc>
        <w:tc>
          <w:tcPr>
            <w:tcW w:w="12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STI Plan Cash Incentive Compensation</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 xml:space="preserve">2022 RSUs </w:t>
            </w:r>
          </w:p>
        </w:tc>
        <w:tc>
          <w:tcPr>
            <w:tcW w:w="84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 xml:space="preserve">2023 RSUs </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599,273 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 xml:space="preserve">2023 PSUs </w:t>
            </w:r>
          </w:p>
        </w:tc>
        <w:tc>
          <w:tcPr>
            <w:tcW w:w="84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 xml:space="preserve">2024 RSUs </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286,571 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 xml:space="preserve">2024 PSUs </w:t>
            </w:r>
          </w:p>
        </w:tc>
        <w:tc>
          <w:tcPr>
            <w:tcW w:w="84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6,545 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46"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25"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325"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1,879,889 </w:t>
            </w:r>
          </w:p>
        </w:tc>
        <w:tc>
          <w:tcPr>
            <w:tcW w:w="127"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8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645"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4"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0"/>
              <w:jc w:val="left"/>
              <w:rPr/>
            </w:pPr>
            <w:r>
              <w:rPr>
                <w:color w:val="242424"/>
              </w:rPr>
              <w:t>     </w:t>
            </w:r>
            <w:r>
              <w:rPr>
                <w:rFonts w:ascii="Arial;sans-serif" w:hAnsi="Arial;sans-serif"/>
                <w:b w:val="false"/>
                <w:color w:val="C3002F"/>
                <w:sz w:val="16"/>
              </w:rPr>
              <w:t xml:space="preserve">(1) </w:t>
            </w:r>
            <w:r>
              <w:rPr>
                <w:rFonts w:ascii="Arial;sans-serif" w:hAnsi="Arial;sans-serif"/>
                <w:b w:val="false"/>
                <w:color w:val="242424"/>
                <w:sz w:val="16"/>
              </w:rPr>
              <w:t>Reflects the actual severance paid to Mr. Davison in connection with his qualifying termination on February 06, 2024.</w:t>
            </w:r>
          </w:p>
        </w:tc>
        <w:tc>
          <w:tcPr>
            <w:tcW w:w="381"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Equity Compensation Plan Information</w:t>
      </w:r>
    </w:p>
    <w:p>
      <w:pPr>
        <w:pStyle w:val="TextBody"/>
        <w:bidi w:val="0"/>
        <w:spacing w:lineRule="auto" w:line="249" w:before="0" w:after="120"/>
        <w:jc w:val="left"/>
        <w:rPr>
          <w:rFonts w:ascii="Arial;sans-serif" w:hAnsi="Arial;sans-serif"/>
          <w:b w:val="false"/>
          <w:color w:val="242424"/>
          <w:sz w:val="20"/>
        </w:rPr>
      </w:pPr>
      <w:r>
        <w:rPr>
          <w:rFonts w:ascii="Arial;sans-serif" w:hAnsi="Arial;sans-serif"/>
          <w:b w:val="false"/>
          <w:color w:val="242424"/>
          <w:sz w:val="20"/>
        </w:rPr>
        <w:t>The following table provides information as of December 31, 2024, about the number of shares to be issued upon vesting or exercise of outstanding equity awards as well as the number of shares remaining available for issuance under our equity compensation plan, without giving effect to the increase discussed below in Agenda Item 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07"/>
        <w:gridCol w:w="592"/>
        <w:gridCol w:w="594"/>
        <w:gridCol w:w="944"/>
        <w:gridCol w:w="944"/>
        <w:gridCol w:w="947"/>
        <w:gridCol w:w="814"/>
        <w:gridCol w:w="814"/>
        <w:gridCol w:w="816"/>
        <w:gridCol w:w="814"/>
        <w:gridCol w:w="814"/>
        <w:gridCol w:w="1205"/>
      </w:tblGrid>
      <w:tr>
        <w:trPr/>
        <w:tc>
          <w:tcPr>
            <w:tcW w:w="9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4" w:space="0" w:color="6B6B6A"/>
              <w:left w:val="single" w:sz="4" w:space="0" w:color="6B6B6A"/>
              <w:right w:val="single" w:sz="4" w:space="0" w:color="6B6B6A"/>
            </w:tcBorders>
            <w:shd w:fill="CE1141"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18"/>
              </w:rPr>
            </w:pPr>
            <w:r>
              <w:rPr>
                <w:rFonts w:ascii="Arial;sans-serif" w:hAnsi="Arial;sans-serif"/>
                <w:b/>
                <w:color w:val="FFFFFF"/>
                <w:sz w:val="18"/>
              </w:rPr>
              <w:t>Equity Compensation Plan Information</w:t>
            </w:r>
          </w:p>
        </w:tc>
      </w:tr>
      <w:tr>
        <w:trPr/>
        <w:tc>
          <w:tcPr>
            <w:tcW w:w="2093"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68" w:before="0" w:after="0"/>
              <w:jc w:val="left"/>
              <w:rPr>
                <w:rFonts w:ascii="Arial;sans-serif" w:hAnsi="Arial;sans-serif"/>
                <w:b/>
                <w:color w:val="FFFFFF"/>
                <w:sz w:val="18"/>
              </w:rPr>
            </w:pPr>
            <w:r>
              <w:rPr>
                <w:rFonts w:ascii="Arial;sans-serif" w:hAnsi="Arial;sans-serif"/>
                <w:b/>
                <w:color w:val="FFFFFF"/>
                <w:sz w:val="18"/>
              </w:rPr>
              <w:t>Plan Category</w:t>
            </w:r>
          </w:p>
          <w:p>
            <w:pPr>
              <w:pStyle w:val="TableContents"/>
              <w:bidi w:val="0"/>
              <w:spacing w:lineRule="auto" w:line="268" w:before="0" w:after="0"/>
              <w:jc w:val="left"/>
              <w:rPr>
                <w:rFonts w:ascii="Arial;sans-serif" w:hAnsi="Arial;sans-serif"/>
                <w:b w:val="false"/>
                <w:i/>
                <w:color w:val="FFFFFF"/>
                <w:sz w:val="18"/>
              </w:rPr>
            </w:pPr>
            <w:r>
              <w:rPr>
                <w:rFonts w:ascii="Arial;sans-serif" w:hAnsi="Arial;sans-serif"/>
                <w:b w:val="false"/>
                <w:i/>
                <w:color w:val="FFFFFF"/>
                <w:sz w:val="18"/>
              </w:rPr>
              <w:t>(Shares in thousands)</w:t>
            </w:r>
          </w:p>
        </w:tc>
        <w:tc>
          <w:tcPr>
            <w:tcW w:w="2835"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8"/>
              </w:rPr>
              <w:t>Numbers of Securities to be Issued Upon Exercise of Outstanding Options, Warrants and Rights</w:t>
            </w:r>
            <w:r>
              <w:rPr>
                <w:rFonts w:ascii="Arial;sans-serif" w:hAnsi="Arial;sans-serif"/>
                <w:b/>
                <w:color w:val="FFFFFF"/>
                <w:sz w:val="12"/>
              </w:rPr>
              <w:t>(1)(2)</w:t>
            </w:r>
          </w:p>
        </w:tc>
        <w:tc>
          <w:tcPr>
            <w:tcW w:w="2444" w:type="dxa"/>
            <w:gridSpan w:val="3"/>
            <w:tcBorders>
              <w:top w:val="single" w:sz="4" w:space="0" w:color="6B6B6A"/>
              <w:left w:val="single" w:sz="4"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8"/>
              </w:rPr>
            </w:pPr>
            <w:r>
              <w:rPr>
                <w:rFonts w:ascii="Arial;sans-serif" w:hAnsi="Arial;sans-serif"/>
                <w:b/>
                <w:color w:val="FFFFFF"/>
                <w:sz w:val="18"/>
              </w:rPr>
              <w:t>Weighted Average Exercise Price of Outstanding Options, Warrants and Rights</w:t>
            </w:r>
          </w:p>
        </w:tc>
        <w:tc>
          <w:tcPr>
            <w:tcW w:w="2833" w:type="dxa"/>
            <w:gridSpan w:val="3"/>
            <w:tcBorders>
              <w:top w:val="single" w:sz="4" w:space="0" w:color="6B6B6A"/>
              <w:left w:val="single" w:sz="4" w:space="0" w:color="6B6B6A"/>
              <w:right w:val="single" w:sz="4" w:space="0" w:color="6B6B6A"/>
            </w:tcBorders>
            <w:shd w:fill="CE1141" w:val="clear"/>
            <w:tcMar>
              <w:top w:w="30" w:type="dxa"/>
              <w:bottom w:w="0" w:type="dxa"/>
            </w:tcMar>
            <w:vAlign w:val="center"/>
          </w:tcPr>
          <w:p>
            <w:pPr>
              <w:pStyle w:val="TableContents"/>
              <w:bidi w:val="0"/>
              <w:spacing w:lineRule="auto" w:line="268" w:before="0" w:after="0"/>
              <w:jc w:val="center"/>
              <w:rPr/>
            </w:pPr>
            <w:r>
              <w:rPr>
                <w:rFonts w:ascii="Arial;sans-serif" w:hAnsi="Arial;sans-serif"/>
                <w:b/>
                <w:color w:val="FFFFFF"/>
                <w:sz w:val="18"/>
              </w:rPr>
              <w:t>Number of Securities Available for Future Issuance Under Equity Compensation Plans</w:t>
            </w:r>
            <w:r>
              <w:rPr>
                <w:rFonts w:ascii="Arial;sans-serif" w:hAnsi="Arial;sans-serif"/>
                <w:b/>
                <w:color w:val="FFFFFF"/>
                <w:sz w:val="12"/>
              </w:rPr>
              <w:t>(3)</w:t>
            </w:r>
          </w:p>
        </w:tc>
      </w:tr>
      <w:tr>
        <w:trPr/>
        <w:tc>
          <w:tcPr>
            <w:tcW w:w="2093" w:type="dxa"/>
            <w:gridSpan w:val="3"/>
            <w:tcBorders>
              <w:top w:val="single" w:sz="4" w:space="0" w:color="6B6B6A"/>
              <w:left w:val="single" w:sz="4" w:space="0" w:color="6B6B6A"/>
            </w:tcBorders>
            <w:shd w:fill="DBDBDB"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8"/>
              </w:rPr>
              <w:t>Equity compensation plan approved by shareholders</w:t>
            </w:r>
            <w:r>
              <w:rPr>
                <w:rFonts w:ascii="Arial;sans-serif" w:hAnsi="Arial;sans-serif"/>
                <w:b w:val="false"/>
                <w:color w:val="000000"/>
                <w:sz w:val="12"/>
              </w:rPr>
              <w:t>(4)</w:t>
            </w:r>
          </w:p>
        </w:tc>
        <w:tc>
          <w:tcPr>
            <w:tcW w:w="1888" w:type="dxa"/>
            <w:gridSpan w:val="2"/>
            <w:tcBorders>
              <w:top w:val="single" w:sz="4" w:space="0" w:color="6B6B6A"/>
              <w:left w:val="single" w:sz="4" w:space="0" w:color="6B6B6A"/>
            </w:tcBorders>
            <w:shd w:fill="DBDBDB" w:val="clear"/>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947" w:type="dxa"/>
            <w:tcBorders>
              <w:top w:val="single" w:sz="4" w:space="0" w:color="6B6B6A"/>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6B6B6A"/>
              <w:left w:val="single" w:sz="4" w:space="0" w:color="6B6B6A"/>
            </w:tcBorders>
            <w:shd w:fill="DBDBDB" w:val="clear"/>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628" w:type="dxa"/>
            <w:gridSpan w:val="2"/>
            <w:tcBorders>
              <w:top w:val="single" w:sz="4" w:space="0" w:color="6B6B6A"/>
              <w:left w:val="single" w:sz="4" w:space="0" w:color="6B6B6A"/>
            </w:tcBorders>
            <w:shd w:fill="DBDBDB" w:val="clear"/>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2,014 </w:t>
            </w:r>
          </w:p>
        </w:tc>
        <w:tc>
          <w:tcPr>
            <w:tcW w:w="1205" w:type="dxa"/>
            <w:tcBorders>
              <w:top w:val="single" w:sz="4" w:space="0" w:color="6B6B6A"/>
              <w:right w:val="single" w:sz="4" w:space="0" w:color="6B6B6A"/>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4" w:space="0" w:color="6B6B6A"/>
              <w:left w:val="single" w:sz="4"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Equity compensation plans not approved by shareholders</w:t>
            </w:r>
          </w:p>
        </w:tc>
        <w:tc>
          <w:tcPr>
            <w:tcW w:w="1888" w:type="dxa"/>
            <w:gridSpan w:val="2"/>
            <w:tcBorders>
              <w:top w:val="single" w:sz="4" w:space="0" w:color="6B6B6A"/>
              <w:left w:val="single" w:sz="4" w:space="0" w:color="6B6B6A"/>
              <w:bottom w:val="single" w:sz="4" w:space="0" w:color="6B6B6A"/>
            </w:tcBorders>
            <w:tcMar>
              <w:top w:w="3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947" w:type="dxa"/>
            <w:tcBorders>
              <w:top w:val="single" w:sz="4" w:space="0" w:color="6B6B6A"/>
              <w:bottom w:val="single" w:sz="4" w:space="0" w:color="6B6B6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6B6B6A"/>
              <w:left w:val="single" w:sz="4" w:space="0" w:color="6B6B6A"/>
              <w:bottom w:val="single" w:sz="4" w:space="0" w:color="6B6B6A"/>
            </w:tcBorders>
            <w:tcMar>
              <w:top w:w="3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628" w:type="dxa"/>
            <w:gridSpan w:val="2"/>
            <w:tcBorders>
              <w:top w:val="single" w:sz="4" w:space="0" w:color="6B6B6A"/>
              <w:left w:val="single" w:sz="4" w:space="0" w:color="6B6B6A"/>
              <w:bottom w:val="single" w:sz="4" w:space="0" w:color="6B6B6A"/>
            </w:tcBorders>
            <w:tcMar>
              <w:top w:w="3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205" w:type="dxa"/>
            <w:tcBorders>
              <w:top w:val="single" w:sz="4" w:space="0" w:color="6B6B6A"/>
              <w:bottom w:val="single" w:sz="4" w:space="0" w:color="6B6B6A"/>
              <w:right w:val="single" w:sz="4" w:space="0" w:color="6B6B6A"/>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4" w:space="0" w:color="6B6B6A"/>
            </w:tcBorders>
            <w:tcMar>
              <w:top w:w="30" w:type="dxa"/>
              <w:left w:w="0" w:type="dxa"/>
              <w:bottom w:w="0" w:type="dxa"/>
              <w:right w:w="0" w:type="dxa"/>
            </w:tcMar>
            <w:vAlign w:val="center"/>
          </w:tcPr>
          <w:p>
            <w:pPr>
              <w:pStyle w:val="TableContents"/>
              <w:bidi w:val="0"/>
              <w:spacing w:lineRule="auto" w:line="244" w:before="0" w:after="60"/>
              <w:ind w:left="0" w:right="0" w:hanging="360"/>
              <w:jc w:val="left"/>
              <w:rPr/>
            </w:pPr>
            <w:r>
              <w:rPr>
                <w:rFonts w:ascii="Arial;sans-serif" w:hAnsi="Arial;sans-serif"/>
                <w:b w:val="false"/>
                <w:color w:val="C3002F"/>
                <w:sz w:val="12"/>
              </w:rPr>
              <w:t>(1)</w:t>
            </w:r>
            <w:r>
              <w:rPr>
                <w:color w:val="242424"/>
              </w:rPr>
              <w:t xml:space="preserve"> </w:t>
            </w:r>
            <w:r>
              <w:rPr>
                <w:rFonts w:ascii="Arial;sans-serif" w:hAnsi="Arial;sans-serif"/>
                <w:b w:val="false"/>
                <w:color w:val="242424"/>
                <w:sz w:val="18"/>
              </w:rPr>
              <w:t>Including shares that could potentially be issued if maximum performance metrics were achieved.</w:t>
            </w:r>
          </w:p>
          <w:p>
            <w:pPr>
              <w:pStyle w:val="TableContents"/>
              <w:bidi w:val="0"/>
              <w:spacing w:lineRule="auto" w:line="244" w:before="0" w:after="60"/>
              <w:ind w:left="0" w:right="0" w:hanging="360"/>
              <w:jc w:val="left"/>
              <w:rPr/>
            </w:pPr>
            <w:r>
              <w:rPr>
                <w:rFonts w:ascii="Arial;sans-serif" w:hAnsi="Arial;sans-serif"/>
                <w:b w:val="false"/>
                <w:color w:val="C3002F"/>
                <w:sz w:val="12"/>
              </w:rPr>
              <w:t>(2)</w:t>
            </w:r>
            <w:r>
              <w:rPr>
                <w:color w:val="C3002F"/>
              </w:rPr>
              <w:t xml:space="preserve"> </w:t>
            </w:r>
            <w:r>
              <w:rPr>
                <w:rFonts w:ascii="Arial;sans-serif" w:hAnsi="Arial;sans-serif"/>
                <w:b w:val="false"/>
                <w:color w:val="242424"/>
                <w:sz w:val="18"/>
              </w:rPr>
              <w:t xml:space="preserve">Outstanding rights include RSUs and PSUs that do not have exercise prices and are excluded from the calculation of weighted-average exercise price in the second column of this table. </w:t>
            </w:r>
          </w:p>
          <w:p>
            <w:pPr>
              <w:pStyle w:val="TableContents"/>
              <w:bidi w:val="0"/>
              <w:spacing w:lineRule="auto" w:line="244" w:before="0" w:after="60"/>
              <w:ind w:left="0" w:right="0" w:hanging="360"/>
              <w:jc w:val="left"/>
              <w:rPr/>
            </w:pPr>
            <w:r>
              <w:rPr>
                <w:rFonts w:ascii="Arial;sans-serif" w:hAnsi="Arial;sans-serif"/>
                <w:b w:val="false"/>
                <w:color w:val="C3002F"/>
                <w:sz w:val="12"/>
              </w:rPr>
              <w:t>(3)</w:t>
            </w:r>
            <w:r>
              <w:rPr>
                <w:color w:val="C3002F"/>
              </w:rPr>
              <w:t xml:space="preserve"> </w:t>
            </w:r>
            <w:r>
              <w:rPr>
                <w:rFonts w:ascii="Arial;sans-serif" w:hAnsi="Arial;sans-serif"/>
                <w:b w:val="false"/>
                <w:color w:val="242424"/>
                <w:sz w:val="18"/>
              </w:rPr>
              <w:t>Excluding shares reflected in the first column of this table.</w:t>
            </w:r>
          </w:p>
          <w:p>
            <w:pPr>
              <w:pStyle w:val="TableContents"/>
              <w:bidi w:val="0"/>
              <w:spacing w:lineRule="auto" w:line="244" w:before="0" w:after="60"/>
              <w:ind w:left="0" w:right="0" w:hanging="360"/>
              <w:jc w:val="left"/>
              <w:rPr/>
            </w:pPr>
            <w:r>
              <w:rPr>
                <w:rFonts w:ascii="Arial;sans-serif" w:hAnsi="Arial;sans-serif"/>
                <w:b w:val="false"/>
                <w:color w:val="C3002F"/>
                <w:sz w:val="12"/>
              </w:rPr>
              <w:t>(4)</w:t>
            </w:r>
            <w:r>
              <w:rPr>
                <w:color w:val="242424"/>
              </w:rPr>
              <w:t xml:space="preserve"> </w:t>
            </w:r>
            <w:r>
              <w:rPr>
                <w:rFonts w:ascii="Arial;sans-serif" w:hAnsi="Arial;sans-serif"/>
                <w:b w:val="false"/>
                <w:color w:val="242424"/>
                <w:sz w:val="18"/>
              </w:rPr>
              <w:t>The 2019 EIP was originally approved by our shareholders in connection with our emergence from bankruptcy in December of 2019, and was last amended and restated on January 18, 2023. See Agenda Item 4 for a proposal to approve the amendment and restatement of the 2019 EIP to increase the number of shares that can be issued under such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68325"/>
                <wp:effectExtent l="0" t="0" r="0" b="0"/>
                <wp:wrapNone/>
                <wp:docPr id="90" name="Frame61"/>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PAY RATIO</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2024 CEO PAY RATIO DISCLOSURE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Pursuant to a mandate of the Dodd-Frank Wall Street Reform and Consumer Protection Act, we are required to disclose the ratio of the total annual compensation of our CEO to the median of the total annual compensation of all of our employees, excluding our CEO (the “Pay Ratio Rule”).</w:t>
      </w:r>
    </w:p>
    <w:p>
      <w:pPr>
        <w:pStyle w:val="TextBody"/>
        <w:bidi w:val="0"/>
        <w:spacing w:lineRule="auto" w:line="288" w:before="0" w:after="120"/>
        <w:jc w:val="left"/>
        <w:rPr/>
      </w:pPr>
      <w:r>
        <w:rPr>
          <w:rFonts w:ascii="Arial;sans-serif" w:hAnsi="Arial;sans-serif"/>
          <w:b/>
          <w:color w:val="242424"/>
          <w:sz w:val="20"/>
        </w:rPr>
        <w:t>Pay Ratio Calculation Method</w:t>
      </w:r>
      <w:r>
        <w:rPr>
          <w:rFonts w:ascii="Arial;sans-serif" w:hAnsi="Arial;sans-serif"/>
          <w:b w:val="false"/>
          <w:color w:val="242424"/>
          <w:sz w:val="20"/>
        </w:rPr>
        <w: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Because the Pay Ratio Rule for identifying the median employee allows companies to elect from a variety of methodologies, to apply certain exclusions, and to make reasonable estimates along with factors that impact our Company’s pay ratio such as our global workforce, varied currency exchange rates, etc. the pay ratio reported by other companies may not be comparable to the pay ratio for our Company.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Because our employee population and compensation structure has not materially changed, we are using the same median employee we identified for our 2024 proxy statement.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For 2024, for purposes of the Pay Ratio Rule, the total compensation of Mr. Saligram, our President and CEO, was $14,778,004 and the median employee’s total annual compensation was $46,234. The resulting ratio of our CEO’s pay to our median employee’s pay for fiscal year 2024 is 320:1.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68325"/>
                <wp:effectExtent l="0" t="0" r="0" b="0"/>
                <wp:wrapNone/>
                <wp:docPr id="91" name="Frame62"/>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PAY VERSUS PERFORMANCE</w:t>
      </w:r>
    </w:p>
    <w:p>
      <w:pPr>
        <w:pStyle w:val="TextBody"/>
        <w:bidi w:val="0"/>
        <w:spacing w:lineRule="auto" w:line="249" w:before="0" w:after="120"/>
        <w:jc w:val="left"/>
        <w:rPr/>
      </w:pPr>
      <w:r>
        <w:rPr>
          <w:rFonts w:ascii="Arial;sans-serif" w:hAnsi="Arial;sans-serif"/>
          <w:b w:val="false"/>
          <w:color w:val="242424"/>
          <w:sz w:val="20"/>
        </w:rPr>
        <w:t xml:space="preserve">Pursuant to the Dodd-Frank Wall Street Reform and Consumer Protection Act and applicable SEC regulations, the following table sets forth required information regarding the relationship between “compensation actually paid” to our NEOs, calculated in accordance with SEC regulations, and the Company’s financial performance for fiscal years </w:t>
      </w:r>
      <w:r>
        <w:rPr>
          <w:rFonts w:ascii="Arial;sans-serif" w:hAnsi="Arial;sans-serif"/>
          <w:b w:val="false"/>
          <w:color w:val="000000"/>
          <w:sz w:val="20"/>
        </w:rPr>
        <w:t xml:space="preserve">2024, </w:t>
      </w:r>
      <w:r>
        <w:rPr>
          <w:rFonts w:ascii="Arial;sans-serif" w:hAnsi="Arial;sans-serif"/>
          <w:b w:val="false"/>
          <w:color w:val="242424"/>
          <w:sz w:val="20"/>
        </w:rPr>
        <w:t>2023, 2022, 2021 and 2020. For information regarding decisions made by our Compensation and Human Resources Committee with respect to executive compensation, refer to “Compensation Discussion &amp; Analysis” above:</w:t>
      </w:r>
    </w:p>
    <w:tbl>
      <w:tblPr>
        <w:tblW w:w="10393" w:type="dxa"/>
        <w:jc w:val="center"/>
        <w:tblInd w:w="0" w:type="dxa"/>
        <w:tblLayout w:type="fixed"/>
        <w:tblCellMar>
          <w:top w:w="28" w:type="dxa"/>
          <w:left w:w="28" w:type="dxa"/>
          <w:bottom w:w="28" w:type="dxa"/>
          <w:right w:w="28" w:type="dxa"/>
        </w:tblCellMar>
      </w:tblPr>
      <w:tblGrid>
        <w:gridCol w:w="307"/>
        <w:gridCol w:w="270"/>
        <w:gridCol w:w="279"/>
        <w:gridCol w:w="197"/>
        <w:gridCol w:w="968"/>
        <w:gridCol w:w="111"/>
        <w:gridCol w:w="197"/>
        <w:gridCol w:w="968"/>
        <w:gridCol w:w="111"/>
        <w:gridCol w:w="212"/>
        <w:gridCol w:w="945"/>
        <w:gridCol w:w="119"/>
        <w:gridCol w:w="212"/>
        <w:gridCol w:w="945"/>
        <w:gridCol w:w="119"/>
        <w:gridCol w:w="198"/>
        <w:gridCol w:w="426"/>
        <w:gridCol w:w="110"/>
        <w:gridCol w:w="110"/>
        <w:gridCol w:w="110"/>
        <w:gridCol w:w="112"/>
        <w:gridCol w:w="198"/>
        <w:gridCol w:w="426"/>
        <w:gridCol w:w="110"/>
        <w:gridCol w:w="110"/>
        <w:gridCol w:w="110"/>
        <w:gridCol w:w="112"/>
        <w:gridCol w:w="196"/>
        <w:gridCol w:w="571"/>
        <w:gridCol w:w="109"/>
        <w:gridCol w:w="109"/>
        <w:gridCol w:w="109"/>
        <w:gridCol w:w="109"/>
        <w:gridCol w:w="196"/>
        <w:gridCol w:w="421"/>
        <w:gridCol w:w="109"/>
        <w:gridCol w:w="109"/>
        <w:gridCol w:w="109"/>
        <w:gridCol w:w="154"/>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12"/>
            <w:tcBorders>
              <w:bottom w:val="single" w:sz="8" w:space="0" w:color="FFFFFF"/>
            </w:tcBorders>
            <w:shd w:fill="CE1141" w:val="clear"/>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Value of $100</w:t>
            </w:r>
          </w:p>
        </w:tc>
        <w:tc>
          <w:tcPr>
            <w:tcW w:w="1203" w:type="dxa"/>
            <w:gridSpan w:val="6"/>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Year</w:t>
            </w:r>
          </w:p>
        </w:tc>
        <w:tc>
          <w:tcPr>
            <w:tcW w:w="127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Summary Compensation Table Total for PEO</w:t>
            </w:r>
            <w:r>
              <w:rPr>
                <w:rFonts w:ascii="Arial;sans-serif" w:hAnsi="Arial;sans-serif"/>
                <w:b/>
                <w:color w:val="FFFFFF"/>
                <w:sz w:val="10"/>
              </w:rPr>
              <w:t>(1)</w:t>
            </w:r>
          </w:p>
        </w:tc>
        <w:tc>
          <w:tcPr>
            <w:tcW w:w="127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Compensation Actually Paid to PEO</w:t>
            </w:r>
            <w:r>
              <w:rPr>
                <w:rFonts w:ascii="Arial;sans-serif" w:hAnsi="Arial;sans-serif"/>
                <w:b/>
                <w:color w:val="FFFFFF"/>
                <w:sz w:val="10"/>
              </w:rPr>
              <w:t>(2)</w:t>
            </w:r>
          </w:p>
        </w:tc>
        <w:tc>
          <w:tcPr>
            <w:tcW w:w="127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Average Summary Compensation Table Total for Non-PEO NEOs</w:t>
            </w:r>
            <w:r>
              <w:rPr>
                <w:rFonts w:ascii="Arial;sans-serif" w:hAnsi="Arial;sans-serif"/>
                <w:b/>
                <w:color w:val="FFFFFF"/>
                <w:sz w:val="10"/>
              </w:rPr>
              <w:t>(3)</w:t>
            </w:r>
          </w:p>
        </w:tc>
        <w:tc>
          <w:tcPr>
            <w:tcW w:w="127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Average Compensation Actually Paid to Non-PEO NEOs</w:t>
            </w:r>
            <w:r>
              <w:rPr>
                <w:rFonts w:ascii="Arial;sans-serif" w:hAnsi="Arial;sans-serif"/>
                <w:b/>
                <w:color w:val="FFFFFF"/>
                <w:sz w:val="10"/>
              </w:rPr>
              <w:t>(2)(3)</w:t>
            </w:r>
          </w:p>
        </w:tc>
        <w:tc>
          <w:tcPr>
            <w:tcW w:w="1066"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Total Shareholder Return</w:t>
            </w:r>
            <w:r>
              <w:rPr>
                <w:rFonts w:ascii="Arial;sans-serif" w:hAnsi="Arial;sans-serif"/>
                <w:b/>
                <w:color w:val="FFFFFF"/>
                <w:sz w:val="10"/>
              </w:rPr>
              <w:t>(4)</w:t>
            </w:r>
          </w:p>
        </w:tc>
        <w:tc>
          <w:tcPr>
            <w:tcW w:w="1066"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Peer Group Total Shareholder Return</w:t>
            </w:r>
            <w:r>
              <w:rPr>
                <w:rFonts w:ascii="Arial;sans-serif" w:hAnsi="Arial;sans-serif"/>
                <w:b/>
                <w:color w:val="FFFFFF"/>
                <w:sz w:val="10"/>
              </w:rPr>
              <w:t>(4)</w:t>
            </w:r>
          </w:p>
        </w:tc>
        <w:tc>
          <w:tcPr>
            <w:tcW w:w="12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Net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Income (Loss)</w:t>
            </w:r>
          </w:p>
          <w:p>
            <w:pPr>
              <w:pStyle w:val="TableContents"/>
              <w:bidi w:val="0"/>
              <w:spacing w:lineRule="auto" w:line="268" w:before="0" w:after="0"/>
              <w:jc w:val="center"/>
              <w:rPr/>
            </w:pPr>
            <w:r>
              <w:rPr>
                <w:rFonts w:ascii="Arial;sans-serif" w:hAnsi="Arial;sans-serif"/>
                <w:b/>
                <w:color w:val="FFFFFF"/>
                <w:sz w:val="16"/>
              </w:rPr>
              <w:t>(in millions)</w:t>
            </w:r>
            <w:r>
              <w:rPr>
                <w:rFonts w:ascii="Arial;sans-serif" w:hAnsi="Arial;sans-serif"/>
                <w:b/>
                <w:color w:val="FFFFFF"/>
                <w:sz w:val="10"/>
              </w:rPr>
              <w:t>(5)</w:t>
            </w:r>
          </w:p>
        </w:tc>
        <w:tc>
          <w:tcPr>
            <w:tcW w:w="109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Adjusted</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Free Cash</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Flow</w:t>
            </w:r>
          </w:p>
          <w:p>
            <w:pPr>
              <w:pStyle w:val="TableContents"/>
              <w:bidi w:val="0"/>
              <w:spacing w:lineRule="auto" w:line="268" w:before="0" w:after="0"/>
              <w:jc w:val="center"/>
              <w:rPr/>
            </w:pPr>
            <w:r>
              <w:rPr>
                <w:rFonts w:ascii="Arial;sans-serif" w:hAnsi="Arial;sans-serif"/>
                <w:b/>
                <w:color w:val="FFFFFF"/>
                <w:sz w:val="16"/>
              </w:rPr>
              <w:t>(in millions)</w:t>
            </w:r>
            <w:r>
              <w:rPr>
                <w:rFonts w:ascii="Arial;sans-serif" w:hAnsi="Arial;sans-serif"/>
                <w:b/>
                <w:color w:val="FFFFFF"/>
                <w:sz w:val="10"/>
              </w:rPr>
              <w:t>(6)</w:t>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2024</w:t>
            </w:r>
          </w:p>
        </w:tc>
        <w:tc>
          <w:tcPr>
            <w:tcW w:w="197" w:type="dxa"/>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14,778,004 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(5,999,694)</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2,573,273 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(163,813)</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w:t>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2023</w:t>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11,200,810 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50,496,414 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2,951,630 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7,209,890 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2022</w:t>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12,242,321 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50,156,845 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2,342,015 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4,919,833 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398 </w:t>
            </w:r>
          </w:p>
        </w:tc>
        <w:tc>
          <w:tcPr>
            <w:tcW w:w="11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130 </w:t>
            </w:r>
          </w:p>
        </w:tc>
        <w:tc>
          <w:tcPr>
            <w:tcW w:w="11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5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299 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2021</w:t>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12,591,069 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48,256,831 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3,145,491 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8,198,482 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2020</w:t>
            </w:r>
          </w:p>
        </w:tc>
        <w:tc>
          <w:tcPr>
            <w:tcW w:w="1276"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Saligram</w:t>
            </w:r>
          </w:p>
        </w:tc>
        <w:tc>
          <w:tcPr>
            <w:tcW w:w="197"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1,726,277 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2,926,273 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836,063 </w:t>
            </w:r>
          </w:p>
        </w:tc>
        <w:tc>
          <w:tcPr>
            <w:tcW w:w="119"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836,063 </w:t>
            </w:r>
          </w:p>
        </w:tc>
        <w:tc>
          <w:tcPr>
            <w:tcW w:w="119"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10"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gridSpan w:val="3"/>
            <w:vMerge w:val="restart"/>
            <w:tcBorders>
              <w:bottom w:val="single" w:sz="8" w:space="0" w:color="6B6B6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10"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gridSpan w:val="3"/>
            <w:vMerge w:val="restart"/>
            <w:tcBorders>
              <w:bottom w:val="single" w:sz="8" w:space="0" w:color="6B6B6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571"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(1,921)</w:t>
            </w:r>
          </w:p>
        </w:tc>
        <w:tc>
          <w:tcPr>
            <w:tcW w:w="109"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bottom w:val="single" w:sz="8" w:space="0" w:color="6B6B6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1"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78 </w:t>
            </w:r>
          </w:p>
        </w:tc>
        <w:tc>
          <w:tcPr>
            <w:tcW w:w="109"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bottom w:val="single" w:sz="8" w:space="0" w:color="6B6B6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Blanchard</w:t>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3,883,040 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3,883,040 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57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7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Garcia</w:t>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996,695 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736,919 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57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7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McCollum</w:t>
            </w:r>
          </w:p>
        </w:tc>
        <w:tc>
          <w:tcPr>
            <w:tcW w:w="19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5,763,239 </w:t>
            </w:r>
          </w:p>
        </w:tc>
        <w:tc>
          <w:tcPr>
            <w:tcW w:w="11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5,763,239 </w:t>
            </w:r>
          </w:p>
        </w:tc>
        <w:tc>
          <w:tcPr>
            <w:tcW w:w="11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57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7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r>
      <w:tr>
        <w:trPr/>
        <w:tc>
          <w:tcPr>
            <w:tcW w:w="10393" w:type="dxa"/>
            <w:gridSpan w:val="39"/>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CE1141"/>
                <w:sz w:val="13"/>
              </w:rPr>
              <w:t>(1)</w:t>
            </w:r>
            <w:r>
              <w:rPr>
                <w:rFonts w:ascii="Arial;sans-serif" w:hAnsi="Arial;sans-serif"/>
                <w:b w:val="false"/>
                <w:color w:val="242424"/>
                <w:sz w:val="16"/>
              </w:rPr>
              <w:t>For 2021, 2022, 2023 and 2024, the dollar amounts are the amounts of total compensation for our PEO, Mr. Saligram, in the Summary Compensation Table. Mr. Saligram served as the PEO in each of those years. For 2020, we have separately listed out each individual who served as our PEO during the course of the year, even if on an interim basis. Mark McCollum was our PEO until his departure from the Company on June 7, 2020. Karl Blanchard and Christian Garcia were appointed to the Office of PEO upon Mr. McCollum’s departure. Mr. Garcia resigned from the Office of PEO on June 16, 2020 at which time Mr. Blanchard became our Interim PEO and Mr. Garcia departed from the Company on August 5, 2020. Mr. Saligram joined the Company on October 12, 2020 as our PEO and Mr. Blanchard resumed his prior duties as our Chief Operating Officer. We have listed each of these individual’s total compensation for 2020 as reported in the Summary Compensation Table for 2020.</w:t>
            </w:r>
          </w:p>
        </w:tc>
      </w:tr>
      <w:tr>
        <w:trPr/>
        <w:tc>
          <w:tcPr>
            <w:tcW w:w="10393" w:type="dxa"/>
            <w:gridSpan w:val="39"/>
            <w:tcBorders/>
            <w:tcMar>
              <w:top w:w="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6"/>
              </w:rPr>
              <w:t>(2)</w:t>
            </w:r>
            <w:r>
              <w:rPr>
                <w:color w:val="242424"/>
              </w:rPr>
              <w:t xml:space="preserve"> </w:t>
            </w:r>
            <w:r>
              <w:rPr>
                <w:rFonts w:ascii="Arial;sans-serif" w:hAnsi="Arial;sans-serif"/>
                <w:b w:val="false"/>
                <w:color w:val="242424"/>
                <w:sz w:val="16"/>
              </w:rPr>
              <w:t>The dollar amounts reported represent the amount of “compensation actually paid,” as computed in accordance with SEC regulations. The dollar amounts do not reflect the actual amounts of compensation paid to our PEO or other NEOs during the applicable year, but also include (i) the year-end value of equity awards granted during the reported year and (ii) the change in the value of equity awards that were unvested at the end of the prior year, measured through the date the equity awards vested or were forfeited, or through the end of the reported fiscal year. We do not offer our NEOs pensions, so there are no adjustments for pension-related costs that would otherwise be required by SEC regulations.</w:t>
            </w:r>
          </w:p>
          <w:p>
            <w:pPr>
              <w:pStyle w:val="TableContents"/>
              <w:bidi w:val="0"/>
              <w:spacing w:lineRule="auto" w:line="240" w:before="0" w:after="60"/>
              <w:jc w:val="left"/>
              <w:rPr>
                <w:rFonts w:ascii="Arial;sans-serif" w:hAnsi="Arial;sans-serif"/>
                <w:b w:val="false"/>
                <w:color w:val="242424"/>
                <w:sz w:val="16"/>
              </w:rPr>
            </w:pPr>
            <w:r>
              <w:rPr>
                <w:rFonts w:ascii="Arial;sans-serif" w:hAnsi="Arial;sans-serif"/>
                <w:b w:val="false"/>
                <w:color w:val="242424"/>
                <w:sz w:val="16"/>
              </w:rPr>
              <w:t>To calculate the amounts in the “Compensation Actually Paid to PEO” column in the table above, the following amounts were deducted from and added to (as applicable) our PEO’s “Total” compensation as reported in the Summary Compensation Table:</w:t>
            </w:r>
          </w:p>
        </w:tc>
      </w:tr>
    </w:tbl>
    <w:tbl>
      <w:tblPr>
        <w:tblW w:w="13083" w:type="dxa"/>
        <w:jc w:val="center"/>
        <w:tblInd w:w="0" w:type="dxa"/>
        <w:tblLayout w:type="fixed"/>
        <w:tblCellMar>
          <w:top w:w="28" w:type="dxa"/>
          <w:left w:w="28" w:type="dxa"/>
          <w:bottom w:w="28" w:type="dxa"/>
          <w:right w:w="28" w:type="dxa"/>
        </w:tblCellMar>
      </w:tblPr>
      <w:tblGrid>
        <w:gridCol w:w="303"/>
        <w:gridCol w:w="267"/>
        <w:gridCol w:w="277"/>
        <w:gridCol w:w="196"/>
        <w:gridCol w:w="961"/>
        <w:gridCol w:w="356"/>
        <w:gridCol w:w="109"/>
        <w:gridCol w:w="109"/>
        <w:gridCol w:w="109"/>
        <w:gridCol w:w="196"/>
        <w:gridCol w:w="976"/>
        <w:gridCol w:w="356"/>
        <w:gridCol w:w="109"/>
        <w:gridCol w:w="109"/>
        <w:gridCol w:w="109"/>
        <w:gridCol w:w="196"/>
        <w:gridCol w:w="961"/>
        <w:gridCol w:w="356"/>
        <w:gridCol w:w="109"/>
        <w:gridCol w:w="109"/>
        <w:gridCol w:w="109"/>
        <w:gridCol w:w="196"/>
        <w:gridCol w:w="961"/>
        <w:gridCol w:w="356"/>
        <w:gridCol w:w="109"/>
        <w:gridCol w:w="109"/>
        <w:gridCol w:w="109"/>
        <w:gridCol w:w="196"/>
        <w:gridCol w:w="736"/>
        <w:gridCol w:w="356"/>
        <w:gridCol w:w="109"/>
        <w:gridCol w:w="109"/>
        <w:gridCol w:w="109"/>
        <w:gridCol w:w="196"/>
        <w:gridCol w:w="976"/>
        <w:gridCol w:w="109"/>
        <w:gridCol w:w="109"/>
        <w:gridCol w:w="109"/>
        <w:gridCol w:w="109"/>
        <w:gridCol w:w="196"/>
        <w:gridCol w:w="961"/>
        <w:gridCol w:w="109"/>
        <w:gridCol w:w="109"/>
        <w:gridCol w:w="109"/>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Year</w:t>
            </w:r>
          </w:p>
        </w:tc>
        <w:tc>
          <w:tcPr>
            <w:tcW w:w="1840"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Summary Compensation Table Total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PEO</w:t>
            </w:r>
          </w:p>
        </w:tc>
        <w:tc>
          <w:tcPr>
            <w:tcW w:w="1855"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Deduct Reported Value of Equity Awards for PEO</w:t>
            </w:r>
          </w:p>
        </w:tc>
        <w:tc>
          <w:tcPr>
            <w:tcW w:w="1840"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Fair Value of Current Year Equity Awards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PEO</w:t>
            </w:r>
          </w:p>
        </w:tc>
        <w:tc>
          <w:tcPr>
            <w:tcW w:w="1840"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Change in Fair Value of Prior Year Equity Awards Unvested at Year End for PEO</w:t>
            </w:r>
          </w:p>
        </w:tc>
        <w:tc>
          <w:tcPr>
            <w:tcW w:w="1615"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Fair Value as of</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Vesting Date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Awards Granted</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and Vested</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in the Current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Year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PEO</w:t>
            </w:r>
          </w:p>
        </w:tc>
        <w:tc>
          <w:tcPr>
            <w:tcW w:w="160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Change in Fair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Value of Prior Year Equity Awards Vested During the Current Year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PEO</w:t>
            </w:r>
          </w:p>
        </w:tc>
        <w:tc>
          <w:tcPr>
            <w:tcW w:w="163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Compensation Actually Paid to PEO</w:t>
            </w:r>
          </w:p>
        </w:tc>
      </w:tr>
      <w:tr>
        <w:trPr/>
        <w:tc>
          <w:tcPr>
            <w:tcW w:w="847"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2024</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14,778,004 </w:t>
            </w:r>
          </w:p>
        </w:tc>
        <w:tc>
          <w:tcPr>
            <w:tcW w:w="356" w:type="dxa"/>
            <w:tcBorders/>
            <w:shd w:fill="D1D3D4"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(11,549,276)</w:t>
            </w:r>
          </w:p>
        </w:tc>
        <w:tc>
          <w:tcPr>
            <w:tcW w:w="356" w:type="dxa"/>
            <w:tcBorders/>
            <w:shd w:fill="D1D3D4"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6,110,042 </w:t>
            </w:r>
          </w:p>
        </w:tc>
        <w:tc>
          <w:tcPr>
            <w:tcW w:w="356" w:type="dxa"/>
            <w:tcBorders/>
            <w:shd w:fill="D1D3D4"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(4,656,330)</w:t>
            </w:r>
          </w:p>
        </w:tc>
        <w:tc>
          <w:tcPr>
            <w:tcW w:w="356" w:type="dxa"/>
            <w:tcBorders/>
            <w:shd w:fill="D1D3D4"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D1D3D4"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(10,682,134)</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(5,999,694)</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2023</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11,200,810 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(7,723,345)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15,592,059 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29,336,167 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2,090,723 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50,496,414 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2022</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12,242,321 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(6,541,693)</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10,759,142 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11,178,114 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22,518,961 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50,156,845 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2021</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12,591,069 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(9,296,759)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40,526,942 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2,454,230 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1,981,349 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48,256,831 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2020</w:t>
            </w:r>
          </w:p>
        </w:tc>
        <w:tc>
          <w:tcPr>
            <w:tcW w:w="151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Saligram</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1,726,277 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(833,896)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2,033,892 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2,926,273 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Blanchard</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3,883,040 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3,883,040 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Garcia</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996,695 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(389,658)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129,882 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McCollum</w:t>
            </w:r>
          </w:p>
        </w:tc>
        <w:tc>
          <w:tcPr>
            <w:tcW w:w="196"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5,763,239 </w:t>
            </w:r>
          </w:p>
        </w:tc>
        <w:tc>
          <w:tcPr>
            <w:tcW w:w="356"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356"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5,763,239 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6"/>
              </w:rPr>
              <w:t>(3)</w:t>
            </w:r>
            <w:r>
              <w:rPr>
                <w:color w:val="242424"/>
              </w:rPr>
              <w:t xml:space="preserve"> </w:t>
            </w:r>
            <w:r>
              <w:rPr>
                <w:rFonts w:ascii="Arial;sans-serif" w:hAnsi="Arial;sans-serif"/>
                <w:b w:val="false"/>
                <w:color w:val="242424"/>
                <w:sz w:val="16"/>
              </w:rPr>
              <w:t>For 2024, our non-PEO NEOs were Messrs. Mitra, Weatherholt, Ward, Mills and Davison. For 2023, our non-PEO NEOs were Messrs. Mitra, Weatherholt, Mills, Mongrain and Davison. For 2022, our non-PEO NEOs were Messrs. Jennings, Weatherholt, Mongrain, Davison and Mills. The amounts for Mr. Jennings include his compensation through his departure from the Company on July 31, 2022 and amounts owed in connection with his separation of employment. The amounts for Mr. Davison include his compensation actually received after joining the Company on September 30, 2022. For 2021, the non-PEO NEOs were Messrs. Jennings, Weatherholt, Mongrain, Mills and Blanchard. The amounts for Mr. Blanchard include his compensation actually received and certain payments made to him upon his retirement from the Company on February 26, 2021. For 2020, the non-PEO NEOs were Messrs. Jennings and Weatherholt as well as Mark Swift, Stuart Fraser and Frederico Justus.</w:t>
            </w:r>
          </w:p>
          <w:p>
            <w:pPr>
              <w:pStyle w:val="TableContents"/>
              <w:bidi w:val="0"/>
              <w:spacing w:lineRule="auto" w:line="240" w:before="0" w:after="60"/>
              <w:ind w:left="0" w:right="0" w:hanging="0"/>
              <w:jc w:val="left"/>
              <w:rPr>
                <w:rFonts w:ascii="Arial;sans-serif" w:hAnsi="Arial;sans-serif"/>
                <w:b w:val="false"/>
                <w:color w:val="242424"/>
                <w:sz w:val="16"/>
              </w:rPr>
            </w:pPr>
            <w:r>
              <w:rPr>
                <w:rFonts w:ascii="Arial;sans-serif" w:hAnsi="Arial;sans-serif"/>
                <w:b w:val="false"/>
                <w:color w:val="242424"/>
                <w:sz w:val="16"/>
              </w:rPr>
              <w:t>To calculate the amounts in the “Compensation Actually Paid to non-PEO NEOs” column in the table above, the following amounts were deducted from and added to (as applicable) our non-PEO NEOs’ “Total” compensation as reported in the Summary Compensation Table: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68325"/>
                <wp:effectExtent l="0" t="0" r="0" b="0"/>
                <wp:wrapNone/>
                <wp:docPr id="92" name="Frame63"/>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PAY VERSUS PERFORMANCE DISCLOSURE</w:t>
      </w:r>
    </w:p>
    <w:tbl>
      <w:tblPr>
        <w:tblW w:w="12220" w:type="dxa"/>
        <w:jc w:val="center"/>
        <w:tblInd w:w="0" w:type="dxa"/>
        <w:tblLayout w:type="fixed"/>
        <w:tblCellMar>
          <w:top w:w="28" w:type="dxa"/>
          <w:left w:w="28" w:type="dxa"/>
          <w:bottom w:w="28" w:type="dxa"/>
          <w:right w:w="28" w:type="dxa"/>
        </w:tblCellMar>
      </w:tblPr>
      <w:tblGrid>
        <w:gridCol w:w="173"/>
        <w:gridCol w:w="152"/>
        <w:gridCol w:w="156"/>
        <w:gridCol w:w="196"/>
        <w:gridCol w:w="871"/>
        <w:gridCol w:w="109"/>
        <w:gridCol w:w="109"/>
        <w:gridCol w:w="109"/>
        <w:gridCol w:w="109"/>
        <w:gridCol w:w="196"/>
        <w:gridCol w:w="886"/>
        <w:gridCol w:w="109"/>
        <w:gridCol w:w="109"/>
        <w:gridCol w:w="109"/>
        <w:gridCol w:w="109"/>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196"/>
        <w:gridCol w:w="751"/>
        <w:gridCol w:w="109"/>
        <w:gridCol w:w="109"/>
        <w:gridCol w:w="109"/>
        <w:gridCol w:w="109"/>
        <w:gridCol w:w="196"/>
        <w:gridCol w:w="871"/>
        <w:gridCol w:w="109"/>
        <w:gridCol w:w="109"/>
        <w:gridCol w:w="109"/>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Year</w:t>
            </w:r>
          </w:p>
        </w:tc>
        <w:tc>
          <w:tcPr>
            <w:tcW w:w="15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Average Summary Compensation Table Total for Non-PEO NEOs</w:t>
            </w:r>
            <w:r>
              <w:rPr>
                <w:rFonts w:ascii="Arial;sans-serif" w:hAnsi="Arial;sans-serif"/>
                <w:b/>
                <w:color w:val="FFFFFF"/>
                <w:sz w:val="10"/>
              </w:rPr>
              <w:t>(1)</w:t>
            </w:r>
          </w:p>
        </w:tc>
        <w:tc>
          <w:tcPr>
            <w:tcW w:w="151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Deduct Average Reported Value of Equity Awards for Non-PEO NEOs</w:t>
            </w:r>
          </w:p>
        </w:tc>
        <w:tc>
          <w:tcPr>
            <w:tcW w:w="15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 Fair Value of Current Year Equity Awards for Non-PEO NEOs</w:t>
            </w:r>
          </w:p>
        </w:tc>
        <w:tc>
          <w:tcPr>
            <w:tcW w:w="15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 Change in Fair Value of Prior Year Equity Awards Unvested at Year End for Non-PEO NEOs</w:t>
            </w:r>
          </w:p>
        </w:tc>
        <w:tc>
          <w:tcPr>
            <w:tcW w:w="127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 Fair Value as of Vesting Date for Awards Granted and Vested in the Current Year</w:t>
            </w:r>
          </w:p>
        </w:tc>
        <w:tc>
          <w:tcPr>
            <w:tcW w:w="15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 Change in Fair Value of Prior Year Equity Awards Vested During the Current Year for Non-PEO NEOs</w:t>
            </w:r>
          </w:p>
        </w:tc>
        <w:tc>
          <w:tcPr>
            <w:tcW w:w="138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Fair Value at end of Prior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Fiscal Year of Awards that failed to Meet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Vesting Requirements in Current Year</w:t>
            </w:r>
          </w:p>
        </w:tc>
        <w:tc>
          <w:tcPr>
            <w:tcW w:w="1548" w:type="dxa"/>
            <w:gridSpan w:val="6"/>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Average Compensation Actually Paid to Non-PEO</w:t>
              <w:br/>
              <w:t>NEOs</w:t>
            </w:r>
          </w:p>
        </w:tc>
      </w:tr>
      <w:tr>
        <w:trPr/>
        <w:tc>
          <w:tcPr>
            <w:tcW w:w="48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2024</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2,573,273 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(1,612,529)</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804,356 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(432,777)</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57,314 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(876,639)</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5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(676,811)</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(163,813)</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2023</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2,951,630 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(1,692,311)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3,348,573 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2,506,519 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7,209,890 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2022</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2,342,015 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(1,022,677)</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1,083,690 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968,174 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27,886 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2,444,554 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5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(923,809)</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4,919,833 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2021</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3,145,491 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(1,825,841)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6,878,832 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8,198,482 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2020</w:t>
            </w:r>
          </w:p>
        </w:tc>
        <w:tc>
          <w:tcPr>
            <w:tcW w:w="196"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836,063 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836,063 </w:t>
            </w:r>
          </w:p>
        </w:tc>
        <w:tc>
          <w:tcPr>
            <w:tcW w:w="10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0"/>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3002F"/>
                <w:sz w:val="16"/>
              </w:rPr>
              <w:t xml:space="preserve">(4) </w:t>
            </w:r>
            <w:r>
              <w:rPr>
                <w:rFonts w:ascii="Arial;sans-serif" w:hAnsi="Arial;sans-serif"/>
                <w:b w:val="false"/>
                <w:color w:val="242424"/>
                <w:sz w:val="16"/>
              </w:rPr>
              <w:t>Reflects cumulative total shareholder return for the measurement period beginning on June 2, 2021 and ending on December 31, 2024. Our total shareholder return peer group are members of the Dow Jones U.S. Oil Equipment and Services Index. In connection with the Company’s emergence from bankruptcy in 2019, our shares were delisted from the New York Stock Exchange. On June 2, 2021, our shares were relisted on Nasdaq and we became subject to the reporting requirements of the Exchange Act. As permitted by Item 201(e) of Regulation S-K, the measurement period used begins on our Nasdaq listing date of June 2, 2021.</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3002F"/>
                <w:sz w:val="16"/>
              </w:rPr>
              <w:t>(5)</w:t>
            </w:r>
            <w:r>
              <w:rPr>
                <w:color w:val="242424"/>
              </w:rPr>
              <w:t xml:space="preserve"> </w:t>
            </w:r>
            <w:r>
              <w:rPr>
                <w:rFonts w:ascii="Arial;sans-serif" w:hAnsi="Arial;sans-serif"/>
                <w:b w:val="false"/>
                <w:color w:val="242424"/>
                <w:sz w:val="16"/>
              </w:rPr>
              <w:t>Reflects net income (loss) as shown in the Company’s Annual Report on Form 10-K for the years ending on December 31, 2024, 2023, 2022, 2021 and 2020.</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3002F"/>
                <w:sz w:val="16"/>
              </w:rPr>
              <w:t>(6)</w:t>
            </w:r>
            <w:r>
              <w:rPr>
                <w:color w:val="242424"/>
              </w:rPr>
              <w:t xml:space="preserve"> </w:t>
            </w:r>
            <w:r>
              <w:rPr>
                <w:rFonts w:ascii="Arial;sans-serif" w:hAnsi="Arial;sans-serif"/>
                <w:b w:val="false"/>
                <w:color w:val="242424"/>
                <w:sz w:val="16"/>
              </w:rPr>
              <w:t>Reflects adjusted free cash flow, the “company-selected measure.” Adjusted free cash flow is a non-GAAP financial measure calculated as cash flows provided by (used in) operating activities, less capital expenditures plus proceeds from disposition of assets. Refer to Annex A of this Proxy Statement for a reconciliation of adjusted free cash flow to cash flows provided by operating activities, the most directly comparable GAAP financial measure.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120" w:after="120"/>
        <w:jc w:val="left"/>
        <w:rPr>
          <w:rFonts w:ascii="Arial;sans-serif" w:hAnsi="Arial;sans-serif"/>
          <w:b/>
          <w:color w:val="939598"/>
          <w:sz w:val="32"/>
        </w:rPr>
      </w:pPr>
      <w:r>
        <w:rPr>
          <w:rFonts w:ascii="Arial;sans-serif" w:hAnsi="Arial;sans-serif"/>
          <w:b/>
          <w:color w:val="939598"/>
          <w:sz w:val="32"/>
        </w:rPr>
        <w:t>Tabular List of Financial Performance Measures</w:t>
      </w:r>
    </w:p>
    <w:p>
      <w:pPr>
        <w:pStyle w:val="TextBody"/>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 xml:space="preserve">The following table identifies the four most important financial performance measures used by the Committee to link the “compensation actually paid” to our CEO and other NEOs in 2024, calculated in accordance with SEC regulations, to company performance. The role of each of these performance measures on our NEOs’ compensation is discussed in “Compensation Discussion &amp; Analysis” above. </w:t>
      </w:r>
    </w:p>
    <w:p>
      <w:pPr>
        <w:pStyle w:val="TextBody"/>
        <w:bidi w:val="0"/>
        <w:spacing w:before="0" w:after="0"/>
        <w:jc w:val="left"/>
        <w:rPr/>
      </w:pPr>
      <w:r>
        <w:rPr/>
      </w:r>
    </w:p>
    <w:tbl>
      <w:tblPr>
        <w:tblW w:w="3899" w:type="dxa"/>
        <w:jc w:val="center"/>
        <w:tblInd w:w="0" w:type="dxa"/>
        <w:tblLayout w:type="fixed"/>
        <w:tblCellMar>
          <w:top w:w="28" w:type="dxa"/>
          <w:left w:w="28" w:type="dxa"/>
          <w:bottom w:w="28" w:type="dxa"/>
          <w:right w:w="28" w:type="dxa"/>
        </w:tblCellMar>
      </w:tblPr>
      <w:tblGrid>
        <w:gridCol w:w="1249"/>
        <w:gridCol w:w="1096"/>
        <w:gridCol w:w="1554"/>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6B6B6A"/>
              <w:left w:val="single" w:sz="8" w:space="0" w:color="6B6B6A"/>
              <w:right w:val="single" w:sz="8" w:space="0" w:color="6B6B6A"/>
            </w:tcBorders>
            <w:shd w:fill="CE1141"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4"/>
              </w:rPr>
            </w:pPr>
            <w:r>
              <w:rPr>
                <w:rFonts w:ascii="Arial;sans-serif" w:hAnsi="Arial;sans-serif"/>
                <w:b/>
                <w:color w:val="FFFFFF"/>
                <w:sz w:val="24"/>
              </w:rPr>
              <w:t>Financial Performance Measures</w:t>
            </w:r>
          </w:p>
        </w:tc>
      </w:tr>
      <w:tr>
        <w:trPr/>
        <w:tc>
          <w:tcPr>
            <w:tcW w:w="3899" w:type="dxa"/>
            <w:gridSpan w:val="3"/>
            <w:tcBorders>
              <w:left w:val="single" w:sz="8" w:space="0" w:color="6B6B6A"/>
              <w:right w:val="single" w:sz="8" w:space="0" w:color="6B6B6A"/>
            </w:tcBorders>
            <w:shd w:fill="D1D3D4" w:val="clear"/>
            <w:tcMar>
              <w:top w:w="0" w:type="dxa"/>
              <w:bottom w:w="0" w:type="dxa"/>
            </w:tcMar>
            <w:vAlign w:val="center"/>
          </w:tcPr>
          <w:p>
            <w:pPr>
              <w:pStyle w:val="TableContents"/>
              <w:bidi w:val="0"/>
              <w:spacing w:lineRule="auto" w:line="268" w:before="0" w:after="283"/>
              <w:jc w:val="center"/>
              <w:rPr>
                <w:rFonts w:ascii="Arial;sans-serif" w:hAnsi="Arial;sans-serif"/>
                <w:b/>
                <w:color w:val="242424"/>
                <w:sz w:val="20"/>
              </w:rPr>
            </w:pPr>
            <w:r>
              <w:rPr>
                <w:rFonts w:ascii="Arial;sans-serif" w:hAnsi="Arial;sans-serif"/>
                <w:b/>
                <w:color w:val="242424"/>
                <w:sz w:val="20"/>
              </w:rPr>
              <w:t>Adjusted Free Cash Flow*</w:t>
            </w:r>
          </w:p>
        </w:tc>
      </w:tr>
      <w:tr>
        <w:trPr/>
        <w:tc>
          <w:tcPr>
            <w:tcW w:w="3899" w:type="dxa"/>
            <w:gridSpan w:val="3"/>
            <w:tcBorders>
              <w:left w:val="single" w:sz="8" w:space="0" w:color="6B6B6A"/>
              <w:right w:val="single" w:sz="8" w:space="0" w:color="6B6B6A"/>
            </w:tcBorders>
            <w:shd w:fill="FFFFFF" w:val="clear"/>
            <w:tcMar>
              <w:top w:w="0" w:type="dxa"/>
              <w:bottom w:w="0" w:type="dxa"/>
            </w:tcMar>
            <w:vAlign w:val="center"/>
          </w:tcPr>
          <w:p>
            <w:pPr>
              <w:pStyle w:val="TableContents"/>
              <w:bidi w:val="0"/>
              <w:spacing w:lineRule="auto" w:line="268" w:before="0" w:after="283"/>
              <w:jc w:val="center"/>
              <w:rPr>
                <w:rFonts w:ascii="Arial;sans-serif" w:hAnsi="Arial;sans-serif"/>
                <w:b/>
                <w:color w:val="242424"/>
                <w:sz w:val="20"/>
              </w:rPr>
            </w:pPr>
            <w:r>
              <w:rPr>
                <w:rFonts w:ascii="Arial;sans-serif" w:hAnsi="Arial;sans-serif"/>
                <w:b/>
                <w:color w:val="242424"/>
                <w:sz w:val="20"/>
              </w:rPr>
              <w:t>Adjusted EBITDA*</w:t>
            </w:r>
          </w:p>
        </w:tc>
      </w:tr>
      <w:tr>
        <w:trPr/>
        <w:tc>
          <w:tcPr>
            <w:tcW w:w="3899" w:type="dxa"/>
            <w:gridSpan w:val="3"/>
            <w:tcBorders>
              <w:left w:val="single" w:sz="8" w:space="0" w:color="6B6B6A"/>
              <w:right w:val="single" w:sz="8" w:space="0" w:color="6B6B6A"/>
            </w:tcBorders>
            <w:shd w:fill="D1D3D4" w:val="clear"/>
            <w:tcMar>
              <w:top w:w="0" w:type="dxa"/>
              <w:bottom w:w="0" w:type="dxa"/>
            </w:tcMar>
            <w:vAlign w:val="center"/>
          </w:tcPr>
          <w:p>
            <w:pPr>
              <w:pStyle w:val="TableContents"/>
              <w:bidi w:val="0"/>
              <w:spacing w:lineRule="auto" w:line="268" w:before="0" w:after="283"/>
              <w:jc w:val="center"/>
              <w:rPr>
                <w:rFonts w:ascii="Arial;sans-serif" w:hAnsi="Arial;sans-serif"/>
                <w:b/>
                <w:color w:val="242424"/>
                <w:sz w:val="20"/>
              </w:rPr>
            </w:pPr>
            <w:r>
              <w:rPr>
                <w:rFonts w:ascii="Arial;sans-serif" w:hAnsi="Arial;sans-serif"/>
                <w:b/>
                <w:color w:val="242424"/>
                <w:sz w:val="20"/>
              </w:rPr>
              <w:t>Total Shareholder Return</w:t>
            </w:r>
          </w:p>
        </w:tc>
      </w:tr>
      <w:tr>
        <w:trPr/>
        <w:tc>
          <w:tcPr>
            <w:tcW w:w="3899" w:type="dxa"/>
            <w:gridSpan w:val="3"/>
            <w:tcBorders>
              <w:left w:val="single" w:sz="8" w:space="0" w:color="6B6B6A"/>
              <w:bottom w:val="single" w:sz="8" w:space="0" w:color="6B6B6A"/>
              <w:right w:val="single" w:sz="8" w:space="0" w:color="6B6B6A"/>
            </w:tcBorders>
            <w:shd w:fill="FFFFFF" w:val="clear"/>
            <w:tcMar>
              <w:top w:w="0" w:type="dxa"/>
              <w:bottom w:w="30" w:type="dxa"/>
            </w:tcMar>
            <w:vAlign w:val="center"/>
          </w:tcPr>
          <w:p>
            <w:pPr>
              <w:pStyle w:val="TableContents"/>
              <w:bidi w:val="0"/>
              <w:spacing w:lineRule="auto" w:line="268" w:before="0" w:after="283"/>
              <w:jc w:val="center"/>
              <w:rPr>
                <w:rFonts w:ascii="Arial;sans-serif" w:hAnsi="Arial;sans-serif"/>
                <w:b/>
                <w:color w:val="242424"/>
                <w:sz w:val="20"/>
              </w:rPr>
            </w:pPr>
            <w:r>
              <w:rPr>
                <w:rFonts w:ascii="Arial;sans-serif" w:hAnsi="Arial;sans-serif"/>
                <w:b/>
                <w:color w:val="242424"/>
                <w:sz w:val="20"/>
              </w:rPr>
              <w:t>Adjusted EBITDA Margin*</w:t>
            </w:r>
          </w:p>
        </w:tc>
      </w:tr>
    </w:tbl>
    <w:p>
      <w:pPr>
        <w:pStyle w:val="TextBody"/>
        <w:bidi w:val="0"/>
        <w:spacing w:lineRule="auto" w:line="268" w:before="0" w:after="120"/>
        <w:jc w:val="left"/>
        <w:rPr/>
      </w:pPr>
      <w:r>
        <w:rPr>
          <w:rFonts w:ascii="Arial;sans-serif" w:hAnsi="Arial;sans-serif"/>
          <w:b w:val="false"/>
          <w:color w:val="242424"/>
          <w:sz w:val="20"/>
        </w:rPr>
        <w:t xml:space="preserve">* Adjusted free cash flow, adjusted EBITDA and adjusted EBITDA margin are non-GAAP financial measures. </w:t>
      </w:r>
      <w:r>
        <w:rPr>
          <w:rFonts w:ascii="Arial;sans-serif" w:hAnsi="Arial;sans-serif"/>
          <w:b w:val="false"/>
          <w:color w:val="000000"/>
          <w:sz w:val="20"/>
        </w:rPr>
        <w:t>See Annex A to this proxy statement for a reconciliation of GAAP to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68325"/>
                <wp:effectExtent l="0" t="0" r="0" b="0"/>
                <wp:wrapNone/>
                <wp:docPr id="93" name="Frame6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Pay-for-Performance Alignment</w:t>
      </w:r>
    </w:p>
    <w:p>
      <w:pPr>
        <w:pStyle w:val="TextBody"/>
        <w:bidi w:val="0"/>
        <w:spacing w:lineRule="auto" w:line="249" w:before="0" w:after="120"/>
        <w:jc w:val="left"/>
        <w:rPr/>
      </w:pPr>
      <w:r>
        <w:rPr>
          <w:rFonts w:ascii="Arial;sans-serif" w:hAnsi="Arial;sans-serif"/>
          <w:b w:val="false"/>
          <w:color w:val="242424"/>
          <w:sz w:val="20"/>
        </w:rPr>
        <w:t xml:space="preserve">The following graphs reflect the alignment of the “compensation actually paid” for our PEO and non-PEO NEOs over the four-year period ended December 31, 2024 to the trends in our TSR, our peer group TSR, net income, and adjusted free cash flow. The first graph shows TSR and peer group TSR for the period beginning on </w:t>
      </w:r>
      <w:r>
        <w:rPr>
          <w:rFonts w:ascii="Arial;sans-serif" w:hAnsi="Arial;sans-serif"/>
          <w:b w:val="false"/>
          <w:color w:val="000000"/>
          <w:sz w:val="20"/>
        </w:rPr>
        <w:t>June 2, 2021</w:t>
      </w:r>
      <w:r>
        <w:rPr>
          <w:color w:val="242424"/>
        </w:rPr>
        <w:t xml:space="preserve"> </w:t>
      </w:r>
      <w:r>
        <w:rPr>
          <w:rFonts w:ascii="Arial;sans-serif" w:hAnsi="Arial;sans-serif"/>
          <w:b w:val="false"/>
          <w:color w:val="242424"/>
          <w:sz w:val="20"/>
        </w:rPr>
        <w:t xml:space="preserve">(the date we began trading on Nasdaq) to </w:t>
      </w:r>
      <w:r>
        <w:rPr>
          <w:rFonts w:ascii="Arial;sans-serif" w:hAnsi="Arial;sans-serif"/>
          <w:b w:val="false"/>
          <w:color w:val="000000"/>
          <w:sz w:val="20"/>
        </w:rPr>
        <w:t>December 31, 2024</w:t>
      </w:r>
      <w:r>
        <w:rPr>
          <w:color w:val="242424"/>
        </w:rPr>
        <w:t xml:space="preserve"> </w:t>
      </w:r>
      <w:r>
        <w:rPr>
          <w:rFonts w:ascii="Arial;sans-serif" w:hAnsi="Arial;sans-serif"/>
          <w:b w:val="false"/>
          <w:color w:val="242424"/>
          <w:sz w:val="20"/>
        </w:rPr>
        <w:t xml:space="preserve">(the last trading day in </w:t>
      </w:r>
      <w:r>
        <w:rPr>
          <w:rFonts w:ascii="Arial;sans-serif" w:hAnsi="Arial;sans-serif"/>
          <w:b w:val="false"/>
          <w:color w:val="000000"/>
          <w:sz w:val="20"/>
        </w:rPr>
        <w:t>2024</w:t>
      </w:r>
      <w:r>
        <w:rPr>
          <w:rFonts w:ascii="Arial;sans-serif" w:hAnsi="Arial;sans-serif"/>
          <w:b w:val="false"/>
          <w:color w:val="242424"/>
          <w:sz w:val="20"/>
        </w:rPr>
        <w:t>).</w:t>
      </w:r>
    </w:p>
    <w:p>
      <w:pPr>
        <w:pStyle w:val="TextBody"/>
        <w:bidi w:val="0"/>
        <w:spacing w:before="0" w:after="120"/>
        <w:jc w:val="center"/>
        <w:rPr/>
      </w:pPr>
      <w:r>
        <w:rPr/>
        <w:drawing>
          <wp:inline distT="0" distB="0" distL="0" distR="0">
            <wp:extent cx="7267575" cy="3200400"/>
            <wp:effectExtent l="0" t="0" r="0" b="0"/>
            <wp:docPr id="9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0" descr=""/>
                    <pic:cNvPicPr>
                      <a:picLocks noChangeAspect="1" noChangeArrowheads="1"/>
                    </pic:cNvPicPr>
                  </pic:nvPicPr>
                  <pic:blipFill>
                    <a:blip r:embed="rId31"/>
                    <a:stretch>
                      <a:fillRect/>
                    </a:stretch>
                  </pic:blipFill>
                  <pic:spPr bwMode="auto">
                    <a:xfrm>
                      <a:off x="0" y="0"/>
                      <a:ext cx="7267575" cy="3200400"/>
                    </a:xfrm>
                    <a:prstGeom prst="rect">
                      <a:avLst/>
                    </a:prstGeom>
                  </pic:spPr>
                </pic:pic>
              </a:graphicData>
            </a:graphic>
          </wp:inline>
        </w:drawing>
      </w:r>
    </w:p>
    <w:p>
      <w:pPr>
        <w:pStyle w:val="TextBody"/>
        <w:bidi w:val="0"/>
        <w:spacing w:before="0" w:after="120"/>
        <w:jc w:val="center"/>
        <w:rPr/>
      </w:pPr>
      <w:r>
        <w:rPr/>
        <w:drawing>
          <wp:inline distT="0" distB="0" distL="0" distR="0">
            <wp:extent cx="7086600" cy="3524250"/>
            <wp:effectExtent l="0" t="0" r="0" b="0"/>
            <wp:docPr id="9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1" descr=""/>
                    <pic:cNvPicPr>
                      <a:picLocks noChangeAspect="1" noChangeArrowheads="1"/>
                    </pic:cNvPicPr>
                  </pic:nvPicPr>
                  <pic:blipFill>
                    <a:blip r:embed="rId32"/>
                    <a:stretch>
                      <a:fillRect/>
                    </a:stretch>
                  </pic:blipFill>
                  <pic:spPr bwMode="auto">
                    <a:xfrm>
                      <a:off x="0" y="0"/>
                      <a:ext cx="7086600" cy="35242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68325"/>
                <wp:effectExtent l="0" t="0" r="0" b="0"/>
                <wp:wrapNone/>
                <wp:docPr id="96" name="Frame6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120"/>
        <w:jc w:val="center"/>
        <w:rPr/>
      </w:pPr>
      <w:r>
        <w:rPr/>
        <w:drawing>
          <wp:inline distT="0" distB="0" distL="0" distR="0">
            <wp:extent cx="7086600" cy="3752850"/>
            <wp:effectExtent l="0" t="0" r="0" b="0"/>
            <wp:docPr id="9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2" descr=""/>
                    <pic:cNvPicPr>
                      <a:picLocks noChangeAspect="1" noChangeArrowheads="1"/>
                    </pic:cNvPicPr>
                  </pic:nvPicPr>
                  <pic:blipFill>
                    <a:blip r:embed="rId33"/>
                    <a:stretch>
                      <a:fillRect/>
                    </a:stretch>
                  </pic:blipFill>
                  <pic:spPr bwMode="auto">
                    <a:xfrm>
                      <a:off x="0" y="0"/>
                      <a:ext cx="7086600" cy="3752850"/>
                    </a:xfrm>
                    <a:prstGeom prst="rect">
                      <a:avLst/>
                    </a:prstGeom>
                  </pic:spPr>
                </pic:pic>
              </a:graphicData>
            </a:graphic>
          </wp:inline>
        </w:drawing>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68325"/>
                <wp:effectExtent l="0" t="0" r="0" b="0"/>
                <wp:wrapNone/>
                <wp:docPr id="98" name="Frame6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AGENDA ITEM 4 – APPROVE THE AMENDED AND RESTATED EQUITY INCENTIVE PLAN</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120" w:after="120"/>
        <w:jc w:val="left"/>
        <w:rPr>
          <w:rFonts w:ascii="Arial;sans-serif" w:hAnsi="Arial;sans-serif"/>
          <w:b w:val="false"/>
          <w:color w:val="242424"/>
          <w:sz w:val="20"/>
        </w:rPr>
      </w:pPr>
      <w:r>
        <w:rPr>
          <w:rFonts w:ascii="Arial;sans-serif" w:hAnsi="Arial;sans-serif"/>
          <w:b w:val="false"/>
          <w:color w:val="242424"/>
          <w:sz w:val="20"/>
        </w:rPr>
        <w:t xml:space="preserve">We are asking our shareholders to approve an amendment and restatement (the “Amendment”) of the Company’s Third Amended and Restated 2019 Equity Incentive Plan (as amended and restated to date, the “Plan”). The full text of the Amendment is set forth in Annex B to this Proxy Statement. </w:t>
      </w:r>
    </w:p>
    <w:p>
      <w:pPr>
        <w:pStyle w:val="TextBody"/>
        <w:bidi w:val="0"/>
        <w:spacing w:lineRule="auto" w:line="288" w:before="120" w:after="120"/>
        <w:jc w:val="left"/>
        <w:rPr/>
      </w:pPr>
      <w:r>
        <w:rPr>
          <w:rFonts w:ascii="Arial;sans-serif" w:hAnsi="Arial;sans-serif"/>
          <w:b w:val="false"/>
          <w:color w:val="242424"/>
          <w:sz w:val="20"/>
        </w:rPr>
        <w:t xml:space="preserve">The Amendment, if approved, will increase the number of ordinary shares available for issuance under the Plan by adding </w:t>
      </w:r>
      <w:r>
        <w:rPr>
          <w:rFonts w:ascii="Arial;sans-serif" w:hAnsi="Arial;sans-serif"/>
          <w:b w:val="false"/>
          <w:color w:val="000000"/>
          <w:sz w:val="20"/>
        </w:rPr>
        <w:t>1,286,000</w:t>
      </w:r>
      <w:r>
        <w:rPr>
          <w:color w:val="242424"/>
        </w:rPr>
        <w:t xml:space="preserve"> </w:t>
      </w:r>
      <w:r>
        <w:rPr>
          <w:rFonts w:ascii="Arial;sans-serif" w:hAnsi="Arial;sans-serif"/>
          <w:b w:val="false"/>
          <w:color w:val="242424"/>
          <w:sz w:val="20"/>
        </w:rPr>
        <w:t xml:space="preserve">new ordinary shares to the Plan and would not make any other substantive changes. The Company has not increased the number of shares available for issuance under the Plan since its original adoption in 2019. </w:t>
      </w:r>
    </w:p>
    <w:p>
      <w:pPr>
        <w:pStyle w:val="TextBody"/>
        <w:bidi w:val="0"/>
        <w:spacing w:lineRule="auto" w:line="288" w:before="120" w:after="120"/>
        <w:jc w:val="left"/>
        <w:rPr>
          <w:rFonts w:ascii="Arial;sans-serif" w:hAnsi="Arial;sans-serif"/>
          <w:b w:val="false"/>
          <w:color w:val="242424"/>
          <w:sz w:val="20"/>
        </w:rPr>
      </w:pPr>
      <w:r>
        <w:rPr>
          <w:rFonts w:ascii="Arial;sans-serif" w:hAnsi="Arial;sans-serif"/>
          <w:b w:val="false"/>
          <w:color w:val="242424"/>
          <w:sz w:val="20"/>
        </w:rPr>
        <w:t xml:space="preserve">The Amendment has been approved by our Board, upon the recommendation of the Compensation and Human Resources Committee of the Board (the “Committee”), and subject to the approval of our shareholders at the AGM.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Plan allows the Company to grant equity awards to our employees, consultants and our non-employee directors as compensation for their service to the Company. We believe compensating our employees and non-employee directors with equity awards is an effective means of attracting and retaining qualified personnel with a focus on maximizing long-term shareholder value.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believe that our practice of granting equity awards ensures that we are compensating our employees in a manner that is market based and consistent with our competitors, where equity grants are a customary and widespread practice. We also believe these broad-based grants strengthen our Company by allowing our employees to participate in our long-term growth and aligning participants’ interests with those of our shareholders.</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Features of the Plan Designed to Protect Shareholder Interests</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Plan includes several features designed to protect shareholder interests and to reflect our compensation philosophy:</w:t>
      </w:r>
    </w:p>
    <w:p>
      <w:pPr>
        <w:pStyle w:val="TextBody"/>
        <w:bidi w:val="0"/>
        <w:spacing w:lineRule="auto" w:line="268" w:before="0" w:after="120"/>
        <w:ind w:left="0" w:right="0" w:hanging="360"/>
        <w:jc w:val="left"/>
        <w:rPr/>
      </w:pPr>
      <w:r>
        <w:rPr>
          <w:color w:val="242424"/>
        </w:rPr>
        <w:t>•</w:t>
      </w:r>
      <w:r>
        <w:rPr>
          <w:rFonts w:ascii="Arial;sans-serif" w:hAnsi="Arial;sans-serif"/>
          <w:b w:val="false"/>
          <w:color w:val="242424"/>
          <w:sz w:val="20"/>
        </w:rPr>
        <w:t>No “evergreen” provision (i.e., no automatic increase in the number of shares available under the Plan).</w:t>
      </w:r>
    </w:p>
    <w:p>
      <w:pPr>
        <w:pStyle w:val="TextBody"/>
        <w:bidi w:val="0"/>
        <w:spacing w:lineRule="auto" w:line="268" w:before="0" w:after="120"/>
        <w:ind w:left="0" w:right="0" w:hanging="360"/>
        <w:jc w:val="left"/>
        <w:rPr/>
      </w:pPr>
      <w:r>
        <w:rPr>
          <w:color w:val="242424"/>
        </w:rPr>
        <w:t>•</w:t>
      </w:r>
      <w:r>
        <w:rPr>
          <w:rFonts w:ascii="Arial;sans-serif" w:hAnsi="Arial;sans-serif"/>
          <w:b w:val="false"/>
          <w:color w:val="242424"/>
          <w:sz w:val="20"/>
        </w:rPr>
        <w:t>No grants of below-market options or share appreciation rights (“SARs”).</w:t>
      </w:r>
    </w:p>
    <w:p>
      <w:pPr>
        <w:pStyle w:val="TextBody"/>
        <w:bidi w:val="0"/>
        <w:spacing w:lineRule="auto" w:line="268" w:before="0" w:after="120"/>
        <w:ind w:left="0" w:right="0" w:hanging="360"/>
        <w:jc w:val="left"/>
        <w:rPr/>
      </w:pPr>
      <w:r>
        <w:rPr>
          <w:color w:val="242424"/>
        </w:rPr>
        <w:t>•</w:t>
      </w:r>
      <w:r>
        <w:rPr>
          <w:rFonts w:ascii="Arial;sans-serif" w:hAnsi="Arial;sans-serif"/>
          <w:b w:val="false"/>
          <w:color w:val="242424"/>
          <w:sz w:val="20"/>
        </w:rPr>
        <w:t>No repricing of options or SARs.</w:t>
      </w:r>
    </w:p>
    <w:p>
      <w:pPr>
        <w:pStyle w:val="TextBody"/>
        <w:bidi w:val="0"/>
        <w:spacing w:lineRule="auto" w:line="268" w:before="0" w:after="120"/>
        <w:ind w:left="0" w:right="0" w:hanging="360"/>
        <w:jc w:val="left"/>
        <w:rPr/>
      </w:pPr>
      <w:r>
        <w:rPr>
          <w:color w:val="242424"/>
        </w:rPr>
        <w:t>•</w:t>
      </w:r>
      <w:r>
        <w:rPr>
          <w:rFonts w:ascii="Arial;sans-serif" w:hAnsi="Arial;sans-serif"/>
          <w:b w:val="false"/>
          <w:color w:val="242424"/>
          <w:sz w:val="20"/>
        </w:rPr>
        <w:t>No payments of accrued dividends or dividend equivalents on awards unless and until the underlying award vests.</w:t>
      </w:r>
    </w:p>
    <w:p>
      <w:pPr>
        <w:pStyle w:val="TextBody"/>
        <w:bidi w:val="0"/>
        <w:spacing w:lineRule="auto" w:line="268" w:before="0" w:after="120"/>
        <w:ind w:left="0" w:right="0" w:hanging="360"/>
        <w:jc w:val="left"/>
        <w:rPr/>
      </w:pPr>
      <w:r>
        <w:rPr>
          <w:color w:val="242424"/>
        </w:rPr>
        <w:t>•</w:t>
      </w:r>
      <w:r>
        <w:rPr>
          <w:rFonts w:ascii="Arial;sans-serif" w:hAnsi="Arial;sans-serif"/>
          <w:b w:val="false"/>
          <w:color w:val="242424"/>
          <w:sz w:val="20"/>
        </w:rPr>
        <w:t>No automatic single trigger vesting on a change in control.</w:t>
      </w:r>
    </w:p>
    <w:p>
      <w:pPr>
        <w:pStyle w:val="TextBody"/>
        <w:bidi w:val="0"/>
        <w:spacing w:lineRule="auto" w:line="268" w:before="0" w:after="120"/>
        <w:ind w:left="0" w:right="0" w:hanging="360"/>
        <w:jc w:val="left"/>
        <w:rPr/>
      </w:pPr>
      <w:r>
        <w:rPr>
          <w:color w:val="242424"/>
        </w:rPr>
        <w:t>•</w:t>
      </w:r>
      <w:r>
        <w:rPr>
          <w:rFonts w:ascii="Arial;sans-serif" w:hAnsi="Arial;sans-serif"/>
          <w:b w:val="false"/>
          <w:color w:val="242424"/>
          <w:sz w:val="20"/>
        </w:rPr>
        <w:t>Awards are subject to forfeiture/clawback pursuant to Company policies.</w:t>
      </w:r>
    </w:p>
    <w:p>
      <w:pPr>
        <w:pStyle w:val="TextBody"/>
        <w:bidi w:val="0"/>
        <w:spacing w:lineRule="auto" w:line="288" w:before="0" w:after="120"/>
        <w:jc w:val="left"/>
        <w:rPr/>
      </w:pPr>
      <w:r>
        <w:rPr>
          <w:rFonts w:ascii="Arial;sans-serif" w:hAnsi="Arial;sans-serif"/>
          <w:b w:val="false"/>
          <w:color w:val="242424"/>
          <w:sz w:val="20"/>
        </w:rPr>
        <w:t xml:space="preserve">There are currently </w:t>
      </w:r>
      <w:r>
        <w:rPr>
          <w:rFonts w:ascii="Arial;sans-serif" w:hAnsi="Arial;sans-serif"/>
          <w:b w:val="false"/>
          <w:color w:val="000000"/>
          <w:sz w:val="20"/>
        </w:rPr>
        <w:t>8,600,000</w:t>
      </w:r>
      <w:r>
        <w:rPr>
          <w:color w:val="242424"/>
        </w:rPr>
        <w:t xml:space="preserve"> </w:t>
      </w:r>
      <w:r>
        <w:rPr>
          <w:rFonts w:ascii="Arial;sans-serif" w:hAnsi="Arial;sans-serif"/>
          <w:b w:val="false"/>
          <w:color w:val="242424"/>
          <w:sz w:val="20"/>
        </w:rPr>
        <w:t xml:space="preserve">shares authorized for issuance under the Plan, of which </w:t>
      </w:r>
      <w:r>
        <w:rPr>
          <w:rFonts w:ascii="Arial;sans-serif" w:hAnsi="Arial;sans-serif"/>
          <w:b w:val="false"/>
          <w:color w:val="000000"/>
          <w:sz w:val="20"/>
        </w:rPr>
        <w:t xml:space="preserve">7,582,174 </w:t>
      </w:r>
      <w:r>
        <w:rPr>
          <w:rFonts w:ascii="Arial;sans-serif" w:hAnsi="Arial;sans-serif"/>
          <w:b w:val="false"/>
          <w:color w:val="242424"/>
          <w:sz w:val="20"/>
        </w:rPr>
        <w:t xml:space="preserve">have been issued or are reserved for issuance upon vesting of equity awards that are already outstanding. A total of </w:t>
      </w:r>
      <w:r>
        <w:rPr>
          <w:rFonts w:ascii="Arial;sans-serif" w:hAnsi="Arial;sans-serif"/>
          <w:b w:val="false"/>
          <w:color w:val="000000"/>
          <w:sz w:val="20"/>
        </w:rPr>
        <w:t xml:space="preserve">1,017,826 </w:t>
      </w:r>
      <w:r>
        <w:rPr>
          <w:rFonts w:ascii="Arial;sans-serif" w:hAnsi="Arial;sans-serif"/>
          <w:b w:val="false"/>
          <w:color w:val="242424"/>
          <w:sz w:val="20"/>
        </w:rPr>
        <w:t xml:space="preserve">ordinary shares currently remain available for issuance under the Plan.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number and types of awards that will be granted under the Plan in the future are not determinable, as the Committee will make these determinations in its sole discretion at a later time in future years. </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Summary of Key Plan Data</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provides certain additional information regarding our outstanding and available equity under the current Plan:</w:t>
      </w:r>
    </w:p>
    <w:p>
      <w:pPr>
        <w:pStyle w:val="TextBody"/>
        <w:bidi w:val="0"/>
        <w:spacing w:before="0" w:after="0"/>
        <w:jc w:val="left"/>
        <w:rPr/>
      </w:pPr>
      <w:r>
        <w:rPr/>
      </w:r>
    </w:p>
    <w:tbl>
      <w:tblPr>
        <w:tblW w:w="9239" w:type="dxa"/>
        <w:jc w:val="center"/>
        <w:tblInd w:w="0" w:type="dxa"/>
        <w:tblLayout w:type="fixed"/>
        <w:tblCellMar>
          <w:top w:w="28" w:type="dxa"/>
          <w:left w:w="28" w:type="dxa"/>
          <w:bottom w:w="28" w:type="dxa"/>
          <w:right w:w="28" w:type="dxa"/>
        </w:tblCellMar>
      </w:tblPr>
      <w:tblGrid>
        <w:gridCol w:w="2639"/>
        <w:gridCol w:w="2323"/>
        <w:gridCol w:w="2327"/>
        <w:gridCol w:w="570"/>
        <w:gridCol w:w="570"/>
        <w:gridCol w:w="810"/>
      </w:tblGrid>
      <w:tr>
        <w:trPr/>
        <w:tc>
          <w:tcPr>
            <w:tcW w:w="2639"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op w:val="single" w:sz="8" w:space="0" w:color="929292"/>
              <w:left w:val="single" w:sz="8" w:space="0" w:color="929292"/>
            </w:tcBorders>
            <w:shd w:fill="CE1141" w:val="clear"/>
            <w:tcMar>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929292"/>
              <w:left w:val="single" w:sz="8" w:space="0" w:color="929292"/>
              <w:right w:val="single" w:sz="8" w:space="0" w:color="929292"/>
            </w:tcBorders>
            <w:shd w:fill="CE1141"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As of April 10, 2025</w:t>
            </w:r>
          </w:p>
        </w:tc>
      </w:tr>
      <w:tr>
        <w:trPr/>
        <w:tc>
          <w:tcPr>
            <w:tcW w:w="7289" w:type="dxa"/>
            <w:gridSpan w:val="3"/>
            <w:tcBorders>
              <w:top w:val="single" w:sz="8" w:space="0" w:color="929292"/>
              <w:left w:val="single" w:sz="8" w:space="0" w:color="929292"/>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 Options Outstanding</w:t>
            </w:r>
          </w:p>
        </w:tc>
        <w:tc>
          <w:tcPr>
            <w:tcW w:w="1140" w:type="dxa"/>
            <w:gridSpan w:val="2"/>
            <w:tcBorders>
              <w:top w:val="single" w:sz="8" w:space="0" w:color="6B6B6A"/>
              <w:left w:val="single" w:sz="8" w:space="0" w:color="6B6B6A"/>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op w:val="single" w:sz="8" w:space="0" w:color="6B6B6A"/>
              <w:right w:val="single" w:sz="8" w:space="0" w:color="6B6B6A"/>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Restricted Share Units Outstanding</w:t>
            </w:r>
          </w:p>
        </w:tc>
        <w:tc>
          <w:tcPr>
            <w:tcW w:w="114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730,235 </w:t>
            </w:r>
          </w:p>
        </w:tc>
        <w:tc>
          <w:tcPr>
            <w:tcW w:w="810" w:type="dxa"/>
            <w:tcBorders>
              <w:top w:val="single" w:sz="8" w:space="0" w:color="6B6B6A"/>
              <w:right w:val="single" w:sz="8"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top w:val="single" w:sz="8" w:space="0" w:color="929292"/>
              <w:left w:val="single" w:sz="8" w:space="0" w:color="929292"/>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Performance Share Units Outstanding (calculated at maximum achievement)</w:t>
            </w:r>
          </w:p>
        </w:tc>
        <w:tc>
          <w:tcPr>
            <w:tcW w:w="1140" w:type="dxa"/>
            <w:gridSpan w:val="2"/>
            <w:tcBorders>
              <w:top w:val="single" w:sz="8" w:space="0" w:color="6B6B6A"/>
              <w:left w:val="single" w:sz="8" w:space="0" w:color="6B6B6A"/>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1,414,995 </w:t>
            </w:r>
          </w:p>
        </w:tc>
        <w:tc>
          <w:tcPr>
            <w:tcW w:w="810" w:type="dxa"/>
            <w:tcBorders>
              <w:top w:val="single" w:sz="8" w:space="0" w:color="6B6B6A"/>
              <w:right w:val="single" w:sz="8" w:space="0" w:color="6B6B6A"/>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Ordinary Shares Outstanding</w:t>
            </w:r>
          </w:p>
        </w:tc>
        <w:tc>
          <w:tcPr>
            <w:tcW w:w="114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72,556,148 </w:t>
            </w:r>
          </w:p>
        </w:tc>
        <w:tc>
          <w:tcPr>
            <w:tcW w:w="810" w:type="dxa"/>
            <w:tcBorders>
              <w:top w:val="single" w:sz="8" w:space="0" w:color="6B6B6A"/>
              <w:right w:val="single" w:sz="8"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top w:val="single" w:sz="8" w:space="0" w:color="929292"/>
              <w:left w:val="single" w:sz="8" w:space="0" w:color="929292"/>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Exercise Price of Share Options Outstanding</w:t>
            </w:r>
          </w:p>
        </w:tc>
        <w:tc>
          <w:tcPr>
            <w:tcW w:w="1140" w:type="dxa"/>
            <w:gridSpan w:val="2"/>
            <w:tcBorders>
              <w:top w:val="single" w:sz="8" w:space="0" w:color="6B6B6A"/>
              <w:left w:val="single" w:sz="8" w:space="0" w:color="6B6B6A"/>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op w:val="single" w:sz="8" w:space="0" w:color="6B6B6A"/>
              <w:right w:val="single" w:sz="8" w:space="0" w:color="6B6B6A"/>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Duration of Share Options Outstanding</w:t>
            </w:r>
          </w:p>
        </w:tc>
        <w:tc>
          <w:tcPr>
            <w:tcW w:w="114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op w:val="single" w:sz="8" w:space="0" w:color="6B6B6A"/>
              <w:right w:val="single" w:sz="8"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top w:val="single" w:sz="8" w:space="0" w:color="929292"/>
              <w:left w:val="single" w:sz="8" w:space="0" w:color="929292"/>
              <w:bottom w:val="single" w:sz="8" w:space="0" w:color="929292"/>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Shares Available under for Grant under the 2019 Equity Incentive Plan</w:t>
            </w:r>
          </w:p>
        </w:tc>
        <w:tc>
          <w:tcPr>
            <w:tcW w:w="1140" w:type="dxa"/>
            <w:gridSpan w:val="2"/>
            <w:tcBorders>
              <w:top w:val="single" w:sz="8" w:space="0" w:color="6B6B6A"/>
              <w:left w:val="single" w:sz="8" w:space="0" w:color="6B6B6A"/>
              <w:bottom w:val="single" w:sz="8" w:space="0" w:color="6B6B6A"/>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1,017,826 </w:t>
            </w:r>
          </w:p>
        </w:tc>
        <w:tc>
          <w:tcPr>
            <w:tcW w:w="810" w:type="dxa"/>
            <w:tcBorders>
              <w:top w:val="single" w:sz="8" w:space="0" w:color="6B6B6A"/>
              <w:bottom w:val="single" w:sz="8" w:space="0" w:color="6B6B6A"/>
              <w:right w:val="single" w:sz="8" w:space="0" w:color="6B6B6A"/>
            </w:tcBorders>
            <w:shd w:fill="DBDBDB"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68325"/>
                <wp:effectExtent l="0" t="0" r="0" b="0"/>
                <wp:wrapNone/>
                <wp:docPr id="99" name="Frame6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left"/>
        <w:rPr>
          <w:rFonts w:ascii="Arial;sans-serif" w:hAnsi="Arial;sans-serif"/>
          <w:b w:val="false"/>
          <w:color w:val="242424"/>
          <w:sz w:val="20"/>
        </w:rPr>
      </w:pPr>
      <w:r>
        <w:rPr>
          <w:rFonts w:ascii="Arial;sans-serif" w:hAnsi="Arial;sans-serif"/>
          <w:b w:val="false"/>
          <w:color w:val="242424"/>
          <w:sz w:val="20"/>
        </w:rPr>
        <w:t xml:space="preserve">Although the number of shares required for each annual or other grant varies based on a number of factors (including our share price at the time of the grant, the size of individual grants awarded and the size of our employee population), we do not believe that we have sufficient shares available under the Plan for grants beyond 2026. We believe the Amendment would allow us to continue our current equity compensation practices through approximately 2028. </w:t>
      </w:r>
    </w:p>
    <w:p>
      <w:pPr>
        <w:pStyle w:val="TextBody"/>
        <w:bidi w:val="0"/>
        <w:spacing w:lineRule="auto" w:line="288" w:before="120" w:after="120"/>
        <w:jc w:val="left"/>
        <w:rPr/>
      </w:pPr>
      <w:r>
        <w:rPr>
          <w:rFonts w:ascii="Arial;sans-serif" w:hAnsi="Arial;sans-serif"/>
          <w:b w:val="false"/>
          <w:color w:val="242424"/>
          <w:sz w:val="20"/>
        </w:rPr>
        <w:t xml:space="preserve">We recognize that it is important to strike a balance between concerns regarding the potential dilutive effect of equity awards and our ability to attract and retain employees. In connection with the proposed Amendment, the Committee evaluated the Company’s three-year average annual burn rate of </w:t>
      </w:r>
      <w:r>
        <w:rPr>
          <w:rFonts w:ascii="Arial;sans-serif" w:hAnsi="Arial;sans-serif"/>
          <w:b w:val="false"/>
          <w:color w:val="000000"/>
          <w:sz w:val="20"/>
        </w:rPr>
        <w:t>1.01%.</w:t>
      </w:r>
      <w:r>
        <w:rPr>
          <w:color w:val="242424"/>
        </w:rPr>
        <w:t xml:space="preserve"> </w:t>
      </w:r>
      <w:r>
        <w:rPr>
          <w:rFonts w:ascii="Arial;sans-serif" w:hAnsi="Arial;sans-serif"/>
          <w:b w:val="false"/>
          <w:color w:val="242424"/>
          <w:sz w:val="20"/>
        </w:rPr>
        <w:t>which is below the Institutional Shareholder Services (ISS) most recent industry burn rate benchmark.</w:t>
      </w:r>
    </w:p>
    <w:p>
      <w:pPr>
        <w:pStyle w:val="TextBody"/>
        <w:bidi w:val="0"/>
        <w:spacing w:lineRule="auto" w:line="288" w:before="120" w:after="120"/>
        <w:jc w:val="left"/>
        <w:rPr/>
      </w:pPr>
      <w:r>
        <w:rPr>
          <w:rFonts w:ascii="Arial;sans-serif" w:hAnsi="Arial;sans-serif"/>
          <w:b w:val="false"/>
          <w:color w:val="242424"/>
          <w:sz w:val="20"/>
        </w:rPr>
        <w:t xml:space="preserve">The following is a summary of the material terms of the Plan after giving effect to the Amendment. The summary does not purport to be complete and is subject to, and qualified in its entirety by reference to, the complete text of the Amendment. The proposed Amendment is attached hereto as </w:t>
      </w:r>
      <w:r>
        <w:rPr>
          <w:rFonts w:ascii="Arial;sans-serif" w:hAnsi="Arial;sans-serif"/>
          <w:b w:val="false"/>
          <w:color w:val="242424"/>
          <w:sz w:val="20"/>
          <w:u w:val="single"/>
        </w:rPr>
        <w:t>Annex B</w:t>
      </w:r>
      <w:r>
        <w:rPr>
          <w:rFonts w:ascii="Arial;sans-serif" w:hAnsi="Arial;sans-serif"/>
          <w:b w:val="false"/>
          <w:color w:val="242424"/>
          <w:sz w:val="20"/>
        </w:rPr>
        <w:t xml:space="preserve">. </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EFFECTIVE DATE; DURATION OF THE PLAN</w:t>
      </w:r>
    </w:p>
    <w:p>
      <w:pPr>
        <w:pStyle w:val="TextBody"/>
        <w:bidi w:val="0"/>
        <w:spacing w:lineRule="auto" w:line="288" w:before="120" w:after="120"/>
        <w:jc w:val="left"/>
        <w:rPr>
          <w:rFonts w:ascii="Arial;sans-serif" w:hAnsi="Arial;sans-serif"/>
          <w:b w:val="false"/>
          <w:color w:val="242424"/>
          <w:sz w:val="20"/>
        </w:rPr>
      </w:pPr>
      <w:r>
        <w:rPr>
          <w:rFonts w:ascii="Arial;sans-serif" w:hAnsi="Arial;sans-serif"/>
          <w:b w:val="false"/>
          <w:color w:val="242424"/>
          <w:sz w:val="20"/>
        </w:rPr>
        <w:t>The Amendment will become effective upon approval by the Company’s shareholders and will remain in effect until the tenth anniversary of the date it is approved by shareholders, unless terminated earlier by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ADMINISTRATION OF THE PLAN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Committee is authorized to administer the Plan and to take all actions that the Plan expressly contemplates or that are necessary or appropriate in connection with the administration of the Plan, except that the full Board, or a duly authorized committee of the Board, will administer the Plan with respect to the grant of awards to non-employee directors.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Committee has the authority to determine the type and timing of awards, to select which participants will receive awards and to determine the terms of each award, including, among other things, any modifications of the award, applicable restrictions, and the termination and vesting conditions applicable to an award. The Committee has the authority to establish terms of awards relating to a recipient’s retirement, death, disability, leave of absence or termination of employment. The Committee also has the full and exclusive power to administer and interpret the Plan and to adopt such administrative rules, regulations, procedures and guidelines governing the Plan and the awards as it may deem necessary in its discretion, from time to time.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Subject to the applicable limitations under Section 16 of the Securities Exchange Act of 1934 (“Section 16”), the Committee may delegate its authority to one or more officers of the Company, and any such delegation may be revoked by the Committee at any time.</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Amending the Plan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Board may generally make amendments to the Plan; however, shareholder approval is required for any amendment that would (i) materially increase the number of securities issuable under the Plan or (ii) materially expand the types of awards available under the Plan or the class of persons eligible to receive awards under the Plan.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Additionally, shareholder approval is required for any amendment where such approval is necessary to comply with applicable law, or where the Committee determines that such approval is otherwise required or advisable to facilitate compliance with law. Amendments that materially and adversely affect the rights of any individual participant or award holder shall not be effective without the consent of the affected person. </w:t>
      </w:r>
    </w:p>
    <w:p>
      <w:pPr>
        <w:pStyle w:val="TextBody"/>
        <w:bidi w:val="0"/>
        <w:spacing w:lineRule="auto" w:line="268" w:before="0" w:after="120"/>
        <w:jc w:val="left"/>
        <w:rPr>
          <w:rFonts w:ascii="Arial;sans-serif" w:hAnsi="Arial;sans-serif"/>
          <w:b w:val="false"/>
          <w:i/>
          <w:color w:val="000000"/>
          <w:sz w:val="22"/>
        </w:rPr>
      </w:pPr>
      <w:r>
        <w:rPr>
          <w:rFonts w:ascii="Arial;sans-serif" w:hAnsi="Arial;sans-serif"/>
          <w:b w:val="false"/>
          <w:i/>
          <w:color w:val="000000"/>
          <w:sz w:val="22"/>
        </w:rPr>
        <w:t>Eligible Participants</w:t>
      </w:r>
    </w:p>
    <w:p>
      <w:pPr>
        <w:pStyle w:val="TextBody"/>
        <w:bidi w:val="0"/>
        <w:spacing w:lineRule="auto" w:line="288" w:before="0" w:after="120"/>
        <w:jc w:val="left"/>
        <w:rPr/>
      </w:pPr>
      <w:r>
        <w:rPr>
          <w:rFonts w:ascii="Arial;sans-serif" w:hAnsi="Arial;sans-serif"/>
          <w:b w:val="false"/>
          <w:color w:val="242424"/>
          <w:sz w:val="20"/>
        </w:rPr>
        <w:t xml:space="preserve">Our employees, directors and consultants are eligible to participate in the Plan. There are currently </w:t>
      </w:r>
      <w:r>
        <w:rPr>
          <w:rFonts w:ascii="Arial;sans-serif" w:hAnsi="Arial;sans-serif"/>
          <w:b w:val="false"/>
          <w:color w:val="000000"/>
          <w:sz w:val="20"/>
        </w:rPr>
        <w:t>15,711</w:t>
      </w:r>
      <w:r>
        <w:rPr>
          <w:color w:val="242424"/>
        </w:rPr>
        <w:t xml:space="preserve"> </w:t>
      </w:r>
      <w:r>
        <w:rPr>
          <w:rFonts w:ascii="Arial;sans-serif" w:hAnsi="Arial;sans-serif"/>
          <w:b w:val="false"/>
          <w:color w:val="242424"/>
          <w:sz w:val="20"/>
        </w:rPr>
        <w:t xml:space="preserve">employees and </w:t>
      </w:r>
      <w:r>
        <w:rPr>
          <w:rFonts w:ascii="Arial;sans-serif" w:hAnsi="Arial;sans-serif"/>
          <w:b w:val="false"/>
          <w:color w:val="000000"/>
          <w:sz w:val="20"/>
        </w:rPr>
        <w:t>5</w:t>
      </w:r>
      <w:r>
        <w:rPr>
          <w:color w:val="242424"/>
        </w:rPr>
        <w:t xml:space="preserve"> </w:t>
      </w:r>
      <w:r>
        <w:rPr>
          <w:rFonts w:ascii="Arial;sans-serif" w:hAnsi="Arial;sans-serif"/>
          <w:b w:val="false"/>
          <w:color w:val="242424"/>
          <w:sz w:val="20"/>
        </w:rPr>
        <w:t xml:space="preserve">non-employee directors who are eligible to participate in the Plan; however, this number is expected to fluctuate from time to time. There are currently </w:t>
      </w:r>
      <w:r>
        <w:rPr>
          <w:rFonts w:ascii="Arial;sans-serif" w:hAnsi="Arial;sans-serif"/>
          <w:b w:val="false"/>
          <w:color w:val="000000"/>
          <w:sz w:val="20"/>
        </w:rPr>
        <w:t>608</w:t>
      </w:r>
      <w:r>
        <w:rPr>
          <w:color w:val="242424"/>
        </w:rPr>
        <w:t xml:space="preserve"> </w:t>
      </w:r>
      <w:r>
        <w:rPr>
          <w:rFonts w:ascii="Arial;sans-serif" w:hAnsi="Arial;sans-serif"/>
          <w:b w:val="false"/>
          <w:color w:val="242424"/>
          <w:sz w:val="20"/>
        </w:rPr>
        <w:t>individuals participating in the Plan.</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Shares Available for Issuance; Recycling</w:t>
      </w:r>
    </w:p>
    <w:p>
      <w:pPr>
        <w:pStyle w:val="TextBody"/>
        <w:bidi w:val="0"/>
        <w:spacing w:lineRule="auto" w:line="288" w:before="0" w:after="120"/>
        <w:jc w:val="left"/>
        <w:rPr/>
      </w:pPr>
      <w:r>
        <w:rPr>
          <w:rFonts w:ascii="Arial;sans-serif" w:hAnsi="Arial;sans-serif"/>
          <w:b w:val="false"/>
          <w:color w:val="242424"/>
          <w:sz w:val="20"/>
        </w:rPr>
        <w:t xml:space="preserve">The number of ordinary shares available and reserved for grant of awards under the Plan, after giving effect to the Amendment, is </w:t>
      </w:r>
      <w:r>
        <w:rPr>
          <w:rFonts w:ascii="Arial;sans-serif" w:hAnsi="Arial;sans-serif"/>
          <w:b w:val="false"/>
          <w:color w:val="000000"/>
          <w:sz w:val="20"/>
        </w:rPr>
        <w:t>2,303,826</w:t>
      </w:r>
      <w:r>
        <w:rPr>
          <w:rFonts w:ascii="Arial;sans-serif" w:hAnsi="Arial;sans-serif"/>
          <w:b w:val="false"/>
          <w:color w:val="242424"/>
          <w:sz w:val="20"/>
        </w:rPr>
        <w:t xml:space="preserve">, which includes </w:t>
      </w:r>
      <w:r>
        <w:rPr>
          <w:rFonts w:ascii="Arial;sans-serif" w:hAnsi="Arial;sans-serif"/>
          <w:b w:val="false"/>
          <w:color w:val="000000"/>
          <w:sz w:val="20"/>
        </w:rPr>
        <w:t>1,017,826</w:t>
      </w:r>
      <w:r>
        <w:rPr>
          <w:color w:val="242424"/>
        </w:rPr>
        <w:t xml:space="preserve"> </w:t>
      </w:r>
      <w:r>
        <w:rPr>
          <w:rFonts w:ascii="Arial;sans-serif" w:hAnsi="Arial;sans-serif"/>
          <w:b w:val="false"/>
          <w:color w:val="242424"/>
          <w:sz w:val="20"/>
        </w:rPr>
        <w:t xml:space="preserve">shares currently remaining under the Plan and the additional </w:t>
      </w:r>
      <w:r>
        <w:rPr>
          <w:rFonts w:ascii="Arial;sans-serif" w:hAnsi="Arial;sans-serif"/>
          <w:b w:val="false"/>
          <w:color w:val="000000"/>
          <w:sz w:val="20"/>
        </w:rPr>
        <w:t>1,286,000</w:t>
      </w:r>
      <w:r>
        <w:rPr>
          <w:color w:val="242424"/>
        </w:rPr>
        <w:t xml:space="preserve"> </w:t>
      </w:r>
      <w:r>
        <w:rPr>
          <w:rFonts w:ascii="Arial;sans-serif" w:hAnsi="Arial;sans-serif"/>
          <w:b w:val="false"/>
          <w:color w:val="242424"/>
          <w:sz w:val="20"/>
        </w:rPr>
        <w:t xml:space="preserve">shares requested under this proposal.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Each ordinary share issued pursuant to an award granted under the Plan will reduce the Plan ordinary share reserve by one ordinary share.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following ordinary shares will not count against the maximum number of ordinary shares available for issuance under the Plan, and may be “recycled” and issued pursuant to new awards granted under the Plan: </w:t>
      </w:r>
    </w:p>
    <w:p>
      <w:pPr>
        <w:pStyle w:val="TextBody"/>
        <w:bidi w:val="0"/>
        <w:spacing w:lineRule="auto" w:line="288" w:before="0" w:after="120"/>
        <w:ind w:left="0" w:right="0" w:hanging="360"/>
        <w:jc w:val="left"/>
        <w:rPr/>
      </w:pPr>
      <w:r>
        <w:rPr>
          <w:color w:val="242424"/>
        </w:rPr>
        <w:t>•</w:t>
      </w:r>
      <w:r>
        <w:rPr>
          <w:rFonts w:ascii="Arial;sans-serif" w:hAnsi="Arial;sans-serif"/>
          <w:b w:val="false"/>
          <w:color w:val="242424"/>
          <w:sz w:val="20"/>
        </w:rPr>
        <w:t>Ordinary shares that are not issued as a result of the termination, cancellation, forfeiture, expiration or lapsing of any award;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68325"/>
                <wp:effectExtent l="0" t="0" r="0" b="0"/>
                <wp:wrapNone/>
                <wp:docPr id="100" name="Frame6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20"/>
        <w:ind w:left="0" w:right="0" w:hanging="360"/>
        <w:jc w:val="left"/>
        <w:rPr/>
      </w:pPr>
      <w:r>
        <w:rPr>
          <w:color w:val="242424"/>
        </w:rPr>
        <w:t>•</w:t>
      </w:r>
      <w:r>
        <w:rPr>
          <w:rFonts w:ascii="Arial;sans-serif" w:hAnsi="Arial;sans-serif"/>
          <w:b w:val="false"/>
          <w:color w:val="242424"/>
          <w:sz w:val="20"/>
        </w:rPr>
        <w:t>Ordinary shares subject to an award that are not issued because the award is settled in cash.</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following ordinary shares will be counted against the maximum number of ordinary shares available for issuance under the Plan and will not be recycled: </w:t>
      </w:r>
    </w:p>
    <w:p>
      <w:pPr>
        <w:pStyle w:val="TextBody"/>
        <w:bidi w:val="0"/>
        <w:spacing w:lineRule="auto" w:line="288" w:before="0" w:after="120"/>
        <w:ind w:left="0" w:right="0" w:hanging="360"/>
        <w:jc w:val="left"/>
        <w:rPr/>
      </w:pPr>
      <w:r>
        <w:rPr>
          <w:color w:val="242424"/>
        </w:rPr>
        <w:t>•</w:t>
      </w:r>
      <w:r>
        <w:rPr>
          <w:rFonts w:ascii="Arial;sans-serif" w:hAnsi="Arial;sans-serif"/>
          <w:b w:val="false"/>
          <w:color w:val="242424"/>
          <w:sz w:val="20"/>
        </w:rPr>
        <w:t xml:space="preserve">Ordinary shares that are retained or otherwise not issued by the Company in order to satisfy tax withholding obligations or in payment of the option price or purchase price of options; </w:t>
      </w:r>
    </w:p>
    <w:p>
      <w:pPr>
        <w:pStyle w:val="TextBody"/>
        <w:bidi w:val="0"/>
        <w:spacing w:lineRule="auto" w:line="288" w:before="0" w:after="120"/>
        <w:ind w:left="0" w:right="0" w:hanging="360"/>
        <w:jc w:val="left"/>
        <w:rPr/>
      </w:pPr>
      <w:r>
        <w:rPr>
          <w:color w:val="242424"/>
        </w:rPr>
        <w:t>•</w:t>
      </w:r>
      <w:r>
        <w:rPr>
          <w:rFonts w:ascii="Arial;sans-serif" w:hAnsi="Arial;sans-serif"/>
          <w:b w:val="false"/>
          <w:color w:val="242424"/>
          <w:sz w:val="20"/>
        </w:rPr>
        <w:t xml:space="preserve">Ordinary shares that are not issued or delivered as a result of the net-settlement of an outstanding award; and </w:t>
      </w:r>
    </w:p>
    <w:p>
      <w:pPr>
        <w:pStyle w:val="TextBody"/>
        <w:bidi w:val="0"/>
        <w:spacing w:lineRule="auto" w:line="288" w:before="0" w:after="120"/>
        <w:ind w:left="0" w:right="0" w:hanging="360"/>
        <w:jc w:val="left"/>
        <w:rPr/>
      </w:pPr>
      <w:r>
        <w:rPr>
          <w:color w:val="242424"/>
        </w:rPr>
        <w:t>•</w:t>
      </w:r>
      <w:r>
        <w:rPr>
          <w:rFonts w:ascii="Arial;sans-serif" w:hAnsi="Arial;sans-serif"/>
          <w:b w:val="false"/>
          <w:color w:val="242424"/>
          <w:sz w:val="20"/>
        </w:rPr>
        <w:t>Ordinary shares that are repurchased or redeemed on the open market with the proceeds of the exercise of an option.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In addition, the number of ordinary shares available for issuance under the Plan will not be reduced by shares issued in assumption of, or in substitution for, any outstanding awards granted by an entity that is merged into or acquired by the Company. </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Participants will generally not acquire the rights of shareholders until the Shares subject to their awards are issued, payment of any applicable withholding taxes has been made and the participants or their nominees/brokers become holders of record of the shares. </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Of the total share reserve, only 400,000 shares are available to be issued through the exercise of incentive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TYPES OF AWARDS</w:t>
      </w:r>
    </w:p>
    <w:p>
      <w:pPr>
        <w:pStyle w:val="TextBody"/>
        <w:bidi w:val="0"/>
        <w:spacing w:lineRule="auto" w:line="288" w:before="0" w:after="120"/>
        <w:jc w:val="left"/>
        <w:rPr/>
      </w:pPr>
      <w:r>
        <w:rPr>
          <w:rFonts w:ascii="Arial;sans-serif" w:hAnsi="Arial;sans-serif"/>
          <w:b/>
          <w:color w:val="CE1141"/>
          <w:sz w:val="20"/>
        </w:rPr>
        <w:t>1.</w:t>
      </w:r>
      <w:r>
        <w:rPr>
          <w:rFonts w:ascii="Arial;sans-serif" w:hAnsi="Arial;sans-serif"/>
          <w:b/>
          <w:color w:val="CE1141"/>
          <w:sz w:val="20"/>
        </w:rPr>
        <w:t>OPTIONS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 option entitles the recipient to purchase an ordinary share at a specified exercise price during a specified timeframe. For options granted under the Plan, the Committee will specify the option’s exercise price and term (which may not exceed 10 years), and will further determine the option’s vesting schedule and any exercise restrictions. Other terms and conditions applicable to options may be determined by the Committee. The Committee will also determine the extent to which the holder will have the right to exercise the option following termination of employment or other severance of service with us.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All options granted under the Plan are granted with an exercise price not less than the higher of the fair market value of the Company’s ordinary shares at the time the option is granted and the nominal value of the ordinary share.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Options may be granted either as ISOs or non-qualified share options. The principal difference between ISOs and non-qualified share options is their tax treatment. See “U.S. Federal Income Tax Consequences” below. The Committee may accelerate the vesting of options in certain circumstances.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Plan prohibits any repricing of options after their grant, other than in connection with a share split, payment of a share dividend or certain other corporate transactions.</w:t>
      </w:r>
    </w:p>
    <w:p>
      <w:pPr>
        <w:pStyle w:val="TextBody"/>
        <w:bidi w:val="0"/>
        <w:spacing w:lineRule="auto" w:line="288" w:before="0" w:after="120"/>
        <w:ind w:left="0" w:right="0" w:hanging="360"/>
        <w:jc w:val="left"/>
        <w:rPr>
          <w:rFonts w:ascii="Arial;sans-serif" w:hAnsi="Arial;sans-serif"/>
          <w:b/>
          <w:color w:val="CE1141"/>
          <w:sz w:val="20"/>
        </w:rPr>
      </w:pPr>
      <w:r>
        <w:rPr>
          <w:rFonts w:ascii="Arial;sans-serif" w:hAnsi="Arial;sans-serif"/>
          <w:b/>
          <w:color w:val="CE1141"/>
          <w:sz w:val="20"/>
        </w:rPr>
        <w:t>2.SHARE APPRECIATION RIGHTS (“SARs”)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 SAR provides the holder with the right to receive an amount equal to the excess of (i) the fair market value of one ordinary share on the date of exercise over (ii) the strike price, multiplied by the number of ordinary shares with respect to which the SAR is being exercised, less any tax-related Items, during the SAR’s specified term (which may not exceed 10 years).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At the discretion of the Committee, this payment may be in cash, in ordinary shares of equivalent value, in some combination of cash and ordinary shares, or in any other manner that may be approved by the Committee. Except as otherwise determined by the Committee in limited circumstances, SARs granted in tandem with an option shall have a strike price equal to the exercise price of the related option, and in the case of a SAR granted independent of an option, shall have the fair market value of our ordinary shares at the time the SAR is granted. Except as permitted by the Plan, the Committee may not directly or indirectly lower the grant price of any previously granted SAR.</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With respect to exercise of a SAR, the Committee, in its sole discretion, may also impose whatever terms and conditions it deems advisable, including any vesting or transferability provisions. The Committee will also determine the extent to which the holder will have the right to exercise the SAR following termination of employment or other severance of service with us. The Committee may accelerate the vesting of SARs in certain circumstances.</w:t>
      </w:r>
    </w:p>
    <w:p>
      <w:pPr>
        <w:pStyle w:val="TextBody"/>
        <w:bidi w:val="0"/>
        <w:spacing w:lineRule="auto" w:line="288" w:before="0" w:after="120"/>
        <w:ind w:left="0" w:right="0" w:hanging="360"/>
        <w:jc w:val="left"/>
        <w:rPr>
          <w:rFonts w:ascii="Arial;sans-serif" w:hAnsi="Arial;sans-serif"/>
          <w:b/>
          <w:color w:val="CE1141"/>
          <w:sz w:val="20"/>
        </w:rPr>
      </w:pPr>
      <w:r>
        <w:rPr>
          <w:rFonts w:ascii="Arial;sans-serif" w:hAnsi="Arial;sans-serif"/>
          <w:b/>
          <w:color w:val="CE1141"/>
          <w:sz w:val="20"/>
        </w:rPr>
        <w:t>3.RESTRICTED SHARE AWARDS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Restricted share awards are ordinary shares that have been registered in the recipient’s name, but that are subject to transfer restrictions and may be subject to forfeiture or vesting conditions for a period of time. Unless otherwise determined by the Committee, the recipient of a restricted share has the rights of a shareholder, including voting and dividend rights, subject to any restrictions and conditions specified in the award agreement. The Committee will determine the vesting schedule and other restrictions applicable to restricted share awards, and may accelerate the vesting of a restricted share award in certain circumstances. Any dividend rights will be subject to the same vesting schedule as the restricted shares to which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they relate.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68325"/>
                <wp:effectExtent l="0" t="0" r="0" b="0"/>
                <wp:wrapNone/>
                <wp:docPr id="101" name="Frame6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20"/>
        <w:ind w:left="0" w:right="0" w:hanging="360"/>
        <w:jc w:val="left"/>
        <w:rPr>
          <w:rFonts w:ascii="Arial;sans-serif" w:hAnsi="Arial;sans-serif"/>
          <w:b/>
          <w:color w:val="CE1141"/>
          <w:sz w:val="20"/>
        </w:rPr>
      </w:pPr>
      <w:r>
        <w:rPr>
          <w:rFonts w:ascii="Arial;sans-serif" w:hAnsi="Arial;sans-serif"/>
          <w:b/>
          <w:color w:val="CE1141"/>
          <w:sz w:val="20"/>
        </w:rPr>
        <w:t>4.RESTRICTED SHARE UNIT AWARDS (“RSUs”)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An RSU is the right to receive an ordinary share at a specified time in the future, subject to certain conditions. A recipient of RSUs will not have the rights of a shareholder of the Company until the date that the RSU vests and ordinary shares are issued to the recipient. The Committee will determine the terms of the RSUs, including the amount of, the vesting and the transferability restrictions applicable to, such RSUs. The Committee may accelerate the vesting of RSU in certain circumstances. Any dividend equivalent rights provided with respect to RSUs will be subject to the same vesting schedule as the RSUs to which they relate.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Settlement of an RSU will be made in either cash and/or ordinary shares, as specified in the applicable award agreement. Other terms and conditions applicable to RSUs may be determined by the Committee at the time of grant.</w:t>
      </w:r>
    </w:p>
    <w:p>
      <w:pPr>
        <w:pStyle w:val="TextBody"/>
        <w:bidi w:val="0"/>
        <w:spacing w:lineRule="auto" w:line="288" w:before="0" w:after="120"/>
        <w:ind w:left="0" w:right="0" w:hanging="360"/>
        <w:jc w:val="left"/>
        <w:rPr>
          <w:rFonts w:ascii="Arial;sans-serif" w:hAnsi="Arial;sans-serif"/>
          <w:b/>
          <w:color w:val="CE1141"/>
          <w:sz w:val="20"/>
        </w:rPr>
      </w:pPr>
      <w:r>
        <w:rPr>
          <w:rFonts w:ascii="Arial;sans-serif" w:hAnsi="Arial;sans-serif"/>
          <w:b/>
          <w:color w:val="CE1141"/>
          <w:sz w:val="20"/>
        </w:rPr>
        <w:t>5.PERFORMANCE SHARE AWARDS AND PERFORMANCE SHARE UNIT AWARDS (“PSUs”)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Performance awards entitle a recipient to future payments of ordinary shares or other property (including cash) based upon the attainment of performance conditions established in writing by the Committee. The Committee determines the material terms of performance-based awards, including the amount of the award, any vesting or transferability restrictions and the performance period over which the performance goal(s) will be measured. The maximum amount with respect to one or more performance-based awards that may be granted to any employee or any consultant during any calendar year may not exceed $25,000,000 calculated based on the fair market value of the number of ordinary shares subject to the performance-based Award on the date of grant.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performance goal(s) will be established by the Committee in its sole discretion based on measurements, which may include one or more of the following or other performance criteria: consolidated earnings before or after taxes (including earnings before interest, taxes, depreciation and amortization) (e.g., EBITDA); net income; operating income; operating income margin; gross margin; earnings per ordinary share; book value per ordinary share; return on shareholders’ equity; expense management; return on invested capital; improvements in capital structure; profitability of an identifiable business unit or product; maintenance or improvement of profit margins or revenue; ordinary share price; market share; revenues or sales; costs; cash flow; working capital; return on assets; total shareholder return; productivity ratios; specific operational achievement and economic value added.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Depending on the performance criteria used to establish the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performance criteria (discussed above) and including a return or rates of return based on revenue, earnings, capital, invested capital, cash, cash flow, assets, net assets, equity or a combination or ratio therefrom. The performance goal(s)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determined by the Committee, performance goal(s) need not be based upon an increase or positive result under a particular business criterion and could include, for example, maintaining the status quo or limiting economic losses (measured, in each case, by reference to specific business criteria). Additionally, performance goal(s) may be measured in either absolute or relative terms. The Committee, in its sole discretion, may also provide that one or more adjustments shall be made to one or more of the performance goal(s).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Unless otherwise determined by the Committee, the recipient of a performance share award has the rights of a shareholder, including voting and dividend rights, subject to any restrictions and conditions specified in the award agreement. The Committee will determine the vesting schedule and other restrictions applicable to performance share awards, and may accelerate the vesting of a performance share award in certain circumstances. Any dividend rights will be subject to the same vesting schedule as the performance shares to which they relate.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 recipient of PSUs will not have the rights of a shareholder of the Company until the date that the PSU vests and ordinary shares are issued to the recipient. The Committee will determine the terms of the PSUs, including the amount of, the vesting and the transferability restrictions applicable to, such PSUs. The Committee may accelerate the vesting of PSU in certain circumstances. Any dividend equivalent rights provided with respect to PSUs will be subject to the same vesting schedule as the PSUs to which they relate.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Settlement of a PSU will be made in either cash and/or ordinary shares, as specified in the applicable award agreement. Other terms and conditions applicable to PSUs may be determined by the Committee at the time of grant.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Other terms and conditions applicable to performance-based awards may be determined by the Committee at the time of grant.</w:t>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68325"/>
                <wp:effectExtent l="0" t="0" r="0" b="0"/>
                <wp:wrapNone/>
                <wp:docPr id="102" name="Frame70"/>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20"/>
        <w:ind w:left="0" w:right="0" w:hanging="360"/>
        <w:jc w:val="left"/>
        <w:rPr/>
      </w:pPr>
      <w:r>
        <w:rPr>
          <w:rFonts w:ascii="Arial;sans-serif" w:hAnsi="Arial;sans-serif"/>
          <w:b/>
          <w:color w:val="CE1141"/>
          <w:sz w:val="20"/>
        </w:rPr>
        <w:t>6.OTHER SHARE-BASED AWARDS</w:t>
      </w:r>
      <w:r>
        <w:rPr>
          <w:color w:val="CE1141"/>
        </w:rPr>
        <w:t xml:space="preserv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Subject to limitation under applicable laws, the Committee may grant other awards to employees, consultants or directors subject to the terms and conditions the Plan, and as specified by the Committee, that are not inconsistent with the provisions of the Plan and that, by their terms, involve or might involve the issuance of, consist of, or are denominated in, payable in, valued in whole or in part by reference to or otherwise relate to, ordinary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OTHER KEY PROVISIONS</w:t>
      </w:r>
    </w:p>
    <w:p>
      <w:pPr>
        <w:pStyle w:val="TextBody"/>
        <w:bidi w:val="0"/>
        <w:spacing w:lineRule="auto" w:line="268" w:before="0" w:after="120"/>
        <w:jc w:val="left"/>
        <w:rPr>
          <w:rFonts w:ascii="Arial;sans-serif" w:hAnsi="Arial;sans-serif"/>
          <w:b w:val="false"/>
          <w:i/>
          <w:color w:val="000000"/>
          <w:sz w:val="22"/>
        </w:rPr>
      </w:pPr>
      <w:r>
        <w:rPr>
          <w:rFonts w:ascii="Arial;sans-serif" w:hAnsi="Arial;sans-serif"/>
          <w:b w:val="false"/>
          <w:i/>
          <w:color w:val="000000"/>
          <w:sz w:val="22"/>
        </w:rPr>
        <w:t>Minimum Vesting Period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Awards granted under the Plan may not vest or be settled prior to the one-year anniversary of the date of grant, subject to limited exceptions. </w:t>
      </w:r>
    </w:p>
    <w:p>
      <w:pPr>
        <w:pStyle w:val="TextBody"/>
        <w:bidi w:val="0"/>
        <w:spacing w:lineRule="auto" w:line="268" w:before="0" w:after="120"/>
        <w:jc w:val="left"/>
        <w:rPr>
          <w:rFonts w:ascii="Arial;sans-serif" w:hAnsi="Arial;sans-serif"/>
          <w:b w:val="false"/>
          <w:i/>
          <w:color w:val="000000"/>
          <w:sz w:val="22"/>
        </w:rPr>
      </w:pPr>
      <w:r>
        <w:rPr>
          <w:rFonts w:ascii="Arial;sans-serif" w:hAnsi="Arial;sans-serif"/>
          <w:b w:val="false"/>
          <w:i/>
          <w:color w:val="000000"/>
          <w:sz w:val="22"/>
        </w:rPr>
        <w:t>Dividends and Dividend Equivalent Rights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its discretion, the Committee may specify in the award agreement that the holder of an award is entitled to the payment of dividend equivalents under such award, to be accumulated and subject to the same vesting restrictions applicable to the underlying award.</w:t>
      </w:r>
    </w:p>
    <w:p>
      <w:pPr>
        <w:pStyle w:val="TextBody"/>
        <w:bidi w:val="0"/>
        <w:spacing w:lineRule="auto" w:line="268" w:before="0" w:after="120"/>
        <w:jc w:val="left"/>
        <w:rPr>
          <w:rFonts w:ascii="Arial;sans-serif" w:hAnsi="Arial;sans-serif"/>
          <w:b w:val="false"/>
          <w:i/>
          <w:color w:val="000000"/>
          <w:sz w:val="22"/>
        </w:rPr>
      </w:pPr>
      <w:r>
        <w:rPr>
          <w:rFonts w:ascii="Arial;sans-serif" w:hAnsi="Arial;sans-serif"/>
          <w:b w:val="false"/>
          <w:i/>
          <w:color w:val="000000"/>
          <w:sz w:val="22"/>
        </w:rPr>
        <w:t>Clawback and Recoupment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Company may cancel any award or require the participant to reimburse any previously paid compensation provided under the Plan or an award agreement in accordance with the Company’s clawback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EFFECTS OF CERTAIN TRANSACTIONS AND CHANGES OF CONTROL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In connection with any change in control (as defined in the Plan), the Committee may provide for any one or more of the following: continuation, substitution or assumption of awards;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 cancellation of any outstanding awards and payment to the holders of such awards that are vested as of such cancellation the value of such awards, if any, as determined by the Committee, provided that any Option or SAR having a per share exercise price equal to, or in excess of, the fair market value of an ordinary share subject thereto may be canceled and terminated without any payment or consideration. Any such payments may be made in cash or in the form of such other consideration payable to shareholders in the change in control.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Plan does not provide for automatic single trigger vesting on a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U.S. FEDERAL INCOME TAX CONSEQUENCES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following summary is for general information only and is based on the U.S. federal income tax law now in effect, which is subject to change, possibly retroactively.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summary is for general information only and is based on the U.S. federal income tax law now in effect, which is subject to change, possibly retroactively. This summary assumes that any ordinary shares granted pursuant to the Plan will (i) be held as a “capital asset” (generally, property held for investment) under the Code and (ii) vest prior to the issuance of the ordinary shares underlying the awards. The information is based on the laws in effect as of date hereof.</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This summary does not discuss all aspects of U.S. federal income taxation which may be important to a participant in light of their individual investment circumstances or if they are subject to special tax rules. For example, this summary does not address the tax consequences of deferral of awards that may be subject to the rules and guidance issued pursuant to Section 409A of the Code, but participants should be aware that if the deferral of awards is subject to Section 409A, adverse tax consequences could result. In addition, this summary does not address specific state, local or foreign tax consequences.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Finally, this summary does not address Irish stamp tax or other duties on ordinary share issuances or dividends, nor does it address Irish gift or inheritance tax or any other Irish tax.</w:t>
      </w:r>
    </w:p>
    <w:p>
      <w:pPr>
        <w:pStyle w:val="TextBody"/>
        <w:bidi w:val="0"/>
        <w:spacing w:lineRule="auto" w:line="288" w:before="0" w:after="120"/>
        <w:jc w:val="left"/>
        <w:rPr/>
      </w:pPr>
      <w:r>
        <w:rPr>
          <w:rFonts w:ascii="Arial;sans-serif" w:hAnsi="Arial;sans-serif"/>
          <w:b w:val="false"/>
          <w:i/>
          <w:color w:val="000000"/>
          <w:sz w:val="22"/>
        </w:rPr>
        <w:t>Non-Qualified Options, SARs, RSUs, PSUs and Other Share-Based Awards</w:t>
      </w:r>
      <w:r>
        <w:rPr>
          <w:rFonts w:ascii="Arial;sans-serif" w:hAnsi="Arial;sans-serif"/>
          <w:b w:val="false"/>
          <w:color w:val="242424"/>
          <w:sz w:val="20"/>
        </w:rPr>
        <w:t xml:space="preserv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 participant generally is not required to recognize income on the grant of a non-qualified option, SAR, RSU, PSU or other share-based award. Instead, ordinary income generally is required to be recognized on the date the non-qualified option or SAR is exercised, or in the case of RSUs, PSUs or other share-based awards, upon the issuance of ordinary shares and/or the payment of cash when the award vests.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In general, the amount of ordinary income required to be recognized is: (a) in the case of a non-qualified option, an amount equal to the excess, if any, of the fair market value of the ordinary shares on the exercise date over the exercise price; (b) in the case of a SAR, the fair market value of any ordinary shares or cash received upon exercise; and (c) in the case of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68325"/>
                <wp:effectExtent l="0" t="0" r="0" b="0"/>
                <wp:wrapNone/>
                <wp:docPr id="103" name="Frame71"/>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PSUs or other share-based awards, the amount of cash and/or the fair market value of any ordinary shares received in respect thereof.</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Incentive Stock Options (“ISOs”).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When a participant is granted an ISO, or when the participant exercises the ISO, the participant will generally not recognize taxable income (except for purposes of the alternative minimum tax).</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the participant holds the ordinary shares for at least two years from the date of grant and one year from the date of exercise, then any gain or loss will be treated as long-term capital gain or loss. If, however, the ordinary shares are disposed of during this period, the option will be treated as a non-qualified share option, and the participant will recognize ordinary income equal to the lesser of the fair market value of the ordinary shares on the exercise date minus the exercise price or the amount realized on disposition minus the exercise price. Any gain in excess of the ordinary income portion will be taxable as long-term or short-term capital gain.</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 xml:space="preserve">Restricted Shares and Performance Share Awards.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Unless a participant who receives an award of restricted shares or an award of performance shares makes an election under Section 83(b) of the Code as described below, the participant generally is not required to recognize ordinary income on the award of restricted shares or performance shares. Instead, on the date the ordinary shares vest (i.e., become transferable and no longer subject to forfeiture), the participant will be required to recognize ordinary income in an amount equal to the excess, if any, of the fair market value of the ordinary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the participant will not be entitled to any deduction for the taxable income previously recognized.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Section 83(b). A participant may elect to be taxed at the time they receive restricted shares or performance share awards, based on the fair market value of the ordinary shares at that time, by filing an election with the U.S. Internal Revenue Service pursuant to Section 83(b) of the Code. Participants should consult with their tax advisor regarding whether this election is appropriate.</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Gain or Loss on Sale or Exchange of Shares.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general, and except as noted above with respect to ISOs, gain or loss from the sale or exchange of ordinary shares granted or awarded under the Plan will be treated as capital gain or loss, provided that the ordinary shares are held as capital assets at the time of the sale or exchange.</w:t>
      </w:r>
    </w:p>
    <w:p>
      <w:pPr>
        <w:pStyle w:val="TextBody"/>
        <w:bidi w:val="0"/>
        <w:spacing w:lineRule="auto" w:line="288" w:before="0" w:after="120"/>
        <w:jc w:val="left"/>
        <w:rPr/>
      </w:pPr>
      <w:r>
        <w:rPr>
          <w:rFonts w:ascii="Arial;sans-serif" w:hAnsi="Arial;sans-serif"/>
          <w:b w:val="false"/>
          <w:i/>
          <w:color w:val="000000"/>
          <w:sz w:val="22"/>
        </w:rPr>
        <w:t>Deductibility by Weatherford</w:t>
      </w:r>
      <w:r>
        <w:rPr>
          <w:rFonts w:ascii="Arial;sans-serif" w:hAnsi="Arial;sans-serif"/>
          <w:b w:val="false"/>
          <w:color w:val="242424"/>
          <w:sz w:val="20"/>
        </w:rPr>
        <w:t xml:space="preserv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To the extent that a participant recognizes ordinary income in the circumstances described above, Weatherford or the subsidiary for which the participant performs services will generally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“--Section 162(m)” and “--Parachute Payments” below).</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Section 162(m).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compensation attributable to awards under the Plan granted to persons who are “covered employees” of the Company, within the meaning of Section 162(m) of the Code, is subject to the tax deduction limits of Section 162(m) of the Code, which generally provides that any compensation in excess of $1 million, including compensation attributable to awards under the Plan aggregated with all other compensation, received by such covered employees in any year will not be deductible by us.</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Parachute Payments.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Under the so-called “golden parachute” provisions of the Code, the accelerated vesting of options and benefits paid under other awards in connection with a 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8325"/>
                <wp:effectExtent l="0" t="0" r="0" b="0"/>
                <wp:wrapNone/>
                <wp:docPr id="104" name="Frame72"/>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Section 409A.</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Section 409A of the Code applies to compensation plans providing deferred compensation to employees, directors and consultants and potentially could apply to the different awards available under the Plan. Failure to comply with Section 409A of the Code with respect to a specific award, in the absence of an applicable exemption, could result in current income taxation to the participant for all amounts deferred as part of that Award as well as the imposition of an additional 20% tax and interest on any underpayment of tax. In general, Section 409A of the Code should not apply to nonqualified options, ISOs and SARs (that are not discounted) and restricted shares (provided there is no deferral of income beyond the vesting date). Section 409A of the Code may apply to RSUs, PSUs, performance share awards, other share-based awards. It is the intent of Weatherford that awards under the Plan that are not exempt from Section 409A of the Code will be structured and administered in a manner that complies with the requirements of Section 409A of the Code.</w:t>
      </w:r>
    </w:p>
    <w:p>
      <w:pPr>
        <w:pStyle w:val="TextBody"/>
        <w:bidi w:val="0"/>
        <w:spacing w:lineRule="auto" w:line="288" w:before="0" w:after="120"/>
        <w:jc w:val="left"/>
        <w:rPr>
          <w:rFonts w:ascii="Arial;sans-serif" w:hAnsi="Arial;sans-serif"/>
          <w:b w:val="false"/>
          <w:i/>
          <w:color w:val="000000"/>
          <w:sz w:val="22"/>
        </w:rPr>
      </w:pPr>
      <w:r>
        <w:rPr>
          <w:rFonts w:ascii="Arial;sans-serif" w:hAnsi="Arial;sans-serif"/>
          <w:b w:val="false"/>
          <w:i/>
          <w:color w:val="000000"/>
          <w:sz w:val="22"/>
        </w:rPr>
        <w:t>Tax Consequences for Other Jurisdictions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Tax matters are very complicated, and the tax consequences that a participant may experience in connection with the Pan will depend on their specific circumstances and the jurisdiction in which they are subject to tax. A citizen or resident of more than one country or that has changed their place of residency over the life of an award, may owe tax on the award in multiple jurisdictions. </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NEW PLAN BENEFITS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As of the date of this Proxy Statement, no awards have been made with respect to the additional shares proposed to be approved for future grants of awards under the Plan. Any grants of awards under the Plan, and the terms and conditions of those awards, will be made in the discretion of the Committee. Therefore, we cannot now determine the number or type of awards to be approved in the future to any particular person or group of employees under the Plan.</w:t>
      </w:r>
    </w:p>
    <w:p>
      <w:pPr>
        <w:pStyle w:val="TextBody"/>
        <w:bidi w:val="0"/>
        <w:spacing w:lineRule="auto" w:line="288" w:before="0" w:after="0"/>
        <w:jc w:val="left"/>
        <w:rPr>
          <w:rFonts w:ascii="Arial;sans-serif" w:hAnsi="Arial;sans-serif"/>
          <w:b/>
          <w:color w:val="939598"/>
          <w:sz w:val="32"/>
        </w:rPr>
      </w:pPr>
      <w:r>
        <w:rPr>
          <w:rFonts w:ascii="Arial;sans-serif" w:hAnsi="Arial;sans-serif"/>
          <w:b/>
          <w:color w:val="939598"/>
          <w:sz w:val="32"/>
        </w:rPr>
        <w:t>EQUITY COMPENSATION PLAN TABLE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See “Executive Compensation Tables—Equity Compensation Plan Information” for information regarding shares authorized for issuance under our current Plan.</w:t>
      </w: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REGISTRATION WITH THE SEC</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If the Amendment is approved by shareholders at the AGM, the Company will file a Registration Statement on Form S-8 with the SEC with respect to the ordinary shares to be registered pursuant to the Amendment, as soon as reasonably practical following shareholder approval.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VOTE REQUIRED</w:t>
      </w:r>
    </w:p>
    <w:p>
      <w:pPr>
        <w:pStyle w:val="TextBody"/>
        <w:bidi w:val="0"/>
        <w:spacing w:lineRule="auto" w:line="249" w:before="120" w:after="120"/>
        <w:jc w:val="left"/>
        <w:rPr>
          <w:rFonts w:ascii="Arial;sans-serif" w:hAnsi="Arial;sans-serif"/>
          <w:b w:val="false"/>
          <w:color w:val="242424"/>
          <w:sz w:val="20"/>
        </w:rPr>
      </w:pPr>
      <w:r>
        <w:rPr>
          <w:rFonts w:ascii="Arial;sans-serif" w:hAnsi="Arial;sans-serif"/>
          <w:b w:val="false"/>
          <w:color w:val="242424"/>
          <w:sz w:val="20"/>
        </w:rPr>
        <w:t>An ordinary resolution (i.e., a simple majority of the votes cast “For” or “Against”) is required to approve this proposal under Irish law. If you properly give a proxy but do not indicate how you wish to vote, the persons named on the proxy card will vote for the proposal, in person or by proxy, provided a quorum is present. Abstentions and broker “non-votes” will not affect the voting results for this proposal.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the Amendment is not approved by our shareholders, we may continue to make awards under the Plan up to the current authorized maximum. In the event that we have insufficient shares available for issuance under the Plan to cover our projected grants, we may have to increase the cash component of our compensation program in order to remain competitive and adequately compensate our employees. Replacing equity awards with cash awards may not align the interests of our executive officers or our other employees with the interests of our shareholders. Our cash compensation expense could increase and necessitate the use of cash better utilized in our operations.</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8325"/>
                <wp:effectExtent l="0" t="0" r="0" b="0"/>
                <wp:wrapNone/>
                <wp:docPr id="105" name="Frame73"/>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AGENDA ITEM 5 – BOARD AUTHORITY TO ISSUE SHARES</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120" w:after="120"/>
        <w:jc w:val="left"/>
        <w:rPr>
          <w:rFonts w:ascii="Arial;sans-serif" w:hAnsi="Arial;sans-serif"/>
          <w:b w:val="false"/>
          <w:color w:val="242424"/>
          <w:sz w:val="20"/>
        </w:rPr>
      </w:pPr>
      <w:r>
        <w:rPr>
          <w:rFonts w:ascii="Arial;sans-serif" w:hAnsi="Arial;sans-serif"/>
          <w:b w:val="false"/>
          <w:color w:val="242424"/>
          <w:sz w:val="20"/>
        </w:rPr>
        <w:t>Under Irish law, directors of an Irish public limited company must have authority from the company’s shareholders to issue any shares or to grant rights to acquire shares (for example, pursuant to options, warrants or other convertible securities), including shares which are part of the company’s authorized but unissued share capital. This requirement does not apply to the issue of shares or the grant of rights to acquire shares to employees or former employees under an employees' equity incentive plan.</w:t>
      </w:r>
    </w:p>
    <w:p>
      <w:pPr>
        <w:pStyle w:val="TextBody"/>
        <w:bidi w:val="0"/>
        <w:spacing w:lineRule="auto" w:line="288" w:before="120" w:after="120"/>
        <w:jc w:val="left"/>
        <w:rPr/>
      </w:pPr>
      <w:r>
        <w:rPr>
          <w:rFonts w:ascii="Arial;sans-serif" w:hAnsi="Arial;sans-serif"/>
          <w:b w:val="false"/>
          <w:color w:val="242424"/>
          <w:sz w:val="20"/>
        </w:rPr>
        <w:t xml:space="preserve">Our current authorization permits the Board to issue up to </w:t>
      </w:r>
      <w:r>
        <w:rPr>
          <w:rFonts w:ascii="Arial;sans-serif" w:hAnsi="Arial;sans-serif"/>
          <w:b w:val="false"/>
          <w:color w:val="000000"/>
          <w:sz w:val="20"/>
        </w:rPr>
        <w:t>14,631,000</w:t>
      </w:r>
      <w:r>
        <w:rPr>
          <w:color w:val="242424"/>
        </w:rPr>
        <w:t xml:space="preserve"> </w:t>
      </w:r>
      <w:r>
        <w:rPr>
          <w:rFonts w:ascii="Arial;sans-serif" w:hAnsi="Arial;sans-serif"/>
          <w:b w:val="false"/>
          <w:color w:val="242424"/>
          <w:sz w:val="20"/>
        </w:rPr>
        <w:t xml:space="preserve">ordinary shares, and is due to expire on </w:t>
      </w:r>
      <w:r>
        <w:rPr>
          <w:rFonts w:ascii="Arial;sans-serif" w:hAnsi="Arial;sans-serif"/>
          <w:b w:val="false"/>
          <w:color w:val="000000"/>
          <w:sz w:val="20"/>
        </w:rPr>
        <w:t>September 12, 2025</w:t>
      </w:r>
      <w:r>
        <w:rPr>
          <w:rFonts w:ascii="Arial;sans-serif" w:hAnsi="Arial;sans-serif"/>
          <w:b w:val="false"/>
          <w:color w:val="242424"/>
          <w:sz w:val="20"/>
        </w:rPr>
        <w:t>. We are presenting this Agenda Item 5 to renew the Board’s authority to issue authorized but unissued shares and to grant rights to acquire such shares on the terms set forth below.</w:t>
      </w:r>
    </w:p>
    <w:p>
      <w:pPr>
        <w:pStyle w:val="TextBody"/>
        <w:bidi w:val="0"/>
        <w:spacing w:lineRule="auto" w:line="249" w:before="0" w:after="120"/>
        <w:jc w:val="left"/>
        <w:rPr/>
      </w:pPr>
      <w:r>
        <w:rPr>
          <w:rFonts w:ascii="Arial;sans-serif" w:hAnsi="Arial;sans-serif"/>
          <w:b w:val="false"/>
          <w:color w:val="242424"/>
          <w:sz w:val="20"/>
        </w:rPr>
        <w:t xml:space="preserve">In line with customary practice for public companies incorporated in Ireland and listed in U.S. markets, we are seeking approval from our shareholders to authorize the Board to issue, and/or to grant rights to acquire, up to a maximum of </w:t>
      </w:r>
      <w:r>
        <w:rPr>
          <w:rFonts w:ascii="Arial;sans-serif" w:hAnsi="Arial;sans-serif"/>
          <w:b w:val="false"/>
          <w:color w:val="000000"/>
          <w:sz w:val="20"/>
        </w:rPr>
        <w:t>14,511,000</w:t>
      </w:r>
      <w:r>
        <w:rPr>
          <w:color w:val="242424"/>
        </w:rPr>
        <w:t xml:space="preserve"> </w:t>
      </w:r>
      <w:r>
        <w:rPr>
          <w:rFonts w:ascii="Arial;sans-serif" w:hAnsi="Arial;sans-serif"/>
          <w:b w:val="false"/>
          <w:color w:val="242424"/>
          <w:sz w:val="20"/>
        </w:rPr>
        <w:t xml:space="preserve">ordinary shares (representing approximately </w:t>
      </w:r>
      <w:r>
        <w:rPr>
          <w:rFonts w:ascii="Arial;sans-serif" w:hAnsi="Arial;sans-serif"/>
          <w:b w:val="false"/>
          <w:color w:val="000000"/>
          <w:sz w:val="20"/>
        </w:rPr>
        <w:t>20%</w:t>
      </w:r>
      <w:r>
        <w:rPr>
          <w:color w:val="242424"/>
        </w:rPr>
        <w:t xml:space="preserve"> </w:t>
      </w:r>
      <w:r>
        <w:rPr>
          <w:rFonts w:ascii="Arial;sans-serif" w:hAnsi="Arial;sans-serif"/>
          <w:b w:val="false"/>
          <w:color w:val="242424"/>
          <w:sz w:val="20"/>
        </w:rPr>
        <w:t xml:space="preserve">of our issued ordinary share capital as of </w:t>
      </w:r>
      <w:r>
        <w:rPr>
          <w:rFonts w:ascii="Arial;sans-serif" w:hAnsi="Arial;sans-serif"/>
          <w:b w:val="false"/>
          <w:color w:val="000000"/>
          <w:sz w:val="20"/>
        </w:rPr>
        <w:t>April 10, 2025</w:t>
      </w:r>
      <w:r>
        <w:rPr>
          <w:color w:val="242424"/>
        </w:rPr>
        <w:t xml:space="preserve"> </w:t>
      </w:r>
      <w:r>
        <w:rPr>
          <w:rFonts w:ascii="Arial;sans-serif" w:hAnsi="Arial;sans-serif"/>
          <w:b w:val="false"/>
          <w:color w:val="242424"/>
          <w:sz w:val="20"/>
        </w:rPr>
        <w:t xml:space="preserve">(the latest practicable date before this Proxy Statement)) for a period expiring on the later of the next annual general meeting of shareholders of the Company or </w:t>
      </w:r>
      <w:r>
        <w:rPr>
          <w:rFonts w:ascii="Arial;sans-serif" w:hAnsi="Arial;sans-serif"/>
          <w:b w:val="false"/>
          <w:color w:val="000000"/>
          <w:sz w:val="20"/>
        </w:rPr>
        <w:t>15</w:t>
      </w:r>
      <w:r>
        <w:rPr>
          <w:color w:val="242424"/>
        </w:rPr>
        <w:t xml:space="preserve"> </w:t>
      </w:r>
      <w:r>
        <w:rPr>
          <w:rFonts w:ascii="Arial;sans-serif" w:hAnsi="Arial;sans-serif"/>
          <w:b w:val="false"/>
          <w:color w:val="242424"/>
          <w:sz w:val="20"/>
        </w:rPr>
        <w:t>months from the date of the 2025 AGM, unless otherwise varied, revoked or renewed. We expect to propose renewal of this authorization at our annual general meetings in subsequent years.</w:t>
      </w:r>
    </w:p>
    <w:p>
      <w:pPr>
        <w:pStyle w:val="TextBody"/>
        <w:bidi w:val="0"/>
        <w:spacing w:lineRule="auto" w:line="288" w:before="120" w:after="283"/>
        <w:jc w:val="left"/>
        <w:rPr>
          <w:rFonts w:ascii="Arial;sans-serif" w:hAnsi="Arial;sans-serif"/>
          <w:b w:val="false"/>
          <w:color w:val="242424"/>
          <w:sz w:val="20"/>
        </w:rPr>
      </w:pPr>
      <w:r>
        <w:rPr>
          <w:rFonts w:ascii="Arial;sans-serif" w:hAnsi="Arial;sans-serif"/>
          <w:b w:val="false"/>
          <w:color w:val="242424"/>
          <w:sz w:val="20"/>
        </w:rPr>
        <w:t>Granting the Board this authority is a routine matter for listed public companies incorporated in Ireland and is consistent with Irish market practice. This renewal of authority is fundamental to our business and enables us to issue shares or rights to acquire shares, including, if applicable, in connection with funding acquisitions and raising capital. We are not asking you to approve an increase in our authorized share capital or to approve a specific issue of shares. Instead, approval of this proposal will only grant the Board the authority to issue, and grant rights to acquire, shares that are already included in our authorized share capital under our Articles.</w:t>
      </w:r>
    </w:p>
    <w:p>
      <w:pPr>
        <w:pStyle w:val="TextBody"/>
        <w:bidi w:val="0"/>
        <w:spacing w:lineRule="auto" w:line="288" w:before="120" w:after="283"/>
        <w:jc w:val="left"/>
        <w:rPr>
          <w:rFonts w:ascii="Arial;sans-serif" w:hAnsi="Arial;sans-serif"/>
          <w:b w:val="false"/>
          <w:color w:val="242424"/>
          <w:sz w:val="20"/>
        </w:rPr>
      </w:pPr>
      <w:r>
        <w:rPr>
          <w:rFonts w:ascii="Arial;sans-serif" w:hAnsi="Arial;sans-serif"/>
          <w:b w:val="false"/>
          <w:color w:val="242424"/>
          <w:sz w:val="20"/>
        </w:rPr>
        <w:t>In addition, we note that, because we are a Nasdaq-listed company, our shareholders continue to benefit from the protections afforded to them under the rules and regulations of the Nasdaq and SEC, including those rules that limit our ability to issue shares in specified circumstances without first obtaining shareholder approval. Furthermore, we note that this authorization is required as a matter of Irish law and is not otherwise required for other companies listed on the Nasdaq with whom we compete. Accordingly, approval of this resolution would merely place us on equal footing with other Nasdaq-listed companies.</w:t>
      </w:r>
    </w:p>
    <w:p>
      <w:pPr>
        <w:pStyle w:val="TextBody"/>
        <w:bidi w:val="0"/>
        <w:spacing w:lineRule="auto" w:line="288" w:before="120" w:after="283"/>
        <w:jc w:val="left"/>
        <w:rPr>
          <w:rFonts w:ascii="Arial;sans-serif" w:hAnsi="Arial;sans-serif"/>
          <w:b/>
          <w:color w:val="242424"/>
          <w:sz w:val="20"/>
        </w:rPr>
      </w:pPr>
      <w:r>
        <w:rPr>
          <w:rFonts w:ascii="Arial;sans-serif" w:hAnsi="Arial;sans-serif"/>
          <w:b/>
          <w:color w:val="242424"/>
          <w:sz w:val="20"/>
        </w:rPr>
        <w:t>Resolution for Approval</w:t>
      </w:r>
    </w:p>
    <w:p>
      <w:pPr>
        <w:pStyle w:val="TextBody"/>
        <w:bidi w:val="0"/>
        <w:spacing w:lineRule="auto" w:line="288" w:before="120" w:after="283"/>
        <w:jc w:val="left"/>
        <w:rPr>
          <w:rFonts w:ascii="Arial;sans-serif" w:hAnsi="Arial;sans-serif"/>
          <w:b w:val="false"/>
          <w:color w:val="242424"/>
          <w:sz w:val="20"/>
        </w:rPr>
      </w:pPr>
      <w:r>
        <w:rPr>
          <w:rFonts w:ascii="Arial;sans-serif" w:hAnsi="Arial;sans-serif"/>
          <w:b w:val="false"/>
          <w:color w:val="242424"/>
          <w:sz w:val="20"/>
        </w:rPr>
        <w:t>The Board recommends that the shareholders approve the following resolution as an ordinary resolution:</w:t>
      </w:r>
    </w:p>
    <w:p>
      <w:pPr>
        <w:pStyle w:val="TextBody"/>
        <w:bidi w:val="0"/>
        <w:spacing w:lineRule="auto" w:line="288" w:before="120" w:after="283"/>
        <w:jc w:val="left"/>
        <w:rPr/>
      </w:pPr>
      <w:r>
        <w:rPr>
          <w:color w:val="242424"/>
        </w:rPr>
        <w:t>“</w:t>
      </w:r>
      <w:r>
        <w:rPr>
          <w:rFonts w:ascii="Arial;sans-serif" w:hAnsi="Arial;sans-serif"/>
          <w:b w:val="false"/>
          <w:color w:val="242424"/>
          <w:sz w:val="20"/>
        </w:rPr>
        <w:t xml:space="preserve">RESOLVED, that, without prejudice to all existing allotment authorities, the directors of the Company be and are hereby generally and unconditionally authorized, with effect from the passing of this resolution, to exercise all powers of the Company to allot and issue relevant securities (within the meaning of section 1021 of the Companies Act 2014 of Ireland, as amended) up to an aggregate nominal value of </w:t>
      </w:r>
      <w:r>
        <w:rPr>
          <w:rFonts w:ascii="Arial;sans-serif" w:hAnsi="Arial;sans-serif"/>
          <w:b w:val="false"/>
          <w:color w:val="000000"/>
          <w:sz w:val="20"/>
        </w:rPr>
        <w:t>$14,511</w:t>
      </w:r>
      <w:r>
        <w:rPr>
          <w:color w:val="242424"/>
        </w:rPr>
        <w:t xml:space="preserve"> </w:t>
      </w:r>
      <w:r>
        <w:rPr>
          <w:rFonts w:ascii="Arial;sans-serif" w:hAnsi="Arial;sans-serif"/>
          <w:b w:val="false"/>
          <w:color w:val="242424"/>
          <w:sz w:val="20"/>
        </w:rPr>
        <w:t xml:space="preserve">(which represents </w:t>
      </w:r>
      <w:r>
        <w:rPr>
          <w:rFonts w:ascii="Arial;sans-serif" w:hAnsi="Arial;sans-serif"/>
          <w:b w:val="false"/>
          <w:color w:val="000000"/>
          <w:sz w:val="20"/>
        </w:rPr>
        <w:t>14,511,000</w:t>
      </w:r>
      <w:r>
        <w:rPr>
          <w:color w:val="242424"/>
        </w:rPr>
        <w:t xml:space="preserve"> </w:t>
      </w:r>
      <w:r>
        <w:rPr>
          <w:rFonts w:ascii="Arial;sans-serif" w:hAnsi="Arial;sans-serif"/>
          <w:b w:val="false"/>
          <w:color w:val="242424"/>
          <w:sz w:val="20"/>
        </w:rPr>
        <w:t xml:space="preserve">ordinary shares, being equivalent to approximately </w:t>
      </w:r>
      <w:r>
        <w:rPr>
          <w:rFonts w:ascii="Arial;sans-serif" w:hAnsi="Arial;sans-serif"/>
          <w:b w:val="false"/>
          <w:color w:val="000000"/>
          <w:sz w:val="20"/>
        </w:rPr>
        <w:t>20%</w:t>
      </w:r>
      <w:r>
        <w:rPr>
          <w:color w:val="242424"/>
        </w:rPr>
        <w:t xml:space="preserve"> </w:t>
      </w:r>
      <w:r>
        <w:rPr>
          <w:rFonts w:ascii="Arial;sans-serif" w:hAnsi="Arial;sans-serif"/>
          <w:b w:val="false"/>
          <w:color w:val="242424"/>
          <w:sz w:val="20"/>
        </w:rPr>
        <w:t xml:space="preserve">of the aggregate nominal value and number of the issued ordinary shares of </w:t>
      </w:r>
      <w:r>
        <w:rPr>
          <w:rFonts w:ascii="Arial;sans-serif" w:hAnsi="Arial;sans-serif"/>
          <w:b w:val="false"/>
          <w:color w:val="000000"/>
          <w:sz w:val="20"/>
        </w:rPr>
        <w:t>$0.001</w:t>
      </w:r>
      <w:r>
        <w:rPr>
          <w:color w:val="242424"/>
        </w:rPr>
        <w:t xml:space="preserve"> </w:t>
      </w:r>
      <w:r>
        <w:rPr>
          <w:rFonts w:ascii="Arial;sans-serif" w:hAnsi="Arial;sans-serif"/>
          <w:b w:val="false"/>
          <w:color w:val="242424"/>
          <w:sz w:val="20"/>
        </w:rPr>
        <w:t xml:space="preserve">each (nominal value) in the capital of the Company as of </w:t>
      </w:r>
      <w:r>
        <w:rPr>
          <w:rFonts w:ascii="Arial;sans-serif" w:hAnsi="Arial;sans-serif"/>
          <w:b w:val="false"/>
          <w:color w:val="000000"/>
          <w:sz w:val="20"/>
        </w:rPr>
        <w:t>April 10, 2025</w:t>
      </w:r>
      <w:r>
        <w:rPr>
          <w:rFonts w:ascii="Arial;sans-serif" w:hAnsi="Arial;sans-serif"/>
          <w:b w:val="false"/>
          <w:color w:val="242424"/>
          <w:sz w:val="20"/>
        </w:rPr>
        <w:t xml:space="preserve">) and the authority conferred by this resolution shall expire on the later of the next annual general meeting of shareholders of the Company or </w:t>
      </w:r>
      <w:r>
        <w:rPr>
          <w:rFonts w:ascii="Arial;sans-serif" w:hAnsi="Arial;sans-serif"/>
          <w:b w:val="false"/>
          <w:color w:val="000000"/>
          <w:sz w:val="20"/>
        </w:rPr>
        <w:t>15</w:t>
      </w:r>
      <w:r>
        <w:rPr>
          <w:color w:val="242424"/>
        </w:rPr>
        <w:t xml:space="preserve"> </w:t>
      </w:r>
      <w:r>
        <w:rPr>
          <w:rFonts w:ascii="Arial;sans-serif" w:hAnsi="Arial;sans-serif"/>
          <w:b w:val="false"/>
          <w:color w:val="242424"/>
          <w:sz w:val="20"/>
        </w:rPr>
        <w:t>months from the passing of this resolution, unless previously renewed, varied or revoked, provided that the Company may, before such expiry, make an offer or agreement, which would, or might, require relevant securities to be allotted and issued after such expiry, and, in that case, the directors of the Company may allot and issue relevant securities in pursuance of any such offer or agreement as if the authority conferred by this resolution had not expired.”</w:t>
      </w:r>
    </w:p>
    <w:p>
      <w:pPr>
        <w:pStyle w:val="TextBody"/>
        <w:bidi w:val="0"/>
        <w:spacing w:lineRule="auto" w:line="288" w:before="120" w:after="283"/>
        <w:jc w:val="left"/>
        <w:rPr>
          <w:rFonts w:ascii="Arial;sans-serif" w:hAnsi="Arial;sans-serif"/>
          <w:b w:val="false"/>
          <w:color w:val="242424"/>
          <w:sz w:val="20"/>
        </w:rPr>
      </w:pPr>
      <w:r>
        <w:rPr>
          <w:rFonts w:ascii="Arial;sans-serif" w:hAnsi="Arial;sans-serif"/>
          <w:b w:val="false"/>
          <w:color w:val="242424"/>
          <w:sz w:val="20"/>
        </w:rPr>
        <w:t xml:space="preserve">As required under Irish law, this proposal will be considered adopted as an ordinary resolution if a simple majority of the votes cast in person or by proxy are cast “For” the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8325"/>
                <wp:effectExtent l="0" t="0" r="0" b="0"/>
                <wp:wrapNone/>
                <wp:docPr id="106" name="Frame7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AGENDA ITEM 6 - BOARD AUTHORITY TO OPT-OUT OF STATUTORY PREEMPTION RIGHTS</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3002F"/>
        </w:rPr>
        <w:t>“</w:t>
      </w:r>
      <w:r>
        <w:rPr>
          <w:rFonts w:ascii="Arial;sans-serif" w:hAnsi="Arial;sans-serif"/>
          <w:b/>
          <w:color w:val="C3002F"/>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0" w:after="120"/>
        <w:jc w:val="left"/>
        <w:rPr/>
      </w:pPr>
      <w:r>
        <w:rPr>
          <w:rFonts w:ascii="Arial;sans-serif" w:hAnsi="Arial;sans-serif"/>
          <w:b w:val="false"/>
          <w:color w:val="242424"/>
          <w:sz w:val="20"/>
        </w:rPr>
        <w:t xml:space="preserve">Under Irish law, unless the directors are otherwise authorized and empowered to opt-out, when an Irish listed public company proposes to issue shares or to grant rights to acquire shares (for example, pursuant to options, warrants or other convertible securities) in exchange for cash, it is required to first offer those shares on the same or more favorable terms to existing shareholders of the company on a </w:t>
      </w:r>
      <w:r>
        <w:rPr>
          <w:rFonts w:ascii="Arial;sans-serif" w:hAnsi="Arial;sans-serif"/>
          <w:b w:val="false"/>
          <w:i/>
          <w:color w:val="242424"/>
          <w:sz w:val="20"/>
        </w:rPr>
        <w:t>pro rata</w:t>
      </w:r>
      <w:r>
        <w:rPr>
          <w:color w:val="242424"/>
        </w:rPr>
        <w:t xml:space="preserve"> </w:t>
      </w:r>
      <w:r>
        <w:rPr>
          <w:rFonts w:ascii="Arial;sans-serif" w:hAnsi="Arial;sans-serif"/>
          <w:b w:val="false"/>
          <w:color w:val="242424"/>
          <w:sz w:val="20"/>
        </w:rPr>
        <w:t xml:space="preserve">basis (commonly referred to as statutory preemption rights). </w:t>
      </w:r>
    </w:p>
    <w:p>
      <w:pPr>
        <w:pStyle w:val="TextBody"/>
        <w:bidi w:val="0"/>
        <w:spacing w:lineRule="auto" w:line="288" w:before="0" w:after="120"/>
        <w:jc w:val="left"/>
        <w:rPr/>
      </w:pPr>
      <w:r>
        <w:rPr>
          <w:rFonts w:ascii="Arial;sans-serif" w:hAnsi="Arial;sans-serif"/>
          <w:b w:val="false"/>
          <w:color w:val="242424"/>
          <w:sz w:val="20"/>
        </w:rPr>
        <w:t xml:space="preserve">Our current authority empowers our directors to issue up to </w:t>
      </w:r>
      <w:r>
        <w:rPr>
          <w:rFonts w:ascii="Arial;sans-serif" w:hAnsi="Arial;sans-serif"/>
          <w:b w:val="false"/>
          <w:color w:val="000000"/>
          <w:sz w:val="20"/>
        </w:rPr>
        <w:t>14,631,000</w:t>
      </w:r>
      <w:r>
        <w:rPr>
          <w:color w:val="242424"/>
        </w:rPr>
        <w:t xml:space="preserve"> </w:t>
      </w:r>
      <w:r>
        <w:rPr>
          <w:rFonts w:ascii="Arial;sans-serif" w:hAnsi="Arial;sans-serif"/>
          <w:b w:val="false"/>
          <w:color w:val="242424"/>
          <w:sz w:val="20"/>
        </w:rPr>
        <w:t xml:space="preserve">ordinary shares free from statutory preemption rights, and is due to expire on </w:t>
      </w:r>
      <w:r>
        <w:rPr>
          <w:rFonts w:ascii="Arial;sans-serif" w:hAnsi="Arial;sans-serif"/>
          <w:b w:val="false"/>
          <w:color w:val="000000"/>
          <w:sz w:val="20"/>
        </w:rPr>
        <w:t>September 12, 2025</w:t>
      </w:r>
      <w:r>
        <w:rPr>
          <w:rFonts w:ascii="Arial;sans-serif" w:hAnsi="Arial;sans-serif"/>
          <w:b w:val="false"/>
          <w:color w:val="242424"/>
          <w:sz w:val="20"/>
        </w:rPr>
        <w:t>. In conjunction with Agenda Item 5 to renew the Board’s general authority to issue shares, we are presenting this proposal to renew the Board’s authority to issue our shares free from statutory preemption rights on the terms set forth below.</w:t>
      </w:r>
    </w:p>
    <w:p>
      <w:pPr>
        <w:pStyle w:val="TextBody"/>
        <w:bidi w:val="0"/>
        <w:spacing w:lineRule="auto" w:line="288" w:before="0" w:after="120"/>
        <w:jc w:val="left"/>
        <w:rPr/>
      </w:pPr>
      <w:r>
        <w:rPr>
          <w:rFonts w:ascii="Arial;sans-serif" w:hAnsi="Arial;sans-serif"/>
          <w:b w:val="false"/>
          <w:color w:val="242424"/>
          <w:sz w:val="20"/>
        </w:rPr>
        <w:t xml:space="preserve">In line with customary practice for public companies incorporated in Ireland and listed on U.S. markets, we are seeking authority from our shareholders to authorize and empower the Board to issue shares free from statutory preemption rights in respect of (1) the issuance of ordinary shares for cash in connection with any rights issue and (2) the issuance of, and/or the grant of rights to acquire, ordinary shares for cash, if the issuance is limited to a maximum of </w:t>
      </w:r>
      <w:r>
        <w:rPr>
          <w:rFonts w:ascii="Arial;sans-serif" w:hAnsi="Arial;sans-serif"/>
          <w:b w:val="false"/>
          <w:color w:val="000000"/>
          <w:sz w:val="20"/>
        </w:rPr>
        <w:t>14,511,000</w:t>
      </w:r>
      <w:r>
        <w:rPr>
          <w:color w:val="242424"/>
        </w:rPr>
        <w:t xml:space="preserve"> </w:t>
      </w:r>
      <w:r>
        <w:rPr>
          <w:rFonts w:ascii="Arial;sans-serif" w:hAnsi="Arial;sans-serif"/>
          <w:b w:val="false"/>
          <w:color w:val="242424"/>
          <w:sz w:val="20"/>
        </w:rPr>
        <w:t xml:space="preserve">ordinary shares (representing approximately </w:t>
      </w:r>
      <w:r>
        <w:rPr>
          <w:rFonts w:ascii="Arial;sans-serif" w:hAnsi="Arial;sans-serif"/>
          <w:b w:val="false"/>
          <w:color w:val="000000"/>
          <w:sz w:val="20"/>
        </w:rPr>
        <w:t>20%</w:t>
      </w:r>
      <w:r>
        <w:rPr>
          <w:color w:val="242424"/>
        </w:rPr>
        <w:t xml:space="preserve"> </w:t>
      </w:r>
      <w:r>
        <w:rPr>
          <w:rFonts w:ascii="Arial;sans-serif" w:hAnsi="Arial;sans-serif"/>
          <w:b w:val="false"/>
          <w:color w:val="242424"/>
          <w:sz w:val="20"/>
        </w:rPr>
        <w:t xml:space="preserve">of our issued ordinary share capital as of </w:t>
      </w:r>
      <w:r>
        <w:rPr>
          <w:rFonts w:ascii="Arial;sans-serif" w:hAnsi="Arial;sans-serif"/>
          <w:b w:val="false"/>
          <w:color w:val="000000"/>
          <w:sz w:val="20"/>
        </w:rPr>
        <w:t>April 10, 2025</w:t>
      </w:r>
      <w:r>
        <w:rPr>
          <w:color w:val="242424"/>
        </w:rPr>
        <w:t xml:space="preserve"> </w:t>
      </w:r>
      <w:r>
        <w:rPr>
          <w:rFonts w:ascii="Arial;sans-serif" w:hAnsi="Arial;sans-serif"/>
          <w:b w:val="false"/>
          <w:color w:val="242424"/>
          <w:sz w:val="20"/>
        </w:rPr>
        <w:t xml:space="preserve">(the latest practicable date before this Proxy Statement). The proposed authority would extend for a period expiring on the later of the next annual general meeting of shareholders of the Company or </w:t>
      </w:r>
      <w:r>
        <w:rPr>
          <w:rFonts w:ascii="Arial;sans-serif" w:hAnsi="Arial;sans-serif"/>
          <w:b w:val="false"/>
          <w:color w:val="000000"/>
          <w:sz w:val="20"/>
        </w:rPr>
        <w:t>15</w:t>
      </w:r>
      <w:r>
        <w:rPr>
          <w:color w:val="242424"/>
        </w:rPr>
        <w:t xml:space="preserve"> </w:t>
      </w:r>
      <w:r>
        <w:rPr>
          <w:rFonts w:ascii="Arial;sans-serif" w:hAnsi="Arial;sans-serif"/>
          <w:b w:val="false"/>
          <w:color w:val="242424"/>
          <w:sz w:val="20"/>
        </w:rPr>
        <w:t>months from the date of the 2025 AGM, unless otherwise varied, revoked or renewed. We expect to propose renewal of this authorization at our annual general meetings in subsequent years.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Granting the Board this authority is a routine matter for public companies incorporated in Ireland and is consistent with Irish customary practice. Similar to the authorization sought for Agenda Item 5, this authority is fundamental to our business and, if applicable, will facilitate our ability to fund acquisitions and otherwise raise capital. This approval will grant the Board the power to issue shares and rights to acquire shares free from statutory preemption rights in the same manner as our existing authority (but subject to the caps referred to above). Without this authorization, in each case where we propose to issue shares, and/or grant rights to acquire shares, for cash, we would first have to offer those shares on the same or more favorable terms to all of our existing shareholders. This requirement could cause delays in the completion of acquisitions and capital raising for our business. Furthermore, we note that this authorization is required as a matter of Irish law and is not otherwise required for other companies listed on the Nasdaq with whom we compete. Accordingly, approval of this resolution would merely place us on equal footing with other Nasdaq-listed companies. </w:t>
      </w:r>
    </w:p>
    <w:p>
      <w:pPr>
        <w:pStyle w:val="TextBody"/>
        <w:bidi w:val="0"/>
        <w:spacing w:lineRule="auto" w:line="288" w:before="0" w:after="120"/>
        <w:jc w:val="left"/>
        <w:rPr>
          <w:rFonts w:ascii="Arial;sans-serif" w:hAnsi="Arial;sans-serif"/>
          <w:b/>
          <w:color w:val="242424"/>
          <w:sz w:val="20"/>
        </w:rPr>
      </w:pPr>
      <w:r>
        <w:rPr>
          <w:rFonts w:ascii="Arial;sans-serif" w:hAnsi="Arial;sans-serif"/>
          <w:b/>
          <w:color w:val="242424"/>
          <w:sz w:val="20"/>
        </w:rPr>
        <w:t>Resolution for Approval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recommends that the shareholders approve the following resolution as a special resolution:</w:t>
      </w:r>
    </w:p>
    <w:p>
      <w:pPr>
        <w:pStyle w:val="TextBody"/>
        <w:bidi w:val="0"/>
        <w:spacing w:lineRule="auto" w:line="288" w:before="0" w:after="120"/>
        <w:jc w:val="left"/>
        <w:rPr>
          <w:color w:val="242424"/>
        </w:rPr>
      </w:pPr>
      <w:r>
        <w:rPr>
          <w:color w:val="242424"/>
        </w:rPr>
        <w:t>“</w:t>
      </w:r>
      <w:r>
        <w:rPr>
          <w:rFonts w:ascii="Arial;sans-serif" w:hAnsi="Arial;sans-serif"/>
          <w:b w:val="false"/>
          <w:color w:val="242424"/>
          <w:sz w:val="20"/>
        </w:rPr>
        <w:t>RESOLVED AS A SPECIAL RESOLUTION, that, subject to the passing of the resolution set out in Agenda Item 5 set out in the Company’s proxy statement dated April 23, 2025, and without prejudice to all existing powers, the directors of the Company be and are hereby empowered, with effect from the passing of this resolution, pursuant to section 1023 of the Companies Act 2014 of Ireland, as amended (the “Act”), to allot and issue equity securities (within the meaning of section 1023 of the Act) for cash, pursuant to the authority conferred by the resolution set out in the said Agenda Item 5 as if section 1022(1) of the Act did not apply to any such allotment, provided that this power shall be limited to:</w:t>
      </w:r>
    </w:p>
    <w:p>
      <w:pPr>
        <w:pStyle w:val="TextBody"/>
        <w:bidi w:val="0"/>
        <w:spacing w:lineRule="auto" w:line="288" w:before="0" w:after="120"/>
        <w:ind w:left="0" w:right="0" w:firstLine="720"/>
        <w:jc w:val="left"/>
        <w:rPr/>
      </w:pPr>
      <w:r>
        <w:rPr>
          <w:rFonts w:ascii="Arial;sans-serif" w:hAnsi="Arial;sans-serif"/>
          <w:b w:val="false"/>
          <w:color w:val="242424"/>
          <w:sz w:val="20"/>
        </w:rPr>
        <w:t xml:space="preserve">(a) the allotment and issue of equity securities in connection with a rights issue in favor of the holders of ordinary shares of </w:t>
      </w:r>
      <w:r>
        <w:rPr>
          <w:rFonts w:ascii="Arial;sans-serif" w:hAnsi="Arial;sans-serif"/>
          <w:b w:val="false"/>
          <w:color w:val="000000"/>
          <w:sz w:val="20"/>
        </w:rPr>
        <w:t>$0.001</w:t>
      </w:r>
      <w:r>
        <w:rPr>
          <w:color w:val="242424"/>
        </w:rPr>
        <w:t xml:space="preserve"> </w:t>
      </w:r>
      <w:r>
        <w:rPr>
          <w:rFonts w:ascii="Arial;sans-serif" w:hAnsi="Arial;sans-serif"/>
          <w:b w:val="false"/>
          <w:color w:val="242424"/>
          <w:sz w:val="20"/>
        </w:rPr>
        <w:t>in the capital of the Company (the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of the Company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w:t>
      </w:r>
    </w:p>
    <w:p>
      <w:pPr>
        <w:pStyle w:val="TextBody"/>
        <w:bidi w:val="0"/>
        <w:spacing w:lineRule="auto" w:line="288" w:before="0" w:after="120"/>
        <w:ind w:left="0" w:right="0" w:firstLine="720"/>
        <w:jc w:val="left"/>
        <w:rPr/>
      </w:pPr>
      <w:r>
        <w:rPr>
          <w:rFonts w:ascii="Arial;sans-serif" w:hAnsi="Arial;sans-serif"/>
          <w:b w:val="false"/>
          <w:color w:val="242424"/>
          <w:sz w:val="20"/>
        </w:rPr>
        <w:t xml:space="preserve">(b) the allotment and issue (other than pursuant to sub-paragraph (a) above) of equity securities up to an aggregate nominal value of </w:t>
      </w:r>
      <w:r>
        <w:rPr>
          <w:rFonts w:ascii="Arial;sans-serif" w:hAnsi="Arial;sans-serif"/>
          <w:b w:val="false"/>
          <w:color w:val="000000"/>
          <w:sz w:val="20"/>
        </w:rPr>
        <w:t>$14,511</w:t>
      </w:r>
      <w:r>
        <w:rPr>
          <w:color w:val="242424"/>
        </w:rPr>
        <w:t xml:space="preserve"> </w:t>
      </w:r>
      <w:r>
        <w:rPr>
          <w:rFonts w:ascii="Arial;sans-serif" w:hAnsi="Arial;sans-serif"/>
          <w:b w:val="false"/>
          <w:color w:val="242424"/>
          <w:sz w:val="20"/>
        </w:rPr>
        <w:t xml:space="preserve">(which represents </w:t>
      </w:r>
      <w:r>
        <w:rPr>
          <w:rFonts w:ascii="Arial;sans-serif" w:hAnsi="Arial;sans-serif"/>
          <w:b w:val="false"/>
          <w:color w:val="000000"/>
          <w:sz w:val="20"/>
        </w:rPr>
        <w:t>14,511,000</w:t>
      </w:r>
      <w:r>
        <w:rPr>
          <w:color w:val="242424"/>
        </w:rPr>
        <w:t xml:space="preserve"> </w:t>
      </w:r>
      <w:r>
        <w:rPr>
          <w:rFonts w:ascii="Arial;sans-serif" w:hAnsi="Arial;sans-serif"/>
          <w:b w:val="false"/>
          <w:color w:val="242424"/>
          <w:sz w:val="20"/>
        </w:rPr>
        <w:t xml:space="preserve">Ordinary Shares, being equivalent to approximately </w:t>
      </w:r>
      <w:r>
        <w:rPr>
          <w:rFonts w:ascii="Arial;sans-serif" w:hAnsi="Arial;sans-serif"/>
          <w:b w:val="false"/>
          <w:color w:val="000000"/>
          <w:sz w:val="20"/>
        </w:rPr>
        <w:t>20%</w:t>
      </w:r>
      <w:r>
        <w:rPr>
          <w:color w:val="242424"/>
        </w:rPr>
        <w:t xml:space="preserve"> </w:t>
      </w:r>
      <w:r>
        <w:rPr>
          <w:rFonts w:ascii="Arial;sans-serif" w:hAnsi="Arial;sans-serif"/>
          <w:b w:val="false"/>
          <w:color w:val="242424"/>
          <w:sz w:val="20"/>
        </w:rPr>
        <w:t xml:space="preserve">of the aggregate nominal value of the issued share capital of the Company as of </w:t>
      </w:r>
      <w:r>
        <w:rPr>
          <w:rFonts w:ascii="Arial;sans-serif" w:hAnsi="Arial;sans-serif"/>
          <w:b w:val="false"/>
          <w:color w:val="000000"/>
          <w:sz w:val="20"/>
        </w:rPr>
        <w:t>April 10, 2025</w:t>
      </w:r>
      <w:r>
        <w:rPr>
          <w:rFonts w:ascii="Arial;sans-serif" w:hAnsi="Arial;sans-serif"/>
          <w:b w:val="false"/>
          <w:color w:val="242424"/>
          <w:sz w:val="20"/>
        </w:rPr>
        <w:t>),</w:t>
      </w:r>
    </w:p>
    <w:p>
      <w:pPr>
        <w:pStyle w:val="TextBody"/>
        <w:bidi w:val="0"/>
        <w:spacing w:lineRule="auto" w:line="288" w:before="0" w:after="120"/>
        <w:jc w:val="left"/>
        <w:rPr/>
      </w:pPr>
      <w:r>
        <w:rPr>
          <w:rFonts w:ascii="Arial;sans-serif" w:hAnsi="Arial;sans-serif"/>
          <w:b w:val="false"/>
          <w:color w:val="242424"/>
          <w:sz w:val="20"/>
        </w:rPr>
        <w:t xml:space="preserve">and, in each case, the authority conferred by this resolution shall expire on the later of the next annual general meeting of shareholders of the Company or </w:t>
      </w:r>
      <w:r>
        <w:rPr>
          <w:rFonts w:ascii="Arial;sans-serif" w:hAnsi="Arial;sans-serif"/>
          <w:b w:val="false"/>
          <w:color w:val="000000"/>
          <w:sz w:val="20"/>
        </w:rPr>
        <w:t>15</w:t>
      </w:r>
      <w:r>
        <w:rPr>
          <w:color w:val="242424"/>
        </w:rPr>
        <w:t xml:space="preserve"> </w:t>
      </w:r>
      <w:r>
        <w:rPr>
          <w:rFonts w:ascii="Arial;sans-serif" w:hAnsi="Arial;sans-serif"/>
          <w:b w:val="false"/>
          <w:color w:val="242424"/>
          <w:sz w:val="20"/>
        </w:rPr>
        <w:t xml:space="preserve">months from the passing of this resolution, unless renewed, varied or revoked, provided that the Company may, before such expiry, make an offer or agreement, which would, or might,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8325"/>
                <wp:effectExtent l="0" t="0" r="0" b="0"/>
                <wp:wrapNone/>
                <wp:docPr id="107" name="Frame7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require any such securities to be allotted and issued after such expiry, and, in that case, the directors may allot and issue equity securities in pursuance of any such offer or agreement as if the authority conferred in this resolution had not expired.”</w:t>
      </w:r>
    </w:p>
    <w:p>
      <w:pPr>
        <w:pStyle w:val="TextBody"/>
        <w:bidi w:val="0"/>
        <w:spacing w:lineRule="auto" w:line="288" w:before="0" w:after="120"/>
        <w:jc w:val="left"/>
        <w:rPr/>
      </w:pPr>
      <w:r>
        <w:rPr>
          <w:rFonts w:ascii="Arial;sans-serif" w:hAnsi="Arial;sans-serif"/>
          <w:b w:val="false"/>
          <w:color w:val="242424"/>
          <w:sz w:val="20"/>
        </w:rPr>
        <w:t xml:space="preserve">As required under Irish law, this proposal will be considered adopted as a special resolution if at least </w:t>
      </w:r>
      <w:r>
        <w:rPr>
          <w:rFonts w:ascii="Arial;sans-serif" w:hAnsi="Arial;sans-serif"/>
          <w:b w:val="false"/>
          <w:color w:val="000000"/>
          <w:sz w:val="20"/>
        </w:rPr>
        <w:t>75%</w:t>
      </w:r>
      <w:r>
        <w:rPr>
          <w:color w:val="242424"/>
        </w:rPr>
        <w:t xml:space="preserve"> </w:t>
      </w:r>
      <w:r>
        <w:rPr>
          <w:rFonts w:ascii="Arial;sans-serif" w:hAnsi="Arial;sans-serif"/>
          <w:b w:val="false"/>
          <w:color w:val="242424"/>
          <w:sz w:val="20"/>
        </w:rPr>
        <w:t xml:space="preserve">of the votes cast in person or by proxy are cast “For” this proposal. In addition, this proposal is conditional upon the approval of Agenda Item 5 above, as required by Irish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8325"/>
                <wp:effectExtent l="0" t="0" r="0" b="0"/>
                <wp:wrapNone/>
                <wp:docPr id="108" name="Frame7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120"/>
        <w:jc w:val="left"/>
        <w:rPr>
          <w:rFonts w:ascii="Arial;sans-serif" w:hAnsi="Arial;sans-serif"/>
          <w:b/>
          <w:color w:val="CE1141"/>
          <w:sz w:val="48"/>
        </w:rPr>
      </w:pPr>
      <w:r>
        <w:rPr>
          <w:rFonts w:ascii="Arial;sans-serif" w:hAnsi="Arial;sans-serif"/>
          <w:b/>
          <w:color w:val="CE1141"/>
          <w:sz w:val="48"/>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32"/>
        </w:rPr>
      </w:pPr>
      <w:r>
        <w:rPr>
          <w:rFonts w:ascii="Arial;sans-serif" w:hAnsi="Arial;sans-serif"/>
          <w:b/>
          <w:color w:val="939598"/>
          <w:sz w:val="32"/>
        </w:rPr>
        <w:t>SHARE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242424"/>
          <w:sz w:val="28"/>
        </w:rPr>
      </w:pPr>
      <w:r>
        <w:rPr>
          <w:rFonts w:ascii="Arial;sans-serif" w:hAnsi="Arial;sans-serif"/>
          <w:b/>
          <w:color w:val="242424"/>
          <w:sz w:val="28"/>
        </w:rPr>
        <w:t>Shares Owned by Directors and Executive Officers</w:t>
      </w:r>
    </w:p>
    <w:p>
      <w:pPr>
        <w:pStyle w:val="TextBody"/>
        <w:bidi w:val="0"/>
        <w:spacing w:lineRule="auto" w:line="288" w:before="0" w:after="120"/>
        <w:jc w:val="left"/>
        <w:rPr/>
      </w:pPr>
      <w:r>
        <w:rPr>
          <w:rFonts w:ascii="Arial;sans-serif" w:hAnsi="Arial;sans-serif"/>
          <w:b w:val="false"/>
          <w:color w:val="242424"/>
          <w:sz w:val="20"/>
        </w:rPr>
        <w:t xml:space="preserve">This table shows the number and percentage of ordinary shares beneficially owned by each of our NEOs and each of our directors and all of our executive officers and directors as a group as of </w:t>
      </w:r>
      <w:r>
        <w:rPr>
          <w:rFonts w:ascii="Arial;sans-serif" w:hAnsi="Arial;sans-serif"/>
          <w:b w:val="false"/>
          <w:color w:val="000000"/>
          <w:sz w:val="20"/>
        </w:rPr>
        <w:t>April 10, 2025</w:t>
      </w:r>
      <w:r>
        <w:rPr>
          <w:rFonts w:ascii="Arial;sans-serif" w:hAnsi="Arial;sans-serif"/>
          <w:b w:val="false"/>
          <w:color w:val="242424"/>
          <w:sz w:val="20"/>
        </w:rPr>
        <w:t xml:space="preserve">. Each person has sole voting and investment power for the shares shown below. </w:t>
      </w:r>
    </w:p>
    <w:tbl>
      <w:tblPr>
        <w:tblW w:w="10205" w:type="dxa"/>
        <w:jc w:val="center"/>
        <w:tblInd w:w="0" w:type="dxa"/>
        <w:tblLayout w:type="fixed"/>
        <w:tblCellMar>
          <w:top w:w="28" w:type="dxa"/>
          <w:left w:w="28" w:type="dxa"/>
          <w:bottom w:w="28" w:type="dxa"/>
          <w:right w:w="28" w:type="dxa"/>
        </w:tblCellMar>
      </w:tblPr>
      <w:tblGrid>
        <w:gridCol w:w="935"/>
        <w:gridCol w:w="824"/>
        <w:gridCol w:w="831"/>
        <w:gridCol w:w="121"/>
        <w:gridCol w:w="121"/>
        <w:gridCol w:w="121"/>
        <w:gridCol w:w="849"/>
        <w:gridCol w:w="491"/>
        <w:gridCol w:w="493"/>
        <w:gridCol w:w="382"/>
        <w:gridCol w:w="382"/>
        <w:gridCol w:w="383"/>
        <w:gridCol w:w="847"/>
        <w:gridCol w:w="642"/>
        <w:gridCol w:w="644"/>
        <w:gridCol w:w="623"/>
        <w:gridCol w:w="623"/>
        <w:gridCol w:w="893"/>
      </w:tblGrid>
      <w:tr>
        <w:trPr/>
        <w:tc>
          <w:tcPr>
            <w:tcW w:w="93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2590" w:type="dxa"/>
            <w:gridSpan w:val="3"/>
            <w:tcBorders>
              <w:top w:val="single" w:sz="4" w:space="0" w:color="000000"/>
              <w:left w:val="single" w:sz="4" w:space="0" w:color="000000"/>
            </w:tcBorders>
            <w:shd w:fill="CE11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Name</w:t>
            </w:r>
          </w:p>
        </w:tc>
        <w:tc>
          <w:tcPr>
            <w:tcW w:w="363" w:type="dxa"/>
            <w:gridSpan w:val="3"/>
            <w:tcBorders>
              <w:top w:val="single" w:sz="4" w:space="0" w:color="000000"/>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4" w:space="0" w:color="000000"/>
            </w:tcBorders>
            <w:shd w:fill="CE114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 Owned</w:t>
            </w:r>
          </w:p>
        </w:tc>
        <w:tc>
          <w:tcPr>
            <w:tcW w:w="1147" w:type="dxa"/>
            <w:gridSpan w:val="3"/>
            <w:tcBorders>
              <w:top w:val="single" w:sz="4" w:space="0" w:color="000000"/>
            </w:tcBorders>
            <w:shd w:fill="CE114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Right to Acquire</w:t>
            </w:r>
          </w:p>
        </w:tc>
        <w:tc>
          <w:tcPr>
            <w:tcW w:w="2133" w:type="dxa"/>
            <w:gridSpan w:val="3"/>
            <w:tcBorders>
              <w:top w:val="single" w:sz="4" w:space="0" w:color="000000"/>
            </w:tcBorders>
            <w:shd w:fill="CE114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Shares Beneficially Owned</w:t>
            </w:r>
          </w:p>
        </w:tc>
        <w:tc>
          <w:tcPr>
            <w:tcW w:w="2139" w:type="dxa"/>
            <w:gridSpan w:val="3"/>
            <w:tcBorders>
              <w:top w:val="single" w:sz="4" w:space="0" w:color="000000"/>
              <w:right w:val="single" w:sz="4" w:space="0" w:color="000000"/>
            </w:tcBorders>
            <w:shd w:fill="CE1141" w:val="clear"/>
            <w:tcMar>
              <w:top w:w="30" w:type="dxa"/>
              <w:left w:w="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Percentage of Outstanding Shares</w:t>
            </w:r>
            <w:r>
              <w:rPr>
                <w:rFonts w:ascii="Arial;sans-serif" w:hAnsi="Arial;sans-serif"/>
                <w:b/>
                <w:color w:val="FFFFFF"/>
                <w:sz w:val="12"/>
              </w:rPr>
              <w:t>(1)</w:t>
            </w:r>
          </w:p>
        </w:tc>
      </w:tr>
      <w:tr>
        <w:trPr/>
        <w:tc>
          <w:tcPr>
            <w:tcW w:w="2590" w:type="dxa"/>
            <w:gridSpan w:val="3"/>
            <w:tcBorders>
              <w:top w:val="single" w:sz="8" w:space="0" w:color="B6B6B6"/>
              <w:left w:val="single" w:sz="8" w:space="0" w:color="B6B6B6"/>
            </w:tcBorders>
            <w:shd w:fill="D9D9D9"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363" w:type="dxa"/>
            <w:gridSpan w:val="3"/>
            <w:tcBorders>
              <w:top w:val="single" w:sz="8" w:space="0" w:color="B6B6B6"/>
              <w:left w:val="single" w:sz="8" w:space="0" w:color="B6B6B6"/>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tcBorders>
            <w:shd w:fill="D9D9D9"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1,172,274 </w:t>
            </w:r>
          </w:p>
        </w:tc>
        <w:tc>
          <w:tcPr>
            <w:tcW w:w="493" w:type="dxa"/>
            <w:tcBorders>
              <w:top w:val="single" w:sz="8" w:space="0" w:color="B6B6B6"/>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tcBorders>
            <w:shd w:fill="D9D9D9"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tcBorders>
            <w:shd w:fill="D9D9D9"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1,172,274 </w:t>
            </w:r>
          </w:p>
        </w:tc>
        <w:tc>
          <w:tcPr>
            <w:tcW w:w="644" w:type="dxa"/>
            <w:tcBorders>
              <w:top w:val="single" w:sz="8" w:space="0" w:color="B6B6B6"/>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right w:val="single" w:sz="8" w:space="0" w:color="B6B6B6"/>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1.62%</w:t>
            </w:r>
          </w:p>
        </w:tc>
      </w:tr>
      <w:tr>
        <w:trPr/>
        <w:tc>
          <w:tcPr>
            <w:tcW w:w="2590"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363"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148,962 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148,962 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left w:val="single" w:sz="8" w:space="0" w:color="B6B6B6"/>
              <w:right w:val="single" w:sz="8" w:space="0" w:color="B6B6B6"/>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D. Ward</w:t>
            </w:r>
          </w:p>
        </w:tc>
        <w:tc>
          <w:tcPr>
            <w:tcW w:w="363" w:type="dxa"/>
            <w:gridSpan w:val="3"/>
            <w:tcBorders>
              <w:top w:val="single" w:sz="8" w:space="0" w:color="B6B6B6"/>
              <w:left w:val="single" w:sz="8" w:space="0" w:color="B6B6B6"/>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49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644"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363"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17,899 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17,899 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left w:val="single" w:sz="8" w:space="0" w:color="B6B6B6"/>
              <w:right w:val="single" w:sz="8" w:space="0" w:color="B6B6B6"/>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Arunava Mitra</w:t>
            </w:r>
            <w:r>
              <w:rPr>
                <w:rFonts w:ascii="Arial;sans-serif" w:hAnsi="Arial;sans-serif"/>
                <w:b w:val="false"/>
                <w:color w:val="000000"/>
                <w:sz w:val="13"/>
              </w:rPr>
              <w:t>(2)</w:t>
            </w:r>
          </w:p>
        </w:tc>
        <w:tc>
          <w:tcPr>
            <w:tcW w:w="363" w:type="dxa"/>
            <w:gridSpan w:val="3"/>
            <w:tcBorders>
              <w:top w:val="single" w:sz="8" w:space="0" w:color="B6B6B6"/>
              <w:left w:val="single" w:sz="8" w:space="0" w:color="B6B6B6"/>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21,072 </w:t>
            </w:r>
          </w:p>
        </w:tc>
        <w:tc>
          <w:tcPr>
            <w:tcW w:w="49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21,072 </w:t>
            </w:r>
          </w:p>
        </w:tc>
        <w:tc>
          <w:tcPr>
            <w:tcW w:w="644"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Charles W. Davison, Jr.</w:t>
            </w:r>
            <w:r>
              <w:rPr>
                <w:rFonts w:ascii="Arial;sans-serif" w:hAnsi="Arial;sans-serif"/>
                <w:b w:val="false"/>
                <w:color w:val="000000"/>
                <w:sz w:val="13"/>
              </w:rPr>
              <w:t>(3)</w:t>
            </w:r>
          </w:p>
        </w:tc>
        <w:tc>
          <w:tcPr>
            <w:tcW w:w="363"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13,947 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left w:val="single" w:sz="8" w:space="0" w:color="B6B6B6"/>
              <w:right w:val="single" w:sz="8" w:space="0" w:color="B6B6B6"/>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M. Sledge</w:t>
            </w:r>
          </w:p>
        </w:tc>
        <w:tc>
          <w:tcPr>
            <w:tcW w:w="363" w:type="dxa"/>
            <w:gridSpan w:val="3"/>
            <w:tcBorders>
              <w:top w:val="single" w:sz="8" w:space="0" w:color="B6B6B6"/>
              <w:left w:val="single" w:sz="8" w:space="0" w:color="B6B6B6"/>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34,933 </w:t>
            </w:r>
          </w:p>
        </w:tc>
        <w:tc>
          <w:tcPr>
            <w:tcW w:w="49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34,933 </w:t>
            </w:r>
          </w:p>
        </w:tc>
        <w:tc>
          <w:tcPr>
            <w:tcW w:w="644"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Steven Beringhause</w:t>
            </w:r>
          </w:p>
        </w:tc>
        <w:tc>
          <w:tcPr>
            <w:tcW w:w="363" w:type="dxa"/>
            <w:gridSpan w:val="3"/>
            <w:tcBorders>
              <w:top w:val="single" w:sz="8" w:space="0" w:color="B6B6B6"/>
              <w:left w:val="single" w:sz="8" w:space="0" w:color="B6B6B6"/>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49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644"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Benjamin C. Duster, IV</w:t>
            </w:r>
          </w:p>
        </w:tc>
        <w:tc>
          <w:tcPr>
            <w:tcW w:w="363" w:type="dxa"/>
            <w:gridSpan w:val="3"/>
            <w:tcBorders>
              <w:top w:val="single" w:sz="8" w:space="0" w:color="B6B6B6"/>
              <w:left w:val="single" w:sz="8" w:space="0" w:color="B6B6B6"/>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14,311 </w:t>
            </w:r>
          </w:p>
        </w:tc>
        <w:tc>
          <w:tcPr>
            <w:tcW w:w="49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14,311 </w:t>
            </w:r>
          </w:p>
        </w:tc>
        <w:tc>
          <w:tcPr>
            <w:tcW w:w="644"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Neal P. Goldman</w:t>
            </w:r>
          </w:p>
        </w:tc>
        <w:tc>
          <w:tcPr>
            <w:tcW w:w="363" w:type="dxa"/>
            <w:gridSpan w:val="3"/>
            <w:tcBorders>
              <w:top w:val="single" w:sz="8" w:space="0" w:color="B6B6B6"/>
              <w:left w:val="single" w:sz="8" w:space="0" w:color="B6B6B6"/>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13,311 </w:t>
            </w:r>
          </w:p>
        </w:tc>
        <w:tc>
          <w:tcPr>
            <w:tcW w:w="49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13,311 </w:t>
            </w:r>
          </w:p>
        </w:tc>
        <w:tc>
          <w:tcPr>
            <w:tcW w:w="644"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Jacqueline Mutschler</w:t>
            </w:r>
          </w:p>
        </w:tc>
        <w:tc>
          <w:tcPr>
            <w:tcW w:w="363" w:type="dxa"/>
            <w:gridSpan w:val="3"/>
            <w:tcBorders>
              <w:top w:val="single" w:sz="8" w:space="0" w:color="B6B6B6"/>
              <w:left w:val="single" w:sz="8" w:space="0" w:color="B6B6B6"/>
            </w:tcBorders>
            <w:shd w:fill="D1D3D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30,311 </w:t>
            </w:r>
          </w:p>
        </w:tc>
        <w:tc>
          <w:tcPr>
            <w:tcW w:w="49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tcBorders>
            <w:shd w:fill="D1D3D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30,311 </w:t>
            </w:r>
          </w:p>
        </w:tc>
        <w:tc>
          <w:tcPr>
            <w:tcW w:w="644" w:type="dxa"/>
            <w:tcBorders>
              <w:top w:val="single" w:sz="8" w:space="0" w:color="B6B6B6"/>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right w:val="single" w:sz="8" w:space="0" w:color="B6B6B6"/>
            </w:tcBorders>
            <w:shd w:fill="D1D3D4"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90"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All directors and executive officers as a group </w:t>
              <w:br/>
              <w:t>(14 persons)</w:t>
            </w:r>
          </w:p>
        </w:tc>
        <w:tc>
          <w:tcPr>
            <w:tcW w:w="363" w:type="dxa"/>
            <w:gridSpan w:val="3"/>
            <w:tcBorders>
              <w:top w:val="single" w:sz="8" w:space="0" w:color="B6B6B6"/>
              <w:left w:val="single" w:sz="8" w:space="0" w:color="B6B6B6"/>
              <w:bottom w:val="single" w:sz="8" w:space="0" w:color="B6B6B6"/>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1,515,858 </w:t>
            </w:r>
          </w:p>
        </w:tc>
        <w:tc>
          <w:tcPr>
            <w:tcW w:w="493"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1,515,858 </w:t>
            </w:r>
          </w:p>
        </w:tc>
        <w:tc>
          <w:tcPr>
            <w:tcW w:w="644"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B6B6B6"/>
              <w:left w:val="single" w:sz="8" w:space="0" w:color="B6B6B6"/>
              <w:bottom w:val="single" w:sz="8" w:space="0" w:color="B6B6B6"/>
              <w:right w:val="single" w:sz="8" w:space="0" w:color="B6B6B6"/>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2.09%</w:t>
            </w:r>
          </w:p>
        </w:tc>
      </w:tr>
      <w:tr>
        <w:trPr/>
        <w:tc>
          <w:tcPr>
            <w:tcW w:w="10205" w:type="dxa"/>
            <w:gridSpan w:val="18"/>
            <w:tcBorders>
              <w:top w:val="single" w:sz="8" w:space="0" w:color="B6B6B6"/>
            </w:tcBorders>
            <w:tcMar>
              <w:top w:w="3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CE1141"/>
                <w:sz w:val="20"/>
              </w:rPr>
              <w:t>*</w:t>
            </w:r>
            <w:r>
              <w:rPr>
                <w:color w:val="242424"/>
              </w:rPr>
              <w:t xml:space="preserve"> </w:t>
            </w:r>
            <w:r>
              <w:rPr>
                <w:rFonts w:ascii="Arial;sans-serif" w:hAnsi="Arial;sans-serif"/>
                <w:b w:val="false"/>
                <w:color w:val="242424"/>
                <w:sz w:val="16"/>
              </w:rPr>
              <w:t>Less than 1%.</w:t>
            </w:r>
          </w:p>
          <w:p>
            <w:pPr>
              <w:pStyle w:val="TableContents"/>
              <w:bidi w:val="0"/>
              <w:spacing w:lineRule="auto" w:line="240" w:before="0" w:after="0"/>
              <w:ind w:left="0" w:right="0" w:hanging="360"/>
              <w:jc w:val="left"/>
              <w:rPr/>
            </w:pPr>
            <w:r>
              <w:rPr>
                <w:rFonts w:ascii="Arial;sans-serif" w:hAnsi="Arial;sans-serif"/>
                <w:b w:val="false"/>
                <w:color w:val="CE1141"/>
                <w:sz w:val="16"/>
              </w:rPr>
              <w:t>(1)</w:t>
            </w:r>
            <w:r>
              <w:rPr>
                <w:rFonts w:ascii="Arial;sans-serif" w:hAnsi="Arial;sans-serif"/>
                <w:b w:val="false"/>
                <w:color w:val="242424"/>
                <w:sz w:val="16"/>
              </w:rPr>
              <w:t>The percentage indicated is based on 72,556,148 outstanding shares as of April 10, 2025.</w:t>
            </w:r>
          </w:p>
          <w:p>
            <w:pPr>
              <w:pStyle w:val="TableContents"/>
              <w:bidi w:val="0"/>
              <w:spacing w:lineRule="auto" w:line="240" w:before="0" w:after="0"/>
              <w:ind w:left="0" w:right="0" w:hanging="360"/>
              <w:jc w:val="left"/>
              <w:rPr/>
            </w:pPr>
            <w:r>
              <w:rPr>
                <w:rFonts w:ascii="Arial;sans-serif" w:hAnsi="Arial;sans-serif"/>
                <w:b w:val="false"/>
                <w:color w:val="CE1141"/>
                <w:sz w:val="16"/>
              </w:rPr>
              <w:t>(2)</w:t>
            </w:r>
            <w:r>
              <w:rPr>
                <w:rFonts w:ascii="Arial;sans-serif" w:hAnsi="Arial;sans-serif"/>
                <w:b w:val="false"/>
                <w:color w:val="242424"/>
                <w:sz w:val="16"/>
              </w:rPr>
              <w:t xml:space="preserve">Mr. Mitra departed the Company on April 21, 2025. </w:t>
            </w:r>
          </w:p>
          <w:p>
            <w:pPr>
              <w:pStyle w:val="TableContents"/>
              <w:bidi w:val="0"/>
              <w:spacing w:lineRule="auto" w:line="240" w:before="0" w:after="0"/>
              <w:ind w:left="0" w:right="0" w:hanging="360"/>
              <w:jc w:val="left"/>
              <w:rPr/>
            </w:pPr>
            <w:r>
              <w:rPr>
                <w:rFonts w:ascii="Arial;sans-serif" w:hAnsi="Arial;sans-serif"/>
                <w:b w:val="false"/>
                <w:color w:val="CE1141"/>
                <w:sz w:val="16"/>
              </w:rPr>
              <w:t>(3)</w:t>
            </w:r>
            <w:r>
              <w:rPr>
                <w:rFonts w:ascii="Arial;sans-serif" w:hAnsi="Arial;sans-serif"/>
                <w:b w:val="false"/>
                <w:color w:val="000000"/>
                <w:sz w:val="16"/>
              </w:rPr>
              <w:t>Mr. Davison departed the Company on February 6, 2024</w:t>
            </w:r>
            <w:r>
              <w:rPr>
                <w:rFonts w:ascii="Arial;sans-serif" w:hAnsi="Arial;sans-serif"/>
                <w:b w:val="false"/>
                <w:color w:val="242424"/>
                <w:sz w:val="16"/>
              </w:rPr>
              <w:t xml:space="preserve">. Share ownership for Mr. Davison is based on his last Form 4 dated </w:t>
            </w:r>
            <w:r>
              <w:rPr>
                <w:rFonts w:ascii="Arial;sans-serif" w:hAnsi="Arial;sans-serif"/>
                <w:b w:val="false"/>
                <w:color w:val="000000"/>
                <w:sz w:val="16"/>
              </w:rPr>
              <w:t>January 22, 2024</w:t>
            </w:r>
            <w:r>
              <w:rPr>
                <w:rFonts w:ascii="Arial;sans-serif" w:hAnsi="Arial;sans-serif"/>
                <w:b w:val="false"/>
                <w:color w:val="242424"/>
                <w:sz w:val="16"/>
              </w:rPr>
              <w:t xml:space="preserve">, and corporate records of shares that have vested and been distributed to Mr. Davison subsequent to his departure from the Company. </w:t>
            </w:r>
          </w:p>
        </w:tc>
      </w:tr>
    </w:tbl>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8325"/>
                <wp:effectExtent l="0" t="0" r="0" b="0"/>
                <wp:wrapNone/>
                <wp:docPr id="109" name="Frame7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OTHER INFORMATION</w:t>
      </w:r>
    </w:p>
    <w:p>
      <w:pPr>
        <w:pStyle w:val="TextBody"/>
        <w:bidi w:val="0"/>
        <w:spacing w:lineRule="auto" w:line="288" w:before="0" w:after="120"/>
        <w:jc w:val="left"/>
        <w:rPr>
          <w:rFonts w:ascii="Arial;sans-serif" w:hAnsi="Arial;sans-serif"/>
          <w:b/>
          <w:color w:val="242424"/>
          <w:sz w:val="28"/>
        </w:rPr>
      </w:pPr>
      <w:r>
        <w:rPr>
          <w:rFonts w:ascii="Arial;sans-serif" w:hAnsi="Arial;sans-serif"/>
          <w:b/>
          <w:color w:val="242424"/>
          <w:sz w:val="28"/>
        </w:rPr>
        <w:t xml:space="preserve">Shares Owned by Certain Beneficial Holders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This table shows information for each person who may be deemed to beneficially own 5% or more of our outstanding ordinary shares as of April 10, 2025, as contained in filings made by the shareholder with the SEC or as otherwise set forth below.</w:t>
      </w:r>
    </w:p>
    <w:tbl>
      <w:tblPr>
        <w:tblW w:w="10205" w:type="dxa"/>
        <w:jc w:val="center"/>
        <w:tblInd w:w="0" w:type="dxa"/>
        <w:tblLayout w:type="fixed"/>
        <w:tblCellMar>
          <w:top w:w="28" w:type="dxa"/>
          <w:left w:w="28" w:type="dxa"/>
          <w:bottom w:w="28" w:type="dxa"/>
          <w:right w:w="28" w:type="dxa"/>
        </w:tblCellMar>
      </w:tblPr>
      <w:tblGrid>
        <w:gridCol w:w="1775"/>
        <w:gridCol w:w="1202"/>
        <w:gridCol w:w="1205"/>
        <w:gridCol w:w="789"/>
        <w:gridCol w:w="790"/>
        <w:gridCol w:w="311"/>
        <w:gridCol w:w="311"/>
        <w:gridCol w:w="311"/>
        <w:gridCol w:w="320"/>
        <w:gridCol w:w="676"/>
        <w:gridCol w:w="619"/>
        <w:gridCol w:w="1896"/>
      </w:tblGrid>
      <w:tr>
        <w:trPr/>
        <w:tc>
          <w:tcPr>
            <w:tcW w:w="177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top w:val="single" w:sz="8" w:space="0" w:color="929292"/>
              <w:left w:val="single" w:sz="8" w:space="0" w:color="929292"/>
            </w:tcBorders>
            <w:shd w:fill="CE1141"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Name and Address of Beneficial Owner</w:t>
            </w:r>
          </w:p>
        </w:tc>
        <w:tc>
          <w:tcPr>
            <w:tcW w:w="2832" w:type="dxa"/>
            <w:gridSpan w:val="6"/>
            <w:tcBorders>
              <w:top w:val="single" w:sz="8" w:space="0" w:color="929292"/>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Number of Shares</w:t>
            </w:r>
          </w:p>
        </w:tc>
        <w:tc>
          <w:tcPr>
            <w:tcW w:w="3191" w:type="dxa"/>
            <w:gridSpan w:val="3"/>
            <w:tcBorders>
              <w:top w:val="single" w:sz="8" w:space="0" w:color="929292"/>
              <w:right w:val="single" w:sz="8" w:space="0" w:color="929292"/>
            </w:tcBorders>
            <w:shd w:fill="CE1141" w:val="clear"/>
            <w:tcMar>
              <w:top w:w="30" w:type="dxa"/>
              <w:left w:w="0" w:type="dxa"/>
              <w:bottom w:w="0" w:type="dxa"/>
            </w:tcMar>
            <w:vAlign w:val="center"/>
          </w:tcPr>
          <w:p>
            <w:pPr>
              <w:pStyle w:val="TableContents"/>
              <w:bidi w:val="0"/>
              <w:spacing w:lineRule="auto" w:line="268" w:before="0" w:after="0"/>
              <w:jc w:val="center"/>
              <w:rPr/>
            </w:pPr>
            <w:r>
              <w:rPr>
                <w:rFonts w:ascii="Arial;sans-serif" w:hAnsi="Arial;sans-serif"/>
                <w:b/>
                <w:color w:val="FFFFFF"/>
                <w:sz w:val="18"/>
              </w:rPr>
              <w:t>Percent of Outstanding Shares</w:t>
            </w:r>
            <w:r>
              <w:rPr>
                <w:rFonts w:ascii="Arial;sans-serif" w:hAnsi="Arial;sans-serif"/>
                <w:b/>
                <w:color w:val="FFFFFF"/>
                <w:sz w:val="12"/>
              </w:rPr>
              <w:t>(1)</w:t>
            </w:r>
          </w:p>
        </w:tc>
      </w:tr>
      <w:tr>
        <w:trPr/>
        <w:tc>
          <w:tcPr>
            <w:tcW w:w="4182"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Capital Research Global Investors</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333 South Hope Street</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55th Fl</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Los Angeles, CA 90071</w:t>
            </w:r>
          </w:p>
        </w:tc>
        <w:tc>
          <w:tcPr>
            <w:tcW w:w="157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5,945,755 </w:t>
            </w:r>
          </w:p>
        </w:tc>
        <w:tc>
          <w:tcPr>
            <w:tcW w:w="3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D1D3D4" w:val="clear"/>
            <w:tcMar>
              <w:top w:w="0" w:type="dxa"/>
              <w:left w:w="0" w:type="dxa"/>
              <w:bottom w:w="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(2)</w:t>
            </w:r>
          </w:p>
        </w:tc>
        <w:tc>
          <w:tcPr>
            <w:tcW w:w="129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8.2 </w:t>
            </w:r>
          </w:p>
        </w:tc>
        <w:tc>
          <w:tcPr>
            <w:tcW w:w="1896" w:type="dxa"/>
            <w:tcBorders>
              <w:right w:val="single" w:sz="8" w:space="0" w:color="929292"/>
            </w:tcBorders>
            <w:shd w:fill="D1D3D4" w:val="clear"/>
            <w:tcMar>
              <w:top w:w="0" w:type="dxa"/>
              <w:left w:w="0" w:type="dxa"/>
              <w:bottom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w:t>
            </w:r>
          </w:p>
        </w:tc>
      </w:tr>
      <w:tr>
        <w:trPr/>
        <w:tc>
          <w:tcPr>
            <w:tcW w:w="4182"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T. Rowe Price Associates, Inc.</w:t>
              <w:br/>
              <w:t>     100 E. Pratt Street</w:t>
              <w:br/>
              <w:t>     Baltimore, MD 21202</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5,678,153 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(3)</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7.8 </w:t>
            </w:r>
          </w:p>
        </w:tc>
        <w:tc>
          <w:tcPr>
            <w:tcW w:w="1896" w:type="dxa"/>
            <w:tcBorders>
              <w:right w:val="single" w:sz="8" w:space="0" w:color="929292"/>
            </w:tcBorders>
            <w:shd w:fill="FFFFFF" w:val="clear"/>
            <w:tcMar>
              <w:top w:w="0" w:type="dxa"/>
              <w:left w:w="0" w:type="dxa"/>
              <w:bottom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w:t>
            </w:r>
          </w:p>
        </w:tc>
      </w:tr>
      <w:tr>
        <w:trPr/>
        <w:tc>
          <w:tcPr>
            <w:tcW w:w="4182"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The Vanguard Group</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100 Vanguard Blvd.</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Malvern, PA 19355</w:t>
            </w:r>
          </w:p>
        </w:tc>
        <w:tc>
          <w:tcPr>
            <w:tcW w:w="157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7,546,640 </w:t>
            </w:r>
          </w:p>
        </w:tc>
        <w:tc>
          <w:tcPr>
            <w:tcW w:w="3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D1D3D4" w:val="clear"/>
            <w:tcMar>
              <w:top w:w="0" w:type="dxa"/>
              <w:left w:w="0" w:type="dxa"/>
              <w:bottom w:w="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(4)</w:t>
            </w:r>
          </w:p>
        </w:tc>
        <w:tc>
          <w:tcPr>
            <w:tcW w:w="129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10.4 </w:t>
            </w:r>
          </w:p>
        </w:tc>
        <w:tc>
          <w:tcPr>
            <w:tcW w:w="1896" w:type="dxa"/>
            <w:tcBorders>
              <w:right w:val="single" w:sz="8" w:space="0" w:color="929292"/>
            </w:tcBorders>
            <w:shd w:fill="D1D3D4" w:val="clear"/>
            <w:tcMar>
              <w:top w:w="0" w:type="dxa"/>
              <w:left w:w="0" w:type="dxa"/>
              <w:bottom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r>
      <w:tr>
        <w:trPr/>
        <w:tc>
          <w:tcPr>
            <w:tcW w:w="4182"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BlackRock, Inc.</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12 Throgmorton Ave.</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London, EC2N 2DL, U.L.</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7,289,595 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(5)</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10.0 </w:t>
            </w:r>
          </w:p>
        </w:tc>
        <w:tc>
          <w:tcPr>
            <w:tcW w:w="1896" w:type="dxa"/>
            <w:tcBorders>
              <w:right w:val="single" w:sz="8" w:space="0" w:color="929292"/>
            </w:tcBorders>
            <w:shd w:fill="FFFFFF" w:val="clear"/>
            <w:tcMar>
              <w:top w:w="0" w:type="dxa"/>
              <w:left w:w="0" w:type="dxa"/>
              <w:bottom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w:t>
            </w:r>
          </w:p>
        </w:tc>
      </w:tr>
      <w:tr>
        <w:trPr/>
        <w:tc>
          <w:tcPr>
            <w:tcW w:w="4182"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T. Rowe Price Investment Management, Inc.</w:t>
              <w:br/>
              <w:t>     101 E. Pratt Street</w:t>
              <w:br/>
              <w:t>     Baltimore, MD 21201</w:t>
            </w:r>
          </w:p>
        </w:tc>
        <w:tc>
          <w:tcPr>
            <w:tcW w:w="1579" w:type="dxa"/>
            <w:gridSpan w:val="2"/>
            <w:tcBorders>
              <w:bottom w:val="single" w:sz="8" w:space="0" w:color="929292"/>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4,104,022 </w:t>
            </w:r>
          </w:p>
        </w:tc>
        <w:tc>
          <w:tcPr>
            <w:tcW w:w="311" w:type="dxa"/>
            <w:tcBorders>
              <w:bottom w:val="single" w:sz="8" w:space="0" w:color="929292"/>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929292"/>
            </w:tcBorders>
            <w:shd w:fill="D1D3D4" w:val="clear"/>
            <w:tcMar>
              <w:top w:w="0" w:type="dxa"/>
              <w:left w:w="0" w:type="dxa"/>
              <w:bottom w:w="3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(6)</w:t>
            </w:r>
          </w:p>
        </w:tc>
        <w:tc>
          <w:tcPr>
            <w:tcW w:w="1295" w:type="dxa"/>
            <w:gridSpan w:val="2"/>
            <w:tcBorders>
              <w:bottom w:val="single" w:sz="8" w:space="0" w:color="929292"/>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5.7 </w:t>
            </w:r>
          </w:p>
        </w:tc>
        <w:tc>
          <w:tcPr>
            <w:tcW w:w="1896" w:type="dxa"/>
            <w:tcBorders>
              <w:bottom w:val="single" w:sz="8" w:space="0" w:color="929292"/>
              <w:right w:val="single" w:sz="8" w:space="0" w:color="929292"/>
            </w:tcBorders>
            <w:shd w:fill="D1D3D4" w:val="clear"/>
            <w:tcMar>
              <w:top w:w="0" w:type="dxa"/>
              <w:left w:w="0" w:type="dxa"/>
              <w:bottom w:w="3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r>
      <w:tr>
        <w:trPr/>
        <w:tc>
          <w:tcPr>
            <w:tcW w:w="10205" w:type="dxa"/>
            <w:gridSpan w:val="12"/>
            <w:tcBorders>
              <w:top w:val="single" w:sz="8" w:space="0" w:color="929292"/>
            </w:tcBorders>
            <w:tcMar>
              <w:top w:w="3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6"/>
              </w:rPr>
              <w:t>(1)</w:t>
            </w:r>
            <w:r>
              <w:rPr>
                <w:rFonts w:ascii="Arial;sans-serif" w:hAnsi="Arial;sans-serif"/>
                <w:b w:val="false"/>
                <w:color w:val="242424"/>
                <w:sz w:val="16"/>
              </w:rPr>
              <w:t>The percentage indicated is based on 72,556,148 outstanding ordinary shares as of April 10, 2025.</w:t>
            </w:r>
          </w:p>
          <w:p>
            <w:pPr>
              <w:pStyle w:val="TableContents"/>
              <w:bidi w:val="0"/>
              <w:spacing w:lineRule="auto" w:line="240"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The number of shares is based on the Schedule 13G filed with the SEC on February 13, 2025 by Capital Research Global Investors and related reporting persons showing an aggregate beneficial ownership of 5,945,755 shares. According to the filing, (i) the beneficial owner has sole voting and dispositive power over 5,945,755 shares, and (ii) the beneficial owner has shared voting power over no and shared dispositive power over no shares.</w:t>
            </w:r>
          </w:p>
          <w:p>
            <w:pPr>
              <w:pStyle w:val="TableContents"/>
              <w:bidi w:val="0"/>
              <w:spacing w:lineRule="auto" w:line="240" w:before="0" w:after="60"/>
              <w:ind w:left="0" w:right="0" w:hanging="360"/>
              <w:jc w:val="left"/>
              <w:rPr/>
            </w:pPr>
            <w:r>
              <w:rPr>
                <w:rFonts w:ascii="Arial;sans-serif" w:hAnsi="Arial;sans-serif"/>
                <w:b w:val="false"/>
                <w:color w:val="CE1141"/>
                <w:sz w:val="16"/>
              </w:rPr>
              <w:t>(3)</w:t>
            </w:r>
            <w:r>
              <w:rPr>
                <w:rFonts w:ascii="Arial;sans-serif" w:hAnsi="Arial;sans-serif"/>
                <w:b w:val="false"/>
                <w:color w:val="242424"/>
                <w:sz w:val="16"/>
              </w:rPr>
              <w:t xml:space="preserve">The number of shares is based on the Schedule 13G filed with the SEC on February 14, 2025 by T. Rowe Price Associates, Inc. showing an aggregate beneficial ownership of 5,678,153 shares. According to the filing, (1) the beneficial owner has sole voting power over 5,529,227 shares and sole dispositive power over 5,529,227 shares, and (ii) the beneficial owner has shared voting power over no shares and shared dispositive power over no shares. </w:t>
            </w:r>
          </w:p>
          <w:p>
            <w:pPr>
              <w:pStyle w:val="TableContents"/>
              <w:bidi w:val="0"/>
              <w:spacing w:lineRule="auto" w:line="240"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The number of shares is based on the Schedule 13G/A filed with the SEC on February 13, 2024 by The Vanguard Group and related reporting persons showing an aggregate beneficial ownership of 7,546,640 shares. According to the filing, (i) the beneficial owner has sole voting power over no shares and sole dispositive power over 7,349,359 shares, and (ii) the beneficial owner has shared voting power over 131,509 and shared dispositive power over 197,281 shares.</w:t>
            </w:r>
          </w:p>
          <w:p>
            <w:pPr>
              <w:pStyle w:val="TableContents"/>
              <w:bidi w:val="0"/>
              <w:spacing w:lineRule="auto" w:line="240" w:before="0" w:after="60"/>
              <w:ind w:left="0" w:right="0" w:hanging="360"/>
              <w:jc w:val="left"/>
              <w:rPr/>
            </w:pPr>
            <w:r>
              <w:rPr>
                <w:rFonts w:ascii="Arial;sans-serif" w:hAnsi="Arial;sans-serif"/>
                <w:b w:val="false"/>
                <w:color w:val="CE1141"/>
                <w:sz w:val="16"/>
              </w:rPr>
              <w:t>(5)</w:t>
            </w:r>
            <w:r>
              <w:rPr>
                <w:rFonts w:ascii="Arial;sans-serif" w:hAnsi="Arial;sans-serif"/>
                <w:b w:val="false"/>
                <w:color w:val="242424"/>
                <w:sz w:val="16"/>
              </w:rPr>
              <w:t>The number of shares is based on the Schedule 13G filed with the SEC on January 8, 2025 by BlackRock, Inc. showing an aggregate beneficial ownership of 7,289,595 shares. According to the filing, the beneficial owner reports (i) sole voting power over 6,873,910 and dispositive power over 7,289,595 shares, and (ii) the beneficial owner has shared voting power over no shares and shared dispositive power over no shares.</w:t>
            </w:r>
          </w:p>
          <w:p>
            <w:pPr>
              <w:pStyle w:val="TableContents"/>
              <w:bidi w:val="0"/>
              <w:spacing w:lineRule="auto" w:line="240" w:before="0" w:after="60"/>
              <w:ind w:left="0" w:right="0" w:hanging="360"/>
              <w:jc w:val="left"/>
              <w:rPr/>
            </w:pPr>
            <w:r>
              <w:rPr>
                <w:rFonts w:ascii="Arial;sans-serif" w:hAnsi="Arial;sans-serif"/>
                <w:b w:val="false"/>
                <w:color w:val="CE1141"/>
                <w:sz w:val="16"/>
              </w:rPr>
              <w:t>(6)</w:t>
            </w:r>
            <w:r>
              <w:rPr>
                <w:rFonts w:ascii="Arial;sans-serif" w:hAnsi="Arial;sans-serif"/>
                <w:b w:val="false"/>
                <w:color w:val="242424"/>
                <w:sz w:val="16"/>
              </w:rPr>
              <w:t>The number of shares is based on the Schedule 13G filed with the SEC on November 14, 2024 by T. Rowe Price Investment Management, Inc. showing an aggregate beneficial ownership of 4,104,022 shares. According to the filing, (1) the beneficial owner has sole voting power over 4,097,286 shares and sole dispositive power over 4,104,022 shares, and (ii) the beneficial owner has shared voting power over no shares and shared dispositive power over no shares.</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8325"/>
                <wp:effectExtent l="0" t="0" r="0" b="0"/>
                <wp:wrapNone/>
                <wp:docPr id="110" name="Frame7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OTHER INFORMATION</w:t>
      </w:r>
    </w:p>
    <w:p>
      <w:pPr>
        <w:pStyle w:val="TextBody"/>
        <w:bidi w:val="0"/>
        <w:spacing w:lineRule="auto" w:line="288" w:before="0" w:after="120"/>
        <w:jc w:val="left"/>
        <w:rPr>
          <w:rFonts w:ascii="Arial;sans-serif" w:hAnsi="Arial;sans-serif"/>
          <w:b/>
          <w:color w:val="242424"/>
          <w:sz w:val="28"/>
        </w:rPr>
      </w:pPr>
      <w:r>
        <w:rPr>
          <w:rFonts w:ascii="Arial;sans-serif" w:hAnsi="Arial;sans-serif"/>
          <w:b/>
          <w:color w:val="242424"/>
          <w:sz w:val="28"/>
        </w:rPr>
        <w:t>Mandatory Minimum Share Ownership Guidelines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believes that it is important to encourage executives and directors to have a meaningful ownership stake in the Company which more closely aligns the interests of management with the interests of our shareholders. In furtherance of this philosophy, the Company adheres to mandatory minimum share ownership guidelines. Share ownership includes shares owned directly as well as outstanding time-based restricted share units. The minimum guidelines are based on a multiple of base salary or, in the case of directors, annual cash retainer, including standing committee fees. In January 2024, the Board reviewed the guidelines and determined to keep the guidelines unchanged for 2024. The guidelines for 2024 are as follows:</w:t>
      </w:r>
    </w:p>
    <w:tbl>
      <w:tblPr>
        <w:tblW w:w="2851" w:type="dxa"/>
        <w:jc w:val="left"/>
        <w:tblInd w:w="0" w:type="dxa"/>
        <w:tblLayout w:type="fixed"/>
        <w:tblCellMar>
          <w:top w:w="28" w:type="dxa"/>
          <w:left w:w="28" w:type="dxa"/>
          <w:bottom w:w="28" w:type="dxa"/>
          <w:right w:w="28" w:type="dxa"/>
        </w:tblCellMar>
      </w:tblPr>
      <w:tblGrid>
        <w:gridCol w:w="821"/>
        <w:gridCol w:w="725"/>
        <w:gridCol w:w="734"/>
        <w:gridCol w:w="167"/>
        <w:gridCol w:w="167"/>
        <w:gridCol w:w="237"/>
      </w:tblGrid>
      <w:tr>
        <w:trPr/>
        <w:tc>
          <w:tcPr>
            <w:tcW w:w="8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000000"/>
              <w:left w:val="single" w:sz="4" w:space="0" w:color="000000"/>
            </w:tcBorders>
            <w:shd w:fill="CE1141"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right w:val="single" w:sz="4" w:space="0" w:color="000000"/>
            </w:tcBorders>
            <w:shd w:fill="CE1141" w:val="clear"/>
            <w:tcMar>
              <w:top w:w="30" w:type="dxa"/>
              <w:left w:w="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2024</w:t>
            </w:r>
          </w:p>
        </w:tc>
      </w:tr>
      <w:tr>
        <w:trPr/>
        <w:tc>
          <w:tcPr>
            <w:tcW w:w="2280" w:type="dxa"/>
            <w:gridSpan w:val="3"/>
            <w:tcBorders>
              <w:left w:val="single" w:sz="4" w:space="0" w:color="000000"/>
            </w:tcBorders>
            <w:shd w:fill="D1D3D4"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242424"/>
                <w:sz w:val="20"/>
              </w:rPr>
            </w:pPr>
            <w:r>
              <w:rPr>
                <w:rFonts w:ascii="Arial;sans-serif" w:hAnsi="Arial;sans-serif"/>
                <w:b w:val="false"/>
                <w:color w:val="242424"/>
                <w:sz w:val="20"/>
              </w:rPr>
              <w:t>CEO</w:t>
            </w:r>
          </w:p>
        </w:tc>
        <w:tc>
          <w:tcPr>
            <w:tcW w:w="571" w:type="dxa"/>
            <w:gridSpan w:val="3"/>
            <w:tcBorders>
              <w:right w:val="single" w:sz="4" w:space="0" w:color="000000"/>
            </w:tcBorders>
            <w:shd w:fill="D1D3D4" w:val="clear"/>
            <w:tcMar>
              <w:top w:w="0" w:type="dxa"/>
              <w:left w:w="0" w:type="dxa"/>
              <w:bottom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10x</w:t>
            </w:r>
          </w:p>
        </w:tc>
      </w:tr>
      <w:tr>
        <w:trPr/>
        <w:tc>
          <w:tcPr>
            <w:tcW w:w="2280"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242424"/>
                <w:sz w:val="20"/>
              </w:rPr>
            </w:pPr>
            <w:r>
              <w:rPr>
                <w:rFonts w:ascii="Arial;sans-serif" w:hAnsi="Arial;sans-serif"/>
                <w:b w:val="false"/>
                <w:color w:val="242424"/>
                <w:sz w:val="20"/>
              </w:rPr>
              <w:t>Other Executive Officers</w:t>
            </w:r>
          </w:p>
        </w:tc>
        <w:tc>
          <w:tcPr>
            <w:tcW w:w="571"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5x</w:t>
            </w:r>
          </w:p>
        </w:tc>
      </w:tr>
      <w:tr>
        <w:trPr/>
        <w:tc>
          <w:tcPr>
            <w:tcW w:w="2280" w:type="dxa"/>
            <w:gridSpan w:val="3"/>
            <w:tcBorders>
              <w:left w:val="single" w:sz="4" w:space="0" w:color="000000"/>
              <w:bottom w:val="single" w:sz="4" w:space="0" w:color="000000"/>
            </w:tcBorders>
            <w:shd w:fill="D1D3D4" w:val="clear"/>
            <w:tcMar>
              <w:top w:w="0" w:type="dxa"/>
              <w:bottom w:w="3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242424"/>
                <w:sz w:val="20"/>
              </w:rPr>
            </w:pPr>
            <w:r>
              <w:rPr>
                <w:rFonts w:ascii="Arial;sans-serif" w:hAnsi="Arial;sans-serif"/>
                <w:b w:val="false"/>
                <w:color w:val="242424"/>
                <w:sz w:val="20"/>
              </w:rPr>
              <w:t>Directors</w:t>
            </w:r>
          </w:p>
        </w:tc>
        <w:tc>
          <w:tcPr>
            <w:tcW w:w="571" w:type="dxa"/>
            <w:gridSpan w:val="3"/>
            <w:tcBorders>
              <w:bottom w:val="single" w:sz="4" w:space="0" w:color="000000"/>
              <w:right w:val="single" w:sz="4" w:space="0" w:color="000000"/>
            </w:tcBorders>
            <w:shd w:fill="D1D3D4" w:val="clear"/>
            <w:tcMar>
              <w:top w:w="0" w:type="dxa"/>
              <w:left w:w="0" w:type="dxa"/>
              <w:bottom w:w="3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8x</w:t>
            </w:r>
          </w:p>
        </w:tc>
      </w:tr>
    </w:tbl>
    <w:p>
      <w:pPr>
        <w:pStyle w:val="TextBody"/>
        <w:bidi w:val="0"/>
        <w:spacing w:lineRule="auto" w:line="288" w:before="0" w:after="120"/>
        <w:ind w:left="0" w:right="0" w:firstLine="720"/>
        <w:jc w:val="left"/>
        <w:rPr>
          <w:rFonts w:ascii="Arial;sans-serif" w:hAnsi="Arial;sans-serif"/>
          <w:b w:val="false"/>
          <w:color w:val="242424"/>
          <w:sz w:val="20"/>
        </w:rPr>
      </w:pPr>
      <w:r>
        <w:rPr>
          <w:rFonts w:ascii="Arial;sans-serif" w:hAnsi="Arial;sans-serif"/>
          <w:b w:val="false"/>
          <w:color w:val="242424"/>
          <w:sz w:val="20"/>
        </w:rPr>
        <w:t xml:space="preserve">A transition period of five years is allowed for new directors and executive officers in order to achieve the ownership amount. Holding requirements are expected to be fulfilled through equity grants issued by Weatherford, not through open market transactions. The five-year transition period has not yet expired for any of our executive officers or directors; however, as of the record date, Messrs. Saligram, Weatherholt, Reed, Sledge, Duster and Goldman, and Ms. Mutschler were in early compliance with the applicable guidelines.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8325"/>
                <wp:effectExtent l="0" t="0" r="0" b="0"/>
                <wp:wrapNone/>
                <wp:docPr id="111" name="Frame7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OTHER INFORMATION</w:t>
      </w: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INCORPORATION BY REFERENCE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Report and the Compensation and Human Resources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PRESENTATION OF IRISH STATUTORY ACCOUNTS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Company’s Irish Statutory Accounts for the fiscal year ended December 31, 2024, including the reports of the directors and Irish statutory auditor thereon, will be laid before the AGM, and the Company’s management will present a review of the Company’s affairs. The Company’s Irish Statutory Accounts have been approved by the Board of Directors of the Company. There is no requirement under Irish law that such statements be approved by shareholders, and no such approval will be sought at the AGM. The Company’s Irish Statutory Accounts are available with the Proxy Statement, and the Company’s Annual Report on Form 10-K at www.weatherfordannualmeeting.com and in the Investor Relations page on the Company’s website at www.weatherford.com.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PROPOSALS BY SHAREHOLDERS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2026 AGM, your proposals must be received by us by December 24, 2025 and must otherwise comply with Rule 14a-8. Any proposal received after such date will be considered untimely.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desire to have a nominee considered by our shareholders or to bring a matter before the 2026 AGM and the proposal is submitted outside the process of Rule 14a-8, you may use the procedures set forth in our Articles. Our Articles provide that a person who (i) is a registered shareholder (A) at the time of the notice, referred to below and (B) at the time of the AGM, (ii) is entitled to vote at the AGM and (iii) complies with the notice and certain other relevant provisions of the Articles, may, by timely written notice, bring a nomination for the election of a director or other business before an AGM. To be timely for an AGM, a registered shareholder’s notice to bring a nomination or other business must be delivered or mailed and received at the Company’s registered office, addressed to the Corporate Secretary no earlier than 120 calendar days and no later than 90 calendar days before the first anniversary of the Company’s AGM for the prior year (being, in the case of the 2026 AGM, February 11, 2026 and March 13, 2026 respectively); provided, however, that (A) if the annual meeting of shareholders is advanced by more than 30 days, or delayed by more than 60 days, from the first anniversary of the prior year’s AGM or (B) if no annual meeting was held during the prior year, the notice by the registered shareholder to be timely must be received (1) no earlier than 120 days before such AGM and (2) no later than the later of 90 days before such AGM and the tenth day after the day on which the notice of such AGM was first made by mail or public disclosure.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addition to satisfying the foregoing requirements under our Articles, to comply with the SEC’s universal proxy rules, shareholders who intend to solicit proxies in support of director nominees other than Weatherford’s nominees must provide notice that sets forth the information required by Rule 14a-19 under the Exchange Act no later than April 12, 2026, and otherwise comply with the requirements of Rule 14a-19. We encourage shareholders who wish to submit a proposal or nomination to seek independent counsel.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no event shall an adjournment or postponement, or public disclosure of an adjournment or postponement, of an AGM commence a new time period (or extend any time period) for the giving of the notice of business. The request must specify any other information that would be required to be included in a proxy statement pursuant to the rules of the SEC.</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70 Sir John Rogerson’s Quay, Dublin 2, D02 R296, Ireland.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Any shareholder proposal (including the nomination of any director), whether or not to be included in our Proxy Materials, must be sent to our Corporate Secretary at the Company’s registered office, 70 Sir John Rogerson’s Quay, Dublin 2, D02 R296, Ireland.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8325"/>
                <wp:effectExtent l="0" t="0" r="0" b="0"/>
                <wp:wrapNone/>
                <wp:docPr id="112" name="Frame80"/>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OTHER INFORMATION</w:t>
      </w: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OTHER BUSINESS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know of no other business that will be brought before the AGM.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HOUSEHOLDING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As a result, if you hold your shares through a broker and you reside at an address at which two or more shareholders reside, you will likely be receiving only one Proxy Statement or one Notice of Internet Availability unless any shareholder at that address has given the broker contrary instructions. However, if any such beneficial shareholder residing at such an address wishes to receive a separate Proxy Statement or Notice of Internet Availability in the future, or if any such beneficial shareholder that elected to continue to receive separate Proxy Statement or Notice of Internet Availability wishes to receive a single Proxy Statement or Notice of Internet Availability in the future, that shareholder should contact their broker or send a request to our U.S. Investor Relations Department at 2000 Saint James Place, Houston, Texas 77056. Telephone requests may be directed to +1 (713) 836-4000. We will deliver, promptly upon written or oral request to our U.S. Investor Relations Department, a separate copy of this Proxy Statement or Notice of Internet Availability to a beneficial shareholder at a shared address to which a single copy of the documents was delivered.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939598"/>
          <w:sz w:val="32"/>
        </w:rPr>
      </w:pPr>
      <w:r>
        <w:rPr>
          <w:rFonts w:ascii="Arial;sans-serif" w:hAnsi="Arial;sans-serif"/>
          <w:b/>
          <w:color w:val="939598"/>
          <w:sz w:val="32"/>
        </w:rPr>
        <w:t>ADDITIONAL INFORMATION AVAILABLE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2024 Annual Report on Form 10-K and the audited consolidated financial statements of Weatherford for the year ended December 31, 2024 and accompanying directors’ auditor’s reports have been filed with the SEC. Complete copies of these materials are available on our website at www.weatherford.com. Any shareholder of record may also obtain a copy of these documents free of charge by contacting our U.S. Investor Relations Department in writing at 2000 Saint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April 23, 2025</w:t>
      </w:r>
    </w:p>
    <w:p>
      <w:pPr>
        <w:pStyle w:val="TextBody"/>
        <w:bidi w:val="0"/>
        <w:spacing w:lineRule="auto" w:line="288" w:before="0" w:after="120"/>
        <w:jc w:val="right"/>
        <w:rPr>
          <w:rFonts w:ascii="Arial;sans-serif" w:hAnsi="Arial;sans-serif"/>
          <w:b w:val="false"/>
          <w:color w:val="242424"/>
          <w:sz w:val="20"/>
        </w:rPr>
      </w:pPr>
      <w:r>
        <w:rPr>
          <w:rFonts w:ascii="Arial;sans-serif" w:hAnsi="Arial;sans-serif"/>
          <w:b w:val="false"/>
          <w:color w:val="242424"/>
          <w:sz w:val="20"/>
        </w:rPr>
        <w:t>By Order of the Board of Directors</w:t>
      </w:r>
    </w:p>
    <w:p>
      <w:pPr>
        <w:pStyle w:val="TextBody"/>
        <w:bidi w:val="0"/>
        <w:spacing w:before="0" w:after="120"/>
        <w:jc w:val="right"/>
        <w:rPr/>
      </w:pPr>
      <w:r>
        <w:rPr/>
        <w:drawing>
          <wp:inline distT="0" distB="0" distL="0" distR="0">
            <wp:extent cx="3124200" cy="885825"/>
            <wp:effectExtent l="0" t="0" r="0" b="0"/>
            <wp:docPr id="11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3" descr=""/>
                    <pic:cNvPicPr>
                      <a:picLocks noChangeAspect="1" noChangeArrowheads="1"/>
                    </pic:cNvPicPr>
                  </pic:nvPicPr>
                  <pic:blipFill>
                    <a:blip r:embed="rId34"/>
                    <a:stretch>
                      <a:fillRect/>
                    </a:stretch>
                  </pic:blipFill>
                  <pic:spPr bwMode="auto">
                    <a:xfrm>
                      <a:off x="0" y="0"/>
                      <a:ext cx="3124200" cy="885825"/>
                    </a:xfrm>
                    <a:prstGeom prst="rect">
                      <a:avLst/>
                    </a:prstGeom>
                  </pic:spPr>
                </pic:pic>
              </a:graphicData>
            </a:graphic>
          </wp:inline>
        </w:drawing>
      </w:r>
    </w:p>
    <w:p>
      <w:pPr>
        <w:pStyle w:val="TextBody"/>
        <w:bidi w:val="0"/>
        <w:spacing w:lineRule="auto" w:line="288" w:before="0" w:after="120"/>
        <w:jc w:val="right"/>
        <w:rPr>
          <w:rFonts w:ascii="Arial;sans-serif" w:hAnsi="Arial;sans-serif"/>
          <w:b/>
          <w:color w:val="242424"/>
          <w:sz w:val="20"/>
        </w:rPr>
      </w:pPr>
      <w:r>
        <w:rPr>
          <w:rFonts w:ascii="Arial;sans-serif" w:hAnsi="Arial;sans-serif"/>
          <w:b/>
          <w:color w:val="242424"/>
          <w:sz w:val="20"/>
        </w:rPr>
        <w:t>Scott C. Weatherholt</w:t>
      </w:r>
    </w:p>
    <w:p>
      <w:pPr>
        <w:pStyle w:val="TextBody"/>
        <w:bidi w:val="0"/>
        <w:spacing w:lineRule="auto" w:line="288" w:before="0" w:after="180"/>
        <w:jc w:val="right"/>
        <w:rPr>
          <w:rFonts w:ascii="Arial;sans-serif" w:hAnsi="Arial;sans-serif"/>
          <w:b w:val="false"/>
          <w:i/>
          <w:color w:val="242424"/>
          <w:sz w:val="20"/>
        </w:rPr>
      </w:pPr>
      <w:r>
        <w:rPr>
          <w:rFonts w:ascii="Arial;sans-serif" w:hAnsi="Arial;sans-serif"/>
          <w:b w:val="false"/>
          <w:i/>
          <w:color w:val="242424"/>
          <w:sz w:val="20"/>
        </w:rPr>
        <w:t xml:space="preserve">Executive Vice President, General Counsel and </w:t>
      </w:r>
      <w:bookmarkStart w:id="2" w:name="i962cc2151ce2401bbb4f8b1df889793c_982"/>
      <w:bookmarkEnd w:id="2"/>
      <w:r>
        <w:rPr>
          <w:rFonts w:ascii="Arial;sans-serif" w:hAnsi="Arial;sans-serif"/>
          <w:b w:val="false"/>
          <w:i/>
          <w:color w:val="242424"/>
          <w:sz w:val="20"/>
        </w:rPr>
        <w:t>Chief Compliance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8325"/>
                <wp:effectExtent l="0" t="0" r="0" b="0"/>
                <wp:wrapNone/>
                <wp:docPr id="114" name="Frame81"/>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48"/>
          <w:shd w:fill="FFFFFF" w:val="clear"/>
        </w:rPr>
      </w:pPr>
      <w:r>
        <w:rPr>
          <w:rFonts w:ascii="Arial;sans-serif" w:hAnsi="Arial;sans-serif"/>
          <w:b/>
          <w:color w:val="CE1141"/>
          <w:sz w:val="48"/>
          <w:shd w:fill="FFFFFF" w:val="clear"/>
        </w:rPr>
        <w:t>ANNEX A – RECONCILIATION OF GAAP TO NON-GAAP FINANCIAL MEASURES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report our financial results in accordance with U.S. generally accepted accounting principles (GAAP). However, our management believes that certain non-GAAP financial measures and ratios (as defined under the SEC’s Regulation G and Item 10(e) of Regulation S-K) may provide users of this financial information additional meaningful comparisons between current results and results of prior periods. Below, we describe why we believe each non-GAAP measure provides useful information to investors as well as the calculation and comparable GAAP measure.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Adjusted EBITDA is a non-GAAP financial measure, and represents earnings before interest, taxes, depreciation, and amortization and excludes, among other items, restructuring charges, share-based compensation expense, as well as other charges and credits. Management believes consolidated adjusted EBITDA and consolidated adjusted EBITDA margin are useful to assess and understand normalized operating performance and trends. Consolidated adjusted EBITDA and consolidated adjusted EBITDA margin should be considered in addition to, but not as a substitute for consolidated net income and consolidated net income margin and should be viewed in addition to the Company’s reported results prepared in accordance with GAAP.</w:t>
      </w:r>
    </w:p>
    <w:p>
      <w:pPr>
        <w:pStyle w:val="TextBody"/>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Adjusted EBITDA margin is non-GAAP measure that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Adjusted Free Cash Flow Margin - Adjusted Free Cash Flow Margin is non-GAAP measure that is calculated by dividing adjusted free cash flow by consolidated revenues. Management believes adjusted free cash flow margin is useful to assess and understand our performance and trend at generating cash. Adjusted free cash flow margin should be considered in addition to, but not as a substitute for operating cash flow margin, and should be viewed in addition to the Company's reported results prepared in accordance with GAAP.</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Adjusted Free Cash Flow Conversion - Adjusted Free Cash Flow Conversion is a non-GAAP measure that is calculated by dividing adjusted free cash flow by adjusted EBITDA. Management believes adjusted free cash flow conversion is useful to assess the level of normalized liquidity generated in the operating cycle. Adjusted free cash flow conversion should be considered in addition to, but not as a substitute for GAAP measures described above for the respective components, and should be viewed in addition to the company’s reported results prepared in accordance with GAAP.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36575"/>
                <wp:effectExtent l="0" t="0" r="0" b="0"/>
                <wp:wrapNone/>
                <wp:docPr id="115" name="Frame8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A-1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A-1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77383e576584d77a42c17ee243586bf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ANNEX A – RECONCILIATION OF GAAP TO NON-GAAP FINANCIAL MEASURES</w:t>
      </w:r>
    </w:p>
    <w:p>
      <w:pPr>
        <w:pStyle w:val="TextBody"/>
        <w:bidi w:val="0"/>
        <w:spacing w:lineRule="auto" w:line="288" w:before="0" w:after="0"/>
        <w:jc w:val="center"/>
        <w:rPr>
          <w:rFonts w:ascii="Arial;sans-serif" w:hAnsi="Arial;sans-serif"/>
          <w:b/>
          <w:color w:val="242424"/>
          <w:sz w:val="20"/>
        </w:rPr>
      </w:pPr>
      <w:r>
        <w:rPr>
          <w:rFonts w:ascii="Arial;sans-serif" w:hAnsi="Arial;sans-serif"/>
          <w:b/>
          <w:color w:val="242424"/>
          <w:sz w:val="20"/>
        </w:rPr>
        <w:t>Weatherford International plc</w:t>
      </w:r>
    </w:p>
    <w:p>
      <w:pPr>
        <w:pStyle w:val="TextBody"/>
        <w:bidi w:val="0"/>
        <w:spacing w:lineRule="auto" w:line="288" w:before="0" w:after="0"/>
        <w:jc w:val="center"/>
        <w:rPr>
          <w:rFonts w:ascii="Arial;sans-serif" w:hAnsi="Arial;sans-serif"/>
          <w:b/>
          <w:color w:val="242424"/>
          <w:sz w:val="20"/>
        </w:rPr>
      </w:pPr>
      <w:r>
        <w:rPr>
          <w:rFonts w:ascii="Arial;sans-serif" w:hAnsi="Arial;sans-serif"/>
          <w:b/>
          <w:color w:val="242424"/>
          <w:sz w:val="20"/>
        </w:rPr>
        <w:t>Reconciliation of GAAP to Non-GAAP Financial Measures</w:t>
      </w:r>
    </w:p>
    <w:p>
      <w:pPr>
        <w:pStyle w:val="TextBody"/>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(Unaudited) </w:t>
      </w:r>
    </w:p>
    <w:p>
      <w:pPr>
        <w:pStyle w:val="TextBody"/>
        <w:bidi w:val="0"/>
        <w:spacing w:lineRule="auto" w:line="288" w:before="0" w:after="180"/>
        <w:jc w:val="center"/>
        <w:rPr>
          <w:rFonts w:ascii="Arial;sans-serif" w:hAnsi="Arial;sans-serif"/>
          <w:b w:val="false"/>
          <w:color w:val="242424"/>
          <w:sz w:val="20"/>
        </w:rPr>
      </w:pPr>
      <w:r>
        <w:rPr>
          <w:rFonts w:ascii="Arial;sans-serif" w:hAnsi="Arial;sans-serif"/>
          <w:b w:val="false"/>
          <w:color w:val="242424"/>
          <w:sz w:val="20"/>
        </w:rPr>
        <w:t>(In Millions, Except Margin in Percentages)</w:t>
      </w:r>
    </w:p>
    <w:tbl>
      <w:tblPr>
        <w:tblW w:w="10205" w:type="dxa"/>
        <w:jc w:val="center"/>
        <w:tblInd w:w="0" w:type="dxa"/>
        <w:tblLayout w:type="fixed"/>
        <w:tblCellMar>
          <w:top w:w="28" w:type="dxa"/>
          <w:left w:w="28" w:type="dxa"/>
          <w:bottom w:w="28" w:type="dxa"/>
          <w:right w:w="28" w:type="dxa"/>
        </w:tblCellMar>
      </w:tblPr>
      <w:tblGrid>
        <w:gridCol w:w="1961"/>
        <w:gridCol w:w="1726"/>
        <w:gridCol w:w="1730"/>
        <w:gridCol w:w="109"/>
        <w:gridCol w:w="109"/>
        <w:gridCol w:w="211"/>
        <w:gridCol w:w="646"/>
        <w:gridCol w:w="286"/>
        <w:gridCol w:w="211"/>
        <w:gridCol w:w="646"/>
        <w:gridCol w:w="345"/>
        <w:gridCol w:w="211"/>
        <w:gridCol w:w="646"/>
        <w:gridCol w:w="286"/>
        <w:gridCol w:w="211"/>
        <w:gridCol w:w="540"/>
        <w:gridCol w:w="331"/>
      </w:tblGrid>
      <w:tr>
        <w:trPr/>
        <w:tc>
          <w:tcPr>
            <w:tcW w:w="196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top w:val="single" w:sz="8" w:space="0" w:color="929292"/>
              <w:left w:val="single" w:sz="8" w:space="0" w:color="929292"/>
            </w:tcBorders>
            <w:shd w:fill="CE1141"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8" w:type="dxa"/>
            <w:gridSpan w:val="9"/>
            <w:tcBorders>
              <w:top w:val="single" w:sz="8" w:space="0" w:color="929292"/>
              <w:right w:val="single" w:sz="8" w:space="0" w:color="929292"/>
            </w:tcBorders>
            <w:shd w:fill="CE1141" w:val="clear"/>
            <w:tcMar>
              <w:top w:w="30" w:type="dxa"/>
              <w:left w:w="0" w:type="dxa"/>
              <w:bottom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Year Ended</w:t>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CE114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12/31/24</w:t>
            </w:r>
          </w:p>
        </w:tc>
        <w:tc>
          <w:tcPr>
            <w:tcW w:w="1143"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12/31/23</w:t>
            </w:r>
          </w:p>
        </w:tc>
        <w:tc>
          <w:tcPr>
            <w:tcW w:w="1082" w:type="dxa"/>
            <w:gridSpan w:val="3"/>
            <w:tcBorders>
              <w:right w:val="single" w:sz="8" w:space="0" w:color="929292"/>
            </w:tcBorders>
            <w:shd w:fill="CE1141" w:val="clear"/>
            <w:tcMar>
              <w:top w:w="0" w:type="dxa"/>
              <w:left w:w="0" w:type="dxa"/>
              <w:bottom w:w="0" w:type="dxa"/>
            </w:tcMar>
            <w:vAlign w:val="center"/>
          </w:tcPr>
          <w:p>
            <w:pPr>
              <w:pStyle w:val="TableContents"/>
              <w:bidi w:val="0"/>
              <w:spacing w:lineRule="auto" w:line="268" w:before="0" w:after="283"/>
              <w:ind w:left="0" w:right="0" w:hanging="180"/>
              <w:jc w:val="center"/>
              <w:rPr>
                <w:rFonts w:ascii="Arial;sans-serif" w:hAnsi="Arial;sans-serif"/>
                <w:b/>
                <w:color w:val="FFFFFF"/>
                <w:sz w:val="16"/>
              </w:rPr>
            </w:pPr>
            <w:r>
              <w:rPr>
                <w:rFonts w:ascii="Arial;sans-serif" w:hAnsi="Arial;sans-serif"/>
                <w:b/>
                <w:color w:val="FFFFFF"/>
                <w:sz w:val="16"/>
              </w:rPr>
              <w:t>12/31/22</w:t>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 xml:space="preserve">Net Income Attributable to Weatherford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506 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417 </w:t>
            </w:r>
          </w:p>
        </w:tc>
        <w:tc>
          <w:tcPr>
            <w:tcW w:w="3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26 </w:t>
            </w:r>
          </w:p>
        </w:tc>
        <w:tc>
          <w:tcPr>
            <w:tcW w:w="286" w:type="dxa"/>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25 </w:t>
            </w:r>
          </w:p>
        </w:tc>
        <w:tc>
          <w:tcPr>
            <w:tcW w:w="286"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242424"/>
                <w:sz w:val="20"/>
              </w:rPr>
            </w:pPr>
            <w:r>
              <w:rPr>
                <w:rFonts w:ascii="Arial;sans-serif" w:hAnsi="Arial;sans-serif"/>
                <w:b w:val="false"/>
                <w:color w:val="242424"/>
                <w:sz w:val="20"/>
              </w:rPr>
              <w:t>Interest Expense, Net of Interest Income of $56, $59 and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102 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123 </w:t>
            </w:r>
          </w:p>
        </w:tc>
        <w:tc>
          <w:tcPr>
            <w:tcW w:w="3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179 </w:t>
            </w:r>
          </w:p>
        </w:tc>
        <w:tc>
          <w:tcPr>
            <w:tcW w:w="286" w:type="dxa"/>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Loss on Blue Chip Swap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31"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189 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57 </w:t>
            </w:r>
          </w:p>
        </w:tc>
        <w:tc>
          <w:tcPr>
            <w:tcW w:w="3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87 </w:t>
            </w:r>
          </w:p>
        </w:tc>
        <w:tc>
          <w:tcPr>
            <w:tcW w:w="286" w:type="dxa"/>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95 </w:t>
            </w:r>
          </w:p>
        </w:tc>
        <w:tc>
          <w:tcPr>
            <w:tcW w:w="331"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938 </w:t>
            </w:r>
          </w:p>
        </w:tc>
        <w:tc>
          <w:tcPr>
            <w:tcW w:w="3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820 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412 </w:t>
            </w:r>
          </w:p>
        </w:tc>
        <w:tc>
          <w:tcPr>
            <w:tcW w:w="331" w:type="dxa"/>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327 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349 </w:t>
            </w:r>
          </w:p>
        </w:tc>
        <w:tc>
          <w:tcPr>
            <w:tcW w:w="286" w:type="dxa"/>
            <w:tcBorders>
              <w:right w:val="single" w:sz="8" w:space="0" w:color="929292"/>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56 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4 </w:t>
            </w:r>
          </w:p>
        </w:tc>
        <w:tc>
          <w:tcPr>
            <w:tcW w:w="3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31 </w:t>
            </w:r>
          </w:p>
        </w:tc>
        <w:tc>
          <w:tcPr>
            <w:tcW w:w="286" w:type="dxa"/>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25 </w:t>
            </w:r>
          </w:p>
        </w:tc>
        <w:tc>
          <w:tcPr>
            <w:tcW w:w="286"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2225" w:type="dxa"/>
            <w:gridSpan w:val="6"/>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1,382 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1,186 </w:t>
            </w:r>
          </w:p>
        </w:tc>
        <w:tc>
          <w:tcPr>
            <w:tcW w:w="3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817 </w:t>
            </w:r>
          </w:p>
        </w:tc>
        <w:tc>
          <w:tcPr>
            <w:tcW w:w="286" w:type="dxa"/>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792 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349 </w:t>
            </w:r>
          </w:p>
        </w:tc>
        <w:tc>
          <w:tcPr>
            <w:tcW w:w="331" w:type="dxa"/>
            <w:tcBorders>
              <w:right w:val="single" w:sz="8" w:space="0" w:color="929292"/>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Capital Expenditures for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(299)</w:t>
            </w:r>
          </w:p>
        </w:tc>
        <w:tc>
          <w:tcPr>
            <w:tcW w:w="3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(209)</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54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(132)</w:t>
            </w:r>
          </w:p>
        </w:tc>
        <w:tc>
          <w:tcPr>
            <w:tcW w:w="331" w:type="dxa"/>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Proceeds from Disposition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82 </w:t>
            </w:r>
          </w:p>
        </w:tc>
        <w:tc>
          <w:tcPr>
            <w:tcW w:w="331" w:type="dxa"/>
            <w:tcBorders>
              <w:right w:val="single" w:sz="8" w:space="0" w:color="929292"/>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524 </w:t>
            </w:r>
          </w:p>
        </w:tc>
        <w:tc>
          <w:tcPr>
            <w:tcW w:w="34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651 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54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299 </w:t>
            </w:r>
          </w:p>
        </w:tc>
        <w:tc>
          <w:tcPr>
            <w:tcW w:w="331" w:type="dxa"/>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5,513 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5,135 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4,331 </w:t>
            </w:r>
          </w:p>
        </w:tc>
        <w:tc>
          <w:tcPr>
            <w:tcW w:w="286"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9.2 </w:t>
            </w:r>
          </w:p>
        </w:tc>
        <w:tc>
          <w:tcPr>
            <w:tcW w:w="28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8.1 </w:t>
            </w:r>
          </w:p>
        </w:tc>
        <w:tc>
          <w:tcPr>
            <w:tcW w:w="34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0.6 </w:t>
            </w:r>
          </w:p>
        </w:tc>
        <w:tc>
          <w:tcPr>
            <w:tcW w:w="286" w:type="dxa"/>
            <w:tcBorders>
              <w:right w:val="single" w:sz="8" w:space="0" w:color="929292"/>
            </w:tcBorders>
            <w:shd w:fill="D1D3D4" w:val="clear"/>
            <w:tcMar>
              <w:top w:w="0" w:type="dxa"/>
              <w:left w:w="0" w:type="dxa"/>
              <w:bottom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25.1 </w:t>
            </w:r>
          </w:p>
        </w:tc>
        <w:tc>
          <w:tcPr>
            <w:tcW w:w="28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23.1 </w:t>
            </w:r>
          </w:p>
        </w:tc>
        <w:tc>
          <w:tcPr>
            <w:tcW w:w="3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18.9 </w:t>
            </w:r>
          </w:p>
        </w:tc>
        <w:tc>
          <w:tcPr>
            <w:tcW w:w="286" w:type="dxa"/>
            <w:tcBorders>
              <w:right w:val="single" w:sz="8" w:space="0" w:color="929292"/>
            </w:tcBorders>
            <w:shd w:fill="FFFFFF" w:val="clear"/>
            <w:tcMar>
              <w:top w:w="0" w:type="dxa"/>
              <w:left w:w="0" w:type="dxa"/>
              <w:bottom w:w="0" w:type="dxa"/>
            </w:tcMar>
            <w:vAlign w:val="center"/>
          </w:tcPr>
          <w:p>
            <w:pPr>
              <w:pStyle w:val="TableContents"/>
              <w:bidi w:val="0"/>
              <w:spacing w:lineRule="auto" w:line="268" w:before="0" w:after="283"/>
              <w:ind w:left="0" w:right="0" w:hanging="180"/>
              <w:jc w:val="left"/>
              <w:rPr>
                <w:rFonts w:ascii="Arial;sans-serif" w:hAnsi="Arial;sans-serif"/>
                <w:b w:val="false"/>
                <w:color w:val="242424"/>
                <w:sz w:val="20"/>
              </w:rPr>
            </w:pPr>
            <w:r>
              <w:rPr>
                <w:rFonts w:ascii="Arial;sans-serif" w:hAnsi="Arial;sans-serif"/>
                <w:b w:val="false"/>
                <w:color w:val="242424"/>
                <w:sz w:val="20"/>
              </w:rPr>
              <w:t>%</w:t>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Operating Cash Flow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14.4 </w:t>
            </w:r>
          </w:p>
        </w:tc>
        <w:tc>
          <w:tcPr>
            <w:tcW w:w="34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16.2 </w:t>
            </w:r>
          </w:p>
        </w:tc>
        <w:tc>
          <w:tcPr>
            <w:tcW w:w="28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75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8.1 </w:t>
            </w:r>
          </w:p>
        </w:tc>
        <w:tc>
          <w:tcPr>
            <w:tcW w:w="331" w:type="dxa"/>
            <w:tcBorders>
              <w:right w:val="single" w:sz="8" w:space="0" w:color="929292"/>
            </w:tcBorders>
            <w:shd w:fill="D1D3D4" w:val="clear"/>
            <w:tcMar>
              <w:top w:w="0" w:type="dxa"/>
              <w:left w:w="0" w:type="dxa"/>
              <w:bottom w:w="0" w:type="dxa"/>
            </w:tcMar>
            <w:vAlign w:val="center"/>
          </w:tcPr>
          <w:p>
            <w:pPr>
              <w:pStyle w:val="TableContents"/>
              <w:bidi w:val="0"/>
              <w:spacing w:lineRule="auto" w:line="268" w:before="0" w:after="283"/>
              <w:ind w:left="0" w:right="0" w:hanging="180"/>
              <w:jc w:val="left"/>
              <w:rPr>
                <w:rFonts w:ascii="Arial;sans-serif" w:hAnsi="Arial;sans-serif"/>
                <w:b w:val="false"/>
                <w:color w:val="242424"/>
                <w:sz w:val="20"/>
              </w:rPr>
            </w:pPr>
            <w:r>
              <w:rPr>
                <w:rFonts w:ascii="Arial;sans-serif" w:hAnsi="Arial;sans-serif"/>
                <w:b w:val="false"/>
                <w:color w:val="242424"/>
                <w:sz w:val="20"/>
              </w:rPr>
              <w:t>%</w:t>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Free Cash Flow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9.5 </w:t>
            </w:r>
          </w:p>
        </w:tc>
        <w:tc>
          <w:tcPr>
            <w:tcW w:w="3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12.7 </w:t>
            </w:r>
          </w:p>
        </w:tc>
        <w:tc>
          <w:tcPr>
            <w:tcW w:w="28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6.9 </w:t>
            </w:r>
          </w:p>
        </w:tc>
        <w:tc>
          <w:tcPr>
            <w:tcW w:w="331" w:type="dxa"/>
            <w:tcBorders>
              <w:right w:val="single" w:sz="8" w:space="0" w:color="929292"/>
            </w:tcBorders>
            <w:shd w:fill="FFFFFF" w:val="clear"/>
            <w:tcMar>
              <w:top w:w="0" w:type="dxa"/>
              <w:left w:w="0" w:type="dxa"/>
              <w:bottom w:w="0" w:type="dxa"/>
            </w:tcMar>
            <w:vAlign w:val="center"/>
          </w:tcPr>
          <w:p>
            <w:pPr>
              <w:pStyle w:val="TableContents"/>
              <w:bidi w:val="0"/>
              <w:spacing w:lineRule="auto" w:line="268" w:before="0" w:after="283"/>
              <w:ind w:left="0" w:right="0" w:hanging="180"/>
              <w:jc w:val="left"/>
              <w:rPr>
                <w:rFonts w:ascii="Arial;sans-serif" w:hAnsi="Arial;sans-serif"/>
                <w:b w:val="false"/>
                <w:color w:val="242424"/>
                <w:sz w:val="20"/>
              </w:rPr>
            </w:pPr>
            <w:r>
              <w:rPr>
                <w:rFonts w:ascii="Arial;sans-serif" w:hAnsi="Arial;sans-serif"/>
                <w:b w:val="false"/>
                <w:color w:val="242424"/>
                <w:sz w:val="20"/>
              </w:rPr>
              <w:t>%</w:t>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Free Cash Flow Conversion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37.9 </w:t>
            </w:r>
          </w:p>
        </w:tc>
        <w:tc>
          <w:tcPr>
            <w:tcW w:w="34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54.9 </w:t>
            </w:r>
          </w:p>
        </w:tc>
        <w:tc>
          <w:tcPr>
            <w:tcW w:w="28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75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36.6 </w:t>
            </w:r>
          </w:p>
        </w:tc>
        <w:tc>
          <w:tcPr>
            <w:tcW w:w="331" w:type="dxa"/>
            <w:tcBorders>
              <w:right w:val="single" w:sz="8" w:space="0" w:color="929292"/>
            </w:tcBorders>
            <w:shd w:fill="D1D3D4" w:val="clear"/>
            <w:tcMar>
              <w:top w:w="0" w:type="dxa"/>
              <w:left w:w="0" w:type="dxa"/>
              <w:bottom w:w="0" w:type="dxa"/>
            </w:tcMar>
            <w:vAlign w:val="center"/>
          </w:tcPr>
          <w:p>
            <w:pPr>
              <w:pStyle w:val="TableContents"/>
              <w:bidi w:val="0"/>
              <w:spacing w:lineRule="auto" w:line="268" w:before="0" w:after="283"/>
              <w:ind w:left="0" w:right="0" w:hanging="180"/>
              <w:jc w:val="left"/>
              <w:rPr>
                <w:rFonts w:ascii="Arial;sans-serif" w:hAnsi="Arial;sans-serif"/>
                <w:b w:val="false"/>
                <w:color w:val="242424"/>
                <w:sz w:val="20"/>
              </w:rPr>
            </w:pPr>
            <w:r>
              <w:rPr>
                <w:rFonts w:ascii="Arial;sans-serif" w:hAnsi="Arial;sans-serif"/>
                <w:b w:val="false"/>
                <w:color w:val="242424"/>
                <w:sz w:val="20"/>
              </w:rPr>
              <w:t>%</w:t>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Three year Cumulative Adjusted 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6.3 </w:t>
            </w:r>
          </w:p>
        </w:tc>
        <w:tc>
          <w:tcPr>
            <w:tcW w:w="3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Three year Cumulative 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22.6 </w:t>
            </w:r>
          </w:p>
        </w:tc>
        <w:tc>
          <w:tcPr>
            <w:tcW w:w="34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14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Three year Cumulative Operating Cash Flow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13.2 </w:t>
            </w:r>
          </w:p>
        </w:tc>
        <w:tc>
          <w:tcPr>
            <w:tcW w:w="3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Three year Cumulative Free Cash Flow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9.8 </w:t>
            </w:r>
          </w:p>
        </w:tc>
        <w:tc>
          <w:tcPr>
            <w:tcW w:w="34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14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right w:val="single" w:sz="8" w:space="0" w:color="929292"/>
            </w:tcBorders>
            <w:shd w:fill="D1D3D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Net Income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21.3 </w:t>
            </w:r>
          </w:p>
        </w:tc>
        <w:tc>
          <w:tcPr>
            <w:tcW w:w="3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1,503.8 </w:t>
            </w:r>
          </w:p>
        </w:tc>
        <w:tc>
          <w:tcPr>
            <w:tcW w:w="28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08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Adjusted EBITDA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16.5 </w:t>
            </w:r>
          </w:p>
        </w:tc>
        <w:tc>
          <w:tcPr>
            <w:tcW w:w="34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45.2 </w:t>
            </w:r>
          </w:p>
        </w:tc>
        <w:tc>
          <w:tcPr>
            <w:tcW w:w="28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082" w:type="dxa"/>
            <w:gridSpan w:val="3"/>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Free Cash Flow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(19.5 </w:t>
            </w:r>
          </w:p>
        </w:tc>
        <w:tc>
          <w:tcPr>
            <w:tcW w:w="3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117.7 </w:t>
            </w:r>
          </w:p>
        </w:tc>
        <w:tc>
          <w:tcPr>
            <w:tcW w:w="28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08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Net Income Margins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106 bps</w:t>
            </w:r>
          </w:p>
        </w:tc>
        <w:tc>
          <w:tcPr>
            <w:tcW w:w="1202"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752 bps</w:t>
            </w:r>
          </w:p>
        </w:tc>
        <w:tc>
          <w:tcPr>
            <w:tcW w:w="1143" w:type="dxa"/>
            <w:gridSpan w:val="3"/>
            <w:tcBorders>
              <w:right w:val="single" w:sz="8" w:space="0" w:color="929292"/>
            </w:tcBorders>
            <w:shd w:fill="D1D3D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Adjusted EBITDA Margins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197 bps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423 bps</w:t>
            </w:r>
          </w:p>
        </w:tc>
        <w:tc>
          <w:tcPr>
            <w:tcW w:w="1143"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tcBorders/>
          </w:tcPr>
          <w:p>
            <w:pPr>
              <w:pStyle w:val="TableContents"/>
              <w:bidi w:val="0"/>
              <w:spacing w:before="0" w:after="283"/>
              <w:jc w:val="left"/>
              <w:rPr>
                <w:sz w:val="4"/>
                <w:szCs w:val="4"/>
              </w:rPr>
            </w:pPr>
            <w:r>
              <w:rPr>
                <w:sz w:val="4"/>
                <w:szCs w:val="4"/>
              </w:rPr>
            </w:r>
          </w:p>
        </w:tc>
      </w:tr>
      <w:tr>
        <w:trPr/>
        <w:tc>
          <w:tcPr>
            <w:tcW w:w="5417" w:type="dxa"/>
            <w:gridSpan w:val="3"/>
            <w:tcBorders>
              <w:left w:val="single" w:sz="8" w:space="0" w:color="929292"/>
              <w:bottom w:val="single" w:sz="8" w:space="0" w:color="929292"/>
            </w:tcBorders>
            <w:shd w:fill="D1D3D4" w:val="clear"/>
            <w:tcMar>
              <w:top w:w="0" w:type="dxa"/>
              <w:left w:w="290" w:type="dxa"/>
              <w:bottom w:w="3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Free Cash Flow Margins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929292"/>
            </w:tcBorders>
            <w:shd w:fill="D1D3D4"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(317 bps)</w:t>
            </w:r>
          </w:p>
        </w:tc>
        <w:tc>
          <w:tcPr>
            <w:tcW w:w="1143" w:type="dxa"/>
            <w:gridSpan w:val="3"/>
            <w:tcBorders>
              <w:bottom w:val="single" w:sz="8" w:space="0" w:color="929292"/>
            </w:tcBorders>
            <w:shd w:fill="D1D3D4"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577 bps</w:t>
            </w:r>
          </w:p>
        </w:tc>
        <w:tc>
          <w:tcPr>
            <w:tcW w:w="1082" w:type="dxa"/>
            <w:gridSpan w:val="3"/>
            <w:tcBorders>
              <w:bottom w:val="single" w:sz="8" w:space="0" w:color="929292"/>
              <w:right w:val="single" w:sz="8" w:space="0" w:color="929292"/>
            </w:tcBorders>
            <w:shd w:fill="D1D3D4"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8325"/>
                <wp:effectExtent l="0" t="0" r="0" b="0"/>
                <wp:wrapNone/>
                <wp:docPr id="116" name="Frame83"/>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4483" w:type="dxa"/>
                              <w:jc w:val="left"/>
                              <w:tblInd w:w="0" w:type="dxa"/>
                              <w:tblLayout w:type="fixed"/>
                              <w:tblCellMar>
                                <w:top w:w="28" w:type="dxa"/>
                                <w:left w:w="28" w:type="dxa"/>
                                <w:bottom w:w="28" w:type="dxa"/>
                                <w:right w:w="28" w:type="dxa"/>
                              </w:tblCellMar>
                            </w:tblPr>
                            <w:tblGrid>
                              <w:gridCol w:w="136"/>
                              <w:gridCol w:w="119"/>
                              <w:gridCol w:w="119"/>
                              <w:gridCol w:w="1200"/>
                              <w:gridCol w:w="1200"/>
                              <w:gridCol w:w="170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A-2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4483" w:type="dxa"/>
                        <w:jc w:val="left"/>
                        <w:tblInd w:w="0" w:type="dxa"/>
                        <w:tblLayout w:type="fixed"/>
                        <w:tblCellMar>
                          <w:top w:w="28" w:type="dxa"/>
                          <w:left w:w="28" w:type="dxa"/>
                          <w:bottom w:w="28" w:type="dxa"/>
                          <w:right w:w="28" w:type="dxa"/>
                        </w:tblCellMar>
                      </w:tblPr>
                      <w:tblGrid>
                        <w:gridCol w:w="136"/>
                        <w:gridCol w:w="119"/>
                        <w:gridCol w:w="119"/>
                        <w:gridCol w:w="1200"/>
                        <w:gridCol w:w="1200"/>
                        <w:gridCol w:w="170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A-2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5"/>
        <w:gridCol w:w="1402"/>
        <w:gridCol w:w="1405"/>
        <w:gridCol w:w="293"/>
        <w:gridCol w:w="293"/>
        <w:gridCol w:w="228"/>
        <w:gridCol w:w="109"/>
        <w:gridCol w:w="109"/>
        <w:gridCol w:w="109"/>
        <w:gridCol w:w="293"/>
        <w:gridCol w:w="293"/>
        <w:gridCol w:w="228"/>
        <w:gridCol w:w="109"/>
        <w:gridCol w:w="109"/>
        <w:gridCol w:w="109"/>
        <w:gridCol w:w="293"/>
        <w:gridCol w:w="293"/>
        <w:gridCol w:w="228"/>
        <w:gridCol w:w="109"/>
        <w:gridCol w:w="109"/>
        <w:gridCol w:w="109"/>
        <w:gridCol w:w="293"/>
        <w:gridCol w:w="293"/>
        <w:gridCol w:w="228"/>
        <w:gridCol w:w="109"/>
        <w:gridCol w:w="109"/>
        <w:gridCol w:w="109"/>
        <w:gridCol w:w="293"/>
        <w:gridCol w:w="293"/>
        <w:gridCol w:w="228"/>
        <w:gridCol w:w="109"/>
        <w:gridCol w:w="109"/>
        <w:gridCol w:w="157"/>
      </w:tblGrid>
      <w:tr>
        <w:trPr/>
        <w:tc>
          <w:tcPr>
            <w:tcW w:w="164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52" w:type="dxa"/>
            <w:gridSpan w:val="3"/>
            <w:tcBorders>
              <w:top w:val="single" w:sz="8" w:space="0" w:color="929292"/>
              <w:left w:val="single" w:sz="8" w:space="0" w:color="929292"/>
            </w:tcBorders>
            <w:shd w:fill="CE1141" w:val="clear"/>
            <w:tcMar>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7"/>
            <w:tcBorders>
              <w:top w:val="single" w:sz="8" w:space="0" w:color="929292"/>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Years Ended</w:t>
            </w:r>
          </w:p>
        </w:tc>
        <w:tc>
          <w:tcPr>
            <w:tcW w:w="375" w:type="dxa"/>
            <w:gridSpan w:val="3"/>
            <w:tcBorders>
              <w:top w:val="single" w:sz="8" w:space="0" w:color="929292"/>
              <w:right w:val="single" w:sz="8" w:space="0" w:color="929292"/>
            </w:tcBorders>
            <w:shd w:fill="CE1141"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left w:val="single" w:sz="8" w:space="0" w:color="929292"/>
            </w:tcBorders>
            <w:shd w:fill="CE1141" w:val="clear"/>
            <w:tcMar>
              <w:top w:w="0" w:type="dxa"/>
              <w:left w:w="11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Adjusted Free Cash Flow</w:t>
            </w:r>
          </w:p>
        </w:tc>
        <w:tc>
          <w:tcPr>
            <w:tcW w:w="81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12/31/24</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12/31/23</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12/31/22</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12/31/21</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12/31/20</w:t>
            </w:r>
          </w:p>
        </w:tc>
        <w:tc>
          <w:tcPr>
            <w:tcW w:w="375" w:type="dxa"/>
            <w:gridSpan w:val="3"/>
            <w:tcBorders>
              <w:right w:val="single" w:sz="8" w:space="0" w:color="929292"/>
            </w:tcBorders>
            <w:shd w:fill="CE1141"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left w:val="single" w:sz="8" w:space="0" w:color="929292"/>
            </w:tcBorders>
            <w:shd w:fill="D1D3D4"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Net Cash Provided by Operating Activities</w:t>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$792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$832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$349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$322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$210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2" w:type="dxa"/>
            <w:gridSpan w:val="3"/>
            <w:tcBorders>
              <w:left w:val="single" w:sz="8" w:space="0" w:color="929292"/>
            </w:tcBorders>
            <w:shd w:fill="FFFFFF"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Capital Expenditures for Property, Plant and Equipment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(299)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(209)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(132)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(154)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2" w:type="dxa"/>
            <w:gridSpan w:val="3"/>
            <w:tcBorders>
              <w:left w:val="single" w:sz="8" w:space="0" w:color="929292"/>
            </w:tcBorders>
            <w:shd w:fill="D1D3D4" w:val="clear"/>
            <w:tcMar>
              <w:top w:w="0" w:type="dxa"/>
              <w:left w:w="29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Proceeds from Disposition of Assets</w:t>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31 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28 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82 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41 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22 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929292"/>
            </w:tcBorders>
            <w:shd w:fill="D1D3D4"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2" w:type="dxa"/>
            <w:gridSpan w:val="3"/>
            <w:tcBorders>
              <w:left w:val="single" w:sz="8" w:space="0" w:color="929292"/>
              <w:bottom w:val="single" w:sz="8" w:space="0" w:color="929292"/>
            </w:tcBorders>
            <w:shd w:fill="FFFFFF" w:val="clear"/>
            <w:tcMar>
              <w:top w:w="0" w:type="dxa"/>
              <w:left w:w="290" w:type="dxa"/>
              <w:bottom w:w="3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Free Cash Flow</w:t>
            </w:r>
          </w:p>
        </w:tc>
        <w:tc>
          <w:tcPr>
            <w:tcW w:w="586" w:type="dxa"/>
            <w:gridSpan w:val="2"/>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$524 </w:t>
            </w:r>
          </w:p>
        </w:tc>
        <w:tc>
          <w:tcPr>
            <w:tcW w:w="228" w:type="dxa"/>
            <w:tcBorders>
              <w:bottom w:val="single" w:sz="8"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$651 </w:t>
            </w:r>
          </w:p>
        </w:tc>
        <w:tc>
          <w:tcPr>
            <w:tcW w:w="228" w:type="dxa"/>
            <w:tcBorders>
              <w:bottom w:val="single" w:sz="8"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$299 </w:t>
            </w:r>
          </w:p>
        </w:tc>
        <w:tc>
          <w:tcPr>
            <w:tcW w:w="228" w:type="dxa"/>
            <w:tcBorders>
              <w:bottom w:val="single" w:sz="8"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bookmarkStart w:id="3" w:name="id03857a66b8840af9f3943aec1cff9a4_5-5-1-"/>
            <w:bookmarkEnd w:id="3"/>
            <w:r>
              <w:rPr>
                <w:rFonts w:ascii="Arial;sans-serif" w:hAnsi="Arial;sans-serif"/>
                <w:b w:val="false"/>
                <w:color w:val="242424"/>
                <w:sz w:val="20"/>
              </w:rPr>
              <w:t>$278 </w:t>
            </w:r>
          </w:p>
        </w:tc>
        <w:tc>
          <w:tcPr>
            <w:tcW w:w="228" w:type="dxa"/>
            <w:tcBorders>
              <w:bottom w:val="single" w:sz="8"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$78 </w:t>
            </w:r>
          </w:p>
        </w:tc>
        <w:tc>
          <w:tcPr>
            <w:tcW w:w="228" w:type="dxa"/>
            <w:tcBorders>
              <w:bottom w:val="single" w:sz="8"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929292"/>
              <w:right w:val="single" w:sz="8" w:space="0" w:color="929292"/>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36575"/>
                <wp:effectExtent l="0" t="0" r="0" b="0"/>
                <wp:wrapNone/>
                <wp:docPr id="117" name="Frame84"/>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A-3</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A-3</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9" w:before="0" w:after="120"/>
        <w:jc w:val="left"/>
        <w:rPr>
          <w:rFonts w:ascii="Arial;sans-serif" w:hAnsi="Arial;sans-serif"/>
          <w:b/>
          <w:color w:val="CE1141"/>
          <w:sz w:val="48"/>
          <w:shd w:fill="FFFFFF" w:val="clear"/>
        </w:rPr>
      </w:pPr>
      <w:r>
        <w:rPr>
          <w:rFonts w:ascii="Arial;sans-serif" w:hAnsi="Arial;sans-serif"/>
          <w:b/>
          <w:color w:val="CE1141"/>
          <w:sz w:val="48"/>
          <w:shd w:fill="FFFFFF" w:val="clear"/>
        </w:rPr>
        <w:t xml:space="preserve">ANNEX B </w:t>
      </w:r>
    </w:p>
    <w:p>
      <w:pPr>
        <w:pStyle w:val="TextBody"/>
        <w:bidi w:val="0"/>
        <w:spacing w:lineRule="auto" w:line="268" w:before="0" w:after="120"/>
        <w:jc w:val="center"/>
        <w:rPr/>
      </w:pPr>
      <w:r>
        <w:rPr>
          <w:rFonts w:ascii="Times New Roman;sans-serif" w:hAnsi="Times New Roman;sans-serif"/>
          <w:b/>
          <w:color w:val="000000"/>
          <w:sz w:val="24"/>
        </w:rPr>
        <w:t xml:space="preserve">WEATHERFORD INTERNATIONAL PLC </w:t>
      </w:r>
      <w:r>
        <w:rPr>
          <w:rFonts w:ascii="Times New Roman;sans-serif" w:hAnsi="Times New Roman;sans-serif"/>
          <w:b/>
          <w:strike/>
          <w:color w:val="EE2724"/>
          <w:sz w:val="24"/>
        </w:rPr>
        <w:t>THIRD</w:t>
      </w:r>
      <w:r>
        <w:rPr>
          <w:color w:val="000000"/>
        </w:rPr>
        <w:t xml:space="preserve"> </w:t>
      </w:r>
      <w:r>
        <w:rPr>
          <w:rFonts w:ascii="Times New Roman;sans-serif" w:hAnsi="Times New Roman;sans-serif"/>
          <w:b/>
          <w:color w:val="3051F2"/>
          <w:sz w:val="24"/>
          <w:u w:val="single"/>
        </w:rPr>
        <w:t>FOURTH</w:t>
      </w:r>
      <w:r>
        <w:rPr>
          <w:color w:val="000000"/>
        </w:rPr>
        <w:t xml:space="preserve"> </w:t>
      </w:r>
      <w:r>
        <w:rPr>
          <w:rFonts w:ascii="Times New Roman;sans-serif" w:hAnsi="Times New Roman;sans-serif"/>
          <w:b/>
          <w:color w:val="000000"/>
          <w:sz w:val="24"/>
        </w:rPr>
        <w:t>AMENDED AND RESTATED 2019 EQUITY INCENTIVE PLAN</w:t>
      </w:r>
    </w:p>
    <w:p>
      <w:pPr>
        <w:pStyle w:val="TextBody"/>
        <w:bidi w:val="0"/>
        <w:spacing w:lineRule="auto" w:line="268" w:before="0" w:after="120"/>
        <w:jc w:val="center"/>
        <w:rPr/>
      </w:pPr>
      <w:r>
        <w:rPr>
          <w:rFonts w:ascii="Times New Roman;sans-serif" w:hAnsi="Times New Roman;sans-serif"/>
          <w:b/>
          <w:color w:val="000000"/>
          <w:sz w:val="24"/>
        </w:rPr>
        <w:t xml:space="preserve">Amended, Restated and Adopted as of </w:t>
      </w:r>
      <w:r>
        <w:rPr>
          <w:rFonts w:ascii="Times New Roman;sans-serif" w:hAnsi="Times New Roman;sans-serif"/>
          <w:b/>
          <w:strike/>
          <w:color w:val="EE2724"/>
          <w:sz w:val="24"/>
        </w:rPr>
        <w:t>January 18, 2023</w:t>
      </w:r>
      <w:r>
        <w:rPr>
          <w:color w:val="3051F2"/>
          <w:u w:val="single"/>
        </w:rPr>
        <w:t xml:space="preserve"> </w:t>
      </w:r>
      <w:r>
        <w:rPr>
          <w:rFonts w:ascii="Times New Roman;sans-serif" w:hAnsi="Times New Roman;sans-serif"/>
          <w:b/>
          <w:color w:val="3051F2"/>
          <w:sz w:val="24"/>
          <w:u w:val="single"/>
        </w:rPr>
        <w:t>June 11, 2025</w:t>
      </w:r>
    </w:p>
    <w:p>
      <w:pPr>
        <w:pStyle w:val="TextBody"/>
        <w:bidi w:val="0"/>
        <w:spacing w:before="0" w:after="0"/>
        <w:jc w:val="left"/>
        <w:rPr/>
      </w:pPr>
      <w:r>
        <w:rPr/>
      </w:r>
    </w:p>
    <w:p>
      <w:pPr>
        <w:pStyle w:val="TextBody"/>
        <w:bidi w:val="0"/>
        <w:spacing w:lineRule="auto" w:line="268" w:before="0" w:after="120"/>
        <w:ind w:left="0" w:right="0" w:hanging="360"/>
        <w:jc w:val="both"/>
        <w:rPr/>
      </w:pPr>
      <w:r>
        <w:rPr>
          <w:rFonts w:ascii="sans-serif" w:hAnsi="sans-serif"/>
          <w:b w:val="false"/>
          <w:color w:val="000000"/>
          <w:sz w:val="22"/>
        </w:rPr>
        <w:t>1.</w:t>
      </w:r>
      <w:r>
        <w:rPr>
          <w:rFonts w:ascii="Times New Roman;sans-serif" w:hAnsi="Times New Roman;sans-serif"/>
          <w:b/>
          <w:color w:val="000000"/>
          <w:sz w:val="24"/>
        </w:rPr>
        <w:t>Purpose 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The Weatherford International plc 2019 Equity Incentive Plan was originally adopted by the Board on December 12, 2019, amended and restated as of April 13, 2020</w:t>
      </w:r>
      <w:r>
        <w:rPr>
          <w:rFonts w:ascii="Times New Roman;sans-serif" w:hAnsi="Times New Roman;sans-serif"/>
          <w:b/>
          <w:color w:val="3051F2"/>
          <w:sz w:val="24"/>
          <w:u w:val="single"/>
        </w:rPr>
        <w:t>,</w:t>
      </w:r>
      <w:r>
        <w:rPr>
          <w:strike/>
          <w:color w:val="EE2724"/>
        </w:rPr>
        <w:t xml:space="preserve"> </w:t>
      </w:r>
      <w:r>
        <w:rPr>
          <w:rFonts w:ascii="Times New Roman;sans-serif" w:hAnsi="Times New Roman;sans-serif"/>
          <w:b/>
          <w:strike/>
          <w:color w:val="EE2724"/>
          <w:sz w:val="24"/>
        </w:rPr>
        <w:t>and</w:t>
      </w:r>
      <w:r>
        <w:rPr>
          <w:color w:val="000000"/>
        </w:rPr>
        <w:t xml:space="preserve"> </w:t>
      </w:r>
      <w:r>
        <w:rPr>
          <w:rFonts w:ascii="Times New Roman;sans-serif" w:hAnsi="Times New Roman;sans-serif"/>
          <w:b w:val="false"/>
          <w:color w:val="000000"/>
          <w:sz w:val="24"/>
        </w:rPr>
        <w:t>October 30, 2022</w:t>
      </w:r>
      <w:r>
        <w:rPr>
          <w:color w:val="3051F2"/>
          <w:u w:val="single"/>
        </w:rPr>
        <w:t xml:space="preserve"> </w:t>
      </w:r>
      <w:r>
        <w:rPr>
          <w:rFonts w:ascii="Times New Roman;sans-serif" w:hAnsi="Times New Roman;sans-serif"/>
          <w:b/>
          <w:color w:val="3051F2"/>
          <w:sz w:val="24"/>
          <w:u w:val="single"/>
        </w:rPr>
        <w:t>and January 18, 2023,</w:t>
      </w:r>
      <w:r>
        <w:rPr>
          <w:color w:val="000000"/>
        </w:rPr>
        <w:t xml:space="preserve"> </w:t>
      </w:r>
      <w:r>
        <w:rPr>
          <w:rFonts w:ascii="Times New Roman;sans-serif" w:hAnsi="Times New Roman;sans-serif"/>
          <w:b w:val="false"/>
          <w:color w:val="000000"/>
          <w:sz w:val="24"/>
        </w:rPr>
        <w:t xml:space="preserve">and is hereby further amended and restated as of </w:t>
      </w:r>
      <w:r>
        <w:rPr>
          <w:rFonts w:ascii="Times New Roman;sans-serif" w:hAnsi="Times New Roman;sans-serif"/>
          <w:b/>
          <w:strike/>
          <w:color w:val="EE2724"/>
          <w:sz w:val="24"/>
        </w:rPr>
        <w:t>January 18, 2023</w:t>
      </w:r>
      <w:r>
        <w:rPr>
          <w:color w:val="3051F2"/>
          <w:u w:val="single"/>
        </w:rPr>
        <w:t xml:space="preserve"> </w:t>
      </w:r>
      <w:r>
        <w:rPr>
          <w:rFonts w:ascii="Times New Roman;sans-serif" w:hAnsi="Times New Roman;sans-serif"/>
          <w:b/>
          <w:color w:val="3051F2"/>
          <w:sz w:val="24"/>
          <w:u w:val="single"/>
        </w:rPr>
        <w:t>June 11, 2025</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2.Definitions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The following capitalized terms used in the Plan have the respective meanings set forth in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unless the context clearly indicates otherwise. The singular pronoun shall include the plural where the context so indicates.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Act</w:t>
      </w:r>
      <w:r>
        <w:rPr>
          <w:rFonts w:ascii="Times New Roman;sans-serif" w:hAnsi="Times New Roman;sans-serif"/>
          <w:b w:val="false"/>
          <w:color w:val="000000"/>
          <w:sz w:val="24"/>
        </w:rPr>
        <w:t>: The Companies Act 2014 of Ireland, as amended.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Affiliate</w:t>
      </w:r>
      <w:r>
        <w:rPr>
          <w:rFonts w:ascii="Times New Roman;sans-serif" w:hAnsi="Times New Roman;sans-serif"/>
          <w:b w:val="false"/>
          <w:color w:val="000000"/>
          <w:sz w:val="24"/>
        </w:rPr>
        <w:t>: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Applicable Accounting Standards Generally Accepted Accounting Principles</w:t>
      </w:r>
      <w:r>
        <w:rPr>
          <w:rFonts w:ascii="Times New Roman;sans-serif" w:hAnsi="Times New Roman;sans-serif"/>
          <w:b w:val="false"/>
          <w:color w:val="000000"/>
          <w:sz w:val="24"/>
        </w:rPr>
        <w:t>: Means in the United States, International Financial Reporting Standards or such other accounting principles or standards as may apply to the Company's financial statements under United States federal securities laws from time to time.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Applicable Laws</w:t>
      </w:r>
      <w:r>
        <w:rPr>
          <w:rFonts w:ascii="Times New Roman;sans-serif" w:hAnsi="Times New Roman;sans-serif"/>
          <w:b w:val="false"/>
          <w:color w:val="000000"/>
          <w:sz w:val="24"/>
        </w:rPr>
        <w:t>: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Associate</w:t>
      </w:r>
      <w:r>
        <w:rPr>
          <w:rFonts w:ascii="Times New Roman;sans-serif" w:hAnsi="Times New Roman;sans-serif"/>
          <w:b w:val="false"/>
          <w:color w:val="000000"/>
          <w:sz w:val="24"/>
        </w:rPr>
        <w:t>: With respect to a specified Person, means: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any company, corporation, partnership, or other organization of which such specified Person is an officer or partner;</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any trust or other estate in which such specified Person has a substantial beneficial interest or as to which such specified Person serves as trustee or in a similar fiduciary capacity;</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any relative or spouse of such specified Person, or any relative of such spouse who has the same home as such specified Person, or who is a director or officer of the Company or any of its Subsidiaries; and</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any Person who is a director, officer, or partner of such specified Person or of any company (other than the Company or any wholly-owned Subsidiary), corporation, partnership or other entity which is an Affiliate of such specified person.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Award</w:t>
      </w:r>
      <w:r>
        <w:rPr>
          <w:rFonts w:ascii="Times New Roman;sans-serif" w:hAnsi="Times New Roman;sans-serif"/>
          <w:b w:val="false"/>
          <w:color w:val="000000"/>
          <w:sz w:val="24"/>
        </w:rPr>
        <w:t>: An Option, Restricted Share, Restricted Share Unit, Share Appreciation Right, Other Share-Based Award or Performance-Based Award granted pursuant to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(g) </w:t>
      </w:r>
      <w:r>
        <w:rPr>
          <w:rFonts w:ascii="Times New Roman;sans-serif" w:hAnsi="Times New Roman;sans-serif"/>
          <w:b w:val="false"/>
          <w:color w:val="000000"/>
          <w:sz w:val="24"/>
          <w:u w:val="single"/>
        </w:rPr>
        <w:t>Award A</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reement</w:t>
      </w:r>
      <w:r>
        <w:rPr>
          <w:rFonts w:ascii="Times New Roman;sans-serif" w:hAnsi="Times New Roman;sans-serif"/>
          <w:b w:val="false"/>
          <w:color w:val="000000"/>
          <w:sz w:val="24"/>
        </w:rPr>
        <w:t>: Any written agreement, contract, or other instrument or document evidencing the terms and conditions of an Award, including through electronic medium.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16280"/>
                <wp:effectExtent l="0" t="0" r="0" b="0"/>
                <wp:wrapNone/>
                <wp:docPr id="118" name="Frame8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(h) </w:t>
      </w:r>
      <w:r>
        <w:rPr>
          <w:rFonts w:ascii="Times New Roman;sans-serif" w:hAnsi="Times New Roman;sans-serif"/>
          <w:b w:val="false"/>
          <w:color w:val="000000"/>
          <w:sz w:val="24"/>
          <w:u w:val="single"/>
        </w:rPr>
        <w:t>Beneficial Owner</w:t>
      </w:r>
      <w:r>
        <w:rPr>
          <w:rFonts w:ascii="Times New Roman;sans-serif" w:hAnsi="Times New Roman;sans-serif"/>
          <w:b w:val="false"/>
          <w:color w:val="000000"/>
          <w:sz w:val="24"/>
        </w:rPr>
        <w:t>: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Benefit Plans</w:t>
      </w:r>
      <w:r>
        <w:rPr>
          <w:rFonts w:ascii="Times New Roman;sans-serif" w:hAnsi="Times New Roman;sans-serif"/>
          <w:b w:val="false"/>
          <w:color w:val="000000"/>
          <w:sz w:val="24"/>
        </w:rPr>
        <w:t>: All employee benefit and compensation plans, agreements, arrangements, programs, policies, practices, contracts or agreements of the Company and its Affiliates.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(j) </w:t>
      </w:r>
      <w:r>
        <w:rPr>
          <w:rFonts w:ascii="Times New Roman;sans-serif" w:hAnsi="Times New Roman;sans-serif"/>
          <w:b w:val="false"/>
          <w:color w:val="000000"/>
          <w:sz w:val="24"/>
          <w:u w:val="single"/>
        </w:rPr>
        <w:t>Board</w:t>
      </w:r>
      <w:r>
        <w:rPr>
          <w:rFonts w:ascii="Times New Roman;sans-serif" w:hAnsi="Times New Roman;sans-serif"/>
          <w:b w:val="false"/>
          <w:color w:val="000000"/>
          <w:sz w:val="24"/>
        </w:rPr>
        <w:t>: The Board of Directors of the Company.</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(k) </w:t>
      </w:r>
      <w:r>
        <w:rPr>
          <w:rFonts w:ascii="Times New Roman;sans-serif" w:hAnsi="Times New Roman;sans-serif"/>
          <w:b w:val="false"/>
          <w:color w:val="000000"/>
          <w:sz w:val="24"/>
          <w:u w:val="single"/>
        </w:rPr>
        <w:t>Cause</w:t>
      </w:r>
      <w:r>
        <w:rPr>
          <w:rFonts w:ascii="Times New Roman;sans-serif" w:hAnsi="Times New Roman;sans-serif"/>
          <w:b w:val="false"/>
          <w:color w:val="000000"/>
          <w:sz w:val="24"/>
        </w:rPr>
        <w:t xml:space="preserve">: Means in the case of a particular Award, unless the applicable Award Agreement states otherwise, (i) the Company or any member of the Weatherford Group having “Cause” to terminate the Participant's employment or service, as defined in any employment or consulting agreement between the Participant and any member of the Weatherford Group in effect at the time of such termination, or (ii) in the absence of any such employment or consulting agreement (or the absence of any definition of “Cause” contained therein), the Participant's (A) commission of, conviction for, plea of guilty or </w:t>
      </w:r>
      <w:r>
        <w:rPr>
          <w:rFonts w:ascii="Times New Roman;sans-serif" w:hAnsi="Times New Roman;sans-serif"/>
          <w:b w:val="false"/>
          <w:i/>
          <w:color w:val="000000"/>
          <w:sz w:val="24"/>
        </w:rPr>
        <w:t xml:space="preserve">nolo contendere </w:t>
      </w:r>
      <w:r>
        <w:rPr>
          <w:rFonts w:ascii="Times New Roman;sans-serif" w:hAnsi="Times New Roman;sans-serif"/>
          <w:b w:val="false"/>
          <w:color w:val="000000"/>
          <w:sz w:val="24"/>
        </w:rPr>
        <w:t>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its sole discretion.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(l)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Shall be deemed to have occurred if any event set forth in any one of the following paragraphs shall have occurred: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(i) any Person is or becomes the Beneficial Owner, directly or indirectly, of 50% or more of either (A) the then outstanding Shares of the Company (the “</w:t>
      </w:r>
      <w:r>
        <w:rPr>
          <w:rFonts w:ascii="Times New Roman;sans-serif" w:hAnsi="Times New Roman;sans-serif"/>
          <w:b w:val="false"/>
          <w:color w:val="000000"/>
          <w:sz w:val="24"/>
          <w:u w:val="single"/>
        </w:rPr>
        <w:t>Outstanding Ordinary Shares</w:t>
      </w:r>
      <w:r>
        <w:rPr>
          <w:color w:val="000000"/>
        </w:rPr>
        <w:t>”</w:t>
      </w:r>
      <w:r>
        <w:rPr>
          <w:rFonts w:ascii="Times New Roman;sans-serif" w:hAnsi="Times New Roman;sans-serif"/>
          <w:b w:val="false"/>
          <w:color w:val="000000"/>
          <w:sz w:val="24"/>
        </w:rPr>
        <w:t>) or (B) the combined voting power of the then outstanding voting securities of the Company entitled to vote generally in the election of directors (the “</w:t>
      </w:r>
      <w:r>
        <w:rPr>
          <w:rFonts w:ascii="Times New Roman;sans-serif" w:hAnsi="Times New Roman;sans-serif"/>
          <w:b w:val="false"/>
          <w:color w:val="000000"/>
          <w:sz w:val="24"/>
          <w:u w:val="single"/>
        </w:rPr>
        <w:t>Outstanding Voting Securities</w:t>
      </w:r>
      <w:r>
        <w:rPr>
          <w:color w:val="000000"/>
        </w:rPr>
        <w:t>”</w:t>
      </w:r>
      <w:r>
        <w:rPr>
          <w:rFonts w:ascii="Times New Roman;sans-serif" w:hAnsi="Times New Roman;sans-serif"/>
          <w:b w:val="false"/>
          <w:color w:val="000000"/>
          <w:sz w:val="24"/>
        </w:rPr>
        <w:t>), excluding any Specified Holder or any Person who becomes such a Beneficial Owner in connection with a transaction that complies with clauses (A), (B) and (C) of paragraph (iii) below;</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(ii) individuals, who, as of the Effective Date, constitute the Board (the “</w:t>
      </w:r>
      <w:r>
        <w:rPr>
          <w:rFonts w:ascii="Times New Roman;sans-serif" w:hAnsi="Times New Roman;sans-serif"/>
          <w:b w:val="false"/>
          <w:color w:val="000000"/>
          <w:sz w:val="24"/>
          <w:u w:val="single"/>
        </w:rPr>
        <w:t>Incumbent Board</w:t>
      </w:r>
      <w:r>
        <w:rPr>
          <w:color w:val="000000"/>
        </w:rPr>
        <w:t>”</w:t>
      </w:r>
      <w:r>
        <w:rPr>
          <w:rFonts w:ascii="Times New Roman;sans-serif" w:hAnsi="Times New Roman;sans-serif"/>
          <w:b w:val="false"/>
          <w:color w:val="000000"/>
          <w:sz w:val="24"/>
        </w:rPr>
        <w:t>) cease for any reason to constitute at least a majority of the Board; provided, however,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(iii) 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Times New Roman;sans-serif" w:hAnsi="Times New Roman;sans-serif"/>
          <w:b w:val="false"/>
          <w:color w:val="000000"/>
          <w:sz w:val="24"/>
          <w:u w:val="single"/>
        </w:rPr>
        <w:t>Corporate Transaction</w:t>
      </w:r>
      <w:r>
        <w:rPr>
          <w:color w:val="000000"/>
        </w:rPr>
        <w:t>”</w:t>
      </w:r>
      <w:r>
        <w:rPr>
          <w:rFonts w:ascii="Times New Roman;sans-serif" w:hAnsi="Times New Roman;sans-serif"/>
          <w:b w:val="false"/>
          <w:color w:val="000000"/>
          <w:sz w:val="24"/>
        </w:rPr>
        <w:t xml:space="preserve">),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16280"/>
                <wp:effectExtent l="0" t="0" r="0" b="0"/>
                <wp:wrapNone/>
                <wp:docPr id="119" name="Frame8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B-2</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B-2</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may be, (B) no Person (excluding any Specified Holder, any Entity resulting from such Corporate Transaction or any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no Change in Control shall be deemed to have occurred (i) in connection with a bankruptcy pursuant to Chapter 7 or Chapter 11 of the United States Bankruptcy Code or upon consummation of a Restructuring, (ii) 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or (iii)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w:t>
      </w:r>
      <w:r>
        <w:rPr>
          <w:rFonts w:ascii="Times New Roman;sans-serif" w:hAnsi="Times New Roman;sans-serif"/>
          <w:b w:val="false"/>
          <w:color w:val="000000"/>
          <w:sz w:val="24"/>
          <w:u w:val="single"/>
        </w:rPr>
        <w:t>Section 2(l)</w:t>
      </w:r>
      <w:r>
        <w:rPr>
          <w:rFonts w:ascii="Times New Roman;sans-serif" w:hAnsi="Times New Roman;sans-serif"/>
          <w:b w:val="false"/>
          <w:color w:val="000000"/>
          <w:sz w:val="24"/>
        </w:rPr>
        <w:t>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(m) </w:t>
      </w:r>
      <w:r>
        <w:rPr>
          <w:rFonts w:ascii="Times New Roman;sans-serif" w:hAnsi="Times New Roman;sans-serif"/>
          <w:b w:val="false"/>
          <w:color w:val="000000"/>
          <w:sz w:val="24"/>
          <w:u w:val="single"/>
        </w:rPr>
        <w:t>Code</w:t>
      </w:r>
      <w:r>
        <w:rPr>
          <w:rFonts w:ascii="Times New Roman;sans-serif" w:hAnsi="Times New Roman;sans-serif"/>
          <w:b w:val="false"/>
          <w:color w:val="000000"/>
          <w:sz w:val="24"/>
        </w:rPr>
        <w:t>: The U.S. Internal Revenue Code of 1986, as amended, or any successor thereto, and the rules and regulations promulgated thereunder.</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(n) </w:t>
      </w:r>
      <w:r>
        <w:rPr>
          <w:rFonts w:ascii="Times New Roman;sans-serif" w:hAnsi="Times New Roman;sans-serif"/>
          <w:b w:val="false"/>
          <w:color w:val="000000"/>
          <w:sz w:val="24"/>
          <w:u w:val="single"/>
        </w:rPr>
        <w:t>Committee</w:t>
      </w:r>
      <w:r>
        <w:rPr>
          <w:rFonts w:ascii="Times New Roman;sans-serif" w:hAnsi="Times New Roman;sans-serif"/>
          <w:b w:val="false"/>
          <w:color w:val="000000"/>
          <w:sz w:val="24"/>
        </w:rPr>
        <w:t xml:space="preserve">: The Compensation Committee of the Board (or a subcommittee thereof), or the delegate to which the Board or the Compensation Committee has delegated its authority pursuant to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hereof, or such other committee of the Board to which the Board has delegated power to act under or pursuant to the provisions 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(o) </w:t>
      </w:r>
      <w:r>
        <w:rPr>
          <w:rFonts w:ascii="Times New Roman;sans-serif" w:hAnsi="Times New Roman;sans-serif"/>
          <w:b w:val="false"/>
          <w:color w:val="000000"/>
          <w:sz w:val="24"/>
          <w:u w:val="single"/>
        </w:rPr>
        <w:t>Compan</w:t>
      </w:r>
      <w:r>
        <w:rPr>
          <w:rFonts w:ascii="Times New Roman;sans-serif" w:hAnsi="Times New Roman;sans-serif"/>
          <w:b w:val="false"/>
          <w:color w:val="000000"/>
          <w:sz w:val="24"/>
        </w:rPr>
        <w:t>y: Weatherford International plc, an Irish public limited company and any successor thereto.</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(p) </w:t>
      </w:r>
      <w:r>
        <w:rPr>
          <w:rFonts w:ascii="Times New Roman;sans-serif" w:hAnsi="Times New Roman;sans-serif"/>
          <w:b w:val="false"/>
          <w:color w:val="000000"/>
          <w:sz w:val="24"/>
          <w:u w:val="single"/>
        </w:rPr>
        <w:t>Company Assets</w:t>
      </w:r>
      <w:r>
        <w:rPr>
          <w:rFonts w:ascii="Times New Roman;sans-serif" w:hAnsi="Times New Roman;sans-serif"/>
          <w:b w:val="false"/>
          <w:color w:val="000000"/>
          <w:sz w:val="24"/>
        </w:rPr>
        <w:t>: Means the assets (of any kind) owned by the Company, including without limitation, the securities of the Company's Subsidiaries and any of the assets owned by the Company's Subsidiaries.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(q)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 (2) customers, suppliers or consumers, including customer lists, relationships and profiles; (3)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16280"/>
                <wp:effectExtent l="0" t="0" r="0" b="0"/>
                <wp:wrapNone/>
                <wp:docPr id="120" name="Frame8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B-3</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B-3</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computer software, object code, source code, specifications, inventions or systems information, whether or not patentable or copyrightable, and that is not otherwise a Trade Secret.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(r) </w:t>
      </w:r>
      <w:r>
        <w:rPr>
          <w:rFonts w:ascii="Times New Roman;sans-serif" w:hAnsi="Times New Roman;sans-serif"/>
          <w:b w:val="false"/>
          <w:color w:val="000000"/>
          <w:sz w:val="24"/>
          <w:u w:val="single"/>
        </w:rPr>
        <w:t>Consultant:</w:t>
      </w:r>
      <w:r>
        <w:rPr>
          <w:color w:val="000000"/>
        </w:rPr>
        <w:t xml:space="preserve"> </w:t>
      </w:r>
      <w:r>
        <w:rPr>
          <w:rFonts w:ascii="Times New Roman;sans-serif" w:hAnsi="Times New Roman;sans-serif"/>
          <w:b w:val="false"/>
          <w:color w:val="000000"/>
          <w:sz w:val="24"/>
        </w:rPr>
        <w:t>Any consultant or advisor if (1) the consultant or advisor renders bona fide service to the Company or any Affiliate, (2) the services rendered by the consultant or advisor are not in connection with the offer or sale of a securities in a capital-raising transaction and do not directly or indirectly promote or maintain a market for the Company's securities, and (3) the consultant or advisor is a natural person.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(s) </w:t>
      </w:r>
      <w:r>
        <w:rPr>
          <w:rFonts w:ascii="Times New Roman;sans-serif" w:hAnsi="Times New Roman;sans-serif"/>
          <w:b w:val="false"/>
          <w:color w:val="000000"/>
          <w:sz w:val="24"/>
          <w:u w:val="single"/>
        </w:rPr>
        <w:t>Detrimental Activit</w:t>
      </w:r>
      <w:r>
        <w:rPr>
          <w:rFonts w:ascii="Times New Roman;sans-serif" w:hAnsi="Times New Roman;sans-serif"/>
          <w:b w:val="false"/>
          <w:color w:val="000000"/>
          <w:sz w:val="24"/>
        </w:rPr>
        <w:t>y: Means “Detrimental Activity” as defined in the Company's Compensation Clawback Policy or any other clawback, forfeiture or other similar policy adopted by the Board or the Committee and as in effect from time to time.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 </w:t>
      </w:r>
      <w:r>
        <w:rPr>
          <w:rFonts w:ascii="Times New Roman;sans-serif" w:hAnsi="Times New Roman;sans-serif"/>
          <w:b w:val="false"/>
          <w:color w:val="000000"/>
          <w:sz w:val="24"/>
          <w:u w:val="single"/>
        </w:rPr>
        <w:t>Director</w:t>
      </w:r>
      <w:r>
        <w:rPr>
          <w:rFonts w:ascii="Times New Roman;sans-serif" w:hAnsi="Times New Roman;sans-serif"/>
          <w:b w:val="false"/>
          <w:color w:val="000000"/>
          <w:sz w:val="24"/>
        </w:rPr>
        <w:t>: A member of the Board.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(u) </w:t>
      </w:r>
      <w:r>
        <w:rPr>
          <w:rFonts w:ascii="Times New Roman;sans-serif" w:hAnsi="Times New Roman;sans-serif"/>
          <w:b w:val="false"/>
          <w:color w:val="000000"/>
          <w:sz w:val="24"/>
          <w:u w:val="single"/>
        </w:rPr>
        <w:t>Disabilit</w:t>
      </w:r>
      <w:r>
        <w:rPr>
          <w:rFonts w:ascii="Times New Roman;sans-serif" w:hAnsi="Times New Roman;sans-serif"/>
          <w:b w:val="false"/>
          <w:color w:val="000000"/>
          <w:sz w:val="24"/>
        </w:rPr>
        <w:t>y: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(v) </w:t>
      </w:r>
      <w:r>
        <w:rPr>
          <w:rFonts w:ascii="Times New Roman;sans-serif" w:hAnsi="Times New Roman;sans-serif"/>
          <w:b w:val="false"/>
          <w:color w:val="000000"/>
          <w:sz w:val="24"/>
          <w:u w:val="single"/>
        </w:rPr>
        <w:t>Dividend Equivalent R</w:t>
      </w:r>
      <w:r>
        <w:rPr>
          <w:rFonts w:ascii="Times New Roman;sans-serif" w:hAnsi="Times New Roman;sans-serif"/>
          <w:b w:val="false"/>
          <w:color w:val="000000"/>
          <w:sz w:val="24"/>
        </w:rPr>
        <w:t>ig</w:t>
      </w:r>
      <w:r>
        <w:rPr>
          <w:rFonts w:ascii="Times New Roman;sans-serif" w:hAnsi="Times New Roman;sans-serif"/>
          <w:b w:val="false"/>
          <w:color w:val="000000"/>
          <w:sz w:val="24"/>
          <w:u w:val="single"/>
        </w:rPr>
        <w:t>ht</w:t>
      </w:r>
      <w:r>
        <w:rPr>
          <w:rFonts w:ascii="Times New Roman;sans-serif" w:hAnsi="Times New Roman;sans-serif"/>
          <w:b w:val="false"/>
          <w:color w:val="000000"/>
          <w:sz w:val="24"/>
        </w:rPr>
        <w:t xml:space="preserve">: A right to receive the equivalent value of dividends paid on the Shares with respect to Shares underlying Restricted Share Units or an Other Share-Based Award that is a Full Value Award prior to vesting of the Award, subject to the additional requirements of </w:t>
      </w:r>
      <w:r>
        <w:rPr>
          <w:rFonts w:ascii="Times New Roman;sans-serif" w:hAnsi="Times New Roman;sans-serif"/>
          <w:b w:val="false"/>
          <w:color w:val="000000"/>
          <w:sz w:val="24"/>
          <w:u w:val="single"/>
        </w:rPr>
        <w:t>Section 10(b)</w:t>
      </w:r>
      <w:r>
        <w:rPr>
          <w:color w:val="000000"/>
        </w:rPr>
        <w:t xml:space="preserve"> </w:t>
      </w:r>
      <w:r>
        <w:rPr>
          <w:rFonts w:ascii="Times New Roman;sans-serif" w:hAnsi="Times New Roman;sans-serif"/>
          <w:b w:val="false"/>
          <w:color w:val="000000"/>
          <w:sz w:val="24"/>
        </w:rPr>
        <w:t>hereof. Such Dividend Equivalent Right shall be converted to cash or additional Shares, or a combination of cash and Shares, by such formula and at such time and subject to such limitations as may be determined by the Committee.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(w) </w:t>
      </w:r>
      <w:r>
        <w:rPr>
          <w:rFonts w:ascii="Times New Roman;sans-serif" w:hAnsi="Times New Roman;sans-serif"/>
          <w:b w:val="false"/>
          <w:color w:val="000000"/>
          <w:sz w:val="24"/>
          <w:u w:val="single"/>
        </w:rPr>
        <w:t>Employee</w:t>
      </w:r>
      <w:r>
        <w:rPr>
          <w:rFonts w:ascii="Times New Roman;sans-serif" w:hAnsi="Times New Roman;sans-serif"/>
          <w:b w:val="false"/>
          <w:color w:val="000000"/>
          <w:sz w:val="24"/>
        </w:rPr>
        <w:t>: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(x) </w:t>
      </w:r>
      <w:r>
        <w:rPr>
          <w:rFonts w:ascii="Times New Roman;sans-serif" w:hAnsi="Times New Roman;sans-serif"/>
          <w:b w:val="false"/>
          <w:color w:val="000000"/>
          <w:sz w:val="24"/>
          <w:u w:val="single"/>
        </w:rPr>
        <w:t>Entity</w:t>
      </w:r>
      <w:r>
        <w:rPr>
          <w:rFonts w:ascii="Times New Roman;sans-serif" w:hAnsi="Times New Roman;sans-serif"/>
          <w:b w:val="false"/>
          <w:color w:val="000000"/>
          <w:sz w:val="24"/>
        </w:rPr>
        <w:t>: Any corporation, partnership, association, joint-stock company, limited liability company, trust, unincorporated organization or other business entity.</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(y) </w:t>
      </w:r>
      <w:r>
        <w:rPr>
          <w:rFonts w:ascii="Times New Roman;sans-serif" w:hAnsi="Times New Roman;sans-serif"/>
          <w:b w:val="false"/>
          <w:color w:val="000000"/>
          <w:sz w:val="24"/>
          <w:u w:val="single"/>
        </w:rPr>
        <w:t>Exchange Act</w:t>
      </w:r>
      <w:r>
        <w:rPr>
          <w:rFonts w:ascii="Times New Roman;sans-serif" w:hAnsi="Times New Roman;sans-serif"/>
          <w:b w:val="false"/>
          <w:color w:val="000000"/>
          <w:sz w:val="24"/>
        </w:rPr>
        <w:t>: The U.S. Securities Exchange Act of 1934, as amended, or any successor thereto, and the rules and regulations promulgated thereunder.</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(z) </w:t>
      </w:r>
      <w:r>
        <w:rPr>
          <w:rFonts w:ascii="Times New Roman;sans-serif" w:hAnsi="Times New Roman;sans-serif"/>
          <w:b w:val="false"/>
          <w:color w:val="000000"/>
          <w:sz w:val="24"/>
          <w:u w:val="single"/>
        </w:rPr>
        <w:t>Fair Market Value</w:t>
      </w:r>
      <w:r>
        <w:rPr>
          <w:rFonts w:ascii="Times New Roman;sans-serif" w:hAnsi="Times New Roman;sans-serif"/>
          <w:b w:val="false"/>
          <w:color w:val="000000"/>
          <w:sz w:val="24"/>
        </w:rPr>
        <w:t>: On a given date, (i) if the Shares are listed on the New York Stock Exchange or another national securities exchange, the closing price of the Shares reported on such national securities exchange, or, if there is no such sale on that date, then on the last preceding date on which such a sale was reported; or (ii) if the Shares are not listed on the New York Stock Exchange or another national securities exchange, but are quoted in the NASDAQ National Market Reporting System or another inter-dealer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clauses (i) and (ii) do not apply,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(aa) </w:t>
      </w:r>
      <w:r>
        <w:rPr>
          <w:rFonts w:ascii="Times New Roman;sans-serif" w:hAnsi="Times New Roman;sans-serif"/>
          <w:b w:val="false"/>
          <w:color w:val="000000"/>
          <w:sz w:val="24"/>
          <w:u w:val="single"/>
        </w:rPr>
        <w:t>Full Value Awards</w:t>
      </w:r>
      <w:r>
        <w:rPr>
          <w:rFonts w:ascii="Times New Roman;sans-serif" w:hAnsi="Times New Roman;sans-serif"/>
          <w:b w:val="false"/>
          <w:color w:val="000000"/>
          <w:sz w:val="24"/>
        </w:rPr>
        <w:t>: Any Award other than an (i) Option, (ii) Share Appreciation Right or (iii) other Award for which the Participant pays (or the value or amount payable under the Award is reduced by) an amount equal to or exceeding the Fair Market Value of the Shares, determined as of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16280"/>
                <wp:effectExtent l="0" t="0" r="0" b="0"/>
                <wp:wrapNone/>
                <wp:docPr id="121" name="Frame8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B-4</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B-4</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(ab) </w:t>
      </w:r>
      <w:r>
        <w:rPr>
          <w:rFonts w:ascii="Times New Roman;sans-serif" w:hAnsi="Times New Roman;sans-serif"/>
          <w:b w:val="false"/>
          <w:color w:val="000000"/>
          <w:sz w:val="24"/>
          <w:u w:val="single"/>
        </w:rPr>
        <w:t>ISO</w:t>
      </w:r>
      <w:r>
        <w:rPr>
          <w:rFonts w:ascii="Times New Roman;sans-serif" w:hAnsi="Times New Roman;sans-serif"/>
          <w:b w:val="false"/>
          <w:color w:val="000000"/>
          <w:sz w:val="24"/>
        </w:rPr>
        <w:t xml:space="preserve">: An Option that is intended to be an incentive stock option granted pursuant to </w:t>
      </w:r>
      <w:r>
        <w:rPr>
          <w:rFonts w:ascii="Times New Roman;sans-serif" w:hAnsi="Times New Roman;sans-serif"/>
          <w:b w:val="false"/>
          <w:color w:val="000000"/>
          <w:sz w:val="24"/>
          <w:u w:val="single"/>
        </w:rPr>
        <w:t>Section 7(e)</w:t>
      </w:r>
      <w:r>
        <w:rPr>
          <w:color w:val="000000"/>
        </w:rPr>
        <w:t xml:space="preserve"> </w:t>
      </w:r>
      <w:r>
        <w:rPr>
          <w:rFonts w:ascii="Times New Roman;sans-serif" w:hAnsi="Times New Roman;sans-serif"/>
          <w:b w:val="false"/>
          <w:color w:val="000000"/>
          <w:sz w:val="24"/>
        </w:rPr>
        <w:t>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(ac) </w:t>
      </w:r>
      <w:r>
        <w:rPr>
          <w:rFonts w:ascii="Times New Roman;sans-serif" w:hAnsi="Times New Roman;sans-serif"/>
          <w:b w:val="false"/>
          <w:color w:val="000000"/>
          <w:sz w:val="24"/>
          <w:u w:val="single"/>
        </w:rPr>
        <w:t>Option</w:t>
      </w:r>
      <w:r>
        <w:rPr>
          <w:rFonts w:ascii="Times New Roman;sans-serif" w:hAnsi="Times New Roman;sans-serif"/>
          <w:b w:val="false"/>
          <w:color w:val="000000"/>
          <w:sz w:val="24"/>
        </w:rPr>
        <w:t xml:space="preserve">: An option granted pursuant to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(ad) </w:t>
      </w:r>
      <w:r>
        <w:rPr>
          <w:rFonts w:ascii="Times New Roman;sans-serif" w:hAnsi="Times New Roman;sans-serif"/>
          <w:b w:val="false"/>
          <w:color w:val="000000"/>
          <w:sz w:val="24"/>
          <w:u w:val="single"/>
        </w:rPr>
        <w:t>Option Price</w:t>
      </w:r>
      <w:r>
        <w:rPr>
          <w:rFonts w:ascii="Times New Roman;sans-serif" w:hAnsi="Times New Roman;sans-serif"/>
          <w:b w:val="false"/>
          <w:color w:val="000000"/>
          <w:sz w:val="24"/>
        </w:rPr>
        <w:t xml:space="preserve">: The price at which a Share may be purchased upon the exercise of an Option, as determined pursuant to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(ae) </w:t>
      </w:r>
      <w:r>
        <w:rPr>
          <w:rFonts w:ascii="Times New Roman;sans-serif" w:hAnsi="Times New Roman;sans-serif"/>
          <w:b w:val="false"/>
          <w:color w:val="000000"/>
          <w:sz w:val="24"/>
          <w:u w:val="single"/>
        </w:rPr>
        <w:t>Other Share-Based Awards</w:t>
      </w:r>
      <w:r>
        <w:rPr>
          <w:rFonts w:ascii="Times New Roman;sans-serif" w:hAnsi="Times New Roman;sans-serif"/>
          <w:b w:val="false"/>
          <w:color w:val="000000"/>
          <w:sz w:val="24"/>
        </w:rPr>
        <w:t xml:space="preserve">: Awards granted pursuant to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(af) </w:t>
      </w:r>
      <w:r>
        <w:rPr>
          <w:rFonts w:ascii="Times New Roman;sans-serif" w:hAnsi="Times New Roman;sans-serif"/>
          <w:b w:val="false"/>
          <w:color w:val="000000"/>
          <w:sz w:val="24"/>
          <w:u w:val="single"/>
        </w:rPr>
        <w:t>Participant</w:t>
      </w:r>
      <w:r>
        <w:rPr>
          <w:rFonts w:ascii="Times New Roman;sans-serif" w:hAnsi="Times New Roman;sans-serif"/>
          <w:b w:val="false"/>
          <w:color w:val="000000"/>
          <w:sz w:val="24"/>
        </w:rPr>
        <w:t>: An Employee, Consultant, or Director who is selected by the Committee to participate in the Plan and to whom an Award is granted pursuant to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(ag) </w:t>
      </w:r>
      <w:r>
        <w:rPr>
          <w:rFonts w:ascii="Times New Roman;sans-serif" w:hAnsi="Times New Roman;sans-serif"/>
          <w:b w:val="false"/>
          <w:color w:val="000000"/>
          <w:sz w:val="24"/>
          <w:u w:val="single"/>
        </w:rPr>
        <w:t>Performance-Based Award</w:t>
      </w:r>
      <w:r>
        <w:rPr>
          <w:rFonts w:ascii="Times New Roman;sans-serif" w:hAnsi="Times New Roman;sans-serif"/>
          <w:b w:val="false"/>
          <w:color w:val="000000"/>
          <w:sz w:val="24"/>
        </w:rPr>
        <w:t>: A Full-Value Award that vests, in whole or in part, based on the attainment of a Performance Goal.</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(ah) </w:t>
      </w:r>
      <w:r>
        <w:rPr>
          <w:rFonts w:ascii="Times New Roman;sans-serif" w:hAnsi="Times New Roman;sans-serif"/>
          <w:b w:val="false"/>
          <w:color w:val="000000"/>
          <w:sz w:val="24"/>
          <w:u w:val="single"/>
        </w:rPr>
        <w:t>Performance Criteria</w:t>
      </w:r>
      <w:r>
        <w:rPr>
          <w:rFonts w:ascii="Times New Roman;sans-serif" w:hAnsi="Times New Roman;sans-serif"/>
          <w:b w:val="false"/>
          <w:color w:val="000000"/>
          <w:sz w:val="24"/>
        </w:rPr>
        <w:t>: The criteria that the Committee selects for purposes of establishing the Performance Goal(s) for a Participant during a Performance Period. The Performance Criteria that will be used to establish Performance Goals may include, but is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 (ix) expense management; (x) return on invested capital; (xi) improvements in capital structure; (xii) profitability of an identifiable business unit or product; (xiii) maintenance or improvement of profit margins or revenue; (xiv) Share price; (xv) market share; (xvi) revenues or sales; (xvii) costs; (xviii) available cash flow; (xix) working capital; (xx) return on assets; (xxi) total shareholder return, (xxii) productivity ratios, and (xxiii) economic value added. The Performance Criteria may be calculated in accordance with the Applicable Accounting Standards or on an adjusted basis.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(ai) </w:t>
      </w:r>
      <w:r>
        <w:rPr>
          <w:rFonts w:ascii="Times New Roman;sans-serif" w:hAnsi="Times New Roman;sans-serif"/>
          <w:b w:val="false"/>
          <w:color w:val="000000"/>
          <w:sz w:val="24"/>
          <w:u w:val="single"/>
        </w:rPr>
        <w:t>Performance Goals</w:t>
      </w:r>
      <w:r>
        <w:rPr>
          <w:rFonts w:ascii="Times New Roman;sans-serif" w:hAnsi="Times New Roman;sans-serif"/>
          <w:b w:val="false"/>
          <w:color w:val="000000"/>
          <w:sz w:val="24"/>
        </w:rPr>
        <w:t>: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in either absolute or relative terms. The Committee, in its sole discretion, may provide that one or more adjustments shall be made to one or more of the Performance Goals.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(aj) </w:t>
      </w:r>
      <w:r>
        <w:rPr>
          <w:rFonts w:ascii="Times New Roman;sans-serif" w:hAnsi="Times New Roman;sans-serif"/>
          <w:b w:val="false"/>
          <w:color w:val="000000"/>
          <w:sz w:val="24"/>
          <w:u w:val="single"/>
        </w:rPr>
        <w:t>Performance Period</w:t>
      </w:r>
      <w:r>
        <w:rPr>
          <w:rFonts w:ascii="Times New Roman;sans-serif" w:hAnsi="Times New Roman;sans-serif"/>
          <w:b w:val="false"/>
          <w:color w:val="000000"/>
          <w:sz w:val="24"/>
        </w:rPr>
        <w:t>: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(ak) </w:t>
      </w:r>
      <w:r>
        <w:rPr>
          <w:rFonts w:ascii="Times New Roman;sans-serif" w:hAnsi="Times New Roman;sans-serif"/>
          <w:b w:val="false"/>
          <w:color w:val="000000"/>
          <w:sz w:val="24"/>
          <w:u w:val="single"/>
        </w:rPr>
        <w:t>Person</w:t>
      </w:r>
      <w:r>
        <w:rPr>
          <w:rFonts w:ascii="Times New Roman;sans-serif" w:hAnsi="Times New Roman;sans-serif"/>
          <w:b w:val="false"/>
          <w:color w:val="000000"/>
          <w:sz w:val="24"/>
        </w:rPr>
        <w:t>: A “person” as such term is used for purposes of Section 3(a)(9) of the Exchange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(al) </w:t>
      </w:r>
      <w:r>
        <w:rPr>
          <w:rFonts w:ascii="Times New Roman;sans-serif" w:hAnsi="Times New Roman;sans-serif"/>
          <w:b w:val="false"/>
          <w:color w:val="000000"/>
          <w:sz w:val="24"/>
          <w:u w:val="single"/>
        </w:rPr>
        <w:t>Plan</w:t>
      </w:r>
      <w:r>
        <w:rPr>
          <w:rFonts w:ascii="Times New Roman;sans-serif" w:hAnsi="Times New Roman;sans-serif"/>
          <w:b w:val="false"/>
          <w:color w:val="000000"/>
          <w:sz w:val="24"/>
        </w:rPr>
        <w:t>: This Weatherford International plc Third Amended and Restated 2019 Equity Incentive Plan, as amended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16280"/>
                <wp:effectExtent l="0" t="0" r="0" b="0"/>
                <wp:wrapNone/>
                <wp:docPr id="122" name="Frame8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B-5</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B-5</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(am) </w:t>
      </w:r>
      <w:r>
        <w:rPr>
          <w:rFonts w:ascii="Times New Roman;sans-serif" w:hAnsi="Times New Roman;sans-serif"/>
          <w:b w:val="false"/>
          <w:color w:val="000000"/>
          <w:sz w:val="24"/>
          <w:u w:val="single"/>
        </w:rPr>
        <w:t>Restricted Shares</w:t>
      </w:r>
      <w:r>
        <w:rPr>
          <w:rFonts w:ascii="Times New Roman;sans-serif" w:hAnsi="Times New Roman;sans-serif"/>
          <w:b w:val="false"/>
          <w:color w:val="000000"/>
          <w:sz w:val="24"/>
        </w:rPr>
        <w:t xml:space="preserve">: Shares awarded to a Participant pursuant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of the Plan that shall be subject to certain restrictions and may be subject to risk of forfeiture.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(an) </w:t>
      </w:r>
      <w:r>
        <w:rPr>
          <w:rFonts w:ascii="Times New Roman;sans-serif" w:hAnsi="Times New Roman;sans-serif"/>
          <w:b w:val="false"/>
          <w:color w:val="000000"/>
          <w:sz w:val="24"/>
          <w:u w:val="single"/>
        </w:rPr>
        <w:t>Restricted Share Unit</w:t>
      </w:r>
      <w:r>
        <w:rPr>
          <w:rFonts w:ascii="Times New Roman;sans-serif" w:hAnsi="Times New Roman;sans-serif"/>
          <w:b w:val="false"/>
          <w:color w:val="000000"/>
          <w:sz w:val="24"/>
        </w:rPr>
        <w:t xml:space="preserve">: An Award granted pursuant to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of the Plan that shall be evidenced by a bookkeeping entry representing the equivalent of one Share.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(ao) </w:t>
      </w:r>
      <w:r>
        <w:rPr>
          <w:rFonts w:ascii="Times New Roman;sans-serif" w:hAnsi="Times New Roman;sans-serif"/>
          <w:b w:val="false"/>
          <w:color w:val="000000"/>
          <w:sz w:val="24"/>
          <w:u w:val="single"/>
        </w:rPr>
        <w:t>Restructurin</w:t>
      </w:r>
      <w:r>
        <w:rPr>
          <w:rFonts w:ascii="Times New Roman;sans-serif" w:hAnsi="Times New Roman;sans-serif"/>
          <w:b w:val="false"/>
          <w:color w:val="000000"/>
          <w:sz w:val="24"/>
        </w:rPr>
        <w:t>g: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Times New Roman;sans-serif" w:hAnsi="Times New Roman;sans-serif"/>
          <w:b w:val="false"/>
          <w:color w:val="000000"/>
          <w:sz w:val="24"/>
          <w:u w:val="single"/>
        </w:rPr>
        <w:t>Existing Obligations</w:t>
      </w:r>
      <w:r>
        <w:rPr>
          <w:color w:val="000000"/>
        </w:rPr>
        <w:t>”</w:t>
      </w:r>
      <w:r>
        <w:rPr>
          <w:rFonts w:ascii="Times New Roman;sans-serif" w:hAnsi="Times New Roman;sans-serif"/>
          <w:b w:val="false"/>
          <w:color w:val="000000"/>
          <w:sz w:val="24"/>
        </w:rPr>
        <w:t>) that is achieved, without limitation, through a solicitation of waivers and consents from the holders of Existing Obligations; rescheduling of the 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(ap)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Code Section 409A, as amended, or any successor thereto, and the rules and regulations promulgated thereunder.</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(aq) </w:t>
      </w:r>
      <w:r>
        <w:rPr>
          <w:rFonts w:ascii="Times New Roman;sans-serif" w:hAnsi="Times New Roman;sans-serif"/>
          <w:b w:val="false"/>
          <w:color w:val="000000"/>
          <w:sz w:val="24"/>
          <w:u w:val="single"/>
        </w:rPr>
        <w:t>Securities Act</w:t>
      </w:r>
      <w:r>
        <w:rPr>
          <w:rFonts w:ascii="Times New Roman;sans-serif" w:hAnsi="Times New Roman;sans-serif"/>
          <w:b w:val="false"/>
          <w:color w:val="000000"/>
          <w:sz w:val="24"/>
        </w:rPr>
        <w:t>: The U.S. Securities Act of 1933, as amended, or any successor thereto, and the rules and regulations promulgated thereunder.</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(ar) </w:t>
      </w:r>
      <w:r>
        <w:rPr>
          <w:rFonts w:ascii="Times New Roman;sans-serif" w:hAnsi="Times New Roman;sans-serif"/>
          <w:b w:val="false"/>
          <w:color w:val="000000"/>
          <w:sz w:val="24"/>
          <w:u w:val="single"/>
        </w:rPr>
        <w:t>Service</w:t>
      </w:r>
      <w:r>
        <w:rPr>
          <w:rFonts w:ascii="Times New Roman;sans-serif" w:hAnsi="Times New Roman;sans-serif"/>
          <w:b w:val="false"/>
          <w:color w:val="000000"/>
          <w:sz w:val="24"/>
        </w:rPr>
        <w:t>: Except as otherwise determined by the Committee in its sole discretion, a Participant's Service terminates when the Participant ceases to actively provide services to the Company or an Affiliate.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(as) </w:t>
      </w:r>
      <w:r>
        <w:rPr>
          <w:rFonts w:ascii="Times New Roman;sans-serif" w:hAnsi="Times New Roman;sans-serif"/>
          <w:b w:val="false"/>
          <w:color w:val="000000"/>
          <w:sz w:val="24"/>
          <w:u w:val="single"/>
        </w:rPr>
        <w:t>Shares</w:t>
      </w:r>
      <w:r>
        <w:rPr>
          <w:rFonts w:ascii="Times New Roman;sans-serif" w:hAnsi="Times New Roman;sans-serif"/>
          <w:b w:val="false"/>
          <w:color w:val="000000"/>
          <w:sz w:val="24"/>
        </w:rPr>
        <w:t xml:space="preserve">: Ordinary shares in the capital of the Company, nominal value $0.001 per ordinary share, and such other securities of the Company that may be substituted for the Shares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(at) </w:t>
      </w:r>
      <w:r>
        <w:rPr>
          <w:rFonts w:ascii="Times New Roman;sans-serif" w:hAnsi="Times New Roman;sans-serif"/>
          <w:b w:val="false"/>
          <w:color w:val="000000"/>
          <w:sz w:val="24"/>
          <w:u w:val="single"/>
        </w:rPr>
        <w:t>Share Appreciation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w:t>
      </w:r>
      <w:r>
        <w:rPr>
          <w:rFonts w:ascii="Times New Roman;sans-serif" w:hAnsi="Times New Roman;sans-serif"/>
          <w:b w:val="false"/>
          <w:color w:val="000000"/>
          <w:sz w:val="24"/>
        </w:rPr>
        <w:t xml:space="preserve">: A share appreciation right granted pursuant to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(au) </w:t>
      </w:r>
      <w:r>
        <w:rPr>
          <w:rFonts w:ascii="Times New Roman;sans-serif" w:hAnsi="Times New Roman;sans-serif"/>
          <w:b w:val="false"/>
          <w:color w:val="000000"/>
          <w:sz w:val="24"/>
          <w:u w:val="single"/>
        </w:rPr>
        <w:t>Specified Holder</w:t>
      </w:r>
      <w:r>
        <w:rPr>
          <w:rFonts w:ascii="Times New Roman;sans-serif" w:hAnsi="Times New Roman;sans-serif"/>
          <w:b w:val="false"/>
          <w:color w:val="000000"/>
          <w:sz w:val="24"/>
        </w:rPr>
        <w:t>: Any Person who is the Beneficial Owner, directly or indirectly, of 10% or more of the Outstanding Ordinary Shares of the Company as of the Effective Date.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(av) </w:t>
      </w:r>
      <w:r>
        <w:rPr>
          <w:rFonts w:ascii="Times New Roman;sans-serif" w:hAnsi="Times New Roman;sans-serif"/>
          <w:b w:val="false"/>
          <w:color w:val="000000"/>
          <w:sz w:val="24"/>
          <w:u w:val="single"/>
        </w:rPr>
        <w:t>Strike Price</w:t>
      </w:r>
      <w:r>
        <w:rPr>
          <w:rFonts w:ascii="Times New Roman;sans-serif" w:hAnsi="Times New Roman;sans-serif"/>
          <w:b w:val="false"/>
          <w:color w:val="000000"/>
          <w:sz w:val="24"/>
        </w:rPr>
        <w:t>: Except as otherwise determined by the Committee in the case of Substitute Awards, (i) in the case of a Stock Appreciation Right granted in tandem with an Option, the Option Price of the related Option, or (ii) in the case of a Stock Appreciation Right granted independent of an Option, the Fair Market Value on the date of grant.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(aw)</w:t>
      </w:r>
      <w:r>
        <w:rPr>
          <w:rFonts w:ascii="Times New Roman;sans-serif" w:hAnsi="Times New Roman;sans-serif"/>
          <w:b w:val="false"/>
          <w:color w:val="000000"/>
          <w:sz w:val="24"/>
          <w:u w:val="single"/>
        </w:rPr>
        <w:t>Subsidiar</w:t>
      </w:r>
      <w:r>
        <w:rPr>
          <w:rFonts w:ascii="Times New Roman;sans-serif" w:hAnsi="Times New Roman;sans-serif"/>
          <w:b w:val="false"/>
          <w:color w:val="000000"/>
          <w:sz w:val="24"/>
        </w:rPr>
        <w:t xml:space="preserve">y: Any Affiliate which is a subsidiary of the Company within the meaning of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(ax) </w:t>
      </w:r>
      <w:r>
        <w:rPr>
          <w:rFonts w:ascii="Times New Roman;sans-serif" w:hAnsi="Times New Roman;sans-serif"/>
          <w:b w:val="false"/>
          <w:color w:val="000000"/>
          <w:sz w:val="24"/>
          <w:u w:val="single"/>
        </w:rPr>
        <w:t>Substitute Award</w:t>
      </w:r>
      <w:r>
        <w:rPr>
          <w:rFonts w:ascii="Times New Roman;sans-serif" w:hAnsi="Times New Roman;sans-serif"/>
          <w:b w:val="false"/>
          <w:color w:val="000000"/>
          <w:sz w:val="24"/>
        </w:rPr>
        <w:t>: An Award granted under the Plan in assumption of, or in substitution or exchange for, an outstanding award previously granted by an entity directly or indirectly acquired by the Company or any Subsidiary or with which the Company or any Subsidiary combines.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16280"/>
                <wp:effectExtent l="0" t="0" r="0" b="0"/>
                <wp:wrapNone/>
                <wp:docPr id="123" name="Frame9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B-6</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B-6</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(ay) </w:t>
      </w:r>
      <w:r>
        <w:rPr>
          <w:rFonts w:ascii="Times New Roman;sans-serif" w:hAnsi="Times New Roman;sans-serif"/>
          <w:b w:val="false"/>
          <w:color w:val="000000"/>
          <w:sz w:val="24"/>
          <w:u w:val="single"/>
        </w:rPr>
        <w:t>Tax-Related Items</w:t>
      </w:r>
      <w:r>
        <w:rPr>
          <w:rFonts w:ascii="Times New Roman;sans-serif" w:hAnsi="Times New Roman;sans-serif"/>
          <w:b w:val="false"/>
          <w:color w:val="000000"/>
          <w:sz w:val="24"/>
        </w:rPr>
        <w:t>: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(az) </w:t>
      </w:r>
      <w:r>
        <w:rPr>
          <w:rFonts w:ascii="Times New Roman;sans-serif" w:hAnsi="Times New Roman;sans-serif"/>
          <w:b w:val="false"/>
          <w:color w:val="000000"/>
          <w:sz w:val="24"/>
          <w:u w:val="single"/>
        </w:rPr>
        <w:t>Trade Secrets</w:t>
      </w:r>
      <w:r>
        <w:rPr>
          <w:rFonts w:ascii="Times New Roman;sans-serif" w:hAnsi="Times New Roman;sans-serif"/>
          <w:b w:val="false"/>
          <w:color w:val="000000"/>
          <w:sz w:val="24"/>
        </w:rPr>
        <w:t>: Means without limitation, (I)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Texas Uniform Trade Secrets Act, where applicable.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(ba) </w:t>
      </w:r>
      <w:r>
        <w:rPr>
          <w:rFonts w:ascii="Times New Roman;sans-serif" w:hAnsi="Times New Roman;sans-serif"/>
          <w:b w:val="false"/>
          <w:color w:val="000000"/>
          <w:sz w:val="24"/>
          <w:u w:val="single"/>
        </w:rPr>
        <w:t>Weatherford Group</w:t>
      </w:r>
      <w:r>
        <w:rPr>
          <w:rFonts w:ascii="Times New Roman;sans-serif" w:hAnsi="Times New Roman;sans-serif"/>
          <w:b w:val="false"/>
          <w:color w:val="000000"/>
          <w:sz w:val="24"/>
        </w:rPr>
        <w:t>: The Company and its Subsidiaries.</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3.Shares Subject to the Plan and Limitation on Issuable Shares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Number of Shares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and as of the Effective Date, the total number of Shares which may be issued under the Plan is </w:t>
      </w:r>
      <w:r>
        <w:rPr>
          <w:rFonts w:ascii="Times New Roman;sans-serif" w:hAnsi="Times New Roman;sans-serif"/>
          <w:b/>
          <w:strike/>
          <w:color w:val="BF2115"/>
          <w:sz w:val="24"/>
        </w:rPr>
        <w:t>8,600,000</w:t>
      </w:r>
      <w:r>
        <w:rPr>
          <w:color w:val="0E32E1"/>
          <w:u w:val="single"/>
        </w:rPr>
        <w:t xml:space="preserve"> </w:t>
      </w:r>
      <w:r>
        <w:rPr>
          <w:rFonts w:ascii="Times New Roman;sans-serif" w:hAnsi="Times New Roman;sans-serif"/>
          <w:b/>
          <w:color w:val="0E32E1"/>
          <w:sz w:val="24"/>
          <w:u w:val="single"/>
        </w:rPr>
        <w:t>9,886,000</w:t>
      </w:r>
      <w:r>
        <w:rPr>
          <w:rFonts w:ascii="Times New Roman;sans-serif" w:hAnsi="Times New Roman;sans-serif"/>
          <w:b w:val="false"/>
          <w:color w:val="000000"/>
          <w:sz w:val="24"/>
        </w:rPr>
        <w:t xml:space="preserve">, and the maximum number of Shares for which ISOs may be granted is 400,000. Except as provided below in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3(c)</w:t>
      </w:r>
      <w:r>
        <w:rPr>
          <w:rFonts w:ascii="Times New Roman;sans-serif" w:hAnsi="Times New Roman;sans-serif"/>
          <w:b w:val="false"/>
          <w:color w:val="000000"/>
          <w:sz w:val="24"/>
        </w:rPr>
        <w:t>,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Shares Reissuable Under Plan</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Shares shall again be available for the grant of an Award pursuant to the Plan: (i) Shares that are not issued as a result of the termination, cancellation, forfeiture, expiration or lapsing of any Award for any reason; or (ii) Shares subject to a Full Value Award that are not issued because the Award is settled in cash.</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Shares Not Reissuable Under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Notwithstanding the foregoing, the following Shares shall be counted against the maximum number of Shares available for issuance pursuant to </w:t>
      </w:r>
      <w:r>
        <w:rPr>
          <w:rFonts w:ascii="Times New Roman;sans-serif" w:hAnsi="Times New Roman;sans-serif"/>
          <w:b w:val="false"/>
          <w:color w:val="000000"/>
          <w:sz w:val="24"/>
          <w:u w:val="single"/>
        </w:rPr>
        <w:t>Section 3(a)</w:t>
      </w:r>
      <w:r>
        <w:rPr>
          <w:color w:val="000000"/>
        </w:rPr>
        <w:t xml:space="preserve"> </w:t>
      </w:r>
      <w:r>
        <w:rPr>
          <w:rFonts w:ascii="Times New Roman;sans-serif" w:hAnsi="Times New Roman;sans-serif"/>
          <w:b w:val="false"/>
          <w:color w:val="000000"/>
          <w:sz w:val="24"/>
        </w:rPr>
        <w:t>and shall not be returned to the Plan: (i) Shares that are retained or otherwise not issued by the Company in order to satisfy tax withholding obligations or in payment of the Option Price or purchase price of Options; (ii) Shares that are not issued or delivered as a result of the net-settlement of an outstanding Option or Share Appreciation Right; or (iii) Shares that are repurchased or redeemed on the open market with the proceeds of the exercise of an Option.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Shares Not Counted Against Share Pool Reserve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Notwithstanding anything contained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 available for Awards of ISOs under the Plan; and (ii) subject to any stock exchange requirements then applicable to the Company, available shares under a shareholder approved plan of an entity directly or indirectly acquired by the Company or Subsidiary or with which the Company or Subsidiary combines (as appropriately adjusted to reflect the acquisition or combination transaction) may be used for Awards under the Plan and shall not reduce the number of Shares available for delivery under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Non-Employee Director Award Limit</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16280"/>
                <wp:effectExtent l="0" t="0" r="0" b="0"/>
                <wp:wrapNone/>
                <wp:docPr id="124" name="Frame9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B-7</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B-7</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4.Administration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Committee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shall be administered by the Committee, which may delegate its duties and powers in whole or in part to any subcommittee thereof consisting solely of at least two individuals who are intended to qualify as “Non-Employee Directors” within the meaning of Rule l6b-3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to one or more officers of the Company the authority to act on behalf of the Committee with respect to administrative matters and such other matters as the Committee may determine from time to time; provided that such delegation is consistent with Applicable Laws and guidelines established by the Committee from time to time. Any such delegation may be revoked by the Committee at any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 advisable for the proper administration of the Plan; provided, that such appointment is consistent with Applicable Laws and any guidelines established by the Committee from time to time.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Authority of Committee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has the exclusive power, authority and discretion to:</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Designate Participants to receive Awards;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Determine the type or types of Awards to be granted to each Participant;</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Determine the number of Awards to be granted and the number of Shares to which an Award will relate;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Determine the terms and conditions of any Award granted pursuant to the Plan, including, without limitation, the Option Price, Strike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any forfeiture conditions and any provisions related to non-competition and recapture of gain on an Award, based in each case on such considerations as the Committee in its sole discretion determines;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 Determine whether, to what extent, and pursuant to what circumstances (A) an Award may be settled in, or the Option Price or Strike Price of an Award may be paid in, cash, Shares, other Awards, or other property, (B) the vesting, exercisability or forfeiture restrictions applicable to an Award may be accelerated, modified or waived, including, without limitation, in connection with the Participant's retirement or other termination or other event, or (C) an Award may be cancelled, forfeited, or surrendered;</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 Prescribe the form of each Award Agreement, which need not be identical for each Participant and may vary for Participants within and outside of the United States;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 Allot and issue any Shares which are to be allotted and issued upon the vesting or exercise of any Award;</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 Decide all other matters that must be determined in connection with an Award;</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 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16280"/>
                <wp:effectExtent l="0" t="0" r="0" b="0"/>
                <wp:wrapNone/>
                <wp:docPr id="125" name="Frame9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B-8</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B-8</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 Construe and interpret the terms of, and any matter arising pursuant to, the Plan, or any Award Agreement;</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 Correct any defect or supply any omission or reconcile any inconsistency in the Plan in the manner and to the extent the Committee deems necessary or desirable; and</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 Make all other decisions and determinations that may be required pursuant to the Plan or as the Committee deems necessary or advisable to administer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Decisions Binding</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Any decision of the Committee or its delegate pursuant to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hereof shall lie within its sole and absolute discretion and shall be final, conclusive and binding on all parties concerned (including, but not limited to, Participants and their beneficiaries or successors).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Reliance on Reports</w:t>
      </w:r>
      <w:r>
        <w:rPr>
          <w:rFonts w:ascii="Times New Roman;sans-serif" w:hAnsi="Times New Roman;sans-serif"/>
          <w:b w:val="false"/>
          <w:color w:val="000000"/>
          <w:sz w:val="24"/>
        </w:rPr>
        <w:t>.</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Award Limits for Employees and Consultants</w:t>
      </w:r>
      <w:r>
        <w:rPr>
          <w:rFonts w:ascii="Times New Roman;sans-serif" w:hAnsi="Times New Roman;sans-serif"/>
          <w:b w:val="false"/>
          <w:color w:val="000000"/>
          <w:sz w:val="24"/>
        </w:rPr>
        <w: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The maximum number of Shares that may be subject to Options or Share Appreciation Awards that are granted to any Employee or any Consultant during any calendar year shall not exceed 800,000 Shares, subject to adjustment as provided in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The maximum amount with respect to one or more Performance Based Awards that may be granted to any Employee or any Consultant during any calendar year shall not exceed $25,000,000 calculated based on the Fair Market Value of the number of Shares subject to the Performance Based Award on the date of grant.</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5.Terms and Conditions of Restricted Share Units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Restricted Share Units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is authorized to grant Restricted Share Units to Participants in such amounts and subject to such terms and conditions not inconsistent with the Plan, as the Committee shall determine.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Vesting Restrictions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specify the date or dates on which the Restricted Share Units shall become fully vested and nonforfeitable, and may specify such conditions to vesting, if any, as it deems appropriate. The vesting conditions, if any, may be based on, among other conditions, a Participant's continued Service or the attainment of Performance Goals.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Form and Timing of Payment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w:t>
      </w:r>
      <w:r>
        <w:rPr>
          <w:rFonts w:ascii="Times New Roman;sans-serif" w:hAnsi="Times New Roman;sans-serif"/>
          <w:b w:val="false"/>
          <w:color w:val="000000"/>
          <w:sz w:val="24"/>
          <w:u w:val="single"/>
        </w:rPr>
        <w:t>Section 20</w:t>
      </w:r>
      <w:r>
        <w:rPr>
          <w:color w:val="000000"/>
        </w:rPr>
        <w:t xml:space="preserve"> </w:t>
      </w:r>
      <w:r>
        <w:rPr>
          <w:rFonts w:ascii="Times New Roman;sans-serif" w:hAnsi="Times New Roman;sans-serif"/>
          <w:b w:val="false"/>
          <w:color w:val="000000"/>
          <w:sz w:val="24"/>
        </w:rPr>
        <w:t xml:space="preserve">hereof), deliver to the Participant one Share for each Restricted Share Unit scheduled to be paid out on such date and not previously forfeited. Alternatively, settlement of a Restricted Share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w:t>
      </w:r>
      <w:r>
        <w:rPr>
          <w:rFonts w:ascii="Times New Roman;sans-serif" w:hAnsi="Times New Roman;sans-serif"/>
          <w:b w:val="false"/>
          <w:color w:val="000000"/>
          <w:sz w:val="24"/>
          <w:u w:val="single"/>
        </w:rPr>
        <w:t>Section 20</w:t>
      </w:r>
      <w:r>
        <w:rPr>
          <w:color w:val="000000"/>
        </w:rPr>
        <w:t xml:space="preserve"> </w:t>
      </w:r>
      <w:r>
        <w:rPr>
          <w:rFonts w:ascii="Times New Roman;sans-serif" w:hAnsi="Times New Roman;sans-serif"/>
          <w:b w:val="false"/>
          <w:color w:val="000000"/>
          <w:sz w:val="24"/>
        </w:rPr>
        <w:t xml:space="preserve">hereof). Until a Restricted Share Unit is settled, the number of Restricted Share Units shall be subject to adjustment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Forfeiture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16280"/>
                <wp:effectExtent l="0" t="0" r="0" b="0"/>
                <wp:wrapNone/>
                <wp:docPr id="126" name="Frame9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B-9</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498" w:type="dxa"/>
                        <w:jc w:val="left"/>
                        <w:tblInd w:w="0" w:type="dxa"/>
                        <w:tblLayout w:type="fixed"/>
                        <w:tblCellMar>
                          <w:top w:w="28" w:type="dxa"/>
                          <w:left w:w="28" w:type="dxa"/>
                          <w:bottom w:w="28" w:type="dxa"/>
                          <w:right w:w="28" w:type="dxa"/>
                        </w:tblCellMar>
                      </w:tblPr>
                      <w:tblGrid>
                        <w:gridCol w:w="141"/>
                        <w:gridCol w:w="124"/>
                        <w:gridCol w:w="124"/>
                        <w:gridCol w:w="1200"/>
                        <w:gridCol w:w="1200"/>
                        <w:gridCol w:w="17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B-9</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determined by the Committee at the time of the grant of the Award or thereafter, any Restricted Share Units that are not vested as of the date of the Participant's termination of Service shall be forfeited.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General Creditors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6.Terms and Conditions of Restricted Share Awards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Grant of Restricted Shares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is authorized to grant Restricted Shares to Participants selected by the Committee in such amounts and subject to such terms and conditions not inconsistent with the Plan, as the Committee shall determine.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Purchase Price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the time of the grant of Restricted Shares, the Committee shall determine the price, if any, to be paid by the Participant for each Share subject to the Award. The purchase price of Shares acquired pursuant to the Award shall be paid: (i) in cash at the time of purchase; or (ii) in any other form of legal consideration that may be acceptable to the Committee in its sole discretion and in compliance with Applicable Laws.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Issuance and Restrictions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Dividends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Any dividends that are distributed with respect to Restricted Shares shall be paid in accordance with the applicable Award Agreement, subject to the provisions of </w:t>
      </w:r>
      <w:r>
        <w:rPr>
          <w:rFonts w:ascii="Times New Roman;sans-serif" w:hAnsi="Times New Roman;sans-serif"/>
          <w:b w:val="false"/>
          <w:color w:val="000000"/>
          <w:sz w:val="24"/>
          <w:u w:val="single"/>
        </w:rPr>
        <w:t>Section 10(b)(ii)</w:t>
      </w:r>
      <w:r>
        <w:rPr>
          <w:color w:val="000000"/>
        </w:rPr>
        <w:t xml:space="preserve"> </w:t>
      </w:r>
      <w:r>
        <w:rPr>
          <w:rFonts w:ascii="Times New Roman;sans-serif" w:hAnsi="Times New Roman;sans-serif"/>
          <w:b w:val="false"/>
          <w:color w:val="000000"/>
          <w:sz w:val="24"/>
        </w:rPr>
        <w:t>hereof.</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Forfeiture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determined by the Committee at the time of the grant of the Award or thereafter, upon termination of Service during the applicable restriction period, Restricted Shares that are at that time subject to restrictions shall be forfeited.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Certificates for Restricted Shares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Restricted Shares granted pursuant to the Plan may be evidenced in such manner as the Committee shall determine. If certificates representing Restricted Shares are registered in the name of the Participant, certificates shall bear a legend in such form as the Company deems appropriate, referring to the terms, conditions, and restrictions applicable to such Restricted Shares, and the Company may, at its discretion, retain physical possession of the certificate until such time as all applicable restrictions lapse.</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7.Terms and Conditions of Options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Option Type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Option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16280"/>
                <wp:effectExtent l="0" t="0" r="0" b="0"/>
                <wp:wrapNone/>
                <wp:docPr id="127" name="Frame9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B-10</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B-10</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Option Price per Share shall be determined by the Committee, but shall not be less than the higher of (i) 100% of the Fair Market Value of a Share on the date an Option is granted (other than in the case of Substitute Awards) and (ii) the nominal value of a Share.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Exercisability</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Exercise of Options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Except as otherwise provided in the Plan or in an Award Agreement, an Option may be exercised for all, or from time to time any part, of the Shares for which it is then exercisable. For purposes of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Option Price shall be payable: (i) in cash or its equivalent (e.g., by personal check), or (ii) by such other method as the Committee may permit in its sole discretion, including, without limitation, (A) if there is a public market for the Shares underlying the Options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(B) by a “net exercise” method whereby the Company withholds from the delivery of the Shares for which the Option was exercised that number of Shares having a Fair Market Value equal to the aggregate Option Price for the Shares for which the Option was exercised. No fractional Shares will be issued upon exercise of an Option, but instead the number of Shares will be rounded downward to the next whole Share.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ISOs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Rights with Respect to Shares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Participant shall have any rights to dividends or other rights of a shareholder with respect to Shares subject to an Option until the Participant has given written notice of exercise of the Option, paid in full (including, but not limited to, the Option Price and Tax-Related Items) for such Shares and, if applicable, has satisfied any other conditions imposed by the Committee pursuant to the Plan and applicable Award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16280"/>
                <wp:effectExtent l="0" t="0" r="0" b="0"/>
                <wp:wrapNone/>
                <wp:docPr id="128" name="Frame9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8.Terms and Conditions of Share Appreciation Rights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Grants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The Committee may grant (i) a Share Appreciation Right independent of an Option or (ii) a Share Appreciation Right in connection with an Option, or a portion thereof. A Share Appreciation Right granted pursuant to clause (ii) of the preceding sentence (A) may only be granted at the time the related Option is granted, (B) shall cover the same number of Shares covered by an Option (or such lesser number of Shares as the Committee may determine) and (C) shall be subject to the same terms and conditions as such Option except for such additional limitations as are contemplated by this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(or such additional limitations as may be included in an Award Agreement).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Terms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Share Appreciation Right granted independent of an Option shall entitle a Participant, upon exercise, to a number of Shares equal to an amount that is (i) the excess of (A) the Fair Market Value of a Share on the exercise date over (B) the Strike Price, multiplied by (ii) the number of Shares with respect to which the Share Appreciation Right is being exercised, less any Tax-Related Items.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Fair Market Value of a Share on the date of such surrender over (B) the Strike Price, multiplied by (ii) the number of Shares covered by the portion of the Option that is surrendered, less any Tax-Related Items. Payment shall be made in cash, in Shares valued at Fair Market Value, or any combination thereof, at the discretion of the Committee.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Limitations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impose, in its discretion, such conditions regarding the exercisability of Share Appreciation Rights as it may deem fit, but in no event shall a Share Appreciation Right be exercisable more than ten years after the date it is granted.</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9.Other Share-Based Awards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Grants of Other Share-Based Awards and Performance-Based Awards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Form of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16280"/>
                <wp:effectExtent l="0" t="0" r="0" b="0"/>
                <wp:wrapNone/>
                <wp:docPr id="129" name="Frame9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B-12</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B-12</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Payments with respect to any Awards granted under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shall be made in cash or cash equivalent, in Shares or any combination of the foregoing, as determined by the Committee.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Vesting Conditions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The Committee shall specify the date or dates on which the Awards granted pursuant to this </w:t>
      </w:r>
      <w:r>
        <w:rPr>
          <w:rFonts w:ascii="Times New Roman;sans-serif" w:hAnsi="Times New Roman;sans-serif"/>
          <w:b w:val="false"/>
          <w:color w:val="000000"/>
          <w:sz w:val="24"/>
          <w:u w:val="single"/>
        </w:rPr>
        <w:t xml:space="preserve">Section </w:t>
      </w:r>
      <w:r>
        <w:rPr>
          <w:rFonts w:ascii="Times New Roman;sans-serif" w:hAnsi="Times New Roman;sans-serif"/>
          <w:b w:val="false"/>
          <w:color w:val="000000"/>
          <w:sz w:val="24"/>
        </w:rPr>
        <w:t>9 shall become fully vested and nonforfeitable, and may specify such conditions to vesting as it deems appropriate. The vesting conditions may be based on, among other vesting conditions, a Participant's continued Service or the attainment of Performance Goals.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Term</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Except as otherwise provided herein, the term of any Award granted pursuant to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shall be set by the Committee in its discretion; provided, that the term of any Award granted pursuant to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shall not exceed 10 years.</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10.Provisions Applicable to All Awards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Award Agreement</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Dividend Equivalent Rights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Committee in its sole discretion may provide a Participant as part of a Restricted Share Unit or Other Share-Based Award that is a Full Value Award with Dividend Equivalent Rights, on such terms and conditions as may be determined by the Committee in its sole discretion.</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Any Dividend Equivalent Rights provided in connection with an Award that is subject to vesting shall either (i) not be paid or credited or (ii) be accumulated and subject to vesting restrictions applicable to the underlying Award. For Restricted Shares subject to vesting, dividends shall be accumulated and subject to any restrictions and risk of forfeiture to which the underlying Restricted Share is subject.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Limits on Transfer</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Minimum Vesting</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hereof. Notwithstanding the foregoing, up to 5% of the aggregate number of Shares authorized for issuance under this Plan (as described in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may be issued pursuant to Awards subject to any or no vesting conditions (including with regard to such one-year vesting limitation described in the preceding sentence), as the Committee determines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16280"/>
                <wp:effectExtent l="0" t="0" r="0" b="0"/>
                <wp:wrapNone/>
                <wp:docPr id="130" name="Frame9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B-13</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B-13</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Acknowledgement &amp; Acceptance within 30 days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Award is subject to acceptance, within 30 days of delivery of the Award Agreement, by electronic acceptance through the Company’s share plan administrator, or by signed documents delivered to the Company. Failure to accept the Award within 30 days of delivery of the Award Agreement may result in cancellation of the Award.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Paperless Administration</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(g) </w:t>
      </w:r>
      <w:r>
        <w:rPr>
          <w:rFonts w:ascii="Times New Roman;sans-serif" w:hAnsi="Times New Roman;sans-serif"/>
          <w:b w:val="false"/>
          <w:color w:val="000000"/>
          <w:sz w:val="24"/>
          <w:u w:val="single"/>
        </w:rPr>
        <w:t>Nominal Value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in this Plan, no Share shall be allotted or issued pursuant to the exercise of vesting of an Award, or as an Award, unless it is fully paid-up to at least its nominal value.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(h) </w:t>
      </w:r>
      <w:r>
        <w:rPr>
          <w:rFonts w:ascii="Times New Roman;sans-serif" w:hAnsi="Times New Roman;sans-serif"/>
          <w:b w:val="false"/>
          <w:color w:val="000000"/>
          <w:sz w:val="24"/>
          <w:u w:val="single"/>
        </w:rPr>
        <w:t>Detrimental Activity</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or in any Award Agreement, if a Participant has engaged in any Detrimental Activity or the Participant's employment or service with any member of the Weatherford Group is terminated for Cause, as determined by the Committee in good faith in its reasonable discretion, the Committee may provide for one or more of the following: (1) cancellation of any or all of such Participant's outstanding Awards; or (2) forfeiture by the Participant of any gain realized on the vesting, settlement or exercise of Awards, and to repay any such gain to promptly to the Company.</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Restrictive Covenants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The Committee may impose on any Award any restrictive covenants, including, but not limited to, any noncompetition, non-solicitation, confidentiality, and non-disparagement covenants, as it deems necessary or appropriate in its sole discretion. In addition, by accepting an Award under the Plan, a Participant shall thereby be deemed to have acknowledged and consented to not, without authorization from the Company, use, disclose or disseminate Confidential Information or Trade Secrets pertaining to the business of any member of the Weatherford Group; provided, however, that the activity described in this sentence does not apply to (i) any Confidential Information or Trade Secrets which have become generally known to competitors of any member of the Weatherford Group through no act or omission by the Participant or (ii) a Participant's communications that are required by law or judicial process (e.g., subpoena). Further, the preceding sentence does not preclude a Participant from communicating, cooperating or filing a complaint with any U.S. federal, foreign, state or local governmental or law enforcement branch, agency or entity (collectively, a “</w:t>
      </w:r>
      <w:r>
        <w:rPr>
          <w:rFonts w:ascii="Times New Roman;sans-serif" w:hAnsi="Times New Roman;sans-serif"/>
          <w:b w:val="false"/>
          <w:color w:val="000000"/>
          <w:sz w:val="24"/>
          <w:u w:val="single"/>
        </w:rPr>
        <w:t>Governmental Entity</w:t>
      </w:r>
      <w:r>
        <w:rPr>
          <w:color w:val="000000"/>
        </w:rPr>
        <w:t>”</w:t>
      </w:r>
      <w:r>
        <w:rPr>
          <w:rFonts w:ascii="Times New Roman;sans-serif" w:hAnsi="Times New Roman;sans-serif"/>
          <w:b w:val="false"/>
          <w:color w:val="000000"/>
          <w:sz w:val="24"/>
        </w:rPr>
        <w:t>) with respect to possible violations of any U.S. federal, foreign,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Weatherford Group's attorney-client privilege or attorney work product or Trade Secrets without prior written consent of the Board or its designee.</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in the event of the Participant's breach of any restrictive covenant, including, but not limited to, any non-competition, non-solicitation, confidentiality, and non-disparagement covenants, the Participant has agreed to or is bound by with respect to the Company or any Affiliate, the Award held by the Participant shall be forfeited effective as of the date of such breach in its entirety (whether or not vested), and the Participant shall have no further rights hereunder or thereunder, including, but not limited to, any rights under the Participant's Award Agreement and any rights to any exercise, vesting or settlement in respect of the Award.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(j) </w:t>
      </w:r>
      <w:r>
        <w:rPr>
          <w:rFonts w:ascii="Times New Roman;sans-serif" w:hAnsi="Times New Roman;sans-serif"/>
          <w:b w:val="false"/>
          <w:color w:val="000000"/>
          <w:sz w:val="24"/>
          <w:u w:val="single"/>
        </w:rPr>
        <w:t>Confidentiality</w:t>
      </w:r>
    </w:p>
    <w:p>
      <w:pPr>
        <w:pStyle w:val="TextBody"/>
        <w:bidi w:val="0"/>
        <w:spacing w:lineRule="auto" w:line="268" w:before="0" w:after="12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Participant shall keep strictly confidential and not disclose to any Person the fact that the Participant has been granted an Award or any terms of the applicable Award Agreement; provided, however,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16280"/>
                <wp:effectExtent l="0" t="0" r="0" b="0"/>
                <wp:wrapNone/>
                <wp:docPr id="131" name="Frame9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B-14</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B-14</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may disclose the fact that the Participant has been granted an Award and the terms of the applicable Award Agreement to the Participant’s attorney, accountant, spouse or those employees of the Company or its Affiliates who are or will be involved in administering and implementing the Award.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(k) </w:t>
      </w:r>
      <w:r>
        <w:rPr>
          <w:rFonts w:ascii="Times New Roman;sans-serif" w:hAnsi="Times New Roman;sans-serif"/>
          <w:b w:val="false"/>
          <w:color w:val="000000"/>
          <w:sz w:val="24"/>
          <w:u w:val="single"/>
        </w:rPr>
        <w:t>Dividends; Rights as Shareholder</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Cash dividends on the number of Shares issuable hereunder shall be credited to a dividend book entry account on behalf of the Participant with respect to each Award granted to the Participant; provided that such cash dividends shall not be deemed to be reinvested in Shares and shall be held uninvested and without interest and paid in cash at the same time that the Shares underlying the Award are delivered to the Participant in accordance with the provisions of the Plan and the Award Agreement. Stock dividends on Shares shall be credited to a dividend book entry account on behalf of the Participant with respect to each Award granted to the Participant; provided that such stock dividends shall be paid in Shares at the same time that the Shares underlying Award are delivered to the Participant in accordance with the provisions of the Plan and the Award Agreement. Except as otherwise provided herein, the Participant shall have no rights as a shareholder with respect to any Shares covered by any Award unless and until the Participant has become the holder of record of such Shares.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(l) </w:t>
      </w:r>
      <w:r>
        <w:rPr>
          <w:rFonts w:ascii="Times New Roman;sans-serif" w:hAnsi="Times New Roman;sans-serif"/>
          <w:b w:val="false"/>
          <w:color w:val="000000"/>
          <w:sz w:val="24"/>
          <w:u w:val="single"/>
        </w:rPr>
        <w:t>Legend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The Company may at any time place legends referencing any applicable federal, state or foreign securities law restrictions on all certificates, if any, representing Shares issued pursuant to an Award Agreement. The Participant shall, at the request of the Company, promptly present to the Company any and all certificates representing Shares acquired pursuant to this Agreement in the possession of the Participant in order to carry out the provisions of this </w:t>
      </w:r>
      <w:r>
        <w:rPr>
          <w:rFonts w:ascii="Times New Roman;sans-serif" w:hAnsi="Times New Roman;sans-serif"/>
          <w:b w:val="false"/>
          <w:color w:val="000000"/>
          <w:sz w:val="24"/>
          <w:u w:val="single"/>
        </w:rPr>
        <w:t>Section 10(l)</w:t>
      </w:r>
      <w:r>
        <w:rPr>
          <w:rFonts w:ascii="Times New Roman;sans-serif" w:hAnsi="Times New Roman;sans-serif"/>
          <w:b w:val="false"/>
          <w:color w:val="000000"/>
          <w:sz w:val="24"/>
        </w:rPr>
        <w: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(m) </w:t>
      </w:r>
      <w:r>
        <w:rPr>
          <w:rFonts w:ascii="Times New Roman;sans-serif" w:hAnsi="Times New Roman;sans-serif"/>
          <w:b w:val="false"/>
          <w:color w:val="000000"/>
          <w:sz w:val="24"/>
          <w:u w:val="single"/>
        </w:rPr>
        <w:t>Securities Representations</w:t>
      </w:r>
    </w:p>
    <w:p>
      <w:pPr>
        <w:pStyle w:val="TextBody"/>
        <w:bidi w:val="0"/>
        <w:spacing w:lineRule="auto" w:line="268" w:before="0" w:after="120"/>
        <w:ind w:left="0" w:right="0" w:firstLine="540"/>
        <w:jc w:val="both"/>
        <w:rPr>
          <w:rFonts w:ascii="Times New Roman;sans-serif" w:hAnsi="Times New Roman;sans-serif"/>
          <w:b w:val="false"/>
          <w:color w:val="000000"/>
          <w:sz w:val="24"/>
        </w:rPr>
      </w:pPr>
      <w:r>
        <w:rPr>
          <w:rFonts w:ascii="Times New Roman;sans-serif" w:hAnsi="Times New Roman;sans-serif"/>
          <w:b w:val="false"/>
          <w:color w:val="000000"/>
          <w:sz w:val="24"/>
        </w:rPr>
        <w:t>Each Award and applicable Award Agreement entered into by the Company with a Participant is in reliance on the following express representations and warranties of the Participant:</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Each Participant has been advised that the Participant may be an “affiliate” within the meaning of Rule 144 under the Securities Act.</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If the Participant is deemed to be an affiliate within the meaning of Rule 144 of the Securities Act, the Shares issuable under the Award Agreement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(n) </w:t>
      </w:r>
      <w:r>
        <w:rPr>
          <w:rFonts w:ascii="Times New Roman;sans-serif" w:hAnsi="Times New Roman;sans-serif"/>
          <w:b w:val="false"/>
          <w:color w:val="000000"/>
          <w:sz w:val="24"/>
          <w:u w:val="single"/>
        </w:rPr>
        <w:t>Insider Trading Restrictions/Market Abuse Laws</w:t>
      </w:r>
    </w:p>
    <w:p>
      <w:pPr>
        <w:pStyle w:val="TextBody"/>
        <w:bidi w:val="0"/>
        <w:spacing w:lineRule="auto" w:line="268" w:before="0" w:after="120"/>
        <w:ind w:left="0" w:right="0" w:firstLine="45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the Company’s insider trading policies. The Participant is responsible for ensuring his or her compliance with any applicable restrictions and should speak to his or her personal legal advisor on this matter.</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(o) </w:t>
      </w:r>
      <w:r>
        <w:rPr>
          <w:rFonts w:ascii="Times New Roman;sans-serif" w:hAnsi="Times New Roman;sans-serif"/>
          <w:b w:val="false"/>
          <w:color w:val="000000"/>
          <w:sz w:val="24"/>
          <w:u w:val="single"/>
        </w:rPr>
        <w:t>Foreign Asset/Account Reporting; Exchange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16280"/>
                <wp:effectExtent l="0" t="0" r="0" b="0"/>
                <wp:wrapNone/>
                <wp:docPr id="132" name="Frame9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B-15</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B-15</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Depending on the Participant’s country of residence, the Participant may be subject to foreign asset and/or account reporting requirements and/or exchange controls as a result of the vesting and settlement an Award,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(p) </w:t>
      </w:r>
      <w:r>
        <w:rPr>
          <w:rFonts w:ascii="Times New Roman;sans-serif" w:hAnsi="Times New Roman;sans-serif"/>
          <w:b w:val="false"/>
          <w:color w:val="000000"/>
          <w:sz w:val="24"/>
          <w:u w:val="single"/>
        </w:rPr>
        <w:t>Country-Specific Provisions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Awards granted under the Plan and the Shares subject to such Awards shall be subject to any special 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Plan and any Award Agreement.</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11.Adjustments Upon Certain Events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provisions in the Plan to the contrary, the following provisions shall apply to all Awards granted under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Generally</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 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Strike Price,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Change in Control</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foregoing, except as may otherwise be provided in an Award Agreement, in connection with any Change in Control, the Committee may, in its sole discretion, provide for any one or more of the following:</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continuation, substitution or assumption of Awards (or awards of an acquiring company),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subject to any limitations or reductions as may be necessary to comply with Section 409A,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received or to be received by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16280"/>
                <wp:effectExtent l="0" t="0" r="0" b="0"/>
                <wp:wrapNone/>
                <wp:docPr id="133" name="Frame10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B-16</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B-16</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Option Price or Strike Price, of such Option or Share Appreciation Right (it being understood that, in such event, any Option or Share Appreciation Right having a per share Option Price or Strike Price, equal to, or in excess of, the Fair Market Value of a Share subject thereto may be canceled and terminated without any payment or consideration therefor).</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Payments to holders pursuant to clause (ii) above shall be made in cash or, in the sole discretion of the Committee, in the form or forms of such other consideration as such Participant would have been entitled to receive upon the occurrence of the transaction if the Participant had been, immediately prior to such transaction, the holder of the number of Shares covered by the Award at such time (less any applicable Option Price or Strike Price).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Other Requirements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Prior to any payment or adjustment contemplated under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Fractional Shares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Any adjustment provided under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may provide for the elimination of any fractional share that might otherwise become subject to an Award.</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Binding Effect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Any adjustment, substitution, determination of value or other action taken by the Committee under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shall be conclusive and binding for all purposes.</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12.No Right to Employment or Awards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Participant’s rights shall be limited to those rights that are specifically enumerated under the Plan and in an Award Agreement, and such rights shall be for all purposes, unsecured contractual creditors’ rights against the Company only. The Participant’s right to payments under an Award Agreement shall not constitute nor be treated as property or as a trust fund of any kind. The Participant shall not have any rights as an owner of the Company with respect to any Awards granted to Participant until Shares are issued.</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13.Successors and Assigns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14.Amendments or Termination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Amendment and Termination of the Plan</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may amend, alter, suspend, discontinue, cancel or terminate the Plan or any portion thereof at any time; provided, that no such amendment, alteration, suspension, discontinuation or termination shall be made without shareholder approval, if at the time of such event, shareholder approval is required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16280"/>
                <wp:effectExtent l="0" t="0" r="0" b="0"/>
                <wp:wrapNone/>
                <wp:docPr id="134" name="Frame10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B-17</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B-17</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both"/>
        <w:rPr/>
      </w:pPr>
      <w:r>
        <w:rPr>
          <w:rFonts w:ascii="Times New Roman;sans-serif" w:hAnsi="Times New Roman;sans-serif"/>
          <w:b w:val="false"/>
          <w:color w:val="000000"/>
          <w:sz w:val="24"/>
        </w:rPr>
        <w:t xml:space="preserve">Applicable Law, if (i) it would materially increase the number of securities which may be issued under the Plan or granted to any Participant (except for increases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w:t>
      </w:r>
      <w:r>
        <w:rPr>
          <w:color w:val="000000"/>
          <w:u w:val="single"/>
        </w:rPr>
        <w:t xml:space="preserve"> </w:t>
      </w:r>
      <w:r>
        <w:rPr>
          <w:rFonts w:ascii="Times New Roman;sans-serif" w:hAnsi="Times New Roman;sans-serif"/>
          <w:b w:val="false"/>
          <w:color w:val="000000"/>
          <w:sz w:val="24"/>
          <w:u w:val="single"/>
        </w:rPr>
        <w:t>Section 18</w:t>
      </w:r>
      <w:r>
        <w:rPr>
          <w:color w:val="000000"/>
        </w:rPr>
        <w:t xml:space="preserve"> </w:t>
      </w:r>
      <w:r>
        <w:rPr>
          <w:rFonts w:ascii="Times New Roman;sans-serif" w:hAnsi="Times New Roman;sans-serif"/>
          <w:b w:val="false"/>
          <w:color w:val="000000"/>
          <w:sz w:val="24"/>
        </w:rPr>
        <w:t>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Amendment of Award Agreements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w:t>
      </w:r>
      <w:r>
        <w:rPr>
          <w:rFonts w:ascii="Times New Roman;sans-serif" w:hAnsi="Times New Roman;sans-serif"/>
          <w:b w:val="false"/>
          <w:color w:val="000000"/>
          <w:sz w:val="24"/>
          <w:u w:val="single"/>
        </w:rPr>
        <w:t>Section 18</w:t>
      </w:r>
      <w:r>
        <w:rPr>
          <w:color w:val="000000"/>
        </w:rPr>
        <w:t xml:space="preserve"> </w:t>
      </w:r>
      <w:r>
        <w:rPr>
          <w:rFonts w:ascii="Times New Roman;sans-serif" w:hAnsi="Times New Roman;sans-serif"/>
          <w:b w:val="false"/>
          <w:color w:val="000000"/>
          <w:sz w:val="24"/>
        </w:rPr>
        <w:t>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No Repricing of Awards</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of the Plan, in no event shall the Committee or the Board take any action without approval of the shareholders of the Company that would (i) reduce the Option Price of any Option or Strike Price of any Share Appreciation Right, (ii) result in the cancellation of any outstanding Option or Share Appreciation Right and replacement with a new Option or Share Appreciation Right with a lower Option Price or Strike Price, or with a cash payment or other Award at a time when the Option or Share Appreciation Right has a per Share Option Price or Strike Price, that is higher than the Fair Market Value of a Share on the date of the replacement or (iii) result in any other action that would constitute a “repricing” for purposes of the shareholder approval rules of any stock exchange or inter-dealer quotation system on which the securities of the Company are listed or quoted, in each case, to the extent such shareholder approval is required thereunder.</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15.Choice of Law</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16.Severability</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provision of the Plan or the application of any provision hereof to any Person or circumstance is held to be illegal, invalid or unenforceable, the remainder of the Plan and the application of such provision to any other Person or circumstance shall not be affected, and the provisions so held to be unenforceable shall be construed and enforced as if the illegal, invalid or unenforceable provisions had never been included herein or reformed to the extent (and only to the extent) necessary to make it enforceable and valid.</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17.Effectiveness and Term of the Plan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The Plan shall be effective on the Effective Date. The Plan shall terminate on the day before the tenth anniversary of the Effective Date and may be terminated on any earlier date pursuant to </w:t>
      </w:r>
      <w:r>
        <w:rPr>
          <w:rFonts w:ascii="Times New Roman;sans-serif" w:hAnsi="Times New Roman;sans-serif"/>
          <w:b w:val="false"/>
          <w:color w:val="000000"/>
          <w:sz w:val="24"/>
          <w:u w:val="single"/>
        </w:rPr>
        <w:t>Section 14</w:t>
      </w:r>
      <w:r>
        <w:rPr>
          <w:color w:val="000000"/>
        </w:rPr>
        <w:t xml:space="preserve"> </w:t>
      </w:r>
      <w:r>
        <w:rPr>
          <w:rFonts w:ascii="Times New Roman;sans-serif" w:hAnsi="Times New Roman;sans-serif"/>
          <w:b w:val="false"/>
          <w:color w:val="000000"/>
          <w:sz w:val="24"/>
        </w:rPr>
        <w:t>of the Plan. The applicable provisions shall continue in effect with respect to an Award granted under the Plan for as long as such Award remains outstanding.</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18.Section 409A</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16280"/>
                <wp:effectExtent l="0" t="0" r="0" b="0"/>
                <wp:wrapNone/>
                <wp:docPr id="135" name="Frame10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B-18</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B-18</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extent that the Committee determines that any provision of this Plan or any Award granted hereunder would cause a Participant to incur any additional tax or interest under Section 409A, the Committee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 The exercisability of an Option shall not be extended to the extent that such extension would subject the Participant to additional taxes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 month period (or, if earlier, upon the Participant's death). Each payment in a series of payments made under this Plan and any Awards granted hereunder shall be deemed to be a separate payment for purposes of Section 409A.</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 permitted under Section 409A, any deferred compensation payable to a Participant or for a Participant's benefit under this Plan and grants hereunder may not be reduced by, or offset against, any amount owing by a Participant to any member of the Weatherford Group.</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 neither the Company nor the Committee shall have any obligation to take any action to prevent the assessment of any additional liability, tax or penalty on any Participant or beneficiary under Section 409A of the Code and (ii) neither the Committee (or any member thereof) nor any member of the Weatherford Group (or any employee, director or officer thereof) guarantees that this Plan or any Award granted hereunder complies with, or is exempt from, Section 409A and none of the foregoing shall have any liability with respect to any failure to so comply or to be so exempt.</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19.Clawback/Recoupment Policy</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of this Plan, all Awards shall be subject to reduction, cancellation, forfeiture or recoupment to the extent necessary to comply with (i) the Company's Compensation Clawback Policy and any other clawback, forfeiture or other similar policy adopted by the Board or the Committee and as in effect from time to time; and (ii) applicable law. Further, unless otherwise determined by the Committee in good faith in its reasonable discretion,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20.Tax-Related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16280"/>
                <wp:effectExtent l="0" t="0" r="0" b="0"/>
                <wp:wrapNone/>
                <wp:docPr id="136" name="Frame10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B-19</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B-19</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 makes no representations or undertakings regarding the treatment of any Tax-Related Items in connection with any aspect of an Award; and (ii) does not commit to and is under no obligation to structure the terms of the grant or any aspect of an Award to reduce or eliminate the Participant’s liability for Tax-Related Items or achieve any particular tax result. Further, if the Participant is subject to Tax-Related Items in more than one jurisdiction, the Company and/or the Participant’s employer (or former employer, as applicable) may be required to withhold or account for Tax-Related Items in more than one jurisdiction.</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Except as otherwise expressly in any Award Agreement, to satisfy any withholding obligations of the Company and/or the Participant’s employer with respect to the Tax-Related Items, the Company will withhold Shares otherwise issuable upon vesting of the Award. Alternatively, or in addition thereto, 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or to comply with applicable securities laws, as applicable, to satisfy withholding obligations for the payment of Tax-Related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(c) delivery to the Company of previously owned and unencumbered Shares of the Company having a Fair Market Value equal to such Tax-Related Items; or (d) requiring the Participant to tender a cash payment to the Company or an Affiliate in the amount of the Tax-Related Items; provided, however, that if the Participant is a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 xml:space="preserve">officer of the Company under the Exchange Act, the withholding methods described in this </w:t>
      </w:r>
      <w:r>
        <w:rPr>
          <w:rFonts w:ascii="Times New Roman;sans-serif" w:hAnsi="Times New Roman;sans-serif"/>
          <w:b w:val="false"/>
          <w:color w:val="000000"/>
          <w:sz w:val="24"/>
          <w:u w:val="single"/>
        </w:rPr>
        <w:t>Section 20(a)</w:t>
      </w:r>
      <w:r>
        <w:rPr>
          <w:color w:val="000000"/>
        </w:rPr>
        <w:t xml:space="preserve"> </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will only be used if the Committee (as constituted to satisfy Rule 16b-3 of the Exchange Act) determines, in advance of the applicable withholding event, that one of such withholding methods will be used in lieu of withholding Shares.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foregoing, the Company shall have no obligation to issue or deliver evidence of title for Shares subject to Awards granted hereunder to any Participant or other Person until the Participant or such other Person has made arrangements acceptable to the Committee in its sole discretion to satisfy the obligations for Tax-Related Items with respect to any taxable or tax withholding event concerning the Participant or the Award or such other person arising as a result of an Award.</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21.No Advice Regarding Grant</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not providing any tax, legal or financial advice, nor is the 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22.Compliance with Laws; Government and Other Regulations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obligation of the Company to make payment of Awards in Shares or otherwise shall be subject to all Applicable Laws, and to such approvals by government agencies, including government agencies in jurisdictions outside of the United States, in each case as may be required or as the Company deems necessary or advisable. No Shares will be issued hereunder if such issuance would constitute a violation of any Applicable Law.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or ruling of any governmental body that the Company determines to be necessary or advisable or at a time when any such registration or qualification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16280"/>
                <wp:effectExtent l="0" t="0" r="0" b="0"/>
                <wp:wrapNone/>
                <wp:docPr id="137" name="Frame10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B-20</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B-20</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 As a condition to any issuance of Shares subject to Awards, the Company may require the Participant to satisfy any qualifications that may be necessary or appropriate to evidence compliance with Applicable Law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23.No Shareholders Rights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expressly provided herein or in any Award Agreement, a Participant shall have none of the rights of a shareholder by virtue of holding or receiving an Award, including no right `to vote or receive dividends, until the Participant or its nominee/broker becomes the record owner of such Shares, notwithstanding the exercise of an Option or Share Appreciation Right or lapse of restrictions with respect to vesting of any Award.</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24.Unfunded Plan</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shall be unfunded. Neither the Company, the Board nor the Committee shall be required to establish any special or separate fund or to segregate any assets to assure the performance of its obligations under the Plan.</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25.Other Compensation Arrangements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Nothing contained in this Plan or in any Award Agreement shall prevent the Board from adopting other or additional compensation arrangements, subject to shareholder approval if such approval is required; and such arrangements may be either generally applicable or applicable only in specific cases.</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26.Relationship to Other Benefits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payment under the Plan or any Award Agreement shall be taken into account in determining any benefits under any pension, retirement, profit sharing, group insurance or other benefit plan or arrangement or related agreement of the Company, except as otherwise specifically provided in such other plan or arrangement or related agreement.</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27.Other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16280"/>
                <wp:effectExtent l="0" t="0" r="0" b="0"/>
                <wp:wrapNone/>
                <wp:docPr id="138" name="Frame10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B-21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B-21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require, as a condition to the Participant’s participation in the Plan and/or to the grant of and/or the receipt of Shares under an Award, that the Participant execute lock-up, shareholder or other agreements or undertakings, as it may determine in its sole and absolute discretion.</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28.Notices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notices required or permitted under the Plan and any Award Agreement must be in writing and personally delivered or sent by certified mail, return receipt requested, or by international courier,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29.Electronic Delivery and Participation</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in its sole discretion, decide to deliver any documents related to participation in the Plan by electronic means or to request the Participant’s consent to participate in the Plan by electronic means. By receipt of an Award, the Participant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30.Transfer of Personal Data</w:t>
      </w:r>
    </w:p>
    <w:p>
      <w:pPr>
        <w:pStyle w:val="TextBody"/>
        <w:bidi w:val="0"/>
        <w:spacing w:lineRule="auto" w:line="268" w:before="0" w:after="120"/>
        <w:ind w:left="0" w:right="0" w:firstLine="54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shall be deemed to have authorized, agreed and consented to the transmission by the Company (or any Subsidiary) of any personal data information related to an Award for legitimate business purposes (including, without limitation, the administration of the Plan).</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31.Counterparts; Further Assurances</w:t>
      </w:r>
    </w:p>
    <w:p>
      <w:pPr>
        <w:pStyle w:val="TextBody"/>
        <w:bidi w:val="0"/>
        <w:spacing w:lineRule="auto" w:line="268" w:before="0" w:after="120"/>
        <w:ind w:left="0" w:right="0" w:firstLine="450"/>
        <w:jc w:val="both"/>
        <w:rPr>
          <w:rFonts w:ascii="Times New Roman;sans-serif" w:hAnsi="Times New Roman;sans-serif"/>
          <w:b w:val="false"/>
          <w:color w:val="000000"/>
          <w:sz w:val="24"/>
        </w:rPr>
      </w:pPr>
      <w:r>
        <w:rPr>
          <w:rFonts w:ascii="Times New Roman;sans-serif" w:hAnsi="Times New Roman;sans-serif"/>
          <w:b w:val="false"/>
          <w:color w:val="000000"/>
          <w:sz w:val="24"/>
        </w:rPr>
        <w:t>Award Agreements and any other document or agreement required under the Plan may be executed in one or more counterparts, each of which shall be deemed to be an original, but all of which shall constitute one and the same instrument. Counterpart signature pages transmitted by facsimile transmission, by electronic mail in portable document format (.pdf), using electronic signature technology (including, without limitation, DocuSign and AdobeSign) or by any other electronic means intended to preserve the original graphic and pictorial appearance of a document, will have the same effect as physical delivery of the paper document bearing an original signature. Each party to an Award Agreement and any other agreement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such agreement and the Plan and the consummation of the transactions contemplated thereunder.</w:t>
      </w:r>
    </w:p>
    <w:p>
      <w:pPr>
        <w:pStyle w:val="TextBody"/>
        <w:bidi w:val="0"/>
        <w:spacing w:lineRule="auto" w:line="268" w:before="0" w:after="12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32.Expenses; Gender; Titles and Headings</w:t>
      </w:r>
    </w:p>
    <w:p>
      <w:pPr>
        <w:pStyle w:val="TextBody"/>
        <w:bidi w:val="0"/>
        <w:spacing w:lineRule="auto" w:line="26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expenses of administering the Plan shall be borne by the Weatherford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pStyle w:val="TextBody"/>
        <w:bidi w:val="0"/>
        <w:spacing w:lineRule="auto" w:line="26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lineRule="auto" w:line="268" w:before="0" w:after="120"/>
        <w:ind w:left="0" w:right="0" w:firstLine="720"/>
        <w:jc w:val="both"/>
        <w:rPr/>
      </w:pPr>
      <w:r>
        <w:rPr>
          <w:rFonts w:ascii="Times New Roman;sans-serif" w:hAnsi="Times New Roman;sans-serif"/>
          <w:b w:val="false"/>
          <w:color w:val="000000"/>
          <w:sz w:val="24"/>
        </w:rPr>
        <w:t xml:space="preserve">As adopted by the Board of Directors of the Company on </w:t>
      </w:r>
      <w:r>
        <w:rPr>
          <w:rFonts w:ascii="Times New Roman;sans-serif" w:hAnsi="Times New Roman;sans-serif"/>
          <w:b/>
          <w:strike/>
          <w:color w:val="EE2724"/>
          <w:sz w:val="24"/>
        </w:rPr>
        <w:t>January 18, 2023</w:t>
      </w:r>
      <w:r>
        <w:rPr>
          <w:color w:val="000000"/>
        </w:rPr>
        <w:t xml:space="preserve"> </w:t>
      </w:r>
      <w:r>
        <w:rPr>
          <w:rFonts w:ascii="Times New Roman;sans-serif" w:hAnsi="Times New Roman;sans-serif"/>
          <w:b/>
          <w:color w:val="3051F2"/>
          <w:sz w:val="24"/>
          <w:u w:val="single"/>
        </w:rPr>
        <w:t>March 7, 2025</w:t>
      </w:r>
      <w:r>
        <w:rPr>
          <w:color w:val="000000"/>
        </w:rPr>
        <w:t xml:space="preserve"> </w:t>
      </w:r>
      <w:r>
        <w:rPr>
          <w:rFonts w:ascii="Times New Roman;sans-serif" w:hAnsi="Times New Roman;sans-serif"/>
          <w:b w:val="false"/>
          <w:color w:val="000000"/>
          <w:sz w:val="24"/>
        </w:rPr>
        <w:t xml:space="preserve">and effective </w:t>
      </w:r>
      <w:r>
        <w:rPr>
          <w:rFonts w:ascii="Times New Roman;sans-serif" w:hAnsi="Times New Roman;sans-serif"/>
          <w:b/>
          <w:strike/>
          <w:color w:val="EE2724"/>
          <w:sz w:val="24"/>
        </w:rPr>
        <w:t>as of such date</w:t>
      </w:r>
      <w:r>
        <w:rPr>
          <w:color w:val="0E32E1"/>
          <w:u w:val="single"/>
        </w:rPr>
        <w:t xml:space="preserve"> </w:t>
      </w:r>
      <w:r>
        <w:rPr>
          <w:rFonts w:ascii="Times New Roman;sans-serif" w:hAnsi="Times New Roman;sans-serif"/>
          <w:b/>
          <w:color w:val="0E32E1"/>
          <w:sz w:val="24"/>
          <w:u w:val="single"/>
        </w:rPr>
        <w:t>as of June 11, 2025 upon approval by the Company’s shareholders.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16280"/>
                <wp:effectExtent l="0" t="0" r="0" b="0"/>
                <wp:wrapNone/>
                <wp:docPr id="139" name="Frame10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B-22</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4589" w:type="dxa"/>
                        <w:jc w:val="left"/>
                        <w:tblInd w:w="0" w:type="dxa"/>
                        <w:tblLayout w:type="fixed"/>
                        <w:tblCellMar>
                          <w:top w:w="28" w:type="dxa"/>
                          <w:left w:w="28" w:type="dxa"/>
                          <w:bottom w:w="28" w:type="dxa"/>
                          <w:right w:w="28" w:type="dxa"/>
                        </w:tblCellMar>
                      </w:tblPr>
                      <w:tblGrid>
                        <w:gridCol w:w="174"/>
                        <w:gridCol w:w="153"/>
                        <w:gridCol w:w="153"/>
                        <w:gridCol w:w="1200"/>
                        <w:gridCol w:w="1200"/>
                        <w:gridCol w:w="17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B-22</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center"/>
        <w:rPr/>
      </w:pPr>
      <w:r>
        <w:rPr/>
        <w:drawing>
          <wp:inline distT="0" distB="0" distL="0" distR="0">
            <wp:extent cx="7058025" cy="9144000"/>
            <wp:effectExtent l="0" t="0" r="0" b="0"/>
            <wp:docPr id="1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4" descr=""/>
                    <pic:cNvPicPr>
                      <a:picLocks noChangeAspect="1" noChangeArrowheads="1"/>
                    </pic:cNvPicPr>
                  </pic:nvPicPr>
                  <pic:blipFill>
                    <a:blip r:embed="rId35"/>
                    <a:stretch>
                      <a:fillRect/>
                    </a:stretch>
                  </pic:blipFill>
                  <pic:spPr bwMode="auto">
                    <a:xfrm>
                      <a:off x="0" y="0"/>
                      <a:ext cx="7058025" cy="91440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058025" cy="9144000"/>
            <wp:effectExtent l="0" t="0" r="0" b="0"/>
            <wp:docPr id="1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5" descr=""/>
                    <pic:cNvPicPr>
                      <a:picLocks noChangeAspect="1" noChangeArrowheads="1"/>
                    </pic:cNvPicPr>
                  </pic:nvPicPr>
                  <pic:blipFill>
                    <a:blip r:embed="rId36"/>
                    <a:stretch>
                      <a:fillRect/>
                    </a:stretch>
                  </pic:blipFill>
                  <pic:spPr bwMode="auto">
                    <a:xfrm>
                      <a:off x="0" y="0"/>
                      <a:ext cx="7058025" cy="91440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086600" cy="9134475"/>
            <wp:effectExtent l="0" t="0" r="0" b="0"/>
            <wp:docPr id="1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6" descr=""/>
                    <pic:cNvPicPr>
                      <a:picLocks noChangeAspect="1" noChangeArrowheads="1"/>
                    </pic:cNvPicPr>
                  </pic:nvPicPr>
                  <pic:blipFill>
                    <a:blip r:embed="rId37"/>
                    <a:stretch>
                      <a:fillRect/>
                    </a:stretch>
                  </pic:blipFill>
                  <pic:spPr bwMode="auto">
                    <a:xfrm>
                      <a:off x="0" y="0"/>
                      <a:ext cx="7086600" cy="91344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058025" cy="9144000"/>
            <wp:effectExtent l="0" t="0" r="0" b="0"/>
            <wp:docPr id="1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7" descr=""/>
                    <pic:cNvPicPr>
                      <a:picLocks noChangeAspect="1" noChangeArrowheads="1"/>
                    </pic:cNvPicPr>
                  </pic:nvPicPr>
                  <pic:blipFill>
                    <a:blip r:embed="rId38"/>
                    <a:stretch>
                      <a:fillRect/>
                    </a:stretch>
                  </pic:blipFill>
                  <pic:spPr bwMode="auto">
                    <a:xfrm>
                      <a:off x="0" y="0"/>
                      <a:ext cx="7058025" cy="91440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sans-serif">
    <w:altName w:val="Arial"/>
    <w:charset w:val="01"/>
    <w:family w:val="auto"/>
    <w:pitch w:val="default"/>
  </w:font>
  <w:font w:name="Wingdings">
    <w:altName w:val="sans-serif"/>
    <w:charset w:val="02"/>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1.jpeg"/><Relationship Id="rId28" Type="http://schemas.openxmlformats.org/officeDocument/2006/relationships/image" Target="media/image26.jpeg"/><Relationship Id="rId29" Type="http://schemas.openxmlformats.org/officeDocument/2006/relationships/image" Target="media/image22.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11.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52824</Words>
  <Characters>286217</Characters>
  <CharactersWithSpaces>336752</CharactersWithSpaces>
  <Paragraphs>3953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