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27,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4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On April 27, 2022, Weatherford International plc (“Weatherford” and together with its subsidiaries, “we” or the “Company”) issued a news release announcing results for the first quarter ended March 31, 2022. A copy of the news release is furnished as Exhibit 99.1 and incorporated into this Item 2.02.</w:t>
      </w:r>
    </w:p>
    <w:p>
      <w:pPr>
        <w:spacing w:after="0" w:line="190"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We will host a conference call on Thursday, April 28, 2022, to discuss the results for the first quarter ended March 31, 2022. The conference call will begin at 9:00 a.m. Eastern Time (8:00 a.m. Central Time).</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Participants are encouraged to download the accompanying presentation slides which will be available in the investor relations section of the Company’s website.</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May 12, 2022, at 5:00 p.m. Eastern Time. To access the replay, please dial +1 877-344-7529 (within the U.S.) or +1 412-317-0088 (outside of the U.S.) and reference conference number 6100377.</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replay and transcript of the earnings call will also be available in the investor relations section of the Company’s website.</w:t>
      </w:r>
    </w:p>
    <w:p>
      <w:pPr>
        <w:spacing w:after="0" w:line="286"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4" w:lineRule="exact"/>
        <w:rPr>
          <w:sz w:val="20"/>
          <w:szCs w:val="20"/>
          <w:color w:val="auto"/>
        </w:rPr>
      </w:pPr>
    </w:p>
    <w:p>
      <w:pPr>
        <w:ind w:left="1660" w:hanging="978"/>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704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News Release dated April 27, 2022, announcing results for the first quarter ended March 31 2022.</w:t>
            </w:r>
          </w:p>
        </w:tc>
        <w:tc>
          <w:tcPr>
            <w:tcW w:w="2560" w:type="dxa"/>
            <w:vAlign w:val="bottom"/>
            <w:tcBorders>
              <w:top w:val="single" w:sz="8" w:color="auto"/>
            </w:tcBorders>
          </w:tcPr>
          <w:p>
            <w:pPr>
              <w:spacing w:after="0"/>
              <w:rPr>
                <w:sz w:val="15"/>
                <w:szCs w:val="15"/>
                <w:color w:val="auto"/>
              </w:rPr>
            </w:pPr>
          </w:p>
        </w:tc>
      </w:tr>
      <w:tr>
        <w:trPr>
          <w:trHeight w:val="249"/>
        </w:trPr>
        <w:tc>
          <w:tcPr>
            <w:tcW w:w="15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3"/>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140"/>
          </w:cols>
          <w:pgMar w:left="320" w:top="882"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61595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Weatherford Announces First Quarter 2022 Results</w:t>
      </w:r>
    </w:p>
    <w:p>
      <w:pPr>
        <w:spacing w:after="0" w:line="200" w:lineRule="exact"/>
        <w:rPr>
          <w:sz w:val="20"/>
          <w:szCs w:val="20"/>
          <w:color w:val="auto"/>
        </w:rPr>
      </w:pPr>
    </w:p>
    <w:p>
      <w:pPr>
        <w:spacing w:after="0" w:line="382" w:lineRule="exact"/>
        <w:rPr>
          <w:sz w:val="20"/>
          <w:szCs w:val="20"/>
          <w:color w:val="auto"/>
        </w:rPr>
      </w:pPr>
    </w:p>
    <w:p>
      <w:pPr>
        <w:ind w:left="320" w:hanging="311"/>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$938 million increased 13% year-over-year</w:t>
      </w:r>
    </w:p>
    <w:p>
      <w:pPr>
        <w:spacing w:after="0" w:line="105" w:lineRule="exact"/>
        <w:rPr>
          <w:rFonts w:ascii="Times New Roman" w:cs="Times New Roman" w:eastAsia="Times New Roman" w:hAnsi="Times New Roman"/>
          <w:sz w:val="20"/>
          <w:szCs w:val="20"/>
          <w:color w:val="auto"/>
        </w:rPr>
      </w:pPr>
    </w:p>
    <w:p>
      <w:pPr>
        <w:ind w:left="340" w:hanging="331"/>
        <w:spacing w:after="0" w:line="315"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totaled $18 million and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totaled $151 million, or 16% adjusted EBITDA margins representing increases of 238%, 48% and 380 basis points year-over-year respectively</w:t>
      </w:r>
    </w:p>
    <w:p>
      <w:pPr>
        <w:spacing w:after="0" w:line="5" w:lineRule="exact"/>
        <w:rPr>
          <w:rFonts w:ascii="Times New Roman" w:cs="Times New Roman" w:eastAsia="Times New Roman" w:hAnsi="Times New Roman"/>
          <w:sz w:val="20"/>
          <w:szCs w:val="20"/>
          <w:color w:val="auto"/>
        </w:rPr>
      </w:pPr>
    </w:p>
    <w:p>
      <w:pPr>
        <w:ind w:left="340" w:hanging="331"/>
        <w:spacing w:after="0" w:line="322" w:lineRule="auto"/>
        <w:tabs>
          <w:tab w:leader="none" w:pos="32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used in operating activities was $64 million and negative 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$64 million mainly driven by working capital requirements</w:t>
      </w:r>
    </w:p>
    <w:p>
      <w:pPr>
        <w:spacing w:after="0" w:line="17" w:lineRule="exact"/>
        <w:rPr>
          <w:rFonts w:ascii="Times New Roman" w:cs="Times New Roman" w:eastAsia="Times New Roman" w:hAnsi="Times New Roman"/>
          <w:sz w:val="20"/>
          <w:szCs w:val="20"/>
          <w:b w:val="1"/>
          <w:bCs w:val="1"/>
          <w:color w:val="auto"/>
        </w:rPr>
      </w:pPr>
    </w:p>
    <w:p>
      <w:pPr>
        <w:ind w:left="340" w:hanging="331"/>
        <w:spacing w:after="0" w:line="355" w:lineRule="auto"/>
        <w:tabs>
          <w:tab w:leader="none" w:pos="3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20"/>
          <w:szCs w:val="20"/>
          <w:color w:val="auto"/>
        </w:rPr>
        <w:t>Innovation focus highlighted with commercialization of new technology and expanded Managed Pressure Drilling and Tubular Running Services offerings</w:t>
      </w:r>
    </w:p>
    <w:p>
      <w:pPr>
        <w:ind w:left="320" w:hanging="311"/>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OTC Asia Spotlight on New Technology Award for our Memory Raptor™ Cased-Hole Evaluation System</w:t>
      </w:r>
    </w:p>
    <w:p>
      <w:pPr>
        <w:sectPr>
          <w:pgSz w:w="11900" w:h="16838" w:orient="portrait"/>
          <w:cols w:equalWidth="0" w:num="1">
            <w:col w:w="10920"/>
          </w:cols>
          <w:pgMar w:left="640" w:top="1043" w:right="339" w:bottom="1440" w:gutter="0" w:footer="0" w:header="0"/>
        </w:sectPr>
      </w:pPr>
    </w:p>
    <w:bookmarkStart w:id="4" w:name="page5"/>
    <w:bookmarkEnd w:id="4"/>
    <w:p>
      <w:pPr>
        <w:jc w:val="both"/>
        <w:ind w:right="20"/>
        <w:spacing w:after="0" w:line="396" w:lineRule="auto"/>
        <w:rPr>
          <w:sz w:val="20"/>
          <w:szCs w:val="20"/>
          <w:color w:val="auto"/>
        </w:rPr>
      </w:pPr>
      <w:r>
        <w:rPr>
          <w:rFonts w:ascii="Times New Roman" w:cs="Times New Roman" w:eastAsia="Times New Roman" w:hAnsi="Times New Roman"/>
          <w:sz w:val="20"/>
          <w:szCs w:val="20"/>
          <w:b w:val="1"/>
          <w:bCs w:val="1"/>
          <w:color w:val="auto"/>
        </w:rPr>
        <w:t xml:space="preserve">Houston, April 27, 2022 – </w:t>
      </w:r>
      <w:r>
        <w:rPr>
          <w:rFonts w:ascii="Times New Roman" w:cs="Times New Roman" w:eastAsia="Times New Roman" w:hAnsi="Times New Roman"/>
          <w:sz w:val="20"/>
          <w:szCs w:val="20"/>
          <w:color w:val="auto"/>
        </w:rPr>
        <w:t>Weatherford International plc (NASDAQ: WFRD) (“Weatherford” or the “Company”) announced today its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first quarter of 2022.</w:t>
      </w:r>
    </w:p>
    <w:p>
      <w:pPr>
        <w:spacing w:after="0" w:line="91"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color w:val="auto"/>
        </w:rPr>
        <w:t>Revenues for the first quarter of 2022 were $938 million, an increase of 13% year-over-year and a decrease of 3% sequentially. Operating income was $18 million in the first quarter of 2022, compared to an operating loss of $13 million in the first quarter of 2021 and an operating income of $33 million in the fourth quarter of 2021. The Company’s first quarter of 2022 net loss was $80 million, compared to a net loss of $116 million in the first quarter of 2021 and a net loss of $161 million in the fourth quarter of 2021.</w:t>
      </w:r>
    </w:p>
    <w:p>
      <w:pPr>
        <w:spacing w:after="0" w:line="119"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First quarter 2022 cash flows used in operations were $64 million, compared to cash flows provided by operations of $74 million in the first quarter of 2021 and $88 million in the fourth quarter of 2021. Capital expenditures were $20 million in the first quarter of 2022, compared to $15 million in the first quarter of 2021 and $41 million in the fourth quarter of 2021.</w:t>
      </w:r>
    </w:p>
    <w:p>
      <w:pPr>
        <w:spacing w:after="0" w:line="128" w:lineRule="exact"/>
        <w:rPr>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$151 million, an increase of 48% year-over-year and a decrease of 2% sequentially</w:t>
      </w:r>
    </w:p>
    <w:p>
      <w:pPr>
        <w:spacing w:after="0" w:line="168" w:lineRule="exact"/>
        <w:rPr>
          <w:rFonts w:ascii="Times New Roman" w:cs="Times New Roman" w:eastAsia="Times New Roman" w:hAnsi="Times New Roman"/>
          <w:sz w:val="20"/>
          <w:szCs w:val="20"/>
          <w:color w:val="auto"/>
        </w:rPr>
      </w:pPr>
    </w:p>
    <w:p>
      <w:pPr>
        <w:ind w:left="500" w:hanging="171"/>
        <w:spacing w:after="0" w:line="332" w:lineRule="auto"/>
        <w:tabs>
          <w:tab w:leader="none" w:pos="48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Unlevered 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negative $47 million, a decrease of $141 million year-over-year and a decrease of $194 million sequentially</w:t>
      </w:r>
    </w:p>
    <w:p>
      <w:pPr>
        <w:spacing w:after="0" w:line="102" w:lineRule="exact"/>
        <w:rPr>
          <w:rFonts w:ascii="Times New Roman" w:cs="Times New Roman" w:eastAsia="Times New Roman" w:hAnsi="Times New Roman"/>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negative $64 million, a decrease of $134 million year-over-year and a decrease of $113 million sequentially</w:t>
      </w:r>
    </w:p>
    <w:p>
      <w:pPr>
        <w:spacing w:after="0" w:line="182" w:lineRule="exact"/>
        <w:rPr>
          <w:rFonts w:ascii="Times New Roman" w:cs="Times New Roman" w:eastAsia="Times New Roman" w:hAnsi="Times New Roman"/>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 of $20 million during the quarter primarily reflect investments in fulfillment initiatives</w:t>
      </w:r>
    </w:p>
    <w:p>
      <w:pPr>
        <w:spacing w:after="0" w:line="239" w:lineRule="exact"/>
        <w:rPr>
          <w:rFonts w:ascii="Times New Roman" w:cs="Times New Roman" w:eastAsia="Times New Roman" w:hAnsi="Times New Roman"/>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charges, net of $19 million primarily relate to the write-down of all of our assets in Ukraine, excluding cash</w:t>
      </w:r>
    </w:p>
    <w:p>
      <w:pPr>
        <w:spacing w:after="0" w:line="226"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“We delivered solid results in line with our guidance, despite the significant headwinds of supply chain, inflation, logistics and geopolitical events that marked the first quarter. Our first-quarter adjusted EBITDA margins of 16% aligned with the high end of our guidance range and our results encourage increasing confidence in our operating strategy. Revenue growth across all our reportable segments on a year-over-year basis gives a firm foundation to our view of 2022 being a year of top line growth, margin expansion and free cash flow generation.</w:t>
      </w:r>
    </w:p>
    <w:p>
      <w:pPr>
        <w:spacing w:after="0" w:line="95"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We entered 2022 with a growth and execution mindset, as outlined in our focus areas and strategic vectors. Central to this is improving the Company’s fulfillment strategy to drive profitable growth with a leading-edge industrial approach to our core operations of manufacturing, supply chain, and repair and maintenance, across all product lines globally. We took $20 million of restructuring charges, which is an essential investment in our fulfillment strategy to drive expanded margins. I am excited by our breadth of technology, specialty services differentiation, and our best-in-class team, which positions us for long-term success as the energy industry continues its evolution.”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61" w:lineRule="exact"/>
        <w:rPr>
          <w:sz w:val="20"/>
          <w:szCs w:val="20"/>
          <w:color w:val="auto"/>
        </w:rPr>
      </w:pPr>
    </w:p>
    <w:p>
      <w:pPr>
        <w:jc w:val="both"/>
        <w:ind w:firstLine="7"/>
        <w:spacing w:after="0" w:line="391" w:lineRule="auto"/>
        <w:tabs>
          <w:tab w:leader="none" w:pos="131"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EBITDA represents income before interest expense, net, loss on extinguishment, bond redemption, income tax, depreciation and amortization expense. Adjusted EBITDA excludes, among other items, restructuring expense, share-based compensation expense, as well as impairment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EBITDA, adjusted EBITDA, free cash flow and unlevered free cash flow are non-GAAP measures. Each measure is defined and reconciled to the most directly comparable GAAP measure in the tables below.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Highlights</w:t>
      </w:r>
    </w:p>
    <w:p>
      <w:pPr>
        <w:spacing w:after="0" w:line="133" w:lineRule="exact"/>
        <w:rPr>
          <w:sz w:val="20"/>
          <w:szCs w:val="20"/>
          <w:color w:val="auto"/>
        </w:rPr>
      </w:pPr>
    </w:p>
    <w:p>
      <w:pPr>
        <w:jc w:val="both"/>
        <w:ind w:left="320" w:hanging="313"/>
        <w:spacing w:after="0" w:line="378"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Abu Dhabi National Oil Company (ADNOC) awarded Weatherford a five-year contract with an optional two-year extension to provide wireline logging and perforating services. We were selected for our expertise in cased-hole reservoir characterization and monitoring, extensive pipe recovery capabilities, and world-class perforation services.</w:t>
      </w:r>
    </w:p>
    <w:p>
      <w:pPr>
        <w:spacing w:after="0" w:line="40"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a three-year contract to provide cemented liner hangers for a bp-operated business in Azerbaijan with the potential for increased scope in the future. Superior run-in features, combined with our Company's high level of service quality and strong presence in the region, were instrumental in securing this award.</w:t>
      </w:r>
    </w:p>
    <w:p>
      <w:pPr>
        <w:spacing w:after="0" w:line="47" w:lineRule="exact"/>
        <w:rPr>
          <w:rFonts w:ascii="Times New Roman" w:cs="Times New Roman" w:eastAsia="Times New Roman" w:hAnsi="Times New Roman"/>
          <w:sz w:val="20"/>
          <w:szCs w:val="20"/>
          <w:color w:val="auto"/>
        </w:rPr>
      </w:pPr>
    </w:p>
    <w:p>
      <w:pPr>
        <w:ind w:left="320" w:hanging="313"/>
        <w:spacing w:after="0" w:line="378"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two five-year artificial lift awards from Tatweer Petroleum in Bahrain to deliver, install and service beam pumping units and downhole pumps.</w:t>
      </w:r>
    </w:p>
    <w:p>
      <w:pPr>
        <w:spacing w:after="0" w:line="53"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Cairn awarded Weatherford a five-year integrated artificial lift and production automation contract across its workover and rigless activities in Western India. The contract, which is slated to commence in the third quarter of 2022, will enable greater production optimization and help drive collaboration between the operator and its service partners.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Deployments</w:t>
      </w:r>
    </w:p>
    <w:p>
      <w:pPr>
        <w:spacing w:after="0" w:line="227" w:lineRule="exact"/>
        <w:rPr>
          <w:sz w:val="20"/>
          <w:szCs w:val="20"/>
          <w:color w:val="auto"/>
        </w:rPr>
      </w:pPr>
    </w:p>
    <w:p>
      <w:pPr>
        <w:jc w:val="both"/>
        <w:ind w:left="320" w:hanging="313"/>
        <w:spacing w:after="0" w:line="371" w:lineRule="auto"/>
        <w:tabs>
          <w:tab w:leader="none" w:pos="30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continues to innovate in Tubular Running Services (TRS) portfolio with our latest product enhancement, The Soloist™. This torque-turn monitoring solution strengthens our market-leading services to enable single-person operation and simplified remote viewing while running tubing or casing in the hole.</w:t>
      </w:r>
    </w:p>
    <w:p>
      <w:pPr>
        <w:spacing w:after="0" w:line="47" w:lineRule="exact"/>
        <w:rPr>
          <w:rFonts w:ascii="Times New Roman" w:cs="Times New Roman" w:eastAsia="Times New Roman" w:hAnsi="Times New Roman"/>
          <w:sz w:val="20"/>
          <w:szCs w:val="20"/>
          <w:color w:val="auto"/>
        </w:rPr>
      </w:pPr>
    </w:p>
    <w:p>
      <w:pPr>
        <w:jc w:val="both"/>
        <w:ind w:left="320" w:hanging="313"/>
        <w:spacing w:after="0" w:line="368" w:lineRule="auto"/>
        <w:tabs>
          <w:tab w:leader="none" w:pos="30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 operation with Hamburg Energy, we deployed our Magnus® rotary steerable system from top to total depth in the geothermal well, drilling all three sections—a first for the system on this well type. We also used market-leading evaluation tools to analyze and log both cased- and open-hole sections and cement bonds. This operation is another great example of our strong positioning in the Geothermal space, which is an important element of the energy transition.</w:t>
      </w:r>
    </w:p>
    <w:p>
      <w:pPr>
        <w:spacing w:after="0" w:line="52" w:lineRule="exact"/>
        <w:rPr>
          <w:rFonts w:ascii="Times New Roman" w:cs="Times New Roman" w:eastAsia="Times New Roman" w:hAnsi="Times New Roman"/>
          <w:sz w:val="20"/>
          <w:szCs w:val="20"/>
          <w:color w:val="auto"/>
        </w:rPr>
      </w:pPr>
    </w:p>
    <w:p>
      <w:pPr>
        <w:jc w:val="both"/>
        <w:ind w:left="320" w:hanging="313"/>
        <w:spacing w:after="0" w:line="364" w:lineRule="auto"/>
        <w:tabs>
          <w:tab w:leader="none" w:pos="30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has formed a collaboration with Sub Sea Services that will transform Managed Pressure Drilling (MPD) from an add-on to a seamlessly integrated part of the drilling rig. The collaboration will integrate field-proven Weatherford technologies—the rotating control device and the annular isolation device—with a remotely operated pull-in system from Sub Sea Services. The result will be an industry-first complete integration of MPD and typical riser auxiliary lines into a single automated connection for all drilling operations.</w:t>
      </w:r>
    </w:p>
    <w:p>
      <w:pPr>
        <w:spacing w:after="0" w:line="67" w:lineRule="exact"/>
        <w:rPr>
          <w:rFonts w:ascii="Times New Roman" w:cs="Times New Roman" w:eastAsia="Times New Roman" w:hAnsi="Times New Roman"/>
          <w:sz w:val="20"/>
          <w:szCs w:val="20"/>
          <w:color w:val="auto"/>
        </w:rPr>
      </w:pPr>
    </w:p>
    <w:p>
      <w:pPr>
        <w:jc w:val="both"/>
        <w:ind w:left="320" w:hanging="313"/>
        <w:spacing w:after="0" w:line="364" w:lineRule="auto"/>
        <w:tabs>
          <w:tab w:leader="none" w:pos="30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commercialization of our Managed Pressure Wells solution, Weatherford integrated and deployed it on the Maersk Viking ultra-deepwater drillship, securing the rig’s attractive position in a region where MPD capabilities are in high demand. The Maersk Viking is currently drilling with the Weatherford MPD system for a major operator in Malaysia. This integration shows the strategic importance of collaboration with drilling contractors and provides significant MPD benefits to customers.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Liquidity</w:t>
      </w:r>
    </w:p>
    <w:p>
      <w:pPr>
        <w:spacing w:after="0" w:line="200" w:lineRule="exact"/>
        <w:rPr>
          <w:sz w:val="20"/>
          <w:szCs w:val="20"/>
          <w:color w:val="auto"/>
        </w:rPr>
      </w:pPr>
    </w:p>
    <w:p>
      <w:pPr>
        <w:spacing w:after="0" w:line="201"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We closed the first quarter of 2022 with total cash of approximately $1.1 billion as of March 31, 2022, down $57 million sequentially. Unlevered free cash flow of negative $47 million was down $194 million sequentially, and free cash flow of negative $64 million was down $113 million versus the fourth quarter of 2021. This is primarily due to working capital requirements.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Drilling &amp; Evaluation (“DRE”)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14"/>
                <w:szCs w:val="14"/>
                <w:color w:val="auto"/>
              </w:rPr>
            </w:pPr>
          </w:p>
        </w:tc>
        <w:tc>
          <w:tcPr>
            <w:tcW w:w="13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March 31, 2022</w:t>
            </w:r>
          </w:p>
        </w:tc>
        <w:tc>
          <w:tcPr>
            <w:tcW w:w="260" w:type="dxa"/>
            <w:vAlign w:val="bottom"/>
          </w:tcPr>
          <w:p>
            <w:pPr>
              <w:spacing w:after="0"/>
              <w:rPr>
                <w:sz w:val="14"/>
                <w:szCs w:val="14"/>
                <w:color w:val="auto"/>
              </w:rPr>
            </w:pPr>
          </w:p>
        </w:tc>
        <w:tc>
          <w:tcPr>
            <w:tcW w:w="1420" w:type="dxa"/>
            <w:vAlign w:val="bottom"/>
          </w:tcPr>
          <w:p>
            <w:pPr>
              <w:jc w:val="center"/>
              <w:ind w:right="191"/>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22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Seq.</w:t>
            </w:r>
          </w:p>
        </w:tc>
        <w:tc>
          <w:tcPr>
            <w:tcW w:w="860" w:type="dxa"/>
            <w:vAlign w:val="bottom"/>
          </w:tcPr>
          <w:p>
            <w:pPr>
              <w:spacing w:after="0"/>
              <w:rPr>
                <w:sz w:val="14"/>
                <w:szCs w:val="14"/>
                <w:color w:val="auto"/>
              </w:rPr>
            </w:pPr>
          </w:p>
        </w:tc>
        <w:tc>
          <w:tcPr>
            <w:tcW w:w="84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19 %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c>
          <w:tcPr>
            <w:tcW w:w="8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790 bps</w:t>
            </w:r>
          </w:p>
        </w:tc>
        <w:tc>
          <w:tcPr>
            <w:tcW w:w="0" w:type="dxa"/>
            <w:vAlign w:val="bottom"/>
          </w:tcPr>
          <w:p>
            <w:pPr>
              <w:spacing w:after="0"/>
              <w:rPr>
                <w:sz w:val="1"/>
                <w:szCs w:val="1"/>
                <w:color w:val="auto"/>
              </w:rPr>
            </w:pPr>
          </w:p>
        </w:tc>
      </w:tr>
      <w:tr>
        <w:trPr>
          <w:trHeight w:val="235"/>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*bps = basis points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First quarter 2022 DRE revenues of $292 million increased by $56 million, or 24% year-over-year, largely due to higher demand for managed pressure drilling and wireline services, primarily in Latin America, and the Middle East/North Africa/Asia. DRE revenues increased by $5 million, or 2% sequentially, due to increased seasonal activity in North America, primarily in Canada.</w:t>
      </w:r>
    </w:p>
    <w:p>
      <w:pPr>
        <w:spacing w:after="0" w:line="8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First quarter 2022 DRE segment adjusted EBITDA of $59 million increased by $30 million, or 103% year-over-year, largely due to higher demand for managed pressure drilling and drilling services, and primarily in Latin America and increased by $4 million, or 7% sequentially, primarily due to improving gross margins.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Well Construction and Completions (“WCC”)</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14"/>
                <w:szCs w:val="14"/>
                <w:color w:val="auto"/>
              </w:rPr>
            </w:pPr>
          </w:p>
        </w:tc>
        <w:tc>
          <w:tcPr>
            <w:tcW w:w="13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March 31, 2022</w:t>
            </w:r>
          </w:p>
        </w:tc>
        <w:tc>
          <w:tcPr>
            <w:tcW w:w="260" w:type="dxa"/>
            <w:vAlign w:val="bottom"/>
          </w:tcPr>
          <w:p>
            <w:pPr>
              <w:spacing w:after="0"/>
              <w:rPr>
                <w:sz w:val="14"/>
                <w:szCs w:val="14"/>
                <w:color w:val="auto"/>
              </w:rPr>
            </w:pPr>
          </w:p>
        </w:tc>
        <w:tc>
          <w:tcPr>
            <w:tcW w:w="1420" w:type="dxa"/>
            <w:vAlign w:val="bottom"/>
          </w:tcPr>
          <w:p>
            <w:pPr>
              <w:jc w:val="center"/>
              <w:ind w:right="191"/>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32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Seq.</w:t>
            </w:r>
          </w:p>
        </w:tc>
        <w:tc>
          <w:tcPr>
            <w:tcW w:w="760" w:type="dxa"/>
            <w:vAlign w:val="bottom"/>
          </w:tcPr>
          <w:p>
            <w:pPr>
              <w:spacing w:after="0"/>
              <w:rPr>
                <w:sz w:val="14"/>
                <w:szCs w:val="14"/>
                <w:color w:val="auto"/>
              </w:rPr>
            </w:pP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First quarter 2022 WCC revenues of $344 million increased by $21 million, or 7% year-over-year, largely due to higher demand for cementation products and activity in North America. Revenues decreased by $4 million, or 1% sequentially, primarily due to a decline in international activity.</w:t>
      </w:r>
    </w:p>
    <w:p>
      <w:pPr>
        <w:spacing w:after="0" w:line="10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First quarter 2022 WCC segment adjusted EBITDA of $67 million increased by $17 million, or 34% year-over-year, mostly due to higher demand for cementation and completions products, with improvement primarily in the Middle East/North Africa/Asia. WCC segment adjusted EBITDA decreased by $5 million, or 7% sequentially, due to lower international contract consumption.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Production and Intervention (“PRI”)</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14"/>
                <w:szCs w:val="14"/>
                <w:color w:val="auto"/>
              </w:rPr>
            </w:pP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60" w:type="dxa"/>
            <w:vAlign w:val="bottom"/>
          </w:tcPr>
          <w:p>
            <w:pPr>
              <w:spacing w:after="0"/>
              <w:rPr>
                <w:sz w:val="14"/>
                <w:szCs w:val="14"/>
                <w:color w:val="auto"/>
              </w:rPr>
            </w:pPr>
          </w:p>
        </w:tc>
        <w:tc>
          <w:tcPr>
            <w:tcW w:w="1420" w:type="dxa"/>
            <w:vAlign w:val="bottom"/>
          </w:tcPr>
          <w:p>
            <w:pPr>
              <w:jc w:val="center"/>
              <w:ind w:right="171"/>
              <w:spacing w:after="0" w:line="172"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24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Seq.</w:t>
            </w:r>
          </w:p>
        </w:tc>
        <w:tc>
          <w:tcPr>
            <w:tcW w:w="860" w:type="dxa"/>
            <w:vAlign w:val="bottom"/>
          </w:tcPr>
          <w:p>
            <w:pPr>
              <w:spacing w:after="0"/>
              <w:rPr>
                <w:sz w:val="14"/>
                <w:szCs w:val="14"/>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16 %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(220) 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(220)bps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First quarter 2022 PRI revenues of $286 million increased by $27 million, or 10% year-over-year, due to higher demand for intervention, and pressure pumping services primarily in the Middle East/North Africa/Asia, and Latin America, respectively. Revenue decreased by $12 million, or 4% sequentially, due to logistical challenges impacting North America and a decline in customer activity in the Middle East/North Africa/Asia.</w:t>
      </w:r>
    </w:p>
    <w:p>
      <w:pPr>
        <w:spacing w:after="0" w:line="135"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First quarter 2022 PRI segment adjusted EBITDA of $39 million decreased $2 million, or 5% year-over-year, mainly due to higher logistics costs and supply chain challenges impacting our delivery schedule for products in North America, partially offset by activity improvements in the Middle East/North Africa/Asia. PRI segment adjusted EBITDA decreased by $8 million or 17% sequentially, due to logistical challenges impacting North America and inflation across international markets.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294" w:lineRule="exact"/>
        <w:rPr>
          <w:sz w:val="20"/>
          <w:szCs w:val="20"/>
          <w:color w:val="auto"/>
        </w:rPr>
      </w:pPr>
    </w:p>
    <w:p>
      <w:pPr>
        <w:jc w:val="both"/>
        <w:ind w:right="40"/>
        <w:spacing w:after="0" w:line="368" w:lineRule="auto"/>
        <w:rPr>
          <w:sz w:val="20"/>
          <w:szCs w:val="20"/>
          <w:color w:val="auto"/>
        </w:rPr>
      </w:pPr>
      <w:r>
        <w:rPr>
          <w:rFonts w:ascii="Times New Roman" w:cs="Times New Roman" w:eastAsia="Times New Roman" w:hAnsi="Times New Roman"/>
          <w:sz w:val="20"/>
          <w:szCs w:val="20"/>
          <w:color w:val="auto"/>
        </w:rPr>
        <w:t xml:space="preserve">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 Visit </w:t>
      </w:r>
      <w:r>
        <w:rPr>
          <w:rFonts w:ascii="Times New Roman" w:cs="Times New Roman" w:eastAsia="Times New Roman" w:hAnsi="Times New Roman"/>
          <w:sz w:val="20"/>
          <w:szCs w:val="20"/>
          <w:u w:val="single" w:color="auto"/>
          <w:color w:val="3051F2"/>
        </w:rPr>
        <w:t>https://www.weatherford.com/</w:t>
      </w:r>
      <w:r>
        <w:rPr>
          <w:rFonts w:ascii="Times New Roman" w:cs="Times New Roman" w:eastAsia="Times New Roman" w:hAnsi="Times New Roman"/>
          <w:sz w:val="20"/>
          <w:szCs w:val="20"/>
          <w:color w:val="auto"/>
        </w:rPr>
        <w:t xml:space="preserve"> for more information or connect on LinkedIn, Facebook, Twitter, Instagram, or YouTube.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294" w:lineRule="exact"/>
        <w:rPr>
          <w:sz w:val="20"/>
          <w:szCs w:val="20"/>
          <w:color w:val="auto"/>
        </w:rPr>
      </w:pPr>
    </w:p>
    <w:p>
      <w:pPr>
        <w:jc w:val="both"/>
        <w:spacing w:after="0" w:line="392" w:lineRule="auto"/>
        <w:rPr>
          <w:sz w:val="20"/>
          <w:szCs w:val="20"/>
          <w:color w:val="auto"/>
        </w:rPr>
      </w:pPr>
      <w:r>
        <w:rPr>
          <w:rFonts w:ascii="Times New Roman" w:cs="Times New Roman" w:eastAsia="Times New Roman" w:hAnsi="Times New Roman"/>
          <w:sz w:val="20"/>
          <w:szCs w:val="20"/>
          <w:color w:val="auto"/>
        </w:rPr>
        <w:t>Weatherford will host a conference call on Thursday, April 28, 2022, to discuss the results for the first quarter ended March 31, 2022. The conference call will begin at 9:00 a.m. Eastern Time (8:00 a.m. Central Time).</w:t>
      </w:r>
    </w:p>
    <w:p>
      <w:pPr>
        <w:spacing w:after="0" w:line="54" w:lineRule="exact"/>
        <w:rPr>
          <w:sz w:val="20"/>
          <w:szCs w:val="20"/>
          <w:color w:val="auto"/>
        </w:rPr>
      </w:pPr>
    </w:p>
    <w:p>
      <w:pPr>
        <w:jc w:val="both"/>
        <w:spacing w:after="0" w:line="392"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6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 xml:space="preserve">Listeners can participate in the conference call via a live webcast at </w:t>
      </w:r>
      <w:r>
        <w:rPr>
          <w:rFonts w:ascii="Times New Roman" w:cs="Times New Roman" w:eastAsia="Times New Roman" w:hAnsi="Times New Roman"/>
          <w:sz w:val="20"/>
          <w:szCs w:val="20"/>
          <w:u w:val="single" w:color="auto"/>
          <w:color w:val="3051F2"/>
        </w:rPr>
        <w:t>https://www.weatherford.com/en/investor-relations/investor-news-and-events/events/</w:t>
      </w:r>
      <w:r>
        <w:rPr>
          <w:rFonts w:ascii="Times New Roman" w:cs="Times New Roman" w:eastAsia="Times New Roman" w:hAnsi="Times New Roman"/>
          <w:sz w:val="20"/>
          <w:szCs w:val="20"/>
          <w:color w:val="000000"/>
        </w:rPr>
        <w:t>, or by dialing +1 877-328-5344 (within the U.S.) or +1 412-902-6762 (outside of the U.S.) and asking for the Weatherford</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conference call. Listeners should log in or dial in approximately 10 minutes prior to the start of the call.</w:t>
      </w:r>
    </w:p>
    <w:p>
      <w:pPr>
        <w:spacing w:after="0" w:line="8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May 12, 2022 at 5:00 p.m. Eastern Time. To access the replay, please dial +1 877-344-7529 (within the U.S.) or +1 412-317-0088 (outside of the U.S.) and reference conference number 6100377. A replay and transcript of the earnings call will also be available in the investor relations section of the Company’s website.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Mohammed Topiwala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 and M&amp;A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Global Communications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operating income and losses, segment adjusted EBITDA, adjusted EBITDA, free cash flow, unlevered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the Russia Ukraine conflict and the COVID-19 pandemic; general global economic repercussions related to U.S and global inflationary pressures, the Russia Ukraine conflict, and the COVID-19 pandemic; the macroeconomic outlook for the oil and gas industry; and operational challenges relating to the Russia Ukraine conflict, sanctions imposed by various countries relating to the Russia Ukraine conflict, and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w:t>
      </w:r>
    </w:p>
    <w:p>
      <w:pPr>
        <w:spacing w:after="0" w:line="248"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 including the risk factors described in the Company’s Annual Report on Form 10-K.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94" w:right="339" w:bottom="1440" w:gutter="0" w:footer="0" w:header="0"/>
        </w:sectPr>
      </w:pPr>
    </w:p>
    <w:bookmarkStart w:id="11" w:name="page12"/>
    <w:bookmarkEnd w:id="11"/>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19" w:lineRule="exact"/>
        <w:rPr>
          <w:sz w:val="20"/>
          <w:szCs w:val="20"/>
          <w:color w:val="auto"/>
        </w:rPr>
      </w:pPr>
    </w:p>
    <w:tbl>
      <w:tblPr>
        <w:tblLayout w:type="fixed"/>
        <w:tblInd w:w="713"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60" w:type="dxa"/>
            <w:vAlign w:val="bottom"/>
          </w:tcPr>
          <w:p>
            <w:pPr>
              <w:spacing w:after="0"/>
              <w:rPr>
                <w:sz w:val="14"/>
                <w:szCs w:val="14"/>
                <w:color w:val="auto"/>
              </w:rPr>
            </w:pPr>
          </w:p>
        </w:tc>
        <w:tc>
          <w:tcPr>
            <w:tcW w:w="1000" w:type="dxa"/>
            <w:vAlign w:val="bottom"/>
          </w:tcPr>
          <w:p>
            <w:pPr>
              <w:jc w:val="right"/>
              <w:ind w:right="91"/>
              <w:spacing w:after="0" w:line="16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00" w:type="dxa"/>
            <w:vAlign w:val="bottom"/>
          </w:tcPr>
          <w:p>
            <w:pPr>
              <w:jc w:val="center"/>
              <w:ind w:right="91"/>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4"/>
                <w:szCs w:val="14"/>
                <w:color w:val="auto"/>
              </w:rPr>
            </w:pPr>
          </w:p>
        </w:tc>
        <w:tc>
          <w:tcPr>
            <w:tcW w:w="1020" w:type="dxa"/>
            <w:vAlign w:val="bottom"/>
          </w:tcPr>
          <w:p>
            <w:pPr>
              <w:jc w:val="right"/>
              <w:ind w:right="111"/>
              <w:spacing w:after="0" w:line="16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2"/>
        </w:trPr>
        <w:tc>
          <w:tcPr>
            <w:tcW w:w="58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2"/>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2"/>
        </w:trPr>
        <w:tc>
          <w:tcPr>
            <w:tcW w:w="5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5860" w:type="dxa"/>
            <w:vAlign w:val="bottom"/>
          </w:tcPr>
          <w:p>
            <w:pPr>
              <w:ind w:left="260"/>
              <w:spacing w:after="0" w:line="248"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2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shd w:val="clear" w:color="auto" w:fill="CCEEFF"/>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2"/>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Adjusted EBITDA</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8"/>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8"/>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8"/>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7"/>
        </w:trPr>
        <w:tc>
          <w:tcPr>
            <w:tcW w:w="58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33" w:right="280" w:hanging="233"/>
        <w:spacing w:after="0" w:line="219" w:lineRule="auto"/>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33" w:hanging="233"/>
        <w:spacing w:after="0" w:line="260" w:lineRule="auto"/>
        <w:tabs>
          <w:tab w:leader="none" w:pos="2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ind w:left="233" w:right="60" w:hanging="233"/>
        <w:spacing w:after="0" w:line="208" w:lineRule="auto"/>
        <w:tabs>
          <w:tab w:leader="none" w:pos="2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Other adjustments include $20 million of restructuring charges and $19 million of other charges, net, primarily related to the write-down of all of our assets in Ukraine, excluding cash, in the three months ended March 31, 2022. There were no other adjustments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53"/>
          </w:cols>
          <w:pgMar w:left="327" w:top="1312" w:right="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 Areas (Unaudited)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3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80" w:type="dxa"/>
            <w:vAlign w:val="bottom"/>
          </w:tcPr>
          <w:p>
            <w:pPr>
              <w:spacing w:after="0"/>
              <w:rPr>
                <w:sz w:val="14"/>
                <w:szCs w:val="14"/>
                <w:color w:val="auto"/>
              </w:rPr>
            </w:pPr>
          </w:p>
        </w:tc>
        <w:tc>
          <w:tcPr>
            <w:tcW w:w="1320" w:type="dxa"/>
            <w:vAlign w:val="bottom"/>
          </w:tcPr>
          <w:p>
            <w:pPr>
              <w:jc w:val="center"/>
              <w:ind w:right="111"/>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0" w:type="dxa"/>
            <w:vAlign w:val="bottom"/>
          </w:tcPr>
          <w:p>
            <w:pPr>
              <w:spacing w:after="0"/>
              <w:rPr>
                <w:sz w:val="1"/>
                <w:szCs w:val="1"/>
                <w:color w:val="auto"/>
              </w:rPr>
            </w:pPr>
          </w:p>
        </w:tc>
      </w:tr>
      <w:tr>
        <w:trPr>
          <w:trHeight w:val="242"/>
        </w:trPr>
        <w:tc>
          <w:tcPr>
            <w:tcW w:w="37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3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 Areas: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330</w:t>
            </w:r>
          </w:p>
        </w:tc>
        <w:tc>
          <w:tcPr>
            <w:tcW w:w="7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238</w:t>
            </w: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216</w:t>
            </w: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181</w:t>
            </w: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2"/>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965</w:t>
            </w:r>
          </w:p>
        </w:tc>
        <w:tc>
          <w:tcPr>
            <w:tcW w:w="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3"/>
        </w:trPr>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-1337310</wp:posOffset>
            </wp:positionV>
            <wp:extent cx="6903085" cy="14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308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-1047750</wp:posOffset>
            </wp:positionV>
            <wp:extent cx="6903085" cy="144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08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-758190</wp:posOffset>
            </wp:positionV>
            <wp:extent cx="6903085" cy="17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08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746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Seq.</w:t>
            </w: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445"/>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8"/>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3"/>
        </w:trPr>
        <w:tc>
          <w:tcPr>
            <w:tcW w:w="1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2"/>
        </w:trPr>
        <w:tc>
          <w:tcPr>
            <w:tcW w:w="1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20" w:space="100"/>
            <w:col w:w="2760"/>
          </w:cols>
          <w:pgMar w:left="320" w:top="1070" w:right="6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841</w:t>
            </w:r>
          </w:p>
        </w:tc>
        <w:tc>
          <w:tcPr>
            <w:tcW w:w="6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868</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68"/>
        </w:trPr>
        <w:tc>
          <w:tcPr>
            <w:tcW w:w="6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964</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68"/>
        </w:trPr>
        <w:tc>
          <w:tcPr>
            <w:tcW w:w="63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2,416</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68"/>
        </w:trPr>
        <w:tc>
          <w:tcPr>
            <w:tcW w:w="63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68"/>
        </w:trPr>
        <w:tc>
          <w:tcPr>
            <w:tcW w:w="6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8"/>
        </w:trPr>
        <w:tc>
          <w:tcPr>
            <w:tcW w:w="63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 xml:space="preserve">Components of Net Debt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2,416</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841</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8"/>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1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7"/>
        </w:trPr>
        <w:tc>
          <w:tcPr>
            <w:tcW w:w="6360" w:type="dxa"/>
            <w:vAlign w:val="bottom"/>
            <w:tcBorders>
              <w:bottom w:val="single" w:sz="8" w:color="auto"/>
            </w:tcBorders>
            <w:shd w:val="clear" w:color="auto" w:fill="CCEEFF"/>
          </w:tcPr>
          <w:p>
            <w:pPr>
              <w:ind w:left="220"/>
              <w:spacing w:after="0" w:line="222"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w:t>
            </w:r>
          </w:p>
        </w:tc>
        <w:tc>
          <w:tcPr>
            <w:tcW w:w="6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40" w:hanging="172"/>
        <w:spacing w:after="0"/>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70" w:right="339" w:bottom="1440" w:gutter="0" w:footer="0" w:header="0"/>
        </w:sectPr>
      </w:pPr>
    </w:p>
    <w:bookmarkStart w:id="14" w:name="page15"/>
    <w:bookmarkEnd w:id="14"/>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Weatherford International plc</w:t>
      </w:r>
    </w:p>
    <w:p>
      <w:pPr>
        <w:spacing w:after="0" w:line="3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Selected Cash Flows Information (Unaudited)</w:t>
      </w:r>
    </w:p>
    <w:p>
      <w:pPr>
        <w:spacing w:after="0" w:line="118" w:lineRule="exact"/>
        <w:rPr>
          <w:sz w:val="20"/>
          <w:szCs w:val="20"/>
          <w:color w:val="auto"/>
        </w:rPr>
      </w:pPr>
    </w:p>
    <w:tbl>
      <w:tblPr>
        <w:tblLayout w:type="fixed"/>
        <w:tblInd w:w="393"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91"/>
              <w:spacing w:after="0" w:line="16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4"/>
                <w:szCs w:val="14"/>
                <w:color w:val="auto"/>
              </w:rPr>
            </w:pPr>
          </w:p>
        </w:tc>
        <w:tc>
          <w:tcPr>
            <w:tcW w:w="1360" w:type="dxa"/>
            <w:vAlign w:val="bottom"/>
          </w:tcPr>
          <w:p>
            <w:pPr>
              <w:jc w:val="center"/>
              <w:ind w:right="191"/>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4"/>
                <w:szCs w:val="14"/>
                <w:color w:val="auto"/>
              </w:rPr>
            </w:pPr>
          </w:p>
        </w:tc>
        <w:tc>
          <w:tcPr>
            <w:tcW w:w="106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0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 Redemption Premium and Loss on Extinguishment of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Write-downs and Other Charges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Charges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Other Operating Activities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(Payments) for 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(1,803)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Short-term Debt,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330E74"/>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330E74"/>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 Redemption Premium</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140" w:type="dxa"/>
            <w:vAlign w:val="bottom"/>
            <w:gridSpan w:val="2"/>
          </w:tcPr>
          <w:p>
            <w:pPr>
              <w:jc w:val="center"/>
              <w:ind w:left="671"/>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8"/>
        </w:trPr>
        <w:tc>
          <w:tcPr>
            <w:tcW w:w="80" w:type="dxa"/>
            <w:vAlign w:val="bottom"/>
            <w:tcBorders>
              <w:bottom w:val="single" w:sz="8" w:color="auto"/>
            </w:tcBorders>
            <w:shd w:val="clear" w:color="auto" w:fill="CCEEFF"/>
          </w:tcPr>
          <w:p>
            <w:pPr>
              <w:spacing w:after="0"/>
              <w:rPr>
                <w:sz w:val="19"/>
                <w:szCs w:val="19"/>
                <w:color w:val="auto"/>
              </w:rPr>
            </w:pPr>
          </w:p>
        </w:tc>
        <w:tc>
          <w:tcPr>
            <w:tcW w:w="60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2"/>
        </w:trPr>
        <w:tc>
          <w:tcPr>
            <w:tcW w:w="8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ind w:left="140"/>
              <w:spacing w:after="0" w:line="222"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center"/>
              <w:ind w:left="711"/>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53" w:hanging="153"/>
        <w:spacing w:after="0"/>
        <w:tabs>
          <w:tab w:leader="none" w:pos="153"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Working capital is defined as the cash changes in accounts receivable plus inventory less accounts payable.</w:t>
      </w:r>
    </w:p>
    <w:p>
      <w:pPr>
        <w:spacing w:after="0" w:line="24" w:lineRule="exact"/>
        <w:rPr>
          <w:rFonts w:ascii="Times New Roman" w:cs="Times New Roman" w:eastAsia="Times New Roman" w:hAnsi="Times New Roman"/>
          <w:sz w:val="9"/>
          <w:szCs w:val="9"/>
          <w:color w:val="auto"/>
        </w:rPr>
      </w:pPr>
    </w:p>
    <w:p>
      <w:pPr>
        <w:ind w:left="153" w:hanging="153"/>
        <w:spacing w:after="0" w:line="191" w:lineRule="auto"/>
        <w:tabs>
          <w:tab w:leader="none" w:pos="15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operating activities is primarily accruals, net of cash payments for operational expenses, interest, taxes, employee costs and leases.</w:t>
      </w:r>
    </w:p>
    <w:p>
      <w:pPr>
        <w:spacing w:after="0" w:line="5" w:lineRule="exact"/>
        <w:rPr>
          <w:rFonts w:ascii="Times New Roman" w:cs="Times New Roman" w:eastAsia="Times New Roman" w:hAnsi="Times New Roman"/>
          <w:sz w:val="19"/>
          <w:szCs w:val="19"/>
          <w:color w:val="auto"/>
          <w:vertAlign w:val="superscript"/>
        </w:rPr>
      </w:pPr>
    </w:p>
    <w:p>
      <w:pPr>
        <w:ind w:left="153" w:hanging="153"/>
        <w:spacing w:after="0" w:line="239" w:lineRule="auto"/>
        <w:tabs>
          <w:tab w:leader="none" w:pos="135"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6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33"/>
          </w:cols>
          <w:pgMar w:left="327" w:top="956"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7"/>
          <w:szCs w:val="17"/>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9" w:lineRule="exact"/>
        <w:rPr>
          <w:sz w:val="20"/>
          <w:szCs w:val="20"/>
          <w:color w:val="auto"/>
        </w:rPr>
      </w:pPr>
    </w:p>
    <w:tbl>
      <w:tblPr>
        <w:tblLayout w:type="fixed"/>
        <w:tblInd w:w="1020" w:type="dxa"/>
        <w:tblCellMar>
          <w:top w:w="0" w:type="dxa"/>
          <w:left w:w="0" w:type="dxa"/>
          <w:bottom w:w="0" w:type="dxa"/>
          <w:right w:w="0" w:type="dxa"/>
        </w:tblCellMar>
      </w:tblPr>
      <w:tr>
        <w:trPr>
          <w:trHeight w:val="223"/>
        </w:trPr>
        <w:tc>
          <w:tcPr>
            <w:tcW w:w="5820" w:type="dxa"/>
            <w:vAlign w:val="bottom"/>
            <w:gridSpan w:val="2"/>
          </w:tcPr>
          <w:p>
            <w:pPr>
              <w:jc w:val="center"/>
              <w:ind w:left="3294"/>
              <w:spacing w:after="0"/>
              <w:rPr>
                <w:sz w:val="20"/>
                <w:szCs w:val="20"/>
                <w:color w:val="auto"/>
              </w:rPr>
            </w:pPr>
            <w:r>
              <w:rPr>
                <w:rFonts w:ascii="Times New Roman" w:cs="Times New Roman" w:eastAsia="Times New Roman" w:hAnsi="Times New Roman"/>
                <w:sz w:val="17"/>
                <w:szCs w:val="17"/>
                <w:b w:val="1"/>
                <w:bCs w:val="1"/>
                <w:color w:val="auto"/>
                <w:w w:val="99"/>
              </w:rPr>
              <w:t>Weatherford International plc</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240" w:type="dxa"/>
            <w:vAlign w:val="bottom"/>
            <w:gridSpan w:val="4"/>
          </w:tcPr>
          <w:p>
            <w:pPr>
              <w:jc w:val="center"/>
              <w:ind w:left="1874"/>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 (Unaudited)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6840" w:type="dxa"/>
            <w:vAlign w:val="bottom"/>
            <w:gridSpan w:val="3"/>
          </w:tcPr>
          <w:p>
            <w:pPr>
              <w:jc w:val="center"/>
              <w:ind w:left="2274"/>
              <w:spacing w:after="0"/>
              <w:rPr>
                <w:sz w:val="20"/>
                <w:szCs w:val="20"/>
                <w:color w:val="auto"/>
              </w:rPr>
            </w:pPr>
            <w:r>
              <w:rPr>
                <w:rFonts w:ascii="Times New Roman" w:cs="Times New Roman" w:eastAsia="Times New Roman" w:hAnsi="Times New Roman"/>
                <w:sz w:val="17"/>
                <w:szCs w:val="17"/>
                <w:i w:val="1"/>
                <w:iCs w:val="1"/>
                <w:color w:val="auto"/>
                <w:w w:val="99"/>
              </w:rPr>
              <w:t>($ in Millions, Except Per Share Amounts)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5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1"/>
                <w:szCs w:val="21"/>
                <w:color w:val="auto"/>
              </w:rPr>
            </w:pPr>
          </w:p>
        </w:tc>
      </w:tr>
      <w:tr>
        <w:trPr>
          <w:trHeight w:val="168"/>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4"/>
              <w:spacing w:after="0" w:line="16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2"/>
          </w:tcPr>
          <w:p>
            <w:pPr>
              <w:ind w:left="80"/>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4"/>
                <w:szCs w:val="14"/>
                <w:color w:val="auto"/>
              </w:rPr>
            </w:pPr>
          </w:p>
        </w:tc>
        <w:tc>
          <w:tcPr>
            <w:tcW w:w="960" w:type="dxa"/>
            <w:vAlign w:val="bottom"/>
          </w:tcPr>
          <w:p>
            <w:pPr>
              <w:jc w:val="right"/>
              <w:ind w:right="74"/>
              <w:spacing w:after="0" w:line="168" w:lineRule="exact"/>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9"/>
        </w:trPr>
        <w:tc>
          <w:tcPr>
            <w:tcW w:w="5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Charges, Net</w:t>
            </w:r>
          </w:p>
        </w:tc>
        <w:tc>
          <w:tcPr>
            <w:tcW w:w="1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Adjustments (Operating Non-GAAP)</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Adjusted 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GAAP 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33"/>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Non-GAAP Adjustments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5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 and Bond Redemption Premium</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Adjustments Before Taxes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6"/>
        </w:trPr>
        <w:tc>
          <w:tcPr>
            <w:tcW w:w="5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5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Tax Effect on Non-GAAP Adjustments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Attributable to Weatherford:</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GAAP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8"/>
        </w:trPr>
        <w:tc>
          <w:tcPr>
            <w:tcW w:w="5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6"/>
        </w:trPr>
        <w:tc>
          <w:tcPr>
            <w:tcW w:w="5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Diluted Loss Per Share Attributable to Weatherford: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Diluted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24"/>
        </w:trPr>
        <w:tc>
          <w:tcPr>
            <w:tcW w:w="5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Diluted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69" w:right="339" w:bottom="1440" w:gutter="0" w:footer="0" w:header="0"/>
        </w:sectPr>
      </w:pPr>
    </w:p>
    <w:bookmarkStart w:id="16" w:name="page17"/>
    <w:bookmarkEnd w:id="1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Net Loss to Adjusted EBITDA (Unaudited)</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2"/>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2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Weatherford</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8"/>
        </w:trPr>
        <w:tc>
          <w:tcPr>
            <w:tcW w:w="6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8"/>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6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8"/>
        </w:trPr>
        <w:tc>
          <w:tcPr>
            <w:tcW w:w="6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8"/>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Charges, Net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6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154</w:t>
            </w: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Supplemental Reconciliation of Non-GAAP Financial Measures</w:t>
      </w:r>
    </w:p>
    <w:p>
      <w:pPr>
        <w:spacing w:after="0" w:line="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Adjusted EBITDA to Free Cash Flow (Unaudited)</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237"/>
        </w:trPr>
        <w:tc>
          <w:tcPr>
            <w:tcW w:w="5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14"/>
                <w:szCs w:val="14"/>
                <w:color w:val="auto"/>
              </w:rPr>
            </w:pPr>
          </w:p>
        </w:tc>
        <w:tc>
          <w:tcPr>
            <w:tcW w:w="1480" w:type="dxa"/>
            <w:vAlign w:val="bottom"/>
          </w:tcPr>
          <w:p>
            <w:pPr>
              <w:jc w:val="right"/>
              <w:ind w:right="311"/>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8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0" w:type="dxa"/>
            <w:vAlign w:val="bottom"/>
          </w:tcPr>
          <w:p>
            <w:pPr>
              <w:spacing w:after="0"/>
              <w:rPr>
                <w:sz w:val="1"/>
                <w:szCs w:val="1"/>
                <w:color w:val="auto"/>
              </w:rPr>
            </w:pPr>
          </w:p>
        </w:tc>
      </w:tr>
      <w:tr>
        <w:trPr>
          <w:trHeight w:val="242"/>
        </w:trPr>
        <w:tc>
          <w:tcPr>
            <w:tcW w:w="552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gridSpan w:val="3"/>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154</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8"/>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From (Used) for Working Capital</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Taxes</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Severance and Restructuring</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auto"/>
            </w:tcBorders>
          </w:tcPr>
          <w:p>
            <w:pPr>
              <w:ind w:left="160"/>
              <w:spacing w:after="0" w:line="229" w:lineRule="exact"/>
              <w:rPr>
                <w:sz w:val="20"/>
                <w:szCs w:val="20"/>
                <w:color w:val="auto"/>
              </w:rPr>
            </w:pPr>
            <w:r>
              <w:rPr>
                <w:rFonts w:ascii="Times New Roman" w:cs="Times New Roman" w:eastAsia="Times New Roman" w:hAnsi="Times New Roman"/>
                <w:sz w:val="18"/>
                <w:szCs w:val="18"/>
                <w:color w:val="auto"/>
              </w:rPr>
              <w:t xml:space="preserve">Increase (Decrease) in Accruals, Net </w:t>
            </w:r>
            <w:r>
              <w:rPr>
                <w:rFonts w:ascii="Times New Roman" w:cs="Times New Roman" w:eastAsia="Times New Roman" w:hAnsi="Times New Roman"/>
                <w:sz w:val="23"/>
                <w:szCs w:val="23"/>
                <w:color w:val="auto"/>
                <w:vertAlign w:val="superscript"/>
              </w:rPr>
              <w:t>[4]</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FFFF"/>
              </w:rPr>
              <w:t>(194)</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shd w:val="clear" w:color="auto" w:fill="CCEEFF"/>
          </w:tcPr>
          <w:p>
            <w:pPr>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Unlevered Free Cash Flow </w:t>
            </w:r>
            <w:r>
              <w:rPr>
                <w:rFonts w:ascii="Times New Roman" w:cs="Times New Roman" w:eastAsia="Times New Roman" w:hAnsi="Times New Roman"/>
                <w:sz w:val="23"/>
                <w:szCs w:val="23"/>
                <w:b w:val="1"/>
                <w:bCs w:val="1"/>
                <w:color w:val="auto"/>
                <w:vertAlign w:val="superscript"/>
              </w:rPr>
              <w:t>[5]</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147</w:t>
            </w: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color w:val="FFFFFF"/>
              </w:rPr>
              <w:t>-113000000</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2"/>
        </w:trPr>
        <w:tc>
          <w:tcPr>
            <w:tcW w:w="5520" w:type="dxa"/>
            <w:vAlign w:val="bottom"/>
            <w:tcBorders>
              <w:bottom w:val="single" w:sz="8" w:color="auto"/>
            </w:tcBorders>
            <w:shd w:val="clear" w:color="auto" w:fill="CCEEFF"/>
          </w:tcPr>
          <w:p>
            <w:pPr>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[6]</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74"/>
        </w:trPr>
        <w:tc>
          <w:tcPr>
            <w:tcW w:w="55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29" w:lineRule="auto"/>
        <w:tabs>
          <w:tab w:leader="none" w:pos="334"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Increase (Decrease) in Accruals, Net primarily includes accruals for net employee benefits, net payments for leases, change in our allowance for credit losses and foreign currency exchange impact.</w:t>
      </w:r>
    </w:p>
    <w:p>
      <w:pPr>
        <w:spacing w:after="0" w:line="1" w:lineRule="exact"/>
        <w:rPr>
          <w:rFonts w:ascii="Times New Roman" w:cs="Times New Roman" w:eastAsia="Times New Roman" w:hAnsi="Times New Roman"/>
          <w:sz w:val="20"/>
          <w:szCs w:val="20"/>
          <w:color w:val="auto"/>
          <w:vertAlign w:val="superscript"/>
        </w:rPr>
      </w:pPr>
    </w:p>
    <w:p>
      <w:pPr>
        <w:ind w:left="320" w:hanging="312"/>
        <w:spacing w:after="0" w:line="188" w:lineRule="auto"/>
        <w:tabs>
          <w:tab w:leader="none" w:pos="32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Unlevered free cash flow is a non-GAAP measure calculated as free cash flow plus cash paid for interest.</w:t>
      </w:r>
    </w:p>
    <w:p>
      <w:pPr>
        <w:jc w:val="both"/>
        <w:ind w:left="340" w:hanging="332"/>
        <w:spacing w:after="0" w:line="227" w:lineRule="auto"/>
        <w:tabs>
          <w:tab w:leader="none" w:pos="334"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80"/>
      </w:cols>
      <w:pgMar w:left="480" w:top="10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2022-04-27T15:56:09Z</dcterms:created>
  <dcterms:modified xsi:type="dcterms:W3CDTF">2022-04-27T15:56:09Z</dcterms:modified>
</cp:coreProperties>
</file>