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33"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720" w:space="720"/>
            <w:col w:w="3160"/>
          </w:cols>
          <w:pgMar w:left="320" w:top="733" w:right="339" w:bottom="1440" w:gutter="0" w:footer="0" w:header="0"/>
          <w:type w:val="continuous"/>
        </w:sectPr>
      </w:pPr>
    </w:p>
    <w:p>
      <w:pPr>
        <w:ind w:left="134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240"/>
          </w:cols>
          <w:pgMar w:left="320" w:top="733" w:right="339" w:bottom="1440" w:gutter="0" w:footer="0" w:header="0"/>
          <w:type w:val="continuous"/>
        </w:sectPr>
      </w:pPr>
    </w:p>
    <w:p>
      <w:pPr>
        <w:spacing w:after="0" w:line="245" w:lineRule="exact"/>
        <w:rPr>
          <w:sz w:val="24"/>
          <w:szCs w:val="24"/>
          <w:color w:val="auto"/>
        </w:rPr>
      </w:pPr>
    </w:p>
    <w:p>
      <w:pPr>
        <w:ind w:left="1340"/>
        <w:spacing w:after="0"/>
        <w:rPr>
          <w:sz w:val="20"/>
          <w:szCs w:val="20"/>
          <w:color w:val="auto"/>
        </w:rPr>
      </w:pPr>
      <w:r>
        <w:rPr>
          <w:rFonts w:ascii="Arial" w:cs="Arial" w:eastAsia="Arial" w:hAnsi="Arial"/>
          <w:sz w:val="15"/>
          <w:szCs w:val="15"/>
          <w:b w:val="1"/>
          <w:bCs w:val="1"/>
          <w:color w:val="auto"/>
        </w:rPr>
        <w:t>2000 St. James Place, Houston, Texas</w:t>
      </w:r>
    </w:p>
    <w:p>
      <w:pPr>
        <w:spacing w:after="0" w:line="62"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jc w:val="center"/>
        <w:ind w:right="2800"/>
        <w:spacing w:after="0"/>
        <w:rPr>
          <w:sz w:val="20"/>
          <w:szCs w:val="20"/>
          <w:color w:val="auto"/>
        </w:rPr>
      </w:pPr>
      <w:r>
        <w:rPr>
          <w:rFonts w:ascii="Arial" w:cs="Arial" w:eastAsia="Arial" w:hAnsi="Arial"/>
          <w:sz w:val="18"/>
          <w:szCs w:val="18"/>
          <w:b w:val="1"/>
          <w:bCs w:val="1"/>
          <w:color w:val="auto"/>
        </w:rPr>
        <w:t>77056</w:t>
      </w:r>
    </w:p>
    <w:p>
      <w:pPr>
        <w:spacing w:after="0" w:line="27" w:lineRule="exact"/>
        <w:rPr>
          <w:sz w:val="24"/>
          <w:szCs w:val="24"/>
          <w:color w:val="auto"/>
        </w:rPr>
      </w:pPr>
    </w:p>
    <w:p>
      <w:pPr>
        <w:jc w:val="center"/>
        <w:ind w:right="28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940" w:space="720"/>
            <w:col w:w="3580"/>
          </w:cols>
          <w:pgMar w:left="320" w:top="733"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Ordinary shares, par value $0.001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0"/>
              <w:spacing w:after="0"/>
              <w:rPr>
                <w:sz w:val="20"/>
                <w:szCs w:val="20"/>
                <w:color w:val="auto"/>
              </w:rPr>
            </w:pPr>
            <w:r>
              <w:rPr>
                <w:rFonts w:ascii="Arial" w:cs="Arial" w:eastAsia="Arial" w:hAnsi="Arial"/>
                <w:sz w:val="18"/>
                <w:szCs w:val="18"/>
                <w:color w:val="auto"/>
                <w:w w:val="96"/>
              </w:rPr>
              <w:t>WFRD</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340"/>
        <w:spacing w:after="0" w:line="207" w:lineRule="exact"/>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December 1, 2022, Weatherford International, LLC (“WIL-Delaware”), Weatherford International plc (the “Company”), as parent guarantor, Weatherford International Ltd. (the “WIL-Bermuda”), as issuer, and Deutsche Bank Trust Company Americas, as trustee (together with WIL-Delaware, the Company and WIL-Bermuda, the “Parties”), entered into a supplemental indenture (the “Supplemental Indenture”) to the indenture dated as of October 27, 2021 (the “Indenture”) by and among the Parties and the other guarantors party thereto, providing for the issuance of the 8.625% Senior Notes due 2030 by WIL-Bermuda (the “Notes”).</w:t>
      </w:r>
    </w:p>
    <w:p>
      <w:pPr>
        <w:spacing w:after="0" w:line="188"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Supplemental Indenture, among other things, (i) adds WIL-Delaware as a co-issuer of the Notes and a co-obligor of any and all of WIL-Bermuda’s obligations under the Indenture and the Notes, on the same terms and subject to the same conditions as WIL-Bermuda, on a joint and several basis and, concurrently, (ii) unconditionally releases WIL-Delaware’s guarantee of the Notes under the Indenture.</w:t>
      </w:r>
    </w:p>
    <w:p>
      <w:pPr>
        <w:spacing w:after="0" w:line="16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foregoing description of the Indenture and the Supplemental Indenture is only a summary and does not purport to be complete and is qualified in its entirety by reference to the full text of the Indenture and the Supplemental Indenture, copies of which are attached hereto as Exhibits 4.1 and 4.2, respectively, and are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8100" w:type="dxa"/>
            <w:vAlign w:val="bottom"/>
            <w:tcBorders>
              <w:bottom w:val="single" w:sz="8" w:color="auto"/>
            </w:tcBorders>
            <w:gridSpan w:val="5"/>
          </w:tcPr>
          <w:p>
            <w:pPr>
              <w:ind w:left="24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40" w:type="dxa"/>
            <w:vAlign w:val="bottom"/>
            <w:tcBorders>
              <w:bottom w:val="single" w:sz="8" w:color="0000EE"/>
            </w:tcBorders>
          </w:tcPr>
          <w:p>
            <w:pPr>
              <w:spacing w:after="0" w:line="169" w:lineRule="exact"/>
              <w:rPr>
                <w:rFonts w:ascii="Arial" w:cs="Arial" w:eastAsia="Arial" w:hAnsi="Arial"/>
                <w:sz w:val="18"/>
                <w:szCs w:val="18"/>
                <w:color w:val="0000EE"/>
                <w:w w:val="87"/>
              </w:rPr>
            </w:pPr>
            <w:hyperlink r:id="rId1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EE"/>
            </w:tcBorders>
            <w:gridSpan w:val="3"/>
          </w:tcPr>
          <w:p>
            <w:pPr>
              <w:spacing w:after="0" w:line="169" w:lineRule="exact"/>
              <w:rPr>
                <w:rFonts w:ascii="Arial" w:cs="Arial" w:eastAsia="Arial" w:hAnsi="Arial"/>
                <w:sz w:val="18"/>
                <w:szCs w:val="18"/>
                <w:color w:val="0000EE"/>
                <w:w w:val="89"/>
              </w:rPr>
            </w:pPr>
            <w:hyperlink r:id="rId13">
              <w:r>
                <w:rPr>
                  <w:rFonts w:ascii="Arial" w:cs="Arial" w:eastAsia="Arial" w:hAnsi="Arial"/>
                  <w:sz w:val="18"/>
                  <w:szCs w:val="18"/>
                  <w:color w:val="0000EE"/>
                  <w:w w:val="89"/>
                </w:rPr>
                <w:t>Indenture, dated as of October 27, 2021, by and among Weatherford International Ltd., as issuer, the guarantors party thereto and Deutsche</w:t>
              </w:r>
            </w:hyperlink>
          </w:p>
        </w:tc>
        <w:tc>
          <w:tcPr>
            <w:tcW w:w="380" w:type="dxa"/>
            <w:vAlign w:val="bottom"/>
            <w:gridSpan w:val="3"/>
          </w:tcPr>
          <w:p>
            <w:pPr>
              <w:spacing w:after="0"/>
              <w:rPr>
                <w:sz w:val="14"/>
                <w:szCs w:val="14"/>
                <w:color w:val="auto"/>
              </w:rPr>
            </w:pPr>
          </w:p>
        </w:tc>
      </w:tr>
      <w:tr>
        <w:trPr>
          <w:trHeight w:val="19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3">
              <w:r>
                <w:rPr>
                  <w:rFonts w:ascii="Arial" w:cs="Arial" w:eastAsia="Arial" w:hAnsi="Arial"/>
                  <w:sz w:val="18"/>
                  <w:szCs w:val="18"/>
                  <w:color w:val="0000EE"/>
                  <w:w w:val="91"/>
                </w:rPr>
                <w:t>Bank Trust Company Americas, as trustee (incorporated by reference to Exhibit 4.1 of Weatherford International plc’s Current Report on Form</w:t>
              </w:r>
            </w:hyperlink>
          </w:p>
        </w:tc>
        <w:tc>
          <w:tcPr>
            <w:tcW w:w="80" w:type="dxa"/>
            <w:vAlign w:val="bottom"/>
            <w:gridSpan w:val="2"/>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80" w:type="dxa"/>
            <w:vAlign w:val="bottom"/>
            <w:gridSpan w:val="7"/>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8-K filed on October 27, 2021).</w:t>
              </w:r>
            </w:hyperlink>
          </w:p>
        </w:tc>
      </w:tr>
      <w:tr>
        <w:trPr>
          <w:trHeight w:val="20"/>
        </w:trPr>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Arial" w:cs="Arial" w:eastAsia="Arial" w:hAnsi="Arial"/>
                <w:sz w:val="18"/>
                <w:szCs w:val="18"/>
                <w:color w:val="0000EE"/>
                <w:w w:val="90"/>
              </w:rPr>
              <w:t>Supplemental Indenture, dated as of December 1, 2022, by and among Weatherford International, LLC, Weatherford International plc, as parent</w:t>
            </w: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4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80" w:type="dxa"/>
            <w:vAlign w:val="bottom"/>
            <w:gridSpan w:val="7"/>
          </w:tcPr>
          <w:p>
            <w:pPr>
              <w:spacing w:after="0" w:line="196" w:lineRule="exact"/>
              <w:rPr>
                <w:sz w:val="20"/>
                <w:szCs w:val="20"/>
                <w:color w:val="auto"/>
              </w:rPr>
            </w:pPr>
            <w:r>
              <w:rPr>
                <w:rFonts w:ascii="Arial" w:cs="Arial" w:eastAsia="Arial" w:hAnsi="Arial"/>
                <w:sz w:val="18"/>
                <w:szCs w:val="18"/>
                <w:color w:val="0000EE"/>
              </w:rPr>
              <w:t>guarantor, Weatherford International Ltd., as issuer, and Deutsche Bank Trust Company Americas, as trustee.</w:t>
            </w:r>
          </w:p>
        </w:tc>
      </w:tr>
      <w:tr>
        <w:trPr>
          <w:trHeight w:val="20"/>
        </w:trPr>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60" w:type="dxa"/>
            <w:vAlign w:val="bottom"/>
            <w:gridSpan w:val="3"/>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r>
      <w:tr>
        <w:trPr>
          <w:trHeight w:val="237"/>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0380" w:type="dxa"/>
            <w:vAlign w:val="bottom"/>
            <w:gridSpan w:val="7"/>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vMerge w:val="restart"/>
          </w:tcPr>
          <w:p>
            <w:pPr>
              <w:jc w:val="right"/>
              <w:ind w:right="4450"/>
              <w:spacing w:after="0"/>
              <w:rPr>
                <w:sz w:val="20"/>
                <w:szCs w:val="20"/>
                <w:color w:val="auto"/>
              </w:rPr>
            </w:pPr>
            <w:r>
              <w:rPr>
                <w:rFonts w:ascii="Arial" w:cs="Arial" w:eastAsia="Arial" w:hAnsi="Arial"/>
                <w:sz w:val="18"/>
                <w:szCs w:val="18"/>
                <w:color w:val="auto"/>
                <w:w w:val="88"/>
              </w:rPr>
              <w:t>Date: December 5, 2022</w:t>
            </w:r>
          </w:p>
        </w:tc>
        <w:tc>
          <w:tcPr>
            <w:tcW w:w="494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30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300" w:type="dxa"/>
            <w:vAlign w:val="bottom"/>
          </w:tcPr>
          <w:p>
            <w:pPr>
              <w:jc w:val="right"/>
              <w:ind w:right="5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Desmond J. Mills</w:t>
            </w:r>
          </w:p>
        </w:tc>
        <w:tc>
          <w:tcPr>
            <w:tcW w:w="0" w:type="dxa"/>
            <w:vAlign w:val="bottom"/>
          </w:tcPr>
          <w:p>
            <w:pPr>
              <w:spacing w:after="0"/>
              <w:rPr>
                <w:sz w:val="1"/>
                <w:szCs w:val="1"/>
                <w:color w:val="auto"/>
              </w:rPr>
            </w:pPr>
          </w:p>
        </w:tc>
      </w:tr>
      <w:tr>
        <w:trPr>
          <w:trHeight w:val="195"/>
        </w:trPr>
        <w:tc>
          <w:tcPr>
            <w:tcW w:w="6300" w:type="dxa"/>
            <w:vAlign w:val="bottom"/>
          </w:tcPr>
          <w:p>
            <w:pPr>
              <w:jc w:val="right"/>
              <w:ind w:right="5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Desmond J. Mills</w:t>
            </w:r>
          </w:p>
        </w:tc>
        <w:tc>
          <w:tcPr>
            <w:tcW w:w="0" w:type="dxa"/>
            <w:vAlign w:val="bottom"/>
          </w:tcPr>
          <w:p>
            <w:pPr>
              <w:spacing w:after="0"/>
              <w:rPr>
                <w:sz w:val="1"/>
                <w:szCs w:val="1"/>
                <w:color w:val="auto"/>
              </w:rPr>
            </w:pPr>
          </w:p>
        </w:tc>
      </w:tr>
      <w:tr>
        <w:trPr>
          <w:trHeight w:val="216"/>
        </w:trPr>
        <w:tc>
          <w:tcPr>
            <w:tcW w:w="6300" w:type="dxa"/>
            <w:vAlign w:val="bottom"/>
          </w:tcPr>
          <w:p>
            <w:pPr>
              <w:jc w:val="right"/>
              <w:ind w:right="5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w w:val="97"/>
              </w:rPr>
              <w:t>Interim Chief Financial Officer, Senior Vice President and Chief</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67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THIS SUPPLEMENTAL INDENTURE (this “Supplemental Indenture”), dated as of December 1, 2022, is among Weatherford International, LLC, a Delaware limited liability company (“Weatherford Delaware”), a subsidiary of Weatherford International plc, an Irish public limited company (the “Parent Guarantor”), Weatherford International Ltd., a Bermuda exempted company (the “Issuer”), the Parent Guarantor and Deutsche Bank Trust Company Americas, as trustee under the Indenture referred to herein (in such capacity,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WHEREAS, the Issuer, the Parent Guarantor, Weatherford Delaware and the Trustee are parties to an Indenture, dated as of October 27, 2021 relating to the 8.625% Senior Notes due 2030 (the “Notes”) of the Issuer (as amended, supplemented or otherwise modified as of the date hereof, the “Indenture”);</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WHEREAS, pursuant to Section 9.01 of the Indenture, the Issuer, the Parent Guarantor, Weatherford Delaware and the Trustee are authorized to execute and deliver this Supplemental Indenture to amend or supplement the Indenture without the consent of any Holder to add a U.S. Restricted Subsidiary of the Parent Guarantor as a co-issuer of the Notes, and to the extent such Subsidiary was a Guarantor prior to such addition, concurrently release the Guarantee of such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Weatherford Delaware is a U.S. Restricted Subsidiary of the Parent Guarantor and a Guarantor of the Notes;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the Issuer desires to amend and supplement the Indenture to evidence the addition of Weatherford Delaware as a co-issuer of the Notes and concurrently release the Guarantee of Weatherford Delaware; and</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Issuer has delivered to the Trustee, and the Trustee has received, accepted and approved from the Issuer, an Officers’ Certificate and an Opinion of Counsel in accordance with Sections 1.02, 1.03, 9.01(11) and 9.03 of the Indenture.</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Weatherford Delaware, the Issuer, the Parent Guarantor,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auto"/>
        </w:rPr>
      </w:pPr>
    </w:p>
    <w:p>
      <w:pPr>
        <w:ind w:right="80" w:firstLine="656"/>
        <w:spacing w:after="0" w:line="259" w:lineRule="auto"/>
        <w:tabs>
          <w:tab w:leader="none" w:pos="1592"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CO-ISSUE. Weatherford Delaware hereby agrees to become a co-issuer of the Notes and a co-obligor of any and all of the Issuer’s obligations under the Indenture and the Notes, on the same terms and subject to the same conditions as the Issuer, on a joint and several basis. Unless the context otherwise requires, all references to the Issuer, as the issuer of the Notes in the Indenture and the Notes, shall be to the Issuer and Weatherford Delaware, jointly, as co-issuers of the Notes.</w:t>
      </w:r>
    </w:p>
    <w:p>
      <w:pPr>
        <w:spacing w:after="0" w:line="186" w:lineRule="exact"/>
        <w:rPr>
          <w:rFonts w:ascii="Arial" w:cs="Arial" w:eastAsia="Arial" w:hAnsi="Arial"/>
          <w:sz w:val="18"/>
          <w:szCs w:val="18"/>
          <w:color w:val="auto"/>
        </w:rPr>
      </w:pPr>
    </w:p>
    <w:p>
      <w:pPr>
        <w:ind w:right="260" w:firstLine="656"/>
        <w:spacing w:after="0" w:line="277" w:lineRule="auto"/>
        <w:tabs>
          <w:tab w:leader="none" w:pos="159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 OF GUARANTEE: The Guarantee of Weatherford Delaware under the Indenture is hereby unconditionally released in accordance with Section 9.01(11)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left="-20" w:right="700" w:firstLine="656"/>
        <w:spacing w:after="0" w:line="277" w:lineRule="auto"/>
        <w:tabs>
          <w:tab w:leader="none" w:pos="1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LAWS OF THE STATE OF NEW YORK SHALL GOVERN AND BE USED TO CONSTRUE AND ENFORCE THIS SUPPLEMENTAL INDENTURE.</w:t>
      </w:r>
    </w:p>
    <w:p>
      <w:pPr>
        <w:spacing w:after="0" w:line="170" w:lineRule="exact"/>
        <w:rPr>
          <w:rFonts w:ascii="Arial" w:cs="Arial" w:eastAsia="Arial" w:hAnsi="Arial"/>
          <w:sz w:val="18"/>
          <w:szCs w:val="18"/>
          <w:color w:val="auto"/>
        </w:rPr>
      </w:pPr>
    </w:p>
    <w:p>
      <w:pPr>
        <w:ind w:left="-20" w:firstLine="656"/>
        <w:spacing w:after="0" w:line="259" w:lineRule="auto"/>
        <w:tabs>
          <w:tab w:leader="none" w:pos="1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Signatures of the parties hereto transmitted by facsimile, PDF, electronic signature or other electronic transmission shall be deemed to be their original signatures for all purposes.</w:t>
      </w:r>
    </w:p>
    <w:p>
      <w:pPr>
        <w:spacing w:after="0" w:line="186" w:lineRule="exact"/>
        <w:rPr>
          <w:rFonts w:ascii="Arial" w:cs="Arial" w:eastAsia="Arial" w:hAnsi="Arial"/>
          <w:sz w:val="18"/>
          <w:szCs w:val="18"/>
          <w:color w:val="auto"/>
        </w:rPr>
      </w:pPr>
    </w:p>
    <w:p>
      <w:pPr>
        <w:ind w:left="1580" w:hanging="944"/>
        <w:spacing w:after="0"/>
        <w:tabs>
          <w:tab w:leader="none" w:pos="1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ind w:left="-20" w:right="260" w:firstLine="656"/>
        <w:spacing w:after="0" w:line="259" w:lineRule="auto"/>
        <w:tabs>
          <w:tab w:leader="none" w:pos="1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pacing w:after="0" w:line="200" w:lineRule="exact"/>
        <w:rPr>
          <w:sz w:val="20"/>
          <w:szCs w:val="20"/>
          <w:color w:val="auto"/>
        </w:rPr>
      </w:pPr>
    </w:p>
    <w:p>
      <w:pPr>
        <w:spacing w:after="0" w:line="26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WEATHERFORD INTERNATIONAL,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Maximiliano A. Kricorian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Bermuda exempted company</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Maximiliano A. Kricorian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 Irish public limited company</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Maximiliano A. Kricorian</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 and Treasurer</w:t>
      </w:r>
    </w:p>
    <w:p>
      <w:pPr>
        <w:spacing w:after="0" w:line="231"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452755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080"/>
          </w:cols>
          <w:pgMar w:left="980" w:top="908" w:right="839" w:bottom="1440" w:gutter="0" w:footer="0" w:header="0"/>
        </w:sectPr>
      </w:pPr>
    </w:p>
    <w:bookmarkStart w:id="6" w:name="page7"/>
    <w:bookmarkEnd w:id="6"/>
    <w:p>
      <w:pPr>
        <w:ind w:left="4520"/>
        <w:spacing w:after="0"/>
        <w:rPr>
          <w:sz w:val="20"/>
          <w:szCs w:val="20"/>
          <w:color w:val="auto"/>
        </w:rPr>
      </w:pPr>
      <w:r>
        <w:rPr>
          <w:rFonts w:ascii="Arial" w:cs="Arial" w:eastAsia="Arial" w:hAnsi="Arial"/>
          <w:sz w:val="17"/>
          <w:szCs w:val="17"/>
          <w:color w:val="auto"/>
        </w:rPr>
        <w:t>DEUTSCHE BANK TRUST COMPANY AMERICAS,</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as Trustee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Irina Golovashchuk</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 Niesz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Chris Niesz</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3" Type="http://schemas.openxmlformats.org/officeDocument/2006/relationships/hyperlink" Target="https://www.sec.gov/Archives/edgar/data/1603923/000095014221003357/eh210195929_ex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2022-12-05T15:14:49Z</dcterms:created>
  <dcterms:modified xsi:type="dcterms:W3CDTF">2022-12-05T15:14:49Z</dcterms:modified>
</cp:coreProperties>
</file>