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March 9, 2022</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Weatherford International plc</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Arial" w:cs="Arial" w:eastAsia="Arial" w:hAnsi="Arial"/>
                <w:sz w:val="18"/>
                <w:szCs w:val="18"/>
                <w:b w:val="1"/>
                <w:bCs w:val="1"/>
                <w:color w:val="auto"/>
                <w:w w:val="90"/>
              </w:rPr>
              <w:t>001-36504</w:t>
            </w:r>
          </w:p>
        </w:tc>
        <w:tc>
          <w:tcPr>
            <w:tcW w:w="2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3"/>
        </w:trPr>
        <w:tc>
          <w:tcPr>
            <w:tcW w:w="4260" w:type="dxa"/>
            <w:vAlign w:val="bottom"/>
            <w:gridSpan w:val="2"/>
          </w:tcPr>
          <w:p>
            <w:pPr>
              <w:ind w:left="240"/>
              <w:spacing w:after="0"/>
              <w:rPr>
                <w:sz w:val="20"/>
                <w:szCs w:val="20"/>
                <w:color w:val="auto"/>
              </w:rPr>
            </w:pPr>
            <w:r>
              <w:rPr>
                <w:rFonts w:ascii="Arial" w:cs="Arial" w:eastAsia="Arial" w:hAnsi="Arial"/>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(I.R.S. Employer Identification No.)</w:t>
            </w:r>
          </w:p>
        </w:tc>
      </w:tr>
      <w:tr>
        <w:trPr>
          <w:trHeight w:val="33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w w:val="97"/>
              </w:rPr>
              <w:t>2000 St. James Place ,  Houston,</w:t>
            </w:r>
          </w:p>
        </w:tc>
        <w:tc>
          <w:tcPr>
            <w:tcW w:w="3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77056</w:t>
            </w:r>
          </w:p>
        </w:tc>
        <w:tc>
          <w:tcPr>
            <w:tcW w:w="82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Arial" w:cs="Arial" w:eastAsia="Arial" w:hAnsi="Arial"/>
                <w:sz w:val="18"/>
                <w:szCs w:val="18"/>
                <w:color w:val="auto"/>
                <w:w w:val="91"/>
              </w:rPr>
              <w:t>(Zip Code)</w:t>
            </w:r>
          </w:p>
        </w:tc>
        <w:tc>
          <w:tcPr>
            <w:tcW w:w="820" w:type="dxa"/>
            <w:vAlign w:val="bottom"/>
          </w:tcPr>
          <w:p>
            <w:pPr>
              <w:spacing w:after="0"/>
              <w:rPr>
                <w:sz w:val="19"/>
                <w:szCs w:val="19"/>
                <w:color w:val="auto"/>
              </w:rPr>
            </w:pPr>
          </w:p>
        </w:tc>
      </w:tr>
    </w:tbl>
    <w:p>
      <w:pPr>
        <w:spacing w:after="0" w:line="74"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2" w:lineRule="exact"/>
        <w:rPr>
          <w:sz w:val="24"/>
          <w:szCs w:val="24"/>
          <w:color w:val="auto"/>
        </w:rPr>
      </w:pPr>
    </w:p>
    <w:p>
      <w:pPr>
        <w:ind w:left="54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16510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8"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2"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16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49"/>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color w:val="auto"/>
                <w:w w:val="91"/>
              </w:rPr>
              <w:t>Trading Symbol</w:t>
            </w: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23"/>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Arial" w:cs="Arial" w:eastAsia="Arial" w:hAnsi="Arial"/>
                <w:sz w:val="18"/>
                <w:szCs w:val="18"/>
                <w:color w:val="auto"/>
                <w:w w:val="88"/>
              </w:rPr>
              <w:t>Ordinary shares, $0.001 par value per share</w:t>
            </w:r>
          </w:p>
        </w:tc>
        <w:tc>
          <w:tcPr>
            <w:tcW w:w="2160" w:type="dxa"/>
            <w:vAlign w:val="bottom"/>
          </w:tcPr>
          <w:p>
            <w:pPr>
              <w:jc w:val="center"/>
              <w:ind w:right="231"/>
              <w:spacing w:after="0"/>
              <w:rPr>
                <w:sz w:val="20"/>
                <w:szCs w:val="20"/>
                <w:color w:val="auto"/>
              </w:rPr>
            </w:pPr>
            <w:r>
              <w:rPr>
                <w:rFonts w:ascii="Arial" w:cs="Arial" w:eastAsia="Arial" w:hAnsi="Arial"/>
                <w:sz w:val="18"/>
                <w:szCs w:val="18"/>
                <w:color w:val="auto"/>
                <w:w w:val="96"/>
              </w:rPr>
              <w:t>WFRD</w:t>
            </w:r>
          </w:p>
        </w:tc>
        <w:tc>
          <w:tcPr>
            <w:tcW w:w="454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78" w:lineRule="exact"/>
        <w:rPr>
          <w:sz w:val="24"/>
          <w:szCs w:val="24"/>
          <w:color w:val="auto"/>
        </w:rPr>
      </w:pPr>
    </w:p>
    <w:p>
      <w:pPr>
        <w:ind w:right="560"/>
        <w:spacing w:after="0" w:line="25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2" w:right="359" w:bottom="1440" w:gutter="0" w:footer="0" w:header="0"/>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Goldman Sachs Energy Services Symposium</w:t>
      </w:r>
    </w:p>
    <w:p>
      <w:pPr>
        <w:spacing w:after="0" w:line="253" w:lineRule="exact"/>
        <w:rPr>
          <w:sz w:val="20"/>
          <w:szCs w:val="20"/>
          <w:color w:val="auto"/>
        </w:rPr>
      </w:pPr>
    </w:p>
    <w:p>
      <w:pPr>
        <w:jc w:val="both"/>
        <w:ind w:right="60"/>
        <w:spacing w:after="0" w:line="284" w:lineRule="auto"/>
        <w:rPr>
          <w:sz w:val="20"/>
          <w:szCs w:val="20"/>
          <w:color w:val="auto"/>
        </w:rPr>
      </w:pPr>
      <w:r>
        <w:rPr>
          <w:rFonts w:ascii="Arial" w:cs="Arial" w:eastAsia="Arial" w:hAnsi="Arial"/>
          <w:sz w:val="17"/>
          <w:szCs w:val="17"/>
          <w:color w:val="auto"/>
        </w:rPr>
        <w:t>On March 9, 2022, Girish K. Saligram, President and Chief Executive Officer of Weatherford International plc (“Weatherford,” the “Company,” “we,” “us” and “our”) participated in a virtual panel discussion at the 2022 Goldman Sachs Energy Services Symposium. During the interactive session with Goldman analysts, Mr. Saligram provided, among other items, the following update on our first quarter and full-year outlook:</w:t>
      </w:r>
    </w:p>
    <w:p>
      <w:pPr>
        <w:spacing w:after="0" w:line="178" w:lineRule="exact"/>
        <w:rPr>
          <w:sz w:val="20"/>
          <w:szCs w:val="20"/>
          <w:color w:val="auto"/>
        </w:rPr>
      </w:pPr>
    </w:p>
    <w:p>
      <w:pPr>
        <w:ind w:left="660"/>
        <w:spacing w:after="0" w:line="225" w:lineRule="auto"/>
        <w:rPr>
          <w:sz w:val="20"/>
          <w:szCs w:val="20"/>
          <w:color w:val="auto"/>
        </w:rPr>
      </w:pPr>
      <w:r>
        <w:rPr>
          <w:rFonts w:ascii="Arial" w:cs="Arial" w:eastAsia="Arial" w:hAnsi="Arial"/>
          <w:sz w:val="18"/>
          <w:szCs w:val="18"/>
          <w:color w:val="auto"/>
        </w:rPr>
        <w:t>“Russia represents 5-7% of our historical revenue, at 2021 FX rates. The impact of Russian operations on our first quarter 2022 guidance will largely be limited to the effects of the depreciation of the ruble. The demand outlook for oilfield services in key markets has been further elevated by recent events and underscores the need for significant global investments to ensure the security of energy supply. While global events evolve at a fast pace, at this point, we continue to expect revenue growth and adjusted EBITDA margin expansion for 2022. While inflation continues to be a significant headwind, we expect to offset that and exit the year with adjusted EBITDA margins in line with our original aspirations for the year of at least 50 basis points higher than 2021.”</w:t>
      </w:r>
    </w:p>
    <w:p>
      <w:pPr>
        <w:spacing w:after="0" w:line="218" w:lineRule="exact"/>
        <w:rPr>
          <w:sz w:val="20"/>
          <w:szCs w:val="20"/>
          <w:color w:val="auto"/>
        </w:rPr>
      </w:pPr>
    </w:p>
    <w:p>
      <w:pPr>
        <w:ind w:right="680"/>
        <w:spacing w:after="0" w:line="274" w:lineRule="auto"/>
        <w:rPr>
          <w:sz w:val="20"/>
          <w:szCs w:val="20"/>
          <w:color w:val="auto"/>
        </w:rPr>
      </w:pPr>
      <w:r>
        <w:rPr>
          <w:rFonts w:ascii="Arial" w:cs="Arial" w:eastAsia="Arial" w:hAnsi="Arial"/>
          <w:sz w:val="18"/>
          <w:szCs w:val="18"/>
          <w:color w:val="auto"/>
        </w:rPr>
        <w:t>A replay of Mr. Saligram’s comments will be made available for approximately 30 days on the investor relations section of the Company’s website following the presentation.</w:t>
      </w:r>
    </w:p>
    <w:p>
      <w:pPr>
        <w:spacing w:after="0" w:line="198"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The information included in Item 7.01 is intended to be furnished and shall not be deemed “filed” for purposes of Section 18 of the Securities Exchange Act of 1034, as amended (the “Exchange Act”), or otherwise subject to the liabilities of that section, nor shall it be deemed incorporated by reference in any filing under the Securities Act of 1933, as amended, or the Exchange Act, except as expressly set forth by a specific reference to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Form 8-K contains projections and forward-looking statements concerning, among other things, the Company’s quarterly and full-year revenues, adjusted EBITDA, forecasts or expectations regarding business outlook, prospects for its operations and expectations regarding future financial results. These forward-looking statements are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These forward-looking statements are only predictions based upon the current beliefs of Weatherford’s management and are subject to significant risks, assumptions, and uncertainties, including, but not limited to, the price and price volatility of oil and natural gas; the impact on our operations, facilities, employees and our ability to continue to conduct business in Russia, Ukraine and other countries in the region that may be impacted ongoing crisis in Ukraine; the impact of related sanctions being imposed by the United States and other countries; the impact of potential reprisals as a consequence of the crisis in Ukraine and any related sanctions, such as acts of terrorism or cyberterrorism, in the United States or elsewhere; the extent or duration of business interruptions, demand for oil and gas and fluctuations in commodity prices associated with COVID-19 pandemic; general global economic repercussions, including inflationary pressures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These risks and uncertainties are more fully described in Weatherford’s reports and registration statements filed with the SEC. Any projections and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678180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926" w:right="379" w:bottom="1440" w:gutter="0" w:footer="0" w:header="0"/>
        </w:sectPr>
      </w:pPr>
    </w:p>
    <w:bookmarkStart w:id="2" w:name="page3"/>
    <w:bookmarkEnd w:id="2"/>
    <w:p>
      <w:pPr>
        <w:ind w:left="2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4" w:lineRule="exact"/>
        <w:rPr>
          <w:sz w:val="20"/>
          <w:szCs w:val="20"/>
          <w:color w:val="auto"/>
        </w:rPr>
      </w:pPr>
    </w:p>
    <w:p>
      <w:pPr>
        <w:ind w:left="1640" w:hanging="979"/>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 Number</w:t>
            </w:r>
          </w:p>
        </w:tc>
        <w:tc>
          <w:tcPr>
            <w:tcW w:w="9600" w:type="dxa"/>
            <w:vAlign w:val="bottom"/>
          </w:tcPr>
          <w:p>
            <w:pPr>
              <w:spacing w:after="0"/>
              <w:rPr>
                <w:sz w:val="20"/>
                <w:szCs w:val="20"/>
                <w:color w:val="auto"/>
              </w:rPr>
            </w:pPr>
            <w:r>
              <w:rPr>
                <w:rFonts w:ascii="Arial" w:cs="Arial" w:eastAsia="Arial" w:hAnsi="Arial"/>
                <w:sz w:val="18"/>
                <w:szCs w:val="18"/>
                <w:b w:val="1"/>
                <w:bCs w:val="1"/>
                <w:color w:val="auto"/>
              </w:rPr>
              <w:t>Exhibit Description</w:t>
            </w:r>
          </w:p>
        </w:tc>
      </w:tr>
      <w:tr>
        <w:trPr>
          <w:trHeight w:val="223"/>
        </w:trPr>
        <w:tc>
          <w:tcPr>
            <w:tcW w:w="152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9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3"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March 9, 2022</w:t>
      </w:r>
    </w:p>
    <w:p>
      <w:pPr>
        <w:spacing w:after="0" w:line="2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1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Scott C. Weatherholt</w:t>
      </w:r>
    </w:p>
    <w:p>
      <w:pPr>
        <w:spacing w:after="0" w:line="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General Counsel,</w:t>
      </w:r>
    </w:p>
    <w:p>
      <w:pPr>
        <w:ind w:left="7300"/>
        <w:spacing w:after="0"/>
        <w:rPr>
          <w:sz w:val="20"/>
          <w:szCs w:val="20"/>
          <w:color w:val="auto"/>
        </w:rPr>
      </w:pPr>
      <w:r>
        <w:rPr>
          <w:rFonts w:ascii="Arial" w:cs="Arial" w:eastAsia="Arial" w:hAnsi="Arial"/>
          <w:sz w:val="18"/>
          <w:szCs w:val="18"/>
          <w:color w:val="auto"/>
        </w:rPr>
        <w:t>and Chief Compliance Officer</w:t>
      </w:r>
    </w:p>
    <w:sectPr>
      <w:pgSz w:w="11900" w:h="16838" w:orient="portrait"/>
      <w:cols w:equalWidth="0" w:num="1">
        <w:col w:w="11240"/>
      </w:cols>
      <w:pgMar w:left="320" w:top="9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2022-03-09T11:22:08Z</dcterms:created>
  <dcterms:modified xsi:type="dcterms:W3CDTF">2022-03-09T11:22:08Z</dcterms:modified>
</cp:coreProperties>
</file>