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344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20" w:type="dxa"/>
            <w:vAlign w:val="bottom"/>
          </w:tcPr>
          <w:p>
            <w:pPr>
              <w:spacing w:after="0"/>
              <w:rPr>
                <w:sz w:val="20"/>
                <w:szCs w:val="20"/>
                <w:color w:val="auto"/>
              </w:rPr>
            </w:pPr>
          </w:p>
        </w:tc>
      </w:tr>
      <w:tr>
        <w:trPr>
          <w:trHeight w:val="238"/>
        </w:trPr>
        <w:tc>
          <w:tcPr>
            <w:tcW w:w="34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3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8"/>
        </w:trPr>
        <w:tc>
          <w:tcPr>
            <w:tcW w:w="3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3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2000 St. James Place,   Houston,</w:t>
            </w:r>
          </w:p>
        </w:tc>
        <w:tc>
          <w:tcPr>
            <w:tcW w:w="4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8"/>
        </w:trPr>
        <w:tc>
          <w:tcPr>
            <w:tcW w:w="7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2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780"/>
        <w:spacing w:after="0" w:line="271"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920" w:space="720"/>
            <w:col w:w="9600"/>
          </w:cols>
          <w:pgMar w:left="320" w:top="1170" w:right="339" w:bottom="1440" w:gutter="0" w:footer="0" w:header="0"/>
        </w:sectPr>
      </w:pPr>
    </w:p>
    <w:p>
      <w:pPr>
        <w:spacing w:after="0" w:line="89" w:lineRule="exact"/>
        <w:rPr>
          <w:sz w:val="20"/>
          <w:szCs w:val="20"/>
          <w:color w:val="auto"/>
        </w:rPr>
      </w:pPr>
    </w:p>
    <w:p>
      <w:pPr>
        <w:jc w:val="both"/>
        <w:ind w:firstLine="494"/>
        <w:spacing w:after="0" w:line="252" w:lineRule="auto"/>
        <w:tabs>
          <w:tab w:leader="none" w:pos="73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Weatherford International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Weatherford-Ireland</w:t>
      </w:r>
      <w:r>
        <w:rPr>
          <w:rFonts w:ascii="Times New Roman" w:cs="Times New Roman" w:eastAsia="Times New Roman" w:hAnsi="Times New Roman"/>
          <w:sz w:val="18"/>
          <w:szCs w:val="18"/>
          <w:color w:val="auto"/>
        </w:rPr>
        <w:t>”) previously adopted, subject to approval by the Company’s shareholders, the Weatherford International plc Fifth Amended and Restated 2019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increase the number of the Company’s ordinary shares, nominal value $0.001 per share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issuable thereunder by 565,000 shares. As reported under Item 5.07 below, the Company’s shareholders voted to approve the Plan on June 11, 2026.</w:t>
      </w:r>
    </w:p>
    <w:p>
      <w:pPr>
        <w:spacing w:after="0" w:line="184" w:lineRule="exact"/>
        <w:rPr>
          <w:sz w:val="20"/>
          <w:szCs w:val="20"/>
          <w:color w:val="auto"/>
        </w:rPr>
      </w:pPr>
    </w:p>
    <w:p>
      <w:pPr>
        <w:ind w:right="100" w:firstLine="486"/>
        <w:spacing w:after="0" w:line="243" w:lineRule="auto"/>
        <w:rPr>
          <w:sz w:val="20"/>
          <w:szCs w:val="20"/>
          <w:color w:val="auto"/>
        </w:rPr>
      </w:pPr>
      <w:r>
        <w:rPr>
          <w:rFonts w:ascii="Times New Roman" w:cs="Times New Roman" w:eastAsia="Times New Roman" w:hAnsi="Times New Roman"/>
          <w:sz w:val="18"/>
          <w:szCs w:val="18"/>
          <w:color w:val="auto"/>
        </w:rPr>
        <w:t>A summary of the material terms of the Plan is included in the Company’s definitive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for the 2026 Annual General Meeting of Shareholders and Special Court-Convened Meeting of the Company under the heading “Agenda Item 4 – The Equity Incentive Plan Proposal,” which was filed by the Company on Schedule 14A with the Securities and Exchange Commission on April 21, 2026. This is qualified in its entirety by reference to the text of the Plan, which is filed as Exhibit 10.1 to this report and is incorporated herein by reference. The Company intends to file a registration statement on Form S-8 to register the additional shares prior to issuance.</w:t>
      </w:r>
    </w:p>
    <w:p>
      <w:pPr>
        <w:spacing w:after="0" w:line="262" w:lineRule="exact"/>
        <w:rPr>
          <w:sz w:val="20"/>
          <w:szCs w:val="20"/>
          <w:color w:val="auto"/>
        </w:rPr>
      </w:pPr>
    </w:p>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10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On June 11, 2026, the Company held a Special Court-Convened Meeting of Shareholders (the “</w:t>
      </w:r>
      <w:r>
        <w:rPr>
          <w:rFonts w:ascii="Times New Roman" w:cs="Times New Roman" w:eastAsia="Times New Roman" w:hAnsi="Times New Roman"/>
          <w:sz w:val="18"/>
          <w:szCs w:val="18"/>
          <w:b w:val="1"/>
          <w:bCs w:val="1"/>
          <w:color w:val="auto"/>
        </w:rPr>
        <w:t>Court Meeting</w:t>
      </w:r>
      <w:r>
        <w:rPr>
          <w:rFonts w:ascii="Times New Roman" w:cs="Times New Roman" w:eastAsia="Times New Roman" w:hAnsi="Times New Roman"/>
          <w:sz w:val="18"/>
          <w:szCs w:val="18"/>
          <w:color w:val="auto"/>
        </w:rPr>
        <w:t>”) followed by its 2026 Annual General Meeting of Shareholders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and, together with the Court Meeting, the “</w:t>
      </w:r>
      <w:r>
        <w:rPr>
          <w:rFonts w:ascii="Times New Roman" w:cs="Times New Roman" w:eastAsia="Times New Roman" w:hAnsi="Times New Roman"/>
          <w:sz w:val="18"/>
          <w:szCs w:val="18"/>
          <w:b w:val="1"/>
          <w:bCs w:val="1"/>
          <w:color w:val="auto"/>
        </w:rPr>
        <w:t>Shareholder Meetings</w:t>
      </w:r>
      <w:r>
        <w:rPr>
          <w:rFonts w:ascii="Times New Roman" w:cs="Times New Roman" w:eastAsia="Times New Roman" w:hAnsi="Times New Roman"/>
          <w:sz w:val="18"/>
          <w:szCs w:val="18"/>
          <w:color w:val="auto"/>
        </w:rPr>
        <w:t>”). At the Court Meeting, holders of 64,582,052 Ordinary Shares, or approximately 89.78% of the 71,933,662 issued and outstanding Ordinary Shares entitled to vote, were present in person or by proxies; and at the AGM, holders of 67,204,428 Ordinary Shares, or approximately 93.42% of the shares entitled to vote, were present in person or by proxies. The AGM proposals one through six, relating to the annual business of the Company, were approved.</w:t>
      </w:r>
    </w:p>
    <w:p>
      <w:pPr>
        <w:spacing w:after="0" w:line="21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sole proposal at the Court Meeting and proposals seven through eleven at the AGM relate to the Company’s proposed redomestication from Ireland to the United States, specifically Texas (the “</w:t>
      </w:r>
      <w:r>
        <w:rPr>
          <w:rFonts w:ascii="Times New Roman" w:cs="Times New Roman" w:eastAsia="Times New Roman" w:hAnsi="Times New Roman"/>
          <w:sz w:val="18"/>
          <w:szCs w:val="18"/>
          <w:b w:val="1"/>
          <w:bCs w:val="1"/>
          <w:color w:val="auto"/>
        </w:rPr>
        <w:t>Redomestication</w:t>
      </w:r>
      <w:r>
        <w:rPr>
          <w:rFonts w:ascii="Times New Roman" w:cs="Times New Roman" w:eastAsia="Times New Roman" w:hAnsi="Times New Roman"/>
          <w:sz w:val="18"/>
          <w:szCs w:val="18"/>
          <w:color w:val="auto"/>
        </w:rPr>
        <w:t>,” and such proposals, the “</w:t>
      </w:r>
      <w:r>
        <w:rPr>
          <w:rFonts w:ascii="Times New Roman" w:cs="Times New Roman" w:eastAsia="Times New Roman" w:hAnsi="Times New Roman"/>
          <w:sz w:val="18"/>
          <w:szCs w:val="18"/>
          <w:b w:val="1"/>
          <w:bCs w:val="1"/>
          <w:color w:val="auto"/>
        </w:rPr>
        <w:t>Redomestication Proposals</w:t>
      </w:r>
      <w:r>
        <w:rPr>
          <w:rFonts w:ascii="Times New Roman" w:cs="Times New Roman" w:eastAsia="Times New Roman" w:hAnsi="Times New Roman"/>
          <w:sz w:val="18"/>
          <w:szCs w:val="18"/>
          <w:color w:val="auto"/>
        </w:rPr>
        <w:t>”). While the Redomestication Proposals received support in excess of 60% of votes cast at the Shareholder Meetings, certain of the Redomestication Proposals did not receive the requisite 75% support needed to pass. Redomesticating to the United States remains a priority of the Company because of the expected financial benefit to Weatherford and its shareholders. The Company has engaged with shareholders and is taking their feedback into consideration. We intend to present an updated proposal to redomesticate to Delaware at a future meeting of shareholders.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voting results were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Court Meeting</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left="420" w:right="120" w:firstLine="155"/>
        <w:spacing w:after="0" w:line="250" w:lineRule="auto"/>
        <w:tabs>
          <w:tab w:leader="none" w:pos="131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did not vote to approve Court Meeting Agenda Item 1: To agree to a scheme of arrangement under Chapter 1 of Part 9 of the Companies Act 2014, as amended (the “</w:t>
      </w:r>
      <w:r>
        <w:rPr>
          <w:rFonts w:ascii="Times New Roman" w:cs="Times New Roman" w:eastAsia="Times New Roman" w:hAnsi="Times New Roman"/>
          <w:sz w:val="17"/>
          <w:szCs w:val="17"/>
          <w:b w:val="1"/>
          <w:bCs w:val="1"/>
          <w:color w:val="auto"/>
        </w:rPr>
        <w:t>Companies Act</w:t>
      </w:r>
      <w:r>
        <w:rPr>
          <w:rFonts w:ascii="Times New Roman" w:cs="Times New Roman" w:eastAsia="Times New Roman" w:hAnsi="Times New Roman"/>
          <w:sz w:val="17"/>
          <w:szCs w:val="17"/>
          <w:color w:val="auto"/>
        </w:rPr>
        <w:t>”), substantially in the form attached as Annex C to the Proxy Statement (“</w:t>
      </w:r>
      <w:r>
        <w:rPr>
          <w:rFonts w:ascii="Times New Roman" w:cs="Times New Roman" w:eastAsia="Times New Roman" w:hAnsi="Times New Roman"/>
          <w:sz w:val="17"/>
          <w:szCs w:val="17"/>
          <w:b w:val="1"/>
          <w:bCs w:val="1"/>
          <w:color w:val="auto"/>
        </w:rPr>
        <w:t>Scheme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Arrangement</w:t>
      </w:r>
      <w:r>
        <w:rPr>
          <w:rFonts w:ascii="Times New Roman" w:cs="Times New Roman" w:eastAsia="Times New Roman" w:hAnsi="Times New Roman"/>
          <w:sz w:val="17"/>
          <w:szCs w:val="17"/>
          <w:color w:val="auto"/>
        </w:rPr>
        <w:t>”), that, once it becomes effective, will result in the shareholders of the Company owning common stock of Weatherford International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 a Texas Corporation (“</w:t>
      </w:r>
      <w:r>
        <w:rPr>
          <w:rFonts w:ascii="Times New Roman" w:cs="Times New Roman" w:eastAsia="Times New Roman" w:hAnsi="Times New Roman"/>
          <w:sz w:val="17"/>
          <w:szCs w:val="17"/>
          <w:b w:val="1"/>
          <w:bCs w:val="1"/>
          <w:color w:val="auto"/>
        </w:rPr>
        <w:t>Weatherford-US</w:t>
      </w:r>
      <w:r>
        <w:rPr>
          <w:rFonts w:ascii="Times New Roman" w:cs="Times New Roman" w:eastAsia="Times New Roman" w:hAnsi="Times New Roman"/>
          <w:sz w:val="17"/>
          <w:szCs w:val="17"/>
          <w:color w:val="auto"/>
        </w:rPr>
        <w:t>”), instead of ordinary shares of the Company. Approval of the Scheme of Arrangement required both</w:t>
      </w:r>
    </w:p>
    <w:p>
      <w:pPr>
        <w:spacing w:after="0" w:line="1" w:lineRule="exact"/>
        <w:rPr>
          <w:rFonts w:ascii="Times New Roman" w:cs="Times New Roman" w:eastAsia="Times New Roman" w:hAnsi="Times New Roman"/>
          <w:sz w:val="17"/>
          <w:szCs w:val="17"/>
          <w:color w:val="auto"/>
        </w:rPr>
      </w:pPr>
    </w:p>
    <w:p>
      <w:pPr>
        <w:ind w:left="420" w:right="180" w:hanging="7"/>
        <w:spacing w:after="0" w:line="238"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majority in number of registered shareholders (who, being entitled to do so, attended and voted, in person or by proxy, at the Court Meeting) and (ii) such approving shareholders representing at least 75% in value of the Weatherford-Ireland ordinary shares held by all registered shareholders so present and voting. While a majority in number of registered shareholders voted in favor, the separate 75% threshold was not met.</w:t>
      </w:r>
    </w:p>
    <w:p>
      <w:pPr>
        <w:spacing w:after="0" w:line="271"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18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560" w:type="dxa"/>
            <w:vAlign w:val="bottom"/>
            <w:tcBorders>
              <w:bottom w:val="single" w:sz="8" w:color="auto"/>
            </w:tcBorders>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8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0"/>
        </w:trPr>
        <w:tc>
          <w:tcPr>
            <w:tcW w:w="18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40,010,359</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24,472,459</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99,234</w:t>
            </w:r>
          </w:p>
        </w:tc>
        <w:tc>
          <w:tcPr>
            <w:tcW w:w="19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AGM</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Annual Business</w:t>
      </w:r>
    </w:p>
    <w:p>
      <w:pPr>
        <w:spacing w:after="0" w:line="241" w:lineRule="exact"/>
        <w:rPr>
          <w:sz w:val="20"/>
          <w:szCs w:val="20"/>
          <w:color w:val="auto"/>
        </w:rPr>
      </w:pPr>
    </w:p>
    <w:p>
      <w:pPr>
        <w:ind w:left="420" w:firstLine="155"/>
        <w:spacing w:after="0" w:line="282" w:lineRule="auto"/>
        <w:tabs>
          <w:tab w:leader="none" w:pos="1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as follows to elect each of the six director nominees to serve a one-year term that is anticipated to expire at the Company’s 2027 Annual General Meeting of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2" w:name="page3"/>
    <w:bookmarkEnd w:id="2"/>
    <w:tbl>
      <w:tblPr>
        <w:tblLayout w:type="fixed"/>
        <w:tblInd w:w="400" w:type="dxa"/>
        <w:tblCellMar>
          <w:top w:w="0" w:type="dxa"/>
          <w:left w:w="0" w:type="dxa"/>
          <w:bottom w:w="0" w:type="dxa"/>
          <w:right w:w="0" w:type="dxa"/>
        </w:tblCellMar>
      </w:tblPr>
      <w:tr>
        <w:trPr>
          <w:trHeight w:val="257"/>
        </w:trPr>
        <w:tc>
          <w:tcPr>
            <w:tcW w:w="2380" w:type="dxa"/>
            <w:vAlign w:val="bottom"/>
            <w:tcBorders>
              <w:bottom w:val="single" w:sz="8" w:color="auto"/>
            </w:tcBorders>
            <w:shd w:val="clear" w:color="auto" w:fill="DBDBDB"/>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Name of Director</w:t>
            </w:r>
          </w:p>
        </w:tc>
        <w:tc>
          <w:tcPr>
            <w:tcW w:w="1460" w:type="dxa"/>
            <w:vAlign w:val="bottom"/>
            <w:tcBorders>
              <w:bottom w:val="single" w:sz="8" w:color="auto"/>
            </w:tcBorders>
            <w:shd w:val="clear" w:color="auto" w:fill="DBDBDB"/>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20" w:type="dxa"/>
            <w:vAlign w:val="bottom"/>
            <w:tcBorders>
              <w:bottom w:val="single" w:sz="8" w:color="auto"/>
            </w:tcBorders>
            <w:shd w:val="clear" w:color="auto" w:fill="DBDBDB"/>
          </w:tcPr>
          <w:p>
            <w:pPr>
              <w:ind w:lef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Borders>
              <w:bottom w:val="single" w:sz="8" w:color="auto"/>
            </w:tcBorders>
            <w:shd w:val="clear" w:color="auto" w:fill="DBDBDB"/>
          </w:tcPr>
          <w:p>
            <w:pPr>
              <w:ind w:left="4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60" w:type="dxa"/>
            <w:vAlign w:val="bottom"/>
            <w:tcBorders>
              <w:bottom w:val="single" w:sz="8" w:color="auto"/>
            </w:tcBorders>
            <w:shd w:val="clear" w:color="auto" w:fill="DBDBDB"/>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Steven Beringhause</w:t>
            </w: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64,463,178</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273,148</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22,447</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2,445,655</w:t>
            </w:r>
          </w:p>
        </w:tc>
      </w:tr>
      <w:tr>
        <w:trPr>
          <w:trHeight w:val="270"/>
        </w:trPr>
        <w:tc>
          <w:tcPr>
            <w:tcW w:w="2380" w:type="dxa"/>
            <w:vAlign w:val="bottom"/>
            <w:shd w:val="clear" w:color="auto" w:fill="DBDBDB"/>
          </w:tcPr>
          <w:p>
            <w:pPr>
              <w:jc w:val="center"/>
              <w:ind w:right="30"/>
              <w:spacing w:after="0"/>
              <w:rPr>
                <w:sz w:val="20"/>
                <w:szCs w:val="20"/>
                <w:color w:val="auto"/>
              </w:rPr>
            </w:pPr>
            <w:r>
              <w:rPr>
                <w:rFonts w:ascii="Times New Roman" w:cs="Times New Roman" w:eastAsia="Times New Roman" w:hAnsi="Times New Roman"/>
                <w:sz w:val="18"/>
                <w:szCs w:val="18"/>
                <w:color w:val="auto"/>
                <w:w w:val="99"/>
              </w:rPr>
              <w:t>Benjamin C. Duster, IV</w:t>
            </w:r>
          </w:p>
        </w:tc>
        <w:tc>
          <w:tcPr>
            <w:tcW w:w="1460" w:type="dxa"/>
            <w:vAlign w:val="bottom"/>
            <w:shd w:val="clear" w:color="auto" w:fill="DBDBDB"/>
          </w:tcPr>
          <w:p>
            <w:pPr>
              <w:jc w:val="center"/>
              <w:ind w:right="10"/>
              <w:spacing w:after="0"/>
              <w:rPr>
                <w:sz w:val="20"/>
                <w:szCs w:val="20"/>
                <w:color w:val="auto"/>
              </w:rPr>
            </w:pPr>
            <w:r>
              <w:rPr>
                <w:rFonts w:ascii="Times New Roman" w:cs="Times New Roman" w:eastAsia="Times New Roman" w:hAnsi="Times New Roman"/>
                <w:sz w:val="18"/>
                <w:szCs w:val="18"/>
                <w:color w:val="auto"/>
                <w:w w:val="98"/>
              </w:rPr>
              <w:t>57,112,768</w:t>
            </w:r>
          </w:p>
        </w:tc>
        <w:tc>
          <w:tcPr>
            <w:tcW w:w="16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7,420,941</w:t>
            </w:r>
          </w:p>
        </w:tc>
        <w:tc>
          <w:tcPr>
            <w:tcW w:w="1360" w:type="dxa"/>
            <w:vAlign w:val="bottom"/>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color w:val="auto"/>
                <w:w w:val="99"/>
              </w:rPr>
              <w:t>225,064</w:t>
            </w:r>
          </w:p>
        </w:tc>
        <w:tc>
          <w:tcPr>
            <w:tcW w:w="1760" w:type="dxa"/>
            <w:vAlign w:val="bottom"/>
            <w:shd w:val="clear" w:color="auto" w:fill="DBDBDB"/>
          </w:tcPr>
          <w:p>
            <w:pPr>
              <w:jc w:val="center"/>
              <w:ind w:left="150"/>
              <w:spacing w:after="0"/>
              <w:rPr>
                <w:sz w:val="20"/>
                <w:szCs w:val="20"/>
                <w:color w:val="auto"/>
              </w:rPr>
            </w:pPr>
            <w:r>
              <w:rPr>
                <w:rFonts w:ascii="Times New Roman" w:cs="Times New Roman" w:eastAsia="Times New Roman" w:hAnsi="Times New Roman"/>
                <w:sz w:val="18"/>
                <w:szCs w:val="18"/>
                <w:color w:val="auto"/>
                <w:w w:val="99"/>
              </w:rPr>
              <w:t>2,445,655</w:t>
            </w:r>
          </w:p>
        </w:tc>
      </w:tr>
      <w:tr>
        <w:trPr>
          <w:trHeight w:val="27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Neal P. Goldman</w:t>
            </w: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52,957,446</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11,699,624</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101,703</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2,445,655</w:t>
            </w:r>
          </w:p>
        </w:tc>
      </w:tr>
      <w:tr>
        <w:trPr>
          <w:trHeight w:val="270"/>
        </w:trPr>
        <w:tc>
          <w:tcPr>
            <w:tcW w:w="2380" w:type="dxa"/>
            <w:vAlign w:val="bottom"/>
            <w:shd w:val="clear" w:color="auto" w:fill="DBDBDB"/>
          </w:tcPr>
          <w:p>
            <w:pPr>
              <w:jc w:val="center"/>
              <w:ind w:right="30"/>
              <w:spacing w:after="0"/>
              <w:rPr>
                <w:sz w:val="20"/>
                <w:szCs w:val="20"/>
                <w:color w:val="auto"/>
              </w:rPr>
            </w:pPr>
            <w:r>
              <w:rPr>
                <w:rFonts w:ascii="Times New Roman" w:cs="Times New Roman" w:eastAsia="Times New Roman" w:hAnsi="Times New Roman"/>
                <w:sz w:val="18"/>
                <w:szCs w:val="18"/>
                <w:color w:val="auto"/>
                <w:w w:val="99"/>
              </w:rPr>
              <w:t>Jacqueline C. Mutschler</w:t>
            </w:r>
          </w:p>
        </w:tc>
        <w:tc>
          <w:tcPr>
            <w:tcW w:w="1460" w:type="dxa"/>
            <w:vAlign w:val="bottom"/>
            <w:shd w:val="clear" w:color="auto" w:fill="DBDBDB"/>
          </w:tcPr>
          <w:p>
            <w:pPr>
              <w:jc w:val="center"/>
              <w:ind w:right="30"/>
              <w:spacing w:after="0"/>
              <w:rPr>
                <w:sz w:val="20"/>
                <w:szCs w:val="20"/>
                <w:color w:val="auto"/>
              </w:rPr>
            </w:pPr>
            <w:r>
              <w:rPr>
                <w:rFonts w:ascii="Times New Roman" w:cs="Times New Roman" w:eastAsia="Times New Roman" w:hAnsi="Times New Roman"/>
                <w:sz w:val="18"/>
                <w:szCs w:val="18"/>
                <w:color w:val="auto"/>
              </w:rPr>
              <w:t>57,108,932</w:t>
            </w:r>
          </w:p>
        </w:tc>
        <w:tc>
          <w:tcPr>
            <w:tcW w:w="16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7,424,913</w:t>
            </w:r>
          </w:p>
        </w:tc>
        <w:tc>
          <w:tcPr>
            <w:tcW w:w="1360" w:type="dxa"/>
            <w:vAlign w:val="bottom"/>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color w:val="auto"/>
                <w:w w:val="99"/>
              </w:rPr>
              <w:t>224,928</w:t>
            </w:r>
          </w:p>
        </w:tc>
        <w:tc>
          <w:tcPr>
            <w:tcW w:w="1760" w:type="dxa"/>
            <w:vAlign w:val="bottom"/>
            <w:shd w:val="clear" w:color="auto" w:fill="DBDBDB"/>
          </w:tcPr>
          <w:p>
            <w:pPr>
              <w:jc w:val="center"/>
              <w:ind w:left="150"/>
              <w:spacing w:after="0"/>
              <w:rPr>
                <w:sz w:val="20"/>
                <w:szCs w:val="20"/>
                <w:color w:val="auto"/>
              </w:rPr>
            </w:pPr>
            <w:r>
              <w:rPr>
                <w:rFonts w:ascii="Times New Roman" w:cs="Times New Roman" w:eastAsia="Times New Roman" w:hAnsi="Times New Roman"/>
                <w:sz w:val="18"/>
                <w:szCs w:val="18"/>
                <w:color w:val="auto"/>
                <w:w w:val="99"/>
              </w:rPr>
              <w:t>2,445,655</w:t>
            </w:r>
          </w:p>
        </w:tc>
      </w:tr>
      <w:tr>
        <w:trPr>
          <w:trHeight w:val="270"/>
        </w:trPr>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Charles M. Sledge</w:t>
            </w:r>
          </w:p>
        </w:tc>
        <w:tc>
          <w:tcPr>
            <w:tcW w:w="1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62,474,544</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2,261,482</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22,747</w:t>
            </w:r>
          </w:p>
        </w:tc>
        <w:tc>
          <w:tcPr>
            <w:tcW w:w="17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2,445,655</w:t>
            </w:r>
          </w:p>
        </w:tc>
      </w:tr>
      <w:tr>
        <w:trPr>
          <w:trHeight w:val="270"/>
        </w:trPr>
        <w:tc>
          <w:tcPr>
            <w:tcW w:w="2380" w:type="dxa"/>
            <w:vAlign w:val="bottom"/>
            <w:shd w:val="clear" w:color="auto" w:fill="DBDBDB"/>
          </w:tcPr>
          <w:p>
            <w:pPr>
              <w:jc w:val="center"/>
              <w:ind w:right="30"/>
              <w:spacing w:after="0"/>
              <w:rPr>
                <w:sz w:val="20"/>
                <w:szCs w:val="20"/>
                <w:color w:val="auto"/>
              </w:rPr>
            </w:pPr>
            <w:r>
              <w:rPr>
                <w:rFonts w:ascii="Times New Roman" w:cs="Times New Roman" w:eastAsia="Times New Roman" w:hAnsi="Times New Roman"/>
                <w:sz w:val="18"/>
                <w:szCs w:val="18"/>
                <w:color w:val="auto"/>
              </w:rPr>
              <w:t>Girishchandra K. Saligram</w:t>
            </w:r>
          </w:p>
        </w:tc>
        <w:tc>
          <w:tcPr>
            <w:tcW w:w="1460" w:type="dxa"/>
            <w:vAlign w:val="bottom"/>
            <w:shd w:val="clear" w:color="auto" w:fill="DBDBDB"/>
          </w:tcPr>
          <w:p>
            <w:pPr>
              <w:jc w:val="center"/>
              <w:ind w:right="30"/>
              <w:spacing w:after="0"/>
              <w:rPr>
                <w:sz w:val="20"/>
                <w:szCs w:val="20"/>
                <w:color w:val="auto"/>
              </w:rPr>
            </w:pPr>
            <w:r>
              <w:rPr>
                <w:rFonts w:ascii="Times New Roman" w:cs="Times New Roman" w:eastAsia="Times New Roman" w:hAnsi="Times New Roman"/>
                <w:sz w:val="18"/>
                <w:szCs w:val="18"/>
                <w:color w:val="auto"/>
              </w:rPr>
              <w:t>64,678,963</w:t>
            </w:r>
          </w:p>
        </w:tc>
        <w:tc>
          <w:tcPr>
            <w:tcW w:w="16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57,395</w:t>
            </w:r>
          </w:p>
        </w:tc>
        <w:tc>
          <w:tcPr>
            <w:tcW w:w="1360" w:type="dxa"/>
            <w:vAlign w:val="bottom"/>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color w:val="auto"/>
              </w:rPr>
              <w:t>22,415</w:t>
            </w:r>
          </w:p>
        </w:tc>
        <w:tc>
          <w:tcPr>
            <w:tcW w:w="1760" w:type="dxa"/>
            <w:vAlign w:val="bottom"/>
            <w:shd w:val="clear" w:color="auto" w:fill="DBDBDB"/>
          </w:tcPr>
          <w:p>
            <w:pPr>
              <w:jc w:val="center"/>
              <w:ind w:left="150"/>
              <w:spacing w:after="0"/>
              <w:rPr>
                <w:sz w:val="20"/>
                <w:szCs w:val="20"/>
                <w:color w:val="auto"/>
              </w:rPr>
            </w:pPr>
            <w:r>
              <w:rPr>
                <w:rFonts w:ascii="Times New Roman" w:cs="Times New Roman" w:eastAsia="Times New Roman" w:hAnsi="Times New Roman"/>
                <w:sz w:val="18"/>
                <w:szCs w:val="18"/>
                <w:color w:val="auto"/>
                <w:w w:val="99"/>
              </w:rPr>
              <w:t>2,445,655</w:t>
            </w:r>
          </w:p>
        </w:tc>
      </w:tr>
    </w:tbl>
    <w:p>
      <w:pPr>
        <w:spacing w:after="0" w:line="319" w:lineRule="exact"/>
        <w:rPr>
          <w:sz w:val="20"/>
          <w:szCs w:val="20"/>
          <w:color w:val="auto"/>
        </w:rPr>
      </w:pPr>
    </w:p>
    <w:p>
      <w:pPr>
        <w:jc w:val="both"/>
        <w:ind w:left="160" w:firstLine="155"/>
        <w:spacing w:after="0" w:line="250" w:lineRule="auto"/>
        <w:tabs>
          <w:tab w:leader="none" w:pos="10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as follows to: (a) ratify the appointment of (i) KPMG LLP as the Company’s independent registered public accounting firm and auditor for the financial year ending December 31, 2026 and (ii) KPMG Chartered Accountants, Dublin, as the Company’s statutory auditor under Irish law to hold office until the close of the Company’s 2027 Annual General Meeting of the Shareholders; and (b) authorize the Board of Directors of the Company, acting through the Audit Committee, to determine the auditors’ remuneration.</w:t>
      </w:r>
    </w:p>
    <w:p>
      <w:pPr>
        <w:spacing w:after="0" w:line="249"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18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40" w:type="dxa"/>
            <w:vAlign w:val="bottom"/>
            <w:tcBorders>
              <w:bottom w:val="single" w:sz="8" w:color="auto"/>
            </w:tcBorders>
            <w:shd w:val="clear" w:color="auto" w:fill="DBDBDB"/>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8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0"/>
        </w:trPr>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66,727,562</w:t>
            </w:r>
          </w:p>
        </w:tc>
        <w:tc>
          <w:tcPr>
            <w:tcW w:w="1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453,263</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23,603</w:t>
            </w:r>
          </w:p>
        </w:tc>
        <w:tc>
          <w:tcPr>
            <w:tcW w:w="19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19" w:lineRule="exact"/>
        <w:rPr>
          <w:sz w:val="20"/>
          <w:szCs w:val="20"/>
          <w:color w:val="auto"/>
        </w:rPr>
      </w:pPr>
    </w:p>
    <w:p>
      <w:pPr>
        <w:ind w:left="1040" w:hanging="72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as follows to approve, on a non-binding advisory basis, the compensation of the Company’s named executive</w:t>
      </w:r>
    </w:p>
    <w:p>
      <w:pPr>
        <w:spacing w:after="0" w:line="15"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w:t>
      </w:r>
    </w:p>
    <w:p>
      <w:pPr>
        <w:spacing w:after="0" w:line="264"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18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40" w:type="dxa"/>
            <w:vAlign w:val="bottom"/>
            <w:tcBorders>
              <w:bottom w:val="single" w:sz="8" w:color="auto"/>
            </w:tcBorders>
            <w:shd w:val="clear" w:color="auto" w:fill="DBDBDB"/>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0" w:type="dxa"/>
            <w:vAlign w:val="bottom"/>
            <w:tcBorders>
              <w:bottom w:val="single" w:sz="8" w:color="auto"/>
            </w:tcBorders>
            <w:shd w:val="clear" w:color="auto" w:fill="DBDBDB"/>
          </w:tcPr>
          <w:p>
            <w:pPr>
              <w:ind w:left="6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64,080,857</w:t>
            </w:r>
          </w:p>
        </w:tc>
        <w:tc>
          <w:tcPr>
            <w:tcW w:w="1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506,631</w:t>
            </w: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171,285</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319" w:lineRule="exact"/>
        <w:rPr>
          <w:sz w:val="20"/>
          <w:szCs w:val="20"/>
          <w:color w:val="auto"/>
        </w:rPr>
      </w:pPr>
    </w:p>
    <w:p>
      <w:pPr>
        <w:ind w:left="1040" w:hanging="72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as follows to approve the Plan.</w:t>
      </w:r>
    </w:p>
    <w:p>
      <w:pPr>
        <w:spacing w:after="0" w:line="284"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182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tcBorders>
              <w:bottom w:val="single" w:sz="8" w:color="auto"/>
            </w:tcBorders>
            <w:shd w:val="clear" w:color="auto" w:fill="DBDBDB"/>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8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60,282,187</w:t>
            </w:r>
          </w:p>
        </w:tc>
        <w:tc>
          <w:tcPr>
            <w:tcW w:w="18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4,435,782</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40,804</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76" w:lineRule="exact"/>
        <w:rPr>
          <w:sz w:val="20"/>
          <w:szCs w:val="20"/>
          <w:color w:val="auto"/>
        </w:rPr>
      </w:pPr>
    </w:p>
    <w:p>
      <w:pPr>
        <w:ind w:left="1040" w:hanging="72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as follows to grant the Board of Directors the authority to issue shares under Irish law.</w:t>
      </w:r>
    </w:p>
    <w:p>
      <w:pPr>
        <w:spacing w:after="0" w:line="284"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18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40" w:type="dxa"/>
            <w:vAlign w:val="bottom"/>
            <w:tcBorders>
              <w:bottom w:val="single" w:sz="8" w:color="auto"/>
            </w:tcBorders>
            <w:shd w:val="clear" w:color="auto" w:fill="DBDBDB"/>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64,464,463</w:t>
            </w:r>
          </w:p>
        </w:tc>
        <w:tc>
          <w:tcPr>
            <w:tcW w:w="1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272,433</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21,877</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319" w:lineRule="exact"/>
        <w:rPr>
          <w:sz w:val="20"/>
          <w:szCs w:val="20"/>
          <w:color w:val="auto"/>
        </w:rPr>
      </w:pPr>
    </w:p>
    <w:p>
      <w:pPr>
        <w:ind w:left="1040" w:hanging="72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as follows to grant the Board of Directors the authority to opt-out of statutory preemption rights under Irish law.</w:t>
      </w:r>
    </w:p>
    <w:p>
      <w:pPr>
        <w:spacing w:after="0" w:line="284"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18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40" w:type="dxa"/>
            <w:vAlign w:val="bottom"/>
            <w:tcBorders>
              <w:bottom w:val="single" w:sz="8" w:color="auto"/>
            </w:tcBorders>
            <w:shd w:val="clear" w:color="auto" w:fill="DBDBDB"/>
          </w:tcPr>
          <w:p>
            <w:pPr>
              <w:ind w:left="5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64,317,149</w:t>
            </w:r>
          </w:p>
        </w:tc>
        <w:tc>
          <w:tcPr>
            <w:tcW w:w="1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417,018</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24,606</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Scheme Related Business</w:t>
      </w:r>
    </w:p>
    <w:p>
      <w:pPr>
        <w:spacing w:after="0" w:line="241" w:lineRule="exact"/>
        <w:rPr>
          <w:sz w:val="20"/>
          <w:szCs w:val="20"/>
          <w:color w:val="auto"/>
        </w:rPr>
      </w:pPr>
    </w:p>
    <w:p>
      <w:pPr>
        <w:ind w:left="160" w:right="20" w:firstLine="155"/>
        <w:spacing w:after="0" w:line="282" w:lineRule="auto"/>
        <w:tabs>
          <w:tab w:leader="none" w:pos="1051"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shareholders voted as follows to approve the Scheme of Arrangement by, and on behalf of, the Company, and to authorize the directors of the Company to take all such actions as they consider necessary or appropriate to carry the Scheme of Arrangement into effect.</w:t>
      </w:r>
    </w:p>
    <w:p>
      <w:pPr>
        <w:spacing w:after="0" w:line="220" w:lineRule="exact"/>
        <w:rPr>
          <w:sz w:val="20"/>
          <w:szCs w:val="20"/>
          <w:color w:val="auto"/>
        </w:rPr>
      </w:pPr>
    </w:p>
    <w:tbl>
      <w:tblPr>
        <w:tblLayout w:type="fixed"/>
        <w:tblInd w:w="1040" w:type="dxa"/>
        <w:tblCellMar>
          <w:top w:w="0" w:type="dxa"/>
          <w:left w:w="0" w:type="dxa"/>
          <w:bottom w:w="0" w:type="dxa"/>
          <w:right w:w="0" w:type="dxa"/>
        </w:tblCellMar>
      </w:tblPr>
      <w:tr>
        <w:trPr>
          <w:trHeight w:val="270"/>
        </w:trPr>
        <w:tc>
          <w:tcPr>
            <w:tcW w:w="17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tcBorders>
              <w:bottom w:val="single" w:sz="8" w:color="auto"/>
            </w:tcBorders>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39,473,706</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25,247,441</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37,626</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319" w:lineRule="exact"/>
        <w:rPr>
          <w:sz w:val="20"/>
          <w:szCs w:val="20"/>
          <w:color w:val="auto"/>
        </w:rPr>
      </w:pPr>
    </w:p>
    <w:p>
      <w:pPr>
        <w:ind w:left="160" w:firstLine="155"/>
        <w:spacing w:after="0" w:line="266" w:lineRule="auto"/>
        <w:tabs>
          <w:tab w:leader="none" w:pos="10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did not vote to approve a capital reduction under sections 84 to 86 of the Companies Act to effect the cancellation of Weatherford-Ireland ordinary shares contemplated by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676275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936" w:right="339" w:bottom="1440" w:gutter="0" w:footer="0" w:header="0"/>
        </w:sectPr>
      </w:pPr>
    </w:p>
    <w:bookmarkStart w:id="3" w:name="page4"/>
    <w:bookmarkEnd w:id="3"/>
    <w:tbl>
      <w:tblPr>
        <w:tblLayout w:type="fixed"/>
        <w:tblInd w:w="1300" w:type="dxa"/>
        <w:tblCellMar>
          <w:top w:w="0" w:type="dxa"/>
          <w:left w:w="0" w:type="dxa"/>
          <w:bottom w:w="0" w:type="dxa"/>
          <w:right w:w="0" w:type="dxa"/>
        </w:tblCellMar>
      </w:tblPr>
      <w:tr>
        <w:trPr>
          <w:trHeight w:val="270"/>
        </w:trPr>
        <w:tc>
          <w:tcPr>
            <w:tcW w:w="17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tcBorders>
              <w:bottom w:val="single" w:sz="8" w:color="auto"/>
            </w:tcBorders>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41,338,423</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23,395,869</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24,481</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76" w:lineRule="exact"/>
        <w:rPr>
          <w:sz w:val="20"/>
          <w:szCs w:val="20"/>
          <w:color w:val="auto"/>
        </w:rPr>
      </w:pPr>
    </w:p>
    <w:p>
      <w:pPr>
        <w:ind w:left="420" w:firstLine="155"/>
        <w:spacing w:after="0" w:line="266" w:lineRule="auto"/>
        <w:tabs>
          <w:tab w:leader="none" w:pos="13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did not vote to approve the terms of an initial subscription, allotment and issue of one, or more, Weatherford-Ireland ordinary shares to Weatherford-US in connection with the Scheme of Arrangement.</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17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tcBorders>
              <w:bottom w:val="single" w:sz="8" w:color="auto"/>
            </w:tcBorders>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41,870,302</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22,850,999</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37,472</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319" w:lineRule="exact"/>
        <w:rPr>
          <w:sz w:val="20"/>
          <w:szCs w:val="20"/>
          <w:color w:val="auto"/>
        </w:rPr>
      </w:pPr>
    </w:p>
    <w:p>
      <w:pPr>
        <w:jc w:val="both"/>
        <w:ind w:left="420" w:firstLine="155"/>
        <w:spacing w:after="0" w:line="246" w:lineRule="auto"/>
        <w:tabs>
          <w:tab w:leader="none" w:pos="13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voted as follows to authorize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w:t>
      </w:r>
    </w:p>
    <w:p>
      <w:pPr>
        <w:spacing w:after="0" w:line="267"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17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tcBorders>
              <w:bottom w:val="single" w:sz="8" w:color="auto"/>
            </w:tcBorders>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42,881,656</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21,839,013</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38,104</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306" w:lineRule="exact"/>
        <w:rPr>
          <w:sz w:val="20"/>
          <w:szCs w:val="20"/>
          <w:color w:val="auto"/>
        </w:rPr>
      </w:pPr>
    </w:p>
    <w:p>
      <w:pPr>
        <w:jc w:val="both"/>
        <w:ind w:left="420" w:firstLine="155"/>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did not vote to approve an amendment to the Weatherford-Ireland Articles so that any Weatherford-Ireland ordinary shares that are issued on or after the Voting Record Time (as defined in the Scheme of Arrangement) to persons other than Weatherford-US or its nominee(s) will either be subject to the terms of the Scheme of Arrangement or will be immediately and automatically acquired by Weatherford-US and/or its nominee(s) for the Scheme Consideration (as defined in the Scheme of Arrangement).</w:t>
      </w:r>
    </w:p>
    <w:p>
      <w:pPr>
        <w:spacing w:after="0" w:line="263"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17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6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tcBorders>
              <w:bottom w:val="single" w:sz="8" w:color="auto"/>
            </w:tcBorders>
            <w:shd w:val="clear" w:color="auto" w:fill="DBDBDB"/>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000" w:type="dxa"/>
            <w:vAlign w:val="bottom"/>
            <w:tcBorders>
              <w:bottom w:val="single" w:sz="8" w:color="auto"/>
            </w:tcBorders>
            <w:shd w:val="clear" w:color="auto" w:fill="DBDBDB"/>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50"/>
        </w:trPr>
        <w:tc>
          <w:tcPr>
            <w:tcW w:w="1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39,510,378</w:t>
            </w:r>
          </w:p>
        </w:tc>
        <w:tc>
          <w:tcPr>
            <w:tcW w:w="18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25,213,519</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34,876</w:t>
            </w:r>
          </w:p>
        </w:tc>
        <w:tc>
          <w:tcPr>
            <w:tcW w:w="20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2,445,655</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4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This report, as well as other statements we make, include forward-looking statements within the meaning of the Private Securities Litigation Reform Act of 1995, Section 27A of the Securities Act of 1933, as amended, and Section 21E of the Securities Exchange Act of 1934, as amended. Statements that are not historical facts, including statements about Weatherford’s beliefs, plans, estimates, or expectations, are forward-looking statements. Forward-looking statements often use words such as “anticipate,” “believe,” “could,” “estimate,” “expect,” “forecast,” “goal,” “intend,” “plan,” “potential,” “should,” “target,” “will,” and other words of similar meaning. Such forward-looking statements include, but are not limited to, statements regarding the redomestication, including statements that the redomestication remains a priority of the Company, the Company’s intention to present an updated redomestication proposal at a future meeting of shareholders, and the expected benefits of the redomestication. These statements are based on current beliefs, plans, estimates, and expectations, all of which involve risk and uncertainty. Actual results may differ materially from those included in such forward-looking statements and therefore you should not place undue reliance on them.</w:t>
      </w:r>
    </w:p>
    <w:p>
      <w:pPr>
        <w:spacing w:after="0" w:line="2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factors that could cause actual results to differ materially from current expectations include, but are not limited to, our ability to receive, in a timely manner and on satisfactory terms, required shareholder and court approval, and to satisfy the other conditions to the redomestication within the expected timeframe or at all; our ability to realize the expected benefits from the redomestication; the occurrence of difficulties in connection with the redomestication, including any costs related thereto; the risk that the redomestication disrupts current plans and operations; any changes in tax laws, tax treaties or tax regulations or the interpretation or enforcement thereof by the tax authorities in Ireland, the United States and other jurisdictions following the redomestication; and the future financial performance of Weatherford following the redomestication.</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foregoing factors are in addition to those other risks, uncertainties, and factors included in the “Risk Factors” section and elsewhere in Weatherford’s reports filed with the SEC, including annual reports on Form 10-K, quarterly reports on Form 10-Q, current reports on Form 8-K, and other documents filed with the SEC. There may be other risks and uncertainties that we are not currently aware of or are unable to predict and which may also affect Weatherford’s forward-looking statements and may cause actual results and the timing of events to differ materially from those anticipated. The forward-looking statements made in this communication are made only as of the date hereof or as of the dates indicated in the forward-looking statements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t>Weatherford undertakes no obligation to update or revise any forward-looking statement as a result of new information, future events or otherwise, except as otherwise required by law.</w:t>
      </w:r>
    </w:p>
    <w:p>
      <w:pPr>
        <w:spacing w:after="0" w:line="239" w:lineRule="exact"/>
        <w:rPr>
          <w:sz w:val="20"/>
          <w:szCs w:val="20"/>
          <w:color w:val="auto"/>
        </w:rPr>
      </w:pPr>
    </w:p>
    <w:p>
      <w:pPr>
        <w:ind w:left="2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1500" w:hanging="915"/>
        <w:spacing w:after="0"/>
        <w:tabs>
          <w:tab w:leader="none" w:pos="1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20" w:type="dxa"/>
            <w:vAlign w:val="bottom"/>
            <w:tcBorders>
              <w:bottom w:val="single" w:sz="8" w:color="auto"/>
            </w:tcBorders>
          </w:tcPr>
          <w:p>
            <w:pPr>
              <w:spacing w:after="0"/>
              <w:rPr>
                <w:sz w:val="2"/>
                <w:szCs w:val="2"/>
                <w:color w:val="auto"/>
              </w:rPr>
            </w:pPr>
          </w:p>
        </w:tc>
      </w:tr>
      <w:tr>
        <w:trPr>
          <w:trHeight w:val="228"/>
        </w:trPr>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Weatherford International plc Fifth Amended and Restated 2019 Equity Incentive Plan.</w:t>
            </w:r>
          </w:p>
        </w:tc>
      </w:tr>
      <w:tr>
        <w:trPr>
          <w:trHeight w:val="252"/>
        </w:trPr>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236"/>
        </w:trPr>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0"/>
        <w:spacing w:after="0"/>
        <w:tabs>
          <w:tab w:leader="none" w:pos="2860" w:val="left"/>
          <w:tab w:leader="none" w:pos="338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14605</wp:posOffset>
            </wp:positionV>
            <wp:extent cx="49720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p>
      <w:pPr>
        <w:sectPr>
          <w:pgSz w:w="11900" w:h="16838" w:orient="portrait"/>
          <w:cols w:equalWidth="0" w:num="1">
            <w:col w:w="11200"/>
          </w:cols>
          <w:pgMar w:left="32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WEATHERFORD INTERNATIONAL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FIFTH AMENDED AND RESTATED 2019 EQUITY INCENTIVE PLAN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Restated and Adopted as of June 11, 2026</w:t>
      </w:r>
    </w:p>
    <w:p>
      <w:pPr>
        <w:spacing w:after="0" w:line="152"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Purpose of the Plan</w:t>
      </w:r>
    </w:p>
    <w:p>
      <w:pPr>
        <w:spacing w:after="0" w:line="1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Weatherford International plc 2019 Equity Incentive Plan was originally adopted by the Board on December 12, 2019, amended and restated as of April 13, 2020, October 30, 2022, January 18, 2023 and June 11, 2025, and is hereby further amended and restated as of June 11,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w:t>
      </w:r>
    </w:p>
    <w:p>
      <w:pPr>
        <w:spacing w:after="0" w:line="10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p>
    <w:p>
      <w:pPr>
        <w:spacing w:after="0" w:line="1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following capitalized terms used in the Plan have the respective meanings set forth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unless the context clearly indicates otherwise. The singular pronoun shall include the plural where the context so indicates.</w:t>
      </w:r>
    </w:p>
    <w:p>
      <w:pPr>
        <w:spacing w:after="0" w:line="90" w:lineRule="exact"/>
        <w:rPr>
          <w:sz w:val="20"/>
          <w:szCs w:val="20"/>
          <w:color w:val="auto"/>
        </w:rPr>
      </w:pPr>
    </w:p>
    <w:p>
      <w:pPr>
        <w:ind w:left="940" w:hanging="284"/>
        <w:spacing w:after="0"/>
        <w:tabs>
          <w:tab w:leader="none" w:pos="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The Companies Act 2014 of Ireland, as amended.</w:t>
      </w:r>
    </w:p>
    <w:p>
      <w:pPr>
        <w:spacing w:after="0" w:line="138" w:lineRule="exact"/>
        <w:rPr>
          <w:rFonts w:ascii="Times New Roman" w:cs="Times New Roman" w:eastAsia="Times New Roman" w:hAnsi="Times New Roman"/>
          <w:sz w:val="22"/>
          <w:szCs w:val="22"/>
          <w:color w:val="auto"/>
        </w:rPr>
      </w:pPr>
    </w:p>
    <w:p>
      <w:pPr>
        <w:jc w:val="both"/>
        <w:ind w:firstLine="656"/>
        <w:spacing w:after="0" w:line="256" w:lineRule="auto"/>
        <w:tabs>
          <w:tab w:leader="none" w:pos="95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spacing w:after="0" w:line="108" w:lineRule="exact"/>
        <w:rPr>
          <w:rFonts w:ascii="Times New Roman" w:cs="Times New Roman" w:eastAsia="Times New Roman" w:hAnsi="Times New Roman"/>
          <w:sz w:val="22"/>
          <w:szCs w:val="22"/>
          <w:color w:val="auto"/>
        </w:rPr>
      </w:pPr>
    </w:p>
    <w:p>
      <w:pPr>
        <w:jc w:val="both"/>
        <w:ind w:firstLine="656"/>
        <w:spacing w:after="0" w:line="257" w:lineRule="auto"/>
        <w:tabs>
          <w:tab w:leader="none" w:pos="102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Accounting Standards Generally Accepted Accounting Principles</w:t>
      </w:r>
      <w:r>
        <w:rPr>
          <w:rFonts w:ascii="Times New Roman" w:cs="Times New Roman" w:eastAsia="Times New Roman" w:hAnsi="Times New Roman"/>
          <w:sz w:val="22"/>
          <w:szCs w:val="22"/>
          <w:color w:val="auto"/>
        </w:rPr>
        <w:t>: Means in the United States, International Financial Reporting Standards or such other accounting principles or standards as may apply to the Company's financial statements under United States federal securities laws from time to time.</w:t>
      </w:r>
    </w:p>
    <w:p>
      <w:pPr>
        <w:spacing w:after="0" w:line="105" w:lineRule="exact"/>
        <w:rPr>
          <w:rFonts w:ascii="Times New Roman" w:cs="Times New Roman" w:eastAsia="Times New Roman" w:hAnsi="Times New Roman"/>
          <w:sz w:val="22"/>
          <w:szCs w:val="22"/>
          <w:color w:val="auto"/>
        </w:rPr>
      </w:pPr>
    </w:p>
    <w:p>
      <w:pPr>
        <w:jc w:val="both"/>
        <w:ind w:firstLine="656"/>
        <w:spacing w:after="0" w:line="253" w:lineRule="auto"/>
        <w:tabs>
          <w:tab w:leader="none" w:pos="100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Laws</w:t>
      </w:r>
      <w:r>
        <w:rPr>
          <w:rFonts w:ascii="Times New Roman" w:cs="Times New Roman" w:eastAsia="Times New Roman" w:hAnsi="Times New Roman"/>
          <w:sz w:val="22"/>
          <w:szCs w:val="22"/>
          <w:color w:val="auto"/>
        </w:rPr>
        <w:t>: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w:t>
      </w:r>
    </w:p>
    <w:p>
      <w:pPr>
        <w:spacing w:after="0" w:line="111"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With respect to a specified Person, means:</w:t>
      </w:r>
    </w:p>
    <w:p>
      <w:pPr>
        <w:spacing w:after="0" w:line="139"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corporation, partnership, or other organization of which such specified Person is an officer or partner;</w:t>
      </w:r>
    </w:p>
    <w:p>
      <w:pPr>
        <w:spacing w:after="0" w:line="152" w:lineRule="exact"/>
        <w:rPr>
          <w:rFonts w:ascii="Times New Roman" w:cs="Times New Roman" w:eastAsia="Times New Roman" w:hAnsi="Times New Roman"/>
          <w:sz w:val="22"/>
          <w:szCs w:val="22"/>
          <w:color w:val="auto"/>
        </w:rPr>
      </w:pPr>
    </w:p>
    <w:p>
      <w:pPr>
        <w:ind w:firstLine="656"/>
        <w:spacing w:after="0" w:line="284" w:lineRule="auto"/>
        <w:tabs>
          <w:tab w:leader="none" w:pos="100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trust or other estate in which such specified Person has a substantial beneficial interest or as to which such specified Person serves as trustee or in a similar fiduciary capacity;</w:t>
      </w:r>
    </w:p>
    <w:p>
      <w:pPr>
        <w:sectPr>
          <w:pgSz w:w="11900" w:h="16838" w:orient="portrait"/>
          <w:cols w:equalWidth="0" w:num="1">
            <w:col w:w="11240"/>
          </w:cols>
          <w:pgMar w:left="320" w:top="1418" w:right="339" w:bottom="1440" w:gutter="0" w:footer="0" w:header="0"/>
        </w:sectPr>
      </w:pPr>
    </w:p>
    <w:bookmarkStart w:id="7" w:name="page8"/>
    <w:bookmarkEnd w:id="7"/>
    <w:p>
      <w:pPr>
        <w:ind w:left="-656" w:right="20" w:firstLine="656"/>
        <w:spacing w:after="0" w:line="271" w:lineRule="auto"/>
        <w:tabs>
          <w:tab w:leader="none" w:pos="40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relative or spouse of such specified Person, or any relative of such spouse who has the same home as such specified Person, or who is a director or officer of the Company or any of its Subsidiaries; and</w:t>
      </w:r>
    </w:p>
    <w:p>
      <w:pPr>
        <w:spacing w:after="0" w:line="90" w:lineRule="exact"/>
        <w:rPr>
          <w:rFonts w:ascii="Times New Roman" w:cs="Times New Roman" w:eastAsia="Times New Roman" w:hAnsi="Times New Roman"/>
          <w:sz w:val="22"/>
          <w:szCs w:val="22"/>
          <w:color w:val="auto"/>
        </w:rPr>
      </w:pPr>
    </w:p>
    <w:p>
      <w:pPr>
        <w:ind w:left="-656" w:firstLine="656"/>
        <w:spacing w:after="0" w:line="295" w:lineRule="auto"/>
        <w:tabs>
          <w:tab w:leader="none" w:pos="36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who is a director, officer, or partner of such specified Person or of any company (other than the Company or any wholly-owned Subsidiary), corporation, partnership or other entity which is an Affiliate of such specified person.</w:t>
      </w:r>
    </w:p>
    <w:p>
      <w:pPr>
        <w:spacing w:after="0" w:line="68" w:lineRule="exact"/>
        <w:rPr>
          <w:sz w:val="20"/>
          <w:szCs w:val="20"/>
          <w:color w:val="auto"/>
        </w:rPr>
      </w:pPr>
    </w:p>
    <w:p>
      <w:pPr>
        <w:ind w:left="-656" w:firstLine="656"/>
        <w:spacing w:after="0" w:line="271" w:lineRule="auto"/>
        <w:tabs>
          <w:tab w:leader="none" w:pos="27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An Option, Restricted Share, Restricted Share Unit, Share Appreciation Right, Other Share-Based Award or Performance-Based Award granted pursuant to the Plan.</w:t>
      </w:r>
    </w:p>
    <w:p>
      <w:pPr>
        <w:spacing w:after="0" w:line="90" w:lineRule="exact"/>
        <w:rPr>
          <w:rFonts w:ascii="Times New Roman" w:cs="Times New Roman" w:eastAsia="Times New Roman" w:hAnsi="Times New Roman"/>
          <w:sz w:val="22"/>
          <w:szCs w:val="22"/>
          <w:color w:val="auto"/>
        </w:rPr>
      </w:pPr>
    </w:p>
    <w:p>
      <w:pPr>
        <w:ind w:left="-656" w:firstLine="656"/>
        <w:spacing w:after="0" w:line="271" w:lineRule="auto"/>
        <w:tabs>
          <w:tab w:leader="none" w:pos="33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A</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reement</w:t>
      </w:r>
      <w:r>
        <w:rPr>
          <w:rFonts w:ascii="Times New Roman" w:cs="Times New Roman" w:eastAsia="Times New Roman" w:hAnsi="Times New Roman"/>
          <w:sz w:val="22"/>
          <w:szCs w:val="22"/>
          <w:color w:val="auto"/>
        </w:rPr>
        <w:t>: Any written agreement, contract, or other instrument or document evidencing the terms and conditions of an Award, including through electronic medium.</w:t>
      </w:r>
    </w:p>
    <w:p>
      <w:pPr>
        <w:spacing w:after="0" w:line="90" w:lineRule="exact"/>
        <w:rPr>
          <w:rFonts w:ascii="Times New Roman" w:cs="Times New Roman" w:eastAsia="Times New Roman" w:hAnsi="Times New Roman"/>
          <w:sz w:val="22"/>
          <w:szCs w:val="22"/>
          <w:color w:val="auto"/>
        </w:rPr>
      </w:pPr>
    </w:p>
    <w:p>
      <w:pPr>
        <w:jc w:val="both"/>
        <w:ind w:left="-656" w:firstLine="656"/>
        <w:spacing w:after="0" w:line="253" w:lineRule="auto"/>
        <w:tabs>
          <w:tab w:leader="none" w:pos="29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spacing w:after="0" w:line="111" w:lineRule="exact"/>
        <w:rPr>
          <w:rFonts w:ascii="Times New Roman" w:cs="Times New Roman" w:eastAsia="Times New Roman" w:hAnsi="Times New Roman"/>
          <w:sz w:val="22"/>
          <w:szCs w:val="22"/>
          <w:color w:val="auto"/>
        </w:rPr>
      </w:pPr>
    </w:p>
    <w:p>
      <w:pPr>
        <w:ind w:left="-656" w:right="20" w:firstLine="656"/>
        <w:spacing w:after="0" w:line="271" w:lineRule="auto"/>
        <w:tabs>
          <w:tab w:leader="none" w:pos="25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All employee benefit and compensation plans, agreements, arrangements, programs, policies, practices, contracts or agreements of the Company and its Affiliates.</w:t>
      </w:r>
    </w:p>
    <w:p>
      <w:pPr>
        <w:spacing w:after="0" w:line="90" w:lineRule="exact"/>
        <w:rPr>
          <w:rFonts w:ascii="Times New Roman" w:cs="Times New Roman" w:eastAsia="Times New Roman" w:hAnsi="Times New Roman"/>
          <w:sz w:val="22"/>
          <w:szCs w:val="22"/>
          <w:color w:val="auto"/>
        </w:rPr>
      </w:pPr>
    </w:p>
    <w:p>
      <w:pPr>
        <w:ind w:left="264" w:hanging="264"/>
        <w:spacing w:after="0"/>
        <w:tabs>
          <w:tab w:leader="none" w:pos="26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Board of Directors of the Company.</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59" w:lineRule="auto"/>
        <w:tabs>
          <w:tab w:leader="none" w:pos="32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Means in the case of a particular Award, unless the applicable Award Agreement states otherwise, (i) the Company or any member of the Weatherford Group having “Cause” to terminate the Participant's employment or service, as defined in any employment or consulting agreement between the Participant and any member of the Weatherford Group in effect at the time of such termination, or (ii) in the absence of any such employment or consulting agreement (or the absence of any definition of “Cause” contained therein), the Participant's (A) commission of, conviction for, plea of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its sole discretion.</w:t>
      </w:r>
    </w:p>
    <w:p>
      <w:pPr>
        <w:sectPr>
          <w:pgSz w:w="11900" w:h="16838" w:orient="portrait"/>
          <w:cols w:equalWidth="0" w:num="1">
            <w:col w:w="10584"/>
          </w:cols>
          <w:pgMar w:left="976" w:top="1422" w:right="339" w:bottom="1440" w:gutter="0" w:footer="0" w:header="0"/>
        </w:sectPr>
      </w:pPr>
    </w:p>
    <w:bookmarkStart w:id="8" w:name="page9"/>
    <w:bookmarkEnd w:id="8"/>
    <w:p>
      <w:pPr>
        <w:ind w:left="-656" w:firstLine="656"/>
        <w:spacing w:after="0" w:line="271" w:lineRule="auto"/>
        <w:tabs>
          <w:tab w:leader="none" w:pos="26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if any event set forth in any one of the following paragraphs shall have occurred:</w:t>
      </w:r>
    </w:p>
    <w:p>
      <w:pPr>
        <w:spacing w:after="0" w:line="90" w:lineRule="exact"/>
        <w:rPr>
          <w:sz w:val="20"/>
          <w:szCs w:val="20"/>
          <w:color w:val="auto"/>
        </w:rPr>
      </w:pPr>
    </w:p>
    <w:p>
      <w:pPr>
        <w:jc w:val="both"/>
        <w:ind w:left="-656" w:firstLine="656"/>
        <w:spacing w:after="0" w:line="253" w:lineRule="auto"/>
        <w:tabs>
          <w:tab w:leader="none" w:pos="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is or becomes the Beneficial Owner, directly or indirectly, of 50% or more of either (A) the then outstanding Shares of the Company (the “</w:t>
      </w:r>
      <w:r>
        <w:rPr>
          <w:rFonts w:ascii="Times New Roman" w:cs="Times New Roman" w:eastAsia="Times New Roman" w:hAnsi="Times New Roman"/>
          <w:sz w:val="22"/>
          <w:szCs w:val="22"/>
          <w:u w:val="single" w:color="auto"/>
          <w:color w:val="auto"/>
        </w:rPr>
        <w:t>Outstanding Ordinary Shares</w:t>
      </w:r>
      <w:r>
        <w:rPr>
          <w:rFonts w:ascii="Times New Roman" w:cs="Times New Roman" w:eastAsia="Times New Roman" w:hAnsi="Times New Roman"/>
          <w:sz w:val="22"/>
          <w:szCs w:val="22"/>
          <w:color w:val="auto"/>
        </w:rPr>
        <w:t>”) or (B) the combined voting power of the then outstanding voting securities of the Company entitled to vote generally in the election of directors (the “</w:t>
      </w:r>
      <w:r>
        <w:rPr>
          <w:rFonts w:ascii="Times New Roman" w:cs="Times New Roman" w:eastAsia="Times New Roman" w:hAnsi="Times New Roman"/>
          <w:sz w:val="22"/>
          <w:szCs w:val="22"/>
          <w:u w:val="single" w:color="auto"/>
          <w:color w:val="auto"/>
        </w:rPr>
        <w:t>Outstanding 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 excluding any Specified Holder or any Person who becomes such a Beneficial Owner in connection with a transaction that complies with clauses (A), (B) and (C) of paragraph (iii) below;</w:t>
      </w:r>
    </w:p>
    <w:p>
      <w:pPr>
        <w:spacing w:after="0" w:line="111" w:lineRule="exact"/>
        <w:rPr>
          <w:rFonts w:ascii="Times New Roman" w:cs="Times New Roman" w:eastAsia="Times New Roman" w:hAnsi="Times New Roman"/>
          <w:sz w:val="22"/>
          <w:szCs w:val="22"/>
          <w:color w:val="auto"/>
        </w:rPr>
      </w:pPr>
    </w:p>
    <w:p>
      <w:pPr>
        <w:jc w:val="both"/>
        <w:ind w:left="-656" w:firstLine="656"/>
        <w:spacing w:after="0" w:line="250" w:lineRule="auto"/>
        <w:tabs>
          <w:tab w:leader="none" w:pos="34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constitute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cease for any reason to constitute at least a majority of the Board; provided, however,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spacing w:after="0" w:line="112" w:lineRule="exact"/>
        <w:rPr>
          <w:rFonts w:ascii="Times New Roman" w:cs="Times New Roman" w:eastAsia="Times New Roman" w:hAnsi="Times New Roman"/>
          <w:sz w:val="22"/>
          <w:szCs w:val="22"/>
          <w:color w:val="auto"/>
        </w:rPr>
      </w:pPr>
    </w:p>
    <w:p>
      <w:pPr>
        <w:jc w:val="both"/>
        <w:ind w:left="-656" w:firstLine="656"/>
        <w:spacing w:after="0" w:line="247" w:lineRule="auto"/>
        <w:tabs>
          <w:tab w:leader="none" w:pos="4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Times New Roman" w:cs="Times New Roman" w:eastAsia="Times New Roman" w:hAnsi="Times New Roman"/>
          <w:sz w:val="22"/>
          <w:szCs w:val="22"/>
          <w:u w:val="single" w:color="auto"/>
          <w:color w:val="auto"/>
        </w:rPr>
        <w:t>Corporate Transaction</w:t>
      </w:r>
      <w:r>
        <w:rPr>
          <w:rFonts w:ascii="Times New Roman" w:cs="Times New Roman" w:eastAsia="Times New Roman" w:hAnsi="Times New Roman"/>
          <w:sz w:val="22"/>
          <w:szCs w:val="22"/>
          <w:color w:val="auto"/>
        </w:rPr>
        <w:t>”),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 may be, (B) no Person (excluding any Specified Holder, any Entity resulting from such Corporate Transaction or any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w:t>
      </w:r>
    </w:p>
    <w:p>
      <w:pPr>
        <w:sectPr>
          <w:pgSz w:w="11900" w:h="16838" w:orient="portrait"/>
          <w:cols w:equalWidth="0" w:num="1">
            <w:col w:w="10584"/>
          </w:cols>
          <w:pgMar w:left="976" w:top="1422"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Notwithstanding the foregoing, no Change in Control shall be deemed to have occurred (i) in connection with a bankruptcy pursuant to Chapter 7 or Chapter 11 of the United States Bankruptcy Code or upon consummation of a Restructuring,</w:t>
      </w:r>
    </w:p>
    <w:p>
      <w:pPr>
        <w:spacing w:after="0" w:line="2" w:lineRule="exact"/>
        <w:rPr>
          <w:sz w:val="20"/>
          <w:szCs w:val="20"/>
          <w:color w:val="auto"/>
        </w:rPr>
      </w:pPr>
    </w:p>
    <w:p>
      <w:pPr>
        <w:jc w:val="both"/>
        <w:ind w:firstLine="8"/>
        <w:spacing w:after="0" w:line="247" w:lineRule="auto"/>
        <w:tabs>
          <w:tab w:leader="none" w:pos="367"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or (iii)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w:t>
      </w:r>
      <w:r>
        <w:rPr>
          <w:rFonts w:ascii="Times New Roman" w:cs="Times New Roman" w:eastAsia="Times New Roman" w:hAnsi="Times New Roman"/>
          <w:sz w:val="22"/>
          <w:szCs w:val="22"/>
          <w:u w:val="single" w:color="auto"/>
          <w:color w:val="auto"/>
        </w:rPr>
        <w:t>Section 2(l)</w:t>
      </w:r>
      <w:r>
        <w:rPr>
          <w:rFonts w:ascii="Times New Roman" w:cs="Times New Roman" w:eastAsia="Times New Roman" w:hAnsi="Times New Roman"/>
          <w:sz w:val="22"/>
          <w:szCs w:val="22"/>
          <w:color w:val="auto"/>
        </w:rPr>
        <w:t>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13" w:lineRule="exact"/>
        <w:rPr>
          <w:sz w:val="20"/>
          <w:szCs w:val="20"/>
          <w:color w:val="auto"/>
        </w:rPr>
      </w:pPr>
    </w:p>
    <w:p>
      <w:pPr>
        <w:ind w:firstLine="656"/>
        <w:spacing w:after="0" w:line="271" w:lineRule="auto"/>
        <w:tabs>
          <w:tab w:leader="none" w:pos="101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U.S. Internal Revenue Code of 1986, as amended, or any successor thereto, and the rules and regulations promulgated thereunder.</w:t>
      </w:r>
    </w:p>
    <w:p>
      <w:pPr>
        <w:spacing w:after="0" w:line="90" w:lineRule="exact"/>
        <w:rPr>
          <w:rFonts w:ascii="Times New Roman" w:cs="Times New Roman" w:eastAsia="Times New Roman" w:hAnsi="Times New Roman"/>
          <w:sz w:val="22"/>
          <w:szCs w:val="22"/>
          <w:color w:val="auto"/>
        </w:rPr>
      </w:pPr>
    </w:p>
    <w:p>
      <w:pPr>
        <w:jc w:val="both"/>
        <w:ind w:firstLine="656"/>
        <w:spacing w:after="0" w:line="263" w:lineRule="auto"/>
        <w:tabs>
          <w:tab w:leader="none" w:pos="9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xml:space="preserve">: The Compensation Committee of the Board (or a subcommittee thereof), or the delegate to which the Board or the Compensation Committee has delegated its authority pursuant to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hereof, or such other committee of the Board to which the Board has delegated power to act under or pursuant to the provisions of the Plan.</w:t>
      </w:r>
    </w:p>
    <w:p>
      <w:pPr>
        <w:spacing w:after="0" w:line="8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w:t>
      </w:r>
      <w:r>
        <w:rPr>
          <w:rFonts w:ascii="Times New Roman" w:cs="Times New Roman" w:eastAsia="Times New Roman" w:hAnsi="Times New Roman"/>
          <w:sz w:val="22"/>
          <w:szCs w:val="22"/>
          <w:color w:val="auto"/>
        </w:rPr>
        <w:t>y: Weatherford International plc, an Irish public limited company and any successor thereto.</w:t>
      </w:r>
    </w:p>
    <w:p>
      <w:pPr>
        <w:spacing w:after="0" w:line="152" w:lineRule="exact"/>
        <w:rPr>
          <w:rFonts w:ascii="Times New Roman" w:cs="Times New Roman" w:eastAsia="Times New Roman" w:hAnsi="Times New Roman"/>
          <w:sz w:val="22"/>
          <w:szCs w:val="22"/>
          <w:color w:val="auto"/>
        </w:rPr>
      </w:pPr>
    </w:p>
    <w:p>
      <w:pPr>
        <w:ind w:right="20" w:firstLine="656"/>
        <w:spacing w:after="0" w:line="271" w:lineRule="auto"/>
        <w:tabs>
          <w:tab w:leader="none" w:pos="95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Assets</w:t>
      </w:r>
      <w:r>
        <w:rPr>
          <w:rFonts w:ascii="Times New Roman" w:cs="Times New Roman" w:eastAsia="Times New Roman" w:hAnsi="Times New Roman"/>
          <w:sz w:val="22"/>
          <w:szCs w:val="22"/>
          <w:color w:val="auto"/>
        </w:rPr>
        <w:t>: Means the assets (of any kind) owned by the Company, including without limitation, the securities of the Company's Subsidiaries and any of the assets owned by the Company's Subsidiaries.</w:t>
      </w:r>
    </w:p>
    <w:p>
      <w:pPr>
        <w:spacing w:after="0" w:line="90" w:lineRule="exact"/>
        <w:rPr>
          <w:rFonts w:ascii="Times New Roman" w:cs="Times New Roman" w:eastAsia="Times New Roman" w:hAnsi="Times New Roman"/>
          <w:sz w:val="22"/>
          <w:szCs w:val="22"/>
          <w:color w:val="auto"/>
        </w:rPr>
      </w:pPr>
    </w:p>
    <w:p>
      <w:pPr>
        <w:jc w:val="both"/>
        <w:ind w:firstLine="656"/>
        <w:spacing w:after="0" w:line="250" w:lineRule="auto"/>
        <w:tabs>
          <w:tab w:leader="none" w:pos="96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 (2) customers, suppliers or consumers, including customer lists, relationships and profiles; (3)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computer software, object code, source code, specifications,</w:t>
      </w:r>
    </w:p>
    <w:p>
      <w:pPr>
        <w:sectPr>
          <w:pgSz w:w="11900" w:h="16838" w:orient="portrait"/>
          <w:cols w:equalWidth="0" w:num="1">
            <w:col w:w="11240"/>
          </w:cols>
          <w:pgMar w:left="320" w:top="142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inventions or systems information, whether or not patentable or copyrightable, and that is not otherwise a Trade Secret.</w:t>
      </w:r>
    </w:p>
    <w:p>
      <w:pPr>
        <w:spacing w:after="0" w:line="152" w:lineRule="exact"/>
        <w:rPr>
          <w:sz w:val="20"/>
          <w:szCs w:val="20"/>
          <w:color w:val="auto"/>
        </w:rPr>
      </w:pPr>
    </w:p>
    <w:p>
      <w:pPr>
        <w:jc w:val="both"/>
        <w:ind w:firstLine="656"/>
        <w:spacing w:after="0" w:line="252" w:lineRule="auto"/>
        <w:tabs>
          <w:tab w:leader="none" w:pos="91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xml:space="preserve"> Any consultant or advisor if (1) the consultant or advisor renders bona fide service to the Company or any Affiliate, (2) the services rendered by the consultant or advisor are not in connection with the offer or sale of a securities in a capital-raising transaction and do not directly or indirectly promote or maintain a market for the Company's securities, and (3) the consultant or advisor is a natural person.</w:t>
      </w:r>
    </w:p>
    <w:p>
      <w:pPr>
        <w:spacing w:after="0" w:line="111" w:lineRule="exact"/>
        <w:rPr>
          <w:rFonts w:ascii="Times New Roman" w:cs="Times New Roman" w:eastAsia="Times New Roman" w:hAnsi="Times New Roman"/>
          <w:sz w:val="22"/>
          <w:szCs w:val="22"/>
          <w:color w:val="auto"/>
        </w:rPr>
      </w:pPr>
    </w:p>
    <w:p>
      <w:pPr>
        <w:ind w:right="20" w:firstLine="656"/>
        <w:spacing w:after="0" w:line="295" w:lineRule="auto"/>
        <w:tabs>
          <w:tab w:leader="none" w:pos="94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Detrimental Activit</w:t>
      </w:r>
      <w:r>
        <w:rPr>
          <w:rFonts w:ascii="Times New Roman" w:cs="Times New Roman" w:eastAsia="Times New Roman" w:hAnsi="Times New Roman"/>
          <w:sz w:val="21"/>
          <w:szCs w:val="21"/>
          <w:color w:val="auto"/>
        </w:rPr>
        <w:t>y: Means “Detrimental Activity” as defined in the Company's Compensation Clawback Policy or any other clawback, forfeiture or other similar policy adopted by the Board or the Committee and as in effect from time to time.</w:t>
      </w:r>
    </w:p>
    <w:p>
      <w:pPr>
        <w:spacing w:after="0" w:line="67" w:lineRule="exact"/>
        <w:rPr>
          <w:rFonts w:ascii="Times New Roman" w:cs="Times New Roman" w:eastAsia="Times New Roman" w:hAnsi="Times New Roman"/>
          <w:sz w:val="21"/>
          <w:szCs w:val="21"/>
          <w:color w:val="auto"/>
        </w:rPr>
      </w:pPr>
    </w:p>
    <w:p>
      <w:pPr>
        <w:ind w:left="920" w:hanging="264"/>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A member of the Board.</w:t>
      </w:r>
    </w:p>
    <w:p>
      <w:pPr>
        <w:spacing w:after="0" w:line="152" w:lineRule="exact"/>
        <w:rPr>
          <w:rFonts w:ascii="Times New Roman" w:cs="Times New Roman" w:eastAsia="Times New Roman" w:hAnsi="Times New Roman"/>
          <w:sz w:val="22"/>
          <w:szCs w:val="22"/>
          <w:color w:val="auto"/>
        </w:rPr>
      </w:pPr>
    </w:p>
    <w:p>
      <w:pPr>
        <w:jc w:val="both"/>
        <w:ind w:firstLine="656"/>
        <w:spacing w:after="0" w:line="249" w:lineRule="auto"/>
        <w:tabs>
          <w:tab w:leader="none" w:pos="9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w:t>
      </w:r>
      <w:r>
        <w:rPr>
          <w:rFonts w:ascii="Times New Roman" w:cs="Times New Roman" w:eastAsia="Times New Roman" w:hAnsi="Times New Roman"/>
          <w:sz w:val="22"/>
          <w:szCs w:val="22"/>
          <w:color w:val="auto"/>
        </w:rPr>
        <w:t>y: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spacing w:after="0" w:line="115" w:lineRule="exact"/>
        <w:rPr>
          <w:rFonts w:ascii="Times New Roman" w:cs="Times New Roman" w:eastAsia="Times New Roman" w:hAnsi="Times New Roman"/>
          <w:sz w:val="22"/>
          <w:szCs w:val="22"/>
          <w:color w:val="auto"/>
        </w:rPr>
      </w:pPr>
    </w:p>
    <w:p>
      <w:pPr>
        <w:jc w:val="both"/>
        <w:ind w:firstLine="656"/>
        <w:spacing w:after="0" w:line="250" w:lineRule="auto"/>
        <w:tabs>
          <w:tab w:leader="none" w:pos="96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w:t>
      </w:r>
      <w:r>
        <w:rPr>
          <w:rFonts w:ascii="Times New Roman" w:cs="Times New Roman" w:eastAsia="Times New Roman" w:hAnsi="Times New Roman"/>
          <w:sz w:val="22"/>
          <w:szCs w:val="22"/>
          <w:color w:val="auto"/>
        </w:rPr>
        <w:t>ig</w:t>
      </w:r>
      <w:r>
        <w:rPr>
          <w:rFonts w:ascii="Times New Roman" w:cs="Times New Roman" w:eastAsia="Times New Roman" w:hAnsi="Times New Roman"/>
          <w:sz w:val="22"/>
          <w:szCs w:val="22"/>
          <w:u w:val="single" w:color="auto"/>
          <w:color w:val="auto"/>
        </w:rPr>
        <w:t>ht</w:t>
      </w:r>
      <w:r>
        <w:rPr>
          <w:rFonts w:ascii="Times New Roman" w:cs="Times New Roman" w:eastAsia="Times New Roman" w:hAnsi="Times New Roman"/>
          <w:sz w:val="22"/>
          <w:szCs w:val="22"/>
          <w:color w:val="auto"/>
        </w:rPr>
        <w:t xml:space="preserve">: A right to receive the equivalent value of dividends paid on the Shares with respect to Shares underlying Restricted Share Units or an Other Share-Based Award that is a Full Value Award prior to vesting of the Award, subject to the additional requirements of </w:t>
      </w:r>
      <w:r>
        <w:rPr>
          <w:rFonts w:ascii="Times New Roman" w:cs="Times New Roman" w:eastAsia="Times New Roman" w:hAnsi="Times New Roman"/>
          <w:sz w:val="22"/>
          <w:szCs w:val="22"/>
          <w:u w:val="single" w:color="auto"/>
          <w:color w:val="auto"/>
        </w:rPr>
        <w:t>Section 10(b)</w:t>
      </w:r>
      <w:r>
        <w:rPr>
          <w:rFonts w:ascii="Times New Roman" w:cs="Times New Roman" w:eastAsia="Times New Roman" w:hAnsi="Times New Roman"/>
          <w:sz w:val="22"/>
          <w:szCs w:val="22"/>
          <w:color w:val="auto"/>
        </w:rPr>
        <w:t xml:space="preserve"> hereof. Such Dividend Equivalent Right shall be converted to cash or additional Shares, or a combination of cash and Shares, by such formula and at such time and subject to such limitations as may be determined by the Committee.</w:t>
      </w:r>
    </w:p>
    <w:p>
      <w:pPr>
        <w:spacing w:after="0" w:line="113" w:lineRule="exact"/>
        <w:rPr>
          <w:rFonts w:ascii="Times New Roman" w:cs="Times New Roman" w:eastAsia="Times New Roman" w:hAnsi="Times New Roman"/>
          <w:sz w:val="22"/>
          <w:szCs w:val="22"/>
          <w:color w:val="auto"/>
        </w:rPr>
      </w:pPr>
    </w:p>
    <w:p>
      <w:pPr>
        <w:jc w:val="both"/>
        <w:ind w:firstLine="656"/>
        <w:spacing w:after="0" w:line="256" w:lineRule="auto"/>
        <w:tabs>
          <w:tab w:leader="none" w:pos="100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w:t>
      </w:r>
    </w:p>
    <w:p>
      <w:pPr>
        <w:spacing w:after="0" w:line="108" w:lineRule="exact"/>
        <w:rPr>
          <w:rFonts w:ascii="Times New Roman" w:cs="Times New Roman" w:eastAsia="Times New Roman" w:hAnsi="Times New Roman"/>
          <w:sz w:val="22"/>
          <w:szCs w:val="22"/>
          <w:color w:val="auto"/>
        </w:rPr>
      </w:pPr>
    </w:p>
    <w:p>
      <w:pPr>
        <w:ind w:firstLine="656"/>
        <w:spacing w:after="0" w:line="271" w:lineRule="auto"/>
        <w:tabs>
          <w:tab w:leader="none" w:pos="9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Entity</w:t>
      </w:r>
      <w:r>
        <w:rPr>
          <w:rFonts w:ascii="Times New Roman" w:cs="Times New Roman" w:eastAsia="Times New Roman" w:hAnsi="Times New Roman"/>
          <w:sz w:val="22"/>
          <w:szCs w:val="22"/>
          <w:color w:val="auto"/>
        </w:rPr>
        <w:t>: Any corporation, partnership, association, joint-stock company, limited liability company, trust, unincorporated organization or other business entity.</w:t>
      </w:r>
    </w:p>
    <w:p>
      <w:pPr>
        <w:spacing w:after="0" w:line="90" w:lineRule="exact"/>
        <w:rPr>
          <w:rFonts w:ascii="Times New Roman" w:cs="Times New Roman" w:eastAsia="Times New Roman" w:hAnsi="Times New Roman"/>
          <w:sz w:val="22"/>
          <w:szCs w:val="22"/>
          <w:color w:val="auto"/>
        </w:rPr>
      </w:pPr>
    </w:p>
    <w:p>
      <w:pPr>
        <w:ind w:firstLine="656"/>
        <w:spacing w:after="0" w:line="271" w:lineRule="auto"/>
        <w:tabs>
          <w:tab w:leader="none" w:pos="96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U.S. Securities Exchange Act of 1934, as amended, or any successor thereto, and the rules and regulations promulgated thereunder.</w:t>
      </w:r>
    </w:p>
    <w:p>
      <w:pPr>
        <w:sectPr>
          <w:pgSz w:w="11900" w:h="16838" w:orient="portrait"/>
          <w:cols w:equalWidth="0" w:num="1">
            <w:col w:w="11240"/>
          </w:cols>
          <w:pgMar w:left="320" w:top="1422" w:right="339" w:bottom="1440" w:gutter="0" w:footer="0" w:header="0"/>
        </w:sectPr>
      </w:pPr>
    </w:p>
    <w:bookmarkStart w:id="11" w:name="page12"/>
    <w:bookmarkEnd w:id="11"/>
    <w:p>
      <w:pPr>
        <w:jc w:val="both"/>
        <w:ind w:firstLine="656"/>
        <w:spacing w:after="0" w:line="249" w:lineRule="auto"/>
        <w:tabs>
          <w:tab w:leader="none" w:pos="94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On a given date, (i) if the Shares are listed on the New York Stock Exchange or another national securities exchange, the closing price of the Shares reported on such national securities exchange, or, if there is no such sale on that date, then on the last preceding date on which such a sale was reported; or (ii) if the Shares are not listed on the New York Stock Exchange or another national securities exchange, but are quoted in the NASDAQ National Market Reporting System or another inter-dealer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clauses (i) and (ii) do not apply,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w:t>
      </w:r>
    </w:p>
    <w:p>
      <w:pPr>
        <w:spacing w:after="0" w:line="116" w:lineRule="exact"/>
        <w:rPr>
          <w:sz w:val="20"/>
          <w:szCs w:val="20"/>
          <w:color w:val="auto"/>
        </w:rPr>
      </w:pPr>
    </w:p>
    <w:p>
      <w:pPr>
        <w:jc w:val="both"/>
        <w:ind w:firstLine="656"/>
        <w:spacing w:after="0" w:line="257" w:lineRule="auto"/>
        <w:tabs>
          <w:tab w:leader="none" w:pos="103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Full Value Awards</w:t>
      </w:r>
      <w:r>
        <w:rPr>
          <w:rFonts w:ascii="Times New Roman" w:cs="Times New Roman" w:eastAsia="Times New Roman" w:hAnsi="Times New Roman"/>
          <w:sz w:val="22"/>
          <w:szCs w:val="22"/>
          <w:color w:val="auto"/>
        </w:rPr>
        <w:t>: Any Award other than an (i) Option, (ii) Share Appreciation Right or (iii) other Award for which the Participant pays (or the value or amount payable under the Award is reduced by) an amount equal to or exceeding the Fair Market Value of the Shares, determined as of the date of grant.</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(ab) </w:t>
      </w:r>
      <w:r>
        <w:rPr>
          <w:rFonts w:ascii="Times New Roman" w:cs="Times New Roman" w:eastAsia="Times New Roman" w:hAnsi="Times New Roman"/>
          <w:sz w:val="22"/>
          <w:szCs w:val="22"/>
          <w:u w:val="single" w:color="auto"/>
          <w:color w:val="auto"/>
        </w:rPr>
        <w:t>ISO</w:t>
      </w:r>
      <w:r>
        <w:rPr>
          <w:rFonts w:ascii="Times New Roman" w:cs="Times New Roman" w:eastAsia="Times New Roman" w:hAnsi="Times New Roman"/>
          <w:sz w:val="22"/>
          <w:szCs w:val="22"/>
          <w:color w:val="auto"/>
        </w:rPr>
        <w:t xml:space="preserve">: An Option that is intended to be an incentive stock option granted pursuant to </w:t>
      </w:r>
      <w:r>
        <w:rPr>
          <w:rFonts w:ascii="Times New Roman" w:cs="Times New Roman" w:eastAsia="Times New Roman" w:hAnsi="Times New Roman"/>
          <w:sz w:val="22"/>
          <w:szCs w:val="22"/>
          <w:u w:val="single" w:color="auto"/>
          <w:color w:val="auto"/>
        </w:rPr>
        <w:t>Section 7(e)</w:t>
      </w:r>
      <w:r>
        <w:rPr>
          <w:rFonts w:ascii="Times New Roman" w:cs="Times New Roman" w:eastAsia="Times New Roman" w:hAnsi="Times New Roman"/>
          <w:sz w:val="22"/>
          <w:szCs w:val="22"/>
          <w:color w:val="auto"/>
        </w:rPr>
        <w:t xml:space="preserve"> of the Plan.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(ac)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An option granted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the Plan.</w:t>
      </w:r>
    </w:p>
    <w:p>
      <w:pPr>
        <w:spacing w:after="0" w:line="13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(ad) </w:t>
      </w:r>
      <w:r>
        <w:rPr>
          <w:rFonts w:ascii="Times New Roman" w:cs="Times New Roman" w:eastAsia="Times New Roman" w:hAnsi="Times New Roman"/>
          <w:sz w:val="22"/>
          <w:szCs w:val="22"/>
          <w:u w:val="single" w:color="auto"/>
          <w:color w:val="auto"/>
        </w:rPr>
        <w:t>Option Price</w:t>
      </w:r>
      <w:r>
        <w:rPr>
          <w:rFonts w:ascii="Times New Roman" w:cs="Times New Roman" w:eastAsia="Times New Roman" w:hAnsi="Times New Roman"/>
          <w:sz w:val="22"/>
          <w:szCs w:val="22"/>
          <w:color w:val="auto"/>
        </w:rPr>
        <w:t xml:space="preserve">: The price at which a Share may be purchased upon the exercise of an Option, as determined pursuant to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of the Plan.</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(ae) </w:t>
      </w:r>
      <w:r>
        <w:rPr>
          <w:rFonts w:ascii="Times New Roman" w:cs="Times New Roman" w:eastAsia="Times New Roman" w:hAnsi="Times New Roman"/>
          <w:sz w:val="22"/>
          <w:szCs w:val="22"/>
          <w:u w:val="single" w:color="auto"/>
          <w:color w:val="auto"/>
        </w:rPr>
        <w:t>Other Share-Based Awards</w:t>
      </w:r>
      <w:r>
        <w:rPr>
          <w:rFonts w:ascii="Times New Roman" w:cs="Times New Roman" w:eastAsia="Times New Roman" w:hAnsi="Times New Roman"/>
          <w:sz w:val="22"/>
          <w:szCs w:val="22"/>
          <w:color w:val="auto"/>
        </w:rPr>
        <w:t xml:space="preserve">: Awards granted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the Plan.</w:t>
      </w:r>
    </w:p>
    <w:p>
      <w:pPr>
        <w:spacing w:after="0" w:line="15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(af)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An Employee, Consultant, or Director who is selected by the Committee to participate in the Plan and to whom an Award is granted pursuant to the Plan.</w:t>
      </w:r>
    </w:p>
    <w:p>
      <w:pPr>
        <w:spacing w:after="0" w:line="6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(ag) </w:t>
      </w:r>
      <w:r>
        <w:rPr>
          <w:rFonts w:ascii="Times New Roman" w:cs="Times New Roman" w:eastAsia="Times New Roman" w:hAnsi="Times New Roman"/>
          <w:sz w:val="22"/>
          <w:szCs w:val="22"/>
          <w:u w:val="single" w:color="auto"/>
          <w:color w:val="auto"/>
        </w:rPr>
        <w:t>Performance-Based Award</w:t>
      </w:r>
      <w:r>
        <w:rPr>
          <w:rFonts w:ascii="Times New Roman" w:cs="Times New Roman" w:eastAsia="Times New Roman" w:hAnsi="Times New Roman"/>
          <w:sz w:val="22"/>
          <w:szCs w:val="22"/>
          <w:color w:val="auto"/>
        </w:rPr>
        <w:t>: A Full-Value Award that vests, in whole or in part, based on the attainment of a Performance Goal.</w:t>
      </w:r>
    </w:p>
    <w:p>
      <w:pPr>
        <w:spacing w:after="0" w:line="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(ah) </w:t>
      </w:r>
      <w:r>
        <w:rPr>
          <w:rFonts w:ascii="Times New Roman" w:cs="Times New Roman" w:eastAsia="Times New Roman" w:hAnsi="Times New Roman"/>
          <w:sz w:val="21"/>
          <w:szCs w:val="21"/>
          <w:u w:val="single" w:color="auto"/>
          <w:color w:val="auto"/>
        </w:rPr>
        <w:t>Performance Criteria</w:t>
      </w:r>
      <w:r>
        <w:rPr>
          <w:rFonts w:ascii="Times New Roman" w:cs="Times New Roman" w:eastAsia="Times New Roman" w:hAnsi="Times New Roman"/>
          <w:sz w:val="21"/>
          <w:szCs w:val="21"/>
          <w:color w:val="auto"/>
        </w:rPr>
        <w:t>: The criteria that the Committee selects for purposes of establishing the Performance Goal(s) for a Participant during a Performance Period. The Performance Criteria that will be used to establish Performance Goals may include, but is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 (ix) expense management;</w:t>
      </w:r>
    </w:p>
    <w:p>
      <w:pPr>
        <w:spacing w:after="0" w:line="2"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return on invested capital; (xi) improvements in capital structure; (xii) profitability of an identifiable business unit or product;</w:t>
      </w:r>
    </w:p>
    <w:p>
      <w:pPr>
        <w:spacing w:after="0" w:line="16" w:lineRule="exact"/>
        <w:rPr>
          <w:rFonts w:ascii="Times New Roman" w:cs="Times New Roman" w:eastAsia="Times New Roman" w:hAnsi="Times New Roman"/>
          <w:sz w:val="21"/>
          <w:szCs w:val="21"/>
          <w:color w:val="auto"/>
        </w:rPr>
      </w:pPr>
    </w:p>
    <w:p>
      <w:pPr>
        <w:ind w:left="520" w:hanging="512"/>
        <w:spacing w:after="0"/>
        <w:tabs>
          <w:tab w:leader="none" w:pos="5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maintenance or improvement of profit margins or revenue; (xiv) Share price; (xv) market share; (xvi) revenues or sales;</w:t>
      </w:r>
    </w:p>
    <w:p>
      <w:pPr>
        <w:spacing w:after="0" w:line="15" w:lineRule="exact"/>
        <w:rPr>
          <w:rFonts w:ascii="Times New Roman" w:cs="Times New Roman" w:eastAsia="Times New Roman" w:hAnsi="Times New Roman"/>
          <w:sz w:val="22"/>
          <w:szCs w:val="22"/>
          <w:color w:val="auto"/>
        </w:rPr>
      </w:pPr>
    </w:p>
    <w:p>
      <w:pPr>
        <w:jc w:val="both"/>
        <w:ind w:firstLine="8"/>
        <w:spacing w:after="0" w:line="245" w:lineRule="auto"/>
        <w:tabs>
          <w:tab w:leader="none" w:pos="5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costs; (xviii) available cash flow; (xix) working capital; (xx) return on assets; (xxi) total shareholder return, (xxii) productivity ratios, and (xxiii) economic value added. The Performance Criteria may be calculated in accordance with the Applicable Accounting Standards or on an adjusted basis.</w:t>
      </w:r>
    </w:p>
    <w:p>
      <w:pPr>
        <w:sectPr>
          <w:pgSz w:w="11900" w:h="16838" w:orient="portrait"/>
          <w:cols w:equalWidth="0" w:num="1">
            <w:col w:w="11240"/>
          </w:cols>
          <w:pgMar w:left="320" w:top="1422" w:right="339" w:bottom="1440" w:gutter="0" w:footer="0" w:header="0"/>
        </w:sectPr>
      </w:pPr>
    </w:p>
    <w:bookmarkStart w:id="12" w:name="page13"/>
    <w:bookmarkEnd w:id="12"/>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(ai) </w:t>
      </w: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in either absolute or relative terms. The Committee, in its sole discretion, may provide that one or more adjustments shall be made to one or more of the Performance Goals.</w:t>
      </w:r>
    </w:p>
    <w:p>
      <w:pPr>
        <w:spacing w:after="0" w:line="12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(aj) </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spacing w:after="0" w:line="1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(ak)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 “person” as such term is used for purposes of Section 3(a)(9) of the Exchange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w:t>
      </w:r>
    </w:p>
    <w:p>
      <w:pPr>
        <w:spacing w:after="0" w:line="11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(al)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This Weatherford International plc Third Amended and Restated 2019 Equity Incentive Plan, as amended from time to time.</w:t>
      </w:r>
    </w:p>
    <w:p>
      <w:pPr>
        <w:spacing w:after="0" w:line="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(am) </w:t>
      </w:r>
      <w:r>
        <w:rPr>
          <w:rFonts w:ascii="Times New Roman" w:cs="Times New Roman" w:eastAsia="Times New Roman" w:hAnsi="Times New Roman"/>
          <w:sz w:val="22"/>
          <w:szCs w:val="22"/>
          <w:u w:val="single" w:color="auto"/>
          <w:color w:val="auto"/>
        </w:rPr>
        <w:t>Restricted Shares</w:t>
      </w:r>
      <w:r>
        <w:rPr>
          <w:rFonts w:ascii="Times New Roman" w:cs="Times New Roman" w:eastAsia="Times New Roman" w:hAnsi="Times New Roman"/>
          <w:sz w:val="22"/>
          <w:szCs w:val="22"/>
          <w:color w:val="auto"/>
        </w:rPr>
        <w:t xml:space="preserve">: Shares awarded to a Participant pursuant to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Plan that shall be subject to certain restrictions and may be subject to risk of forfeiture.</w:t>
      </w:r>
    </w:p>
    <w:p>
      <w:pPr>
        <w:spacing w:after="0" w:line="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(an) </w:t>
      </w:r>
      <w:r>
        <w:rPr>
          <w:rFonts w:ascii="Times New Roman" w:cs="Times New Roman" w:eastAsia="Times New Roman" w:hAnsi="Times New Roman"/>
          <w:sz w:val="22"/>
          <w:szCs w:val="22"/>
          <w:u w:val="single" w:color="auto"/>
          <w:color w:val="auto"/>
        </w:rPr>
        <w:t>Restricted Share Unit</w:t>
      </w:r>
      <w:r>
        <w:rPr>
          <w:rFonts w:ascii="Times New Roman" w:cs="Times New Roman" w:eastAsia="Times New Roman" w:hAnsi="Times New Roman"/>
          <w:sz w:val="22"/>
          <w:szCs w:val="22"/>
          <w:color w:val="auto"/>
        </w:rPr>
        <w:t xml:space="preserve">: An Award granted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the Plan that shall be evidenced by a bookkeeping entry representing the equivalent of one Share.</w:t>
      </w:r>
    </w:p>
    <w:p>
      <w:pPr>
        <w:spacing w:after="0" w:line="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(ao) </w:t>
      </w:r>
      <w:r>
        <w:rPr>
          <w:rFonts w:ascii="Times New Roman" w:cs="Times New Roman" w:eastAsia="Times New Roman" w:hAnsi="Times New Roman"/>
          <w:sz w:val="22"/>
          <w:szCs w:val="22"/>
          <w:u w:val="single" w:color="auto"/>
          <w:color w:val="auto"/>
        </w:rPr>
        <w:t>Restructurin</w:t>
      </w:r>
      <w:r>
        <w:rPr>
          <w:rFonts w:ascii="Times New Roman" w:cs="Times New Roman" w:eastAsia="Times New Roman" w:hAnsi="Times New Roman"/>
          <w:sz w:val="22"/>
          <w:szCs w:val="22"/>
          <w:color w:val="auto"/>
        </w:rPr>
        <w:t>g: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Times New Roman" w:cs="Times New Roman" w:eastAsia="Times New Roman" w:hAnsi="Times New Roman"/>
          <w:sz w:val="22"/>
          <w:szCs w:val="22"/>
          <w:u w:val="single" w:color="auto"/>
          <w:color w:val="auto"/>
        </w:rPr>
        <w:t>Existing Obligations</w:t>
      </w:r>
      <w:r>
        <w:rPr>
          <w:rFonts w:ascii="Times New Roman" w:cs="Times New Roman" w:eastAsia="Times New Roman" w:hAnsi="Times New Roman"/>
          <w:sz w:val="22"/>
          <w:szCs w:val="22"/>
          <w:color w:val="auto"/>
        </w:rPr>
        <w:t>”) that is achieved, without limitation, through a solicitation of waivers and consents from the holders of Existing Obligations; rescheduling of the</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22"/>
          <w:szCs w:val="22"/>
          <w:color w:val="auto"/>
        </w:rPr>
        <w:t>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w:t>
      </w:r>
    </w:p>
    <w:p>
      <w:pPr>
        <w:spacing w:after="0" w:line="9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 xml:space="preserve">(ap)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Code Section 409A, as amended, or any successor thereto, and the rules and regulations promulgated thereunder.</w:t>
      </w:r>
    </w:p>
    <w:p>
      <w:pPr>
        <w:spacing w:after="0" w:line="6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(aq)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The U.S. Securities Act of 1933, as amended, or any successor thereto, and the rules and regulations promulgated thereunder.</w:t>
      </w:r>
    </w:p>
    <w:p>
      <w:pPr>
        <w:spacing w:after="0" w:line="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(ar) </w:t>
      </w:r>
      <w:r>
        <w:rPr>
          <w:rFonts w:ascii="Times New Roman" w:cs="Times New Roman" w:eastAsia="Times New Roman" w:hAnsi="Times New Roman"/>
          <w:sz w:val="22"/>
          <w:szCs w:val="22"/>
          <w:u w:val="single" w:color="auto"/>
          <w:color w:val="auto"/>
        </w:rPr>
        <w:t>Service</w:t>
      </w:r>
      <w:r>
        <w:rPr>
          <w:rFonts w:ascii="Times New Roman" w:cs="Times New Roman" w:eastAsia="Times New Roman" w:hAnsi="Times New Roman"/>
          <w:sz w:val="22"/>
          <w:szCs w:val="22"/>
          <w:color w:val="auto"/>
        </w:rPr>
        <w:t>: Except as otherwise determined by the Committee in its sole discretion, a Participant's Service terminates when the Participant ceases to actively provide services to the Company or an Affiliate. The Committee 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w:t>
      </w:r>
    </w:p>
    <w:p>
      <w:pPr>
        <w:spacing w:after="0" w:line="11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xml:space="preserve">: Ordinary shares in the capital of the Company, nominal value $0.001 per ordinary share, and such other securities of the Company that may be substituted for the Shares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Plan.</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(at) </w:t>
      </w:r>
      <w:r>
        <w:rPr>
          <w:rFonts w:ascii="Times New Roman" w:cs="Times New Roman" w:eastAsia="Times New Roman" w:hAnsi="Times New Roman"/>
          <w:sz w:val="22"/>
          <w:szCs w:val="22"/>
          <w:u w:val="single" w:color="auto"/>
          <w:color w:val="auto"/>
        </w:rPr>
        <w:t>Share Appreciation Ri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ht</w:t>
      </w:r>
      <w:r>
        <w:rPr>
          <w:rFonts w:ascii="Times New Roman" w:cs="Times New Roman" w:eastAsia="Times New Roman" w:hAnsi="Times New Roman"/>
          <w:sz w:val="22"/>
          <w:szCs w:val="22"/>
          <w:color w:val="auto"/>
        </w:rPr>
        <w:t xml:space="preserve">: A share appreciation right granted pursuant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of the Plan.</w:t>
      </w:r>
    </w:p>
    <w:p>
      <w:pPr>
        <w:spacing w:after="0" w:line="15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(au) </w:t>
      </w:r>
      <w:r>
        <w:rPr>
          <w:rFonts w:ascii="Times New Roman" w:cs="Times New Roman" w:eastAsia="Times New Roman" w:hAnsi="Times New Roman"/>
          <w:sz w:val="22"/>
          <w:szCs w:val="22"/>
          <w:u w:val="single" w:color="auto"/>
          <w:color w:val="auto"/>
        </w:rPr>
        <w:t>Specified Holder</w:t>
      </w:r>
      <w:r>
        <w:rPr>
          <w:rFonts w:ascii="Times New Roman" w:cs="Times New Roman" w:eastAsia="Times New Roman" w:hAnsi="Times New Roman"/>
          <w:sz w:val="22"/>
          <w:szCs w:val="22"/>
          <w:color w:val="auto"/>
        </w:rPr>
        <w:t>: Any Person who is the Beneficial Owner, directly or indirectly, of 10% or more of the Outstanding Ordinary Shares of the Company as of the Effective Date.</w:t>
      </w:r>
    </w:p>
    <w:p>
      <w:pPr>
        <w:spacing w:after="0" w:line="90"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(av) </w:t>
      </w:r>
      <w:r>
        <w:rPr>
          <w:rFonts w:ascii="Times New Roman" w:cs="Times New Roman" w:eastAsia="Times New Roman" w:hAnsi="Times New Roman"/>
          <w:sz w:val="22"/>
          <w:szCs w:val="22"/>
          <w:u w:val="single" w:color="auto"/>
          <w:color w:val="auto"/>
        </w:rPr>
        <w:t>Strike Price</w:t>
      </w:r>
      <w:r>
        <w:rPr>
          <w:rFonts w:ascii="Times New Roman" w:cs="Times New Roman" w:eastAsia="Times New Roman" w:hAnsi="Times New Roman"/>
          <w:sz w:val="22"/>
          <w:szCs w:val="22"/>
          <w:color w:val="auto"/>
        </w:rPr>
        <w:t>: Except as otherwise determined by the Committee in the case of Substitute Awards, (i) in the case of a Stock Appreciation Right granted in tandem with an Option, the Option Price of the related Option, or (ii) in the case of a Stock Appreciation Right granted independent of an Option, the Fair Market Value on the date of grant.</w:t>
      </w:r>
    </w:p>
    <w:p>
      <w:pPr>
        <w:spacing w:after="0" w:line="1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(aw) </w:t>
      </w:r>
      <w:r>
        <w:rPr>
          <w:rFonts w:ascii="Times New Roman" w:cs="Times New Roman" w:eastAsia="Times New Roman" w:hAnsi="Times New Roman"/>
          <w:sz w:val="22"/>
          <w:szCs w:val="22"/>
          <w:u w:val="single" w:color="auto"/>
          <w:color w:val="auto"/>
        </w:rPr>
        <w:t>Subsidiar</w:t>
      </w:r>
      <w:r>
        <w:rPr>
          <w:rFonts w:ascii="Times New Roman" w:cs="Times New Roman" w:eastAsia="Times New Roman" w:hAnsi="Times New Roman"/>
          <w:sz w:val="22"/>
          <w:szCs w:val="22"/>
          <w:color w:val="auto"/>
        </w:rPr>
        <w:t xml:space="preserve">y: Any Affiliate which is a subsidiary of the Company within the meaning of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w:t>
      </w:r>
    </w:p>
    <w:p>
      <w:pPr>
        <w:sectPr>
          <w:pgSz w:w="11900" w:h="16838" w:orient="portrait"/>
          <w:cols w:equalWidth="0" w:num="1">
            <w:col w:w="11240"/>
          </w:cols>
          <w:pgMar w:left="320" w:top="1422" w:right="339" w:bottom="1440" w:gutter="0" w:footer="0" w:header="0"/>
        </w:sectPr>
      </w:pPr>
    </w:p>
    <w:bookmarkStart w:id="14" w:name="page15"/>
    <w:bookmarkEnd w:id="14"/>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(ax) </w:t>
      </w:r>
      <w:r>
        <w:rPr>
          <w:rFonts w:ascii="Times New Roman" w:cs="Times New Roman" w:eastAsia="Times New Roman" w:hAnsi="Times New Roman"/>
          <w:sz w:val="22"/>
          <w:szCs w:val="22"/>
          <w:u w:val="single" w:color="auto"/>
          <w:color w:val="auto"/>
        </w:rPr>
        <w:t>Substitute Award</w:t>
      </w:r>
      <w:r>
        <w:rPr>
          <w:rFonts w:ascii="Times New Roman" w:cs="Times New Roman" w:eastAsia="Times New Roman" w:hAnsi="Times New Roman"/>
          <w:sz w:val="22"/>
          <w:szCs w:val="22"/>
          <w:color w:val="auto"/>
        </w:rPr>
        <w:t xml:space="preserve"> : An Award granted under the Plan in assumption of, or in substitution or exchange for, an outstanding award previously granted by an entity directly or indirectly acquired by the Company or any Subsidiary or with which the Company or any Subsidiary combines.</w:t>
      </w:r>
    </w:p>
    <w:p>
      <w:pPr>
        <w:spacing w:after="0" w:line="1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(ay) </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w:t>
      </w:r>
    </w:p>
    <w:p>
      <w:pPr>
        <w:spacing w:after="0" w:line="10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(az) </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Means without limitation, (I)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Texas Uniform Trade Secrets Act, where applicable.</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(ba) </w:t>
      </w:r>
      <w:r>
        <w:rPr>
          <w:rFonts w:ascii="Times New Roman" w:cs="Times New Roman" w:eastAsia="Times New Roman" w:hAnsi="Times New Roman"/>
          <w:sz w:val="22"/>
          <w:szCs w:val="22"/>
          <w:u w:val="single" w:color="auto"/>
          <w:color w:val="auto"/>
        </w:rPr>
        <w:t>Weatherford Group</w:t>
      </w:r>
      <w:r>
        <w:rPr>
          <w:rFonts w:ascii="Times New Roman" w:cs="Times New Roman" w:eastAsia="Times New Roman" w:hAnsi="Times New Roman"/>
          <w:sz w:val="22"/>
          <w:szCs w:val="22"/>
          <w:color w:val="auto"/>
        </w:rPr>
        <w:t>: The Company and its Subsidiaries.</w:t>
      </w:r>
    </w:p>
    <w:p>
      <w:pPr>
        <w:spacing w:after="0" w:line="14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Shares Subject to the Plan and Limitation on Issuable Shares</w:t>
      </w:r>
    </w:p>
    <w:p>
      <w:pPr>
        <w:spacing w:after="0" w:line="15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Number of Shares</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and as of the Effective Date, the total number of Shares which may be issued under the Plan is 10,451,000, and the maximum number of Shares for which ISOs may be granted is 400,000. Except as provided below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3(c)</w:t>
      </w:r>
      <w:r>
        <w:rPr>
          <w:rFonts w:ascii="Times New Roman" w:cs="Times New Roman" w:eastAsia="Times New Roman" w:hAnsi="Times New Roman"/>
          <w:sz w:val="22"/>
          <w:szCs w:val="22"/>
          <w:color w:val="auto"/>
        </w:rPr>
        <w:t>,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w:t>
      </w:r>
    </w:p>
    <w:p>
      <w:pPr>
        <w:spacing w:after="0" w:line="111" w:lineRule="exact"/>
        <w:rPr>
          <w:sz w:val="20"/>
          <w:szCs w:val="20"/>
          <w:color w:val="auto"/>
        </w:rPr>
      </w:pPr>
    </w:p>
    <w:p>
      <w:pPr>
        <w:ind w:left="960" w:hanging="304"/>
        <w:spacing w:after="0"/>
        <w:tabs>
          <w:tab w:leader="none" w:pos="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Reissuable Under Plan</w:t>
      </w:r>
    </w:p>
    <w:p>
      <w:pPr>
        <w:spacing w:after="0" w:line="13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following Shares shall again be available for the grant of an Award pursuant to the Plan: (i) Shares that are not issued as a result of the termination, cancellation, forfeiture, expiration or lapsing of any Award for any reason; or (ii) Shares subject to a Full Value Award that are not issued because the Award is settled in cash.</w:t>
      </w:r>
    </w:p>
    <w:p>
      <w:pPr>
        <w:spacing w:after="0" w:line="100" w:lineRule="exact"/>
        <w:rPr>
          <w:sz w:val="20"/>
          <w:szCs w:val="20"/>
          <w:color w:val="auto"/>
        </w:rPr>
      </w:pPr>
    </w:p>
    <w:p>
      <w:pPr>
        <w:ind w:left="940" w:hanging="284"/>
        <w:spacing w:after="0"/>
        <w:tabs>
          <w:tab w:leader="none" w:pos="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Not Reissuable Under Plan</w:t>
      </w:r>
    </w:p>
    <w:p>
      <w:pPr>
        <w:spacing w:after="0" w:line="13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Notwithstanding the foregoing, the following Shares shall be counted against the maximum number of Shares available for issuance pursuant to </w:t>
      </w:r>
      <w:r>
        <w:rPr>
          <w:rFonts w:ascii="Times New Roman" w:cs="Times New Roman" w:eastAsia="Times New Roman" w:hAnsi="Times New Roman"/>
          <w:sz w:val="21"/>
          <w:szCs w:val="21"/>
          <w:u w:val="single" w:color="auto"/>
          <w:color w:val="auto"/>
        </w:rPr>
        <w:t>Section 3(a)</w:t>
      </w:r>
      <w:r>
        <w:rPr>
          <w:rFonts w:ascii="Times New Roman" w:cs="Times New Roman" w:eastAsia="Times New Roman" w:hAnsi="Times New Roman"/>
          <w:sz w:val="21"/>
          <w:szCs w:val="21"/>
          <w:color w:val="auto"/>
        </w:rPr>
        <w:t xml:space="preserve"> and shall not be returned to the Plan: (i) Shares that are retained or otherwise not issued by the Company in order to satisfy tax withholding obligations or in payment of the Option Price or purchase price of Options; (ii) Shares that are not issued or delivered as a result of the net-settlement of an outstanding Option or Share Appreciation Right; or</w:t>
      </w:r>
    </w:p>
    <w:p>
      <w:pPr>
        <w:spacing w:after="0" w:line="1"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that are repurchased or redeemed on the open market with the proceeds of the exercise of an Option.</w:t>
      </w:r>
    </w:p>
    <w:p>
      <w:pPr>
        <w:spacing w:after="0" w:line="12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Not Counted Against Share Pool Reserve</w:t>
      </w:r>
    </w:p>
    <w:p>
      <w:pPr>
        <w:sectPr>
          <w:pgSz w:w="11900" w:h="16838" w:orient="portrait"/>
          <w:cols w:equalWidth="0" w:num="1">
            <w:col w:w="11240"/>
          </w:cols>
          <w:pgMar w:left="320" w:top="1422" w:right="339" w:bottom="1440" w:gutter="0" w:footer="0" w:header="0"/>
        </w:sectPr>
      </w:pPr>
    </w:p>
    <w:bookmarkStart w:id="15" w:name="page16"/>
    <w:bookmarkEnd w:id="15"/>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Notwithstanding anything contained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 available for Awards of ISOs under the Plan; and (ii) subject to any stock exchange requirements then applicable to the Company, available shares under a shareholder approved plan of an entity directly or indirectly acquired by the Company or Subsidiary or with which the Company or Subsidiary combines (as appropriately adjusted to reflect the acquisition or combination transaction) may be used for Awards under the Plan and shall not reduce the number of Shares available for delivery under the Plan.</w:t>
      </w:r>
    </w:p>
    <w:p>
      <w:pPr>
        <w:spacing w:after="0" w:line="113" w:lineRule="exact"/>
        <w:rPr>
          <w:sz w:val="20"/>
          <w:szCs w:val="20"/>
          <w:color w:val="auto"/>
        </w:rPr>
      </w:pPr>
    </w:p>
    <w:p>
      <w:pPr>
        <w:ind w:left="940" w:hanging="284"/>
        <w:spacing w:after="0"/>
        <w:tabs>
          <w:tab w:leader="none" w:pos="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Non-Employee Director Award Limit</w:t>
      </w:r>
    </w:p>
    <w:p>
      <w:pPr>
        <w:spacing w:after="0" w:line="15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w:t>
      </w:r>
    </w:p>
    <w:p>
      <w:pPr>
        <w:spacing w:after="0" w:line="110"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Administration</w:t>
      </w:r>
    </w:p>
    <w:p>
      <w:pPr>
        <w:spacing w:after="0" w:line="142"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Committee</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Plan shall be administered by the Committee, which may delegate its duties and powers in whole or in part to any subcommittee thereof consisting solely of at least two individuals who are intended to qualify as “Non-Employee Directors” within the meaning of Rule l6b-3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to one or more officers of the Company the authority to act on behalf of the Committee with respect to administrative matters and such other matters as the Committee may determine from time to time; provided that such delegation is consistent with Applicable Laws and guidelines established by the Committee from time to time. Any such delegation may be revoked by the Committee at any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w:t>
      </w:r>
    </w:p>
    <w:p>
      <w:pPr>
        <w:sectPr>
          <w:pgSz w:w="11900" w:h="16838" w:orient="portrait"/>
          <w:cols w:equalWidth="0" w:num="1">
            <w:col w:w="11240"/>
          </w:cols>
          <w:pgMar w:left="320" w:top="1422" w:right="339" w:bottom="1440" w:gutter="0" w:footer="0" w:header="0"/>
        </w:sectPr>
      </w:pPr>
    </w:p>
    <w:bookmarkStart w:id="16" w:name="page17"/>
    <w:bookmarkEnd w:id="16"/>
    <w:p>
      <w:pPr>
        <w:spacing w:after="0" w:line="271" w:lineRule="auto"/>
        <w:rPr>
          <w:sz w:val="20"/>
          <w:szCs w:val="20"/>
          <w:color w:val="auto"/>
        </w:rPr>
      </w:pPr>
      <w:r>
        <w:rPr>
          <w:rFonts w:ascii="Times New Roman" w:cs="Times New Roman" w:eastAsia="Times New Roman" w:hAnsi="Times New Roman"/>
          <w:sz w:val="22"/>
          <w:szCs w:val="22"/>
          <w:color w:val="auto"/>
        </w:rPr>
        <w:t>advisable for the proper administration of the Plan; provided, that such appointment is consistent with Applicable Laws and any guidelines established by the Committee from time to time.</w:t>
      </w:r>
    </w:p>
    <w:p>
      <w:pPr>
        <w:spacing w:after="0" w:line="90" w:lineRule="exact"/>
        <w:rPr>
          <w:sz w:val="20"/>
          <w:szCs w:val="20"/>
          <w:color w:val="auto"/>
        </w:rPr>
      </w:pPr>
    </w:p>
    <w:p>
      <w:pPr>
        <w:ind w:left="960" w:hanging="304"/>
        <w:spacing w:after="0"/>
        <w:tabs>
          <w:tab w:leader="none" w:pos="9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of Committee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Committee has the exclusive power, authority and discretion to:</w:t>
      </w:r>
    </w:p>
    <w:p>
      <w:pPr>
        <w:spacing w:after="0" w:line="152" w:lineRule="exact"/>
        <w:rPr>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 Participants to receive Awards;</w:t>
      </w:r>
    </w:p>
    <w:p>
      <w:pPr>
        <w:spacing w:after="0" w:line="15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type or types of Awards to be granted to each Participant;</w:t>
      </w:r>
    </w:p>
    <w:p>
      <w:pPr>
        <w:spacing w:after="0" w:line="13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Awards to be granted and the number of Shares to which an Award will relate;</w:t>
      </w:r>
    </w:p>
    <w:p>
      <w:pPr>
        <w:spacing w:after="0" w:line="152" w:lineRule="exact"/>
        <w:rPr>
          <w:rFonts w:ascii="Times New Roman" w:cs="Times New Roman" w:eastAsia="Times New Roman" w:hAnsi="Times New Roman"/>
          <w:sz w:val="22"/>
          <w:szCs w:val="22"/>
          <w:color w:val="auto"/>
        </w:rPr>
      </w:pPr>
    </w:p>
    <w:p>
      <w:pPr>
        <w:jc w:val="both"/>
        <w:ind w:firstLine="656"/>
        <w:spacing w:after="0" w:line="251" w:lineRule="auto"/>
        <w:tabs>
          <w:tab w:leader="none" w:pos="104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terms and conditions of any Award granted pursuant to the Plan, including, without limitation, the Option Price, Strike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any forfeiture conditions and any provisions related to non-competition and recapture of gain on an Award, based in each case on such considerations as the Committee in its sole discretion determines;</w:t>
      </w:r>
    </w:p>
    <w:p>
      <w:pPr>
        <w:spacing w:after="0" w:line="113" w:lineRule="exact"/>
        <w:rPr>
          <w:rFonts w:ascii="Times New Roman" w:cs="Times New Roman" w:eastAsia="Times New Roman" w:hAnsi="Times New Roman"/>
          <w:sz w:val="22"/>
          <w:szCs w:val="22"/>
          <w:color w:val="auto"/>
        </w:rPr>
      </w:pPr>
    </w:p>
    <w:p>
      <w:pPr>
        <w:jc w:val="both"/>
        <w:ind w:firstLine="656"/>
        <w:spacing w:after="0" w:line="253" w:lineRule="auto"/>
        <w:tabs>
          <w:tab w:leader="none" w:pos="95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to what extent, and pursuant to what circumstances (A) an Award may be settled in, or the Option Price or Strike Price of an Award may be paid in, cash, Shares, other Awards, or other property, (B) the vesting, exercisability or forfeiture restrictions applicable to an Award may be accelerated, modified or waived, including, without limitation, in connection with the Participant's retirement or other termination or other event, or (C) an Award may be cancelled, forfeited, or surrendered;</w:t>
      </w:r>
    </w:p>
    <w:p>
      <w:pPr>
        <w:spacing w:after="0" w:line="111" w:lineRule="exact"/>
        <w:rPr>
          <w:rFonts w:ascii="Times New Roman" w:cs="Times New Roman" w:eastAsia="Times New Roman" w:hAnsi="Times New Roman"/>
          <w:sz w:val="22"/>
          <w:szCs w:val="22"/>
          <w:color w:val="auto"/>
        </w:rPr>
      </w:pPr>
    </w:p>
    <w:p>
      <w:pPr>
        <w:ind w:firstLine="656"/>
        <w:spacing w:after="0" w:line="271" w:lineRule="auto"/>
        <w:tabs>
          <w:tab w:leader="none" w:pos="104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the form of each Award Agreement, which need not be identical for each Participant and may vary for Participants within and outside of the United States;</w:t>
      </w:r>
    </w:p>
    <w:p>
      <w:pPr>
        <w:spacing w:after="0" w:line="90"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Allot and issue any Shares which are to be allotted and issued upon the vesting or exercise of any Award;</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Decide all other matters that must be determined in connection with an Award;</w:t>
      </w:r>
    </w:p>
    <w:p>
      <w:pPr>
        <w:spacing w:after="0" w:line="138" w:lineRule="exact"/>
        <w:rPr>
          <w:rFonts w:ascii="Times New Roman" w:cs="Times New Roman" w:eastAsia="Times New Roman" w:hAnsi="Times New Roman"/>
          <w:sz w:val="22"/>
          <w:szCs w:val="22"/>
          <w:color w:val="auto"/>
        </w:rPr>
      </w:pPr>
    </w:p>
    <w:p>
      <w:pPr>
        <w:jc w:val="both"/>
        <w:ind w:firstLine="656"/>
        <w:spacing w:after="0" w:line="263" w:lineRule="auto"/>
        <w:tabs>
          <w:tab w:leader="none" w:pos="10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w:t>
      </w:r>
    </w:p>
    <w:p>
      <w:pPr>
        <w:spacing w:after="0" w:line="9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Construe and interpret the terms of, and any matter arising pursuant to, the Plan, or any Award Agreement;</w:t>
      </w:r>
    </w:p>
    <w:p>
      <w:pPr>
        <w:spacing w:after="0" w:line="138" w:lineRule="exact"/>
        <w:rPr>
          <w:rFonts w:ascii="Times New Roman" w:cs="Times New Roman" w:eastAsia="Times New Roman" w:hAnsi="Times New Roman"/>
          <w:sz w:val="22"/>
          <w:szCs w:val="22"/>
          <w:color w:val="auto"/>
        </w:rPr>
      </w:pPr>
    </w:p>
    <w:p>
      <w:pPr>
        <w:ind w:firstLine="656"/>
        <w:spacing w:after="0" w:line="284" w:lineRule="auto"/>
        <w:tabs>
          <w:tab w:leader="none" w:pos="102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 any defect or supply any omission or reconcile any inconsistency in the Plan in the manner and to the extent the Committee deems necessary or desirable; and</w:t>
      </w:r>
    </w:p>
    <w:p>
      <w:pPr>
        <w:spacing w:after="0" w:line="62" w:lineRule="exact"/>
        <w:rPr>
          <w:rFonts w:ascii="Times New Roman" w:cs="Times New Roman" w:eastAsia="Times New Roman" w:hAnsi="Times New Roman"/>
          <w:sz w:val="22"/>
          <w:szCs w:val="22"/>
          <w:color w:val="auto"/>
        </w:rPr>
      </w:pPr>
    </w:p>
    <w:p>
      <w:pPr>
        <w:ind w:right="20" w:firstLine="656"/>
        <w:spacing w:after="0" w:line="284" w:lineRule="auto"/>
        <w:tabs>
          <w:tab w:leader="none" w:pos="109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all other decisions and determinations that may be required pursuant to the Plan or as the Committee deems necessary or advisable to administer the Plan.</w:t>
      </w:r>
    </w:p>
    <w:p>
      <w:pPr>
        <w:sectPr>
          <w:pgSz w:w="11900" w:h="16838" w:orient="portrait"/>
          <w:cols w:equalWidth="0" w:num="1">
            <w:col w:w="11240"/>
          </w:cols>
          <w:pgMar w:left="320" w:top="1422" w:right="339" w:bottom="1440" w:gutter="0" w:footer="0" w:header="0"/>
        </w:sectPr>
      </w:pPr>
    </w:p>
    <w:bookmarkStart w:id="17" w:name="page18"/>
    <w:bookmarkEnd w:id="17"/>
    <w:p>
      <w:pPr>
        <w:ind w:left="940" w:hanging="284"/>
        <w:spacing w:after="0"/>
        <w:tabs>
          <w:tab w:leader="none" w:pos="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Decisions Binding</w:t>
      </w:r>
    </w:p>
    <w:p>
      <w:pPr>
        <w:spacing w:after="0" w:line="15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Any decision of the Committee or its delegate pursuant to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hereof shall lie within its sole and absolute discretion and shall be final, conclusive and binding on all parties concerned (including, but not limited to, Participants and their beneficiaries or successors).</w:t>
      </w:r>
    </w:p>
    <w:p>
      <w:pPr>
        <w:spacing w:after="0" w:line="105" w:lineRule="exact"/>
        <w:rPr>
          <w:sz w:val="20"/>
          <w:szCs w:val="20"/>
          <w:color w:val="auto"/>
        </w:rPr>
      </w:pPr>
    </w:p>
    <w:p>
      <w:pPr>
        <w:ind w:left="960" w:hanging="304"/>
        <w:spacing w:after="0"/>
        <w:tabs>
          <w:tab w:leader="none" w:pos="9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on Reports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w:t>
      </w:r>
    </w:p>
    <w:p>
      <w:pPr>
        <w:spacing w:after="0" w:line="96" w:lineRule="exact"/>
        <w:rPr>
          <w:sz w:val="20"/>
          <w:szCs w:val="20"/>
          <w:color w:val="auto"/>
        </w:rPr>
      </w:pPr>
    </w:p>
    <w:p>
      <w:pPr>
        <w:ind w:left="940" w:hanging="284"/>
        <w:spacing w:after="0"/>
        <w:tabs>
          <w:tab w:leader="none" w:pos="9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Limits for Employees and Consultants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maximum number of Shares that may be subject to Options or Share Appreciation Awards that are granted to any Employee or any Consultant during any calendar year shall not exceed 800,000 Shares, subject to adjustment as provided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The maximum amount with respect to one or more Performance Based Awards that may be granted to any Employee or any Consultant during any calendar year shall not exceed $25,000,000 calculated based on the Fair Market Value of the number of Shares subject to the Performance Based Award on the date of grant.</w:t>
      </w:r>
    </w:p>
    <w:p>
      <w:pPr>
        <w:spacing w:after="0" w:line="10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 and Conditions of Restricted Share Units</w:t>
      </w:r>
    </w:p>
    <w:p>
      <w:pPr>
        <w:spacing w:after="0" w:line="156" w:lineRule="exact"/>
        <w:rPr>
          <w:sz w:val="20"/>
          <w:szCs w:val="20"/>
          <w:color w:val="auto"/>
        </w:rPr>
      </w:pPr>
    </w:p>
    <w:p>
      <w:pPr>
        <w:ind w:left="940" w:hanging="284"/>
        <w:spacing w:after="0"/>
        <w:tabs>
          <w:tab w:leader="none" w:pos="9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Share Units</w:t>
      </w:r>
    </w:p>
    <w:p>
      <w:pPr>
        <w:spacing w:after="0" w:line="13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The Committee is authorized to grant Restricted Share Units to Participants in such amounts and subject to such terms and conditions not inconsistent with the Plan, as the Committee shall determine.</w:t>
      </w:r>
    </w:p>
    <w:p>
      <w:pPr>
        <w:spacing w:after="0" w:line="63" w:lineRule="exact"/>
        <w:rPr>
          <w:sz w:val="20"/>
          <w:szCs w:val="20"/>
          <w:color w:val="auto"/>
        </w:rPr>
      </w:pPr>
    </w:p>
    <w:p>
      <w:pPr>
        <w:ind w:left="960" w:hanging="304"/>
        <w:spacing w:after="0"/>
        <w:tabs>
          <w:tab w:leader="none" w:pos="9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Restrictions</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Committee shall specify the date or dates on which the Restricted Share Units shall become fully vested and nonforfeitable, and may specify such conditions to vesting, if any, as it deems appropriate. The vesting conditions, if any, may be based on, among other conditions, a Participant's continued Service or the attainment of Performance Goals.</w:t>
      </w:r>
    </w:p>
    <w:p>
      <w:pPr>
        <w:spacing w:after="0" w:line="100" w:lineRule="exact"/>
        <w:rPr>
          <w:sz w:val="20"/>
          <w:szCs w:val="20"/>
          <w:color w:val="auto"/>
        </w:rPr>
      </w:pPr>
    </w:p>
    <w:p>
      <w:pPr>
        <w:ind w:left="940" w:hanging="284"/>
        <w:spacing w:after="0"/>
        <w:tabs>
          <w:tab w:leader="none" w:pos="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Payment</w:t>
      </w:r>
    </w:p>
    <w:p>
      <w:pPr>
        <w:spacing w:after="0" w:line="13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hereof), deliver to the Participant one Share for each Restricted Share Unit scheduled to be paid out on such date and not previously forfeited. Alternatively, settlement of a Restricted Share Unit may be made in cash (in an amount reflecting the Fair Market Value of the</w:t>
      </w:r>
    </w:p>
    <w:p>
      <w:pPr>
        <w:sectPr>
          <w:pgSz w:w="11900" w:h="16838" w:orient="portrait"/>
          <w:cols w:equalWidth="0" w:num="1">
            <w:col w:w="11240"/>
          </w:cols>
          <w:pgMar w:left="320" w:top="1422" w:right="339" w:bottom="1440" w:gutter="0" w:footer="0" w:header="0"/>
        </w:sectPr>
      </w:pPr>
    </w:p>
    <w:bookmarkStart w:id="18" w:name="page19"/>
    <w:bookmarkEnd w:id="18"/>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 xml:space="preserve">Shares that otherwise would have been issued) or any combination of cash and Shares, as determined by the Committee, in its sole discretion, in either case, less applicable Tax-Related Items (as further set forth in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hereof). Until a Restricted Share Unit is settled, the number of Restricted Share Units shall be subject to adjustment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w:t>
      </w:r>
    </w:p>
    <w:p>
      <w:pPr>
        <w:spacing w:after="0" w:line="105" w:lineRule="exact"/>
        <w:rPr>
          <w:sz w:val="20"/>
          <w:szCs w:val="20"/>
          <w:color w:val="auto"/>
        </w:rPr>
      </w:pPr>
    </w:p>
    <w:p>
      <w:pPr>
        <w:ind w:left="960" w:hanging="304"/>
        <w:spacing w:after="0"/>
        <w:tabs>
          <w:tab w:leader="none" w:pos="9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p>
    <w:p>
      <w:pPr>
        <w:spacing w:after="0" w:line="152"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Except as otherwise determined by the Committee at the time of the grant of the Award or thereafter, any Restricted Share Units that are not vested as of the date of the Participant's termination of Service shall be forfeited.</w:t>
      </w:r>
    </w:p>
    <w:p>
      <w:pPr>
        <w:spacing w:after="0" w:line="90" w:lineRule="exact"/>
        <w:rPr>
          <w:sz w:val="20"/>
          <w:szCs w:val="20"/>
          <w:color w:val="auto"/>
        </w:rPr>
      </w:pPr>
    </w:p>
    <w:p>
      <w:pPr>
        <w:ind w:left="940" w:hanging="284"/>
        <w:spacing w:after="0"/>
        <w:tabs>
          <w:tab w:leader="none" w:pos="9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Creditors</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w:t>
      </w:r>
    </w:p>
    <w:p>
      <w:pPr>
        <w:spacing w:after="0" w:line="101"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 and Conditions of Restricted Share Awards</w:t>
      </w:r>
    </w:p>
    <w:p>
      <w:pPr>
        <w:spacing w:after="0" w:line="15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Grant of Restricted Shares</w:t>
      </w:r>
    </w:p>
    <w:p>
      <w:pPr>
        <w:spacing w:after="0" w:line="1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Committee is authorized to grant Restricted Shares to Participants selected by the Committee in such amounts and subject to such terms and conditions not inconsistent with the Plan, as the Committee shall determine.</w:t>
      </w:r>
    </w:p>
    <w:p>
      <w:pPr>
        <w:spacing w:after="0" w:line="90" w:lineRule="exact"/>
        <w:rPr>
          <w:sz w:val="20"/>
          <w:szCs w:val="20"/>
          <w:color w:val="auto"/>
        </w:rPr>
      </w:pPr>
    </w:p>
    <w:p>
      <w:pPr>
        <w:ind w:left="960" w:hanging="304"/>
        <w:spacing w:after="0"/>
        <w:tabs>
          <w:tab w:leader="none" w:pos="9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Price</w:t>
      </w:r>
    </w:p>
    <w:p>
      <w:pPr>
        <w:spacing w:after="0" w:line="1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At the time of the grant of Restricted Shares, the Committee shall determine the price, if any, to be paid by the Participant for each Share subject to the Award. The purchase price of Shares acquired pursuant to the Award shall be paid: (i) in cash at the time of purchase; or (ii) in any other form of legal consideration that may be acceptable to the Committee in its sole discretion and in compliance with Applicable Laws.</w:t>
      </w:r>
    </w:p>
    <w:p>
      <w:pPr>
        <w:spacing w:after="0" w:line="112" w:lineRule="exact"/>
        <w:rPr>
          <w:sz w:val="20"/>
          <w:szCs w:val="20"/>
          <w:color w:val="auto"/>
        </w:rPr>
      </w:pPr>
    </w:p>
    <w:p>
      <w:pPr>
        <w:ind w:left="940" w:hanging="284"/>
        <w:spacing w:after="0"/>
        <w:tabs>
          <w:tab w:leader="none" w:pos="9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and Restrictions</w:t>
      </w:r>
    </w:p>
    <w:p>
      <w:pPr>
        <w:spacing w:after="0" w:line="15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w:t>
      </w:r>
    </w:p>
    <w:p>
      <w:pPr>
        <w:spacing w:after="0" w:line="114" w:lineRule="exact"/>
        <w:rPr>
          <w:sz w:val="20"/>
          <w:szCs w:val="20"/>
          <w:color w:val="auto"/>
        </w:rPr>
      </w:pPr>
    </w:p>
    <w:p>
      <w:pPr>
        <w:ind w:left="960" w:hanging="304"/>
        <w:spacing w:after="0"/>
        <w:tabs>
          <w:tab w:leader="none" w:pos="9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w:t>
      </w:r>
    </w:p>
    <w:p>
      <w:pPr>
        <w:spacing w:after="0" w:line="1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Any dividends that are distributed with respect to Restricted Shares shall be paid in accordance with the applicable Award Agreement, subject to the provisions of </w:t>
      </w:r>
      <w:r>
        <w:rPr>
          <w:rFonts w:ascii="Times New Roman" w:cs="Times New Roman" w:eastAsia="Times New Roman" w:hAnsi="Times New Roman"/>
          <w:sz w:val="22"/>
          <w:szCs w:val="22"/>
          <w:u w:val="single" w:color="auto"/>
          <w:color w:val="auto"/>
        </w:rPr>
        <w:t>Section 10(b)(ii)</w:t>
      </w:r>
      <w:r>
        <w:rPr>
          <w:rFonts w:ascii="Times New Roman" w:cs="Times New Roman" w:eastAsia="Times New Roman" w:hAnsi="Times New Roman"/>
          <w:sz w:val="22"/>
          <w:szCs w:val="22"/>
          <w:color w:val="auto"/>
        </w:rPr>
        <w:t xml:space="preserve"> hereof.</w:t>
      </w:r>
    </w:p>
    <w:p>
      <w:pPr>
        <w:sectPr>
          <w:pgSz w:w="11900" w:h="16838" w:orient="portrait"/>
          <w:cols w:equalWidth="0" w:num="1">
            <w:col w:w="11240"/>
          </w:cols>
          <w:pgMar w:left="320" w:top="1422" w:right="339" w:bottom="1440" w:gutter="0" w:footer="0" w:header="0"/>
        </w:sectPr>
      </w:pPr>
    </w:p>
    <w:bookmarkStart w:id="19" w:name="page20"/>
    <w:bookmarkEnd w:id="19"/>
    <w:p>
      <w:pPr>
        <w:ind w:left="940" w:hanging="284"/>
        <w:spacing w:after="0"/>
        <w:tabs>
          <w:tab w:leader="none" w:pos="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p>
    <w:p>
      <w:pPr>
        <w:spacing w:after="0" w:line="152"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Except as otherwise determined by the Committee at the time of the grant of the Award or thereafter, upon termination of Service during the applicable restriction period, Restricted Shares that are at that time subject to restrictions shall be forfeited.</w:t>
      </w:r>
    </w:p>
    <w:p>
      <w:pPr>
        <w:spacing w:after="0" w:line="68" w:lineRule="exact"/>
        <w:rPr>
          <w:sz w:val="20"/>
          <w:szCs w:val="20"/>
          <w:color w:val="auto"/>
        </w:rPr>
      </w:pPr>
    </w:p>
    <w:p>
      <w:pPr>
        <w:ind w:left="920" w:hanging="264"/>
        <w:spacing w:after="0"/>
        <w:tabs>
          <w:tab w:leader="none" w:pos="9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Restricted Shares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Restricted Shares granted pursuant to the Plan may be evidenced in such manner as the Committee shall determine. If certificates representing Restricted Shares are registered in the name of the Participant, certificates shall bear a legend in such form as the Company deems appropriate, referring to the terms, conditions, and restrictions applicable to such Restricted Shares, and the Company may, at its discretion, retain physical possession of the certificate until such time as all applicable restrictions lapse.</w:t>
      </w:r>
    </w:p>
    <w:p>
      <w:pPr>
        <w:spacing w:after="0" w:line="109"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 and Conditions of Options</w:t>
      </w:r>
    </w:p>
    <w:p>
      <w:pPr>
        <w:spacing w:after="0" w:line="15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Option Type</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w:t>
      </w:r>
    </w:p>
    <w:p>
      <w:pPr>
        <w:spacing w:after="0" w:line="105" w:lineRule="exact"/>
        <w:rPr>
          <w:sz w:val="20"/>
          <w:szCs w:val="20"/>
          <w:color w:val="auto"/>
        </w:rPr>
      </w:pPr>
    </w:p>
    <w:p>
      <w:pPr>
        <w:ind w:left="960" w:hanging="304"/>
        <w:spacing w:after="0"/>
        <w:tabs>
          <w:tab w:leader="none" w:pos="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Price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Option Price per Share shall be determined by the Committee, but shall not be less than the higher of (i) 100% of the Fair Market Value of a Share on the date an Option is granted (other than in the case of Substitute Awards) and (ii) the nominal value of a Share.</w:t>
      </w:r>
    </w:p>
    <w:p>
      <w:pPr>
        <w:spacing w:after="0" w:line="105" w:lineRule="exact"/>
        <w:rPr>
          <w:sz w:val="20"/>
          <w:szCs w:val="20"/>
          <w:color w:val="auto"/>
        </w:rPr>
      </w:pPr>
    </w:p>
    <w:p>
      <w:pPr>
        <w:ind w:left="940" w:hanging="284"/>
        <w:spacing w:after="0"/>
        <w:tabs>
          <w:tab w:leader="none" w:pos="9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Exercisability</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11" w:lineRule="exact"/>
        <w:rPr>
          <w:sz w:val="20"/>
          <w:szCs w:val="20"/>
          <w:color w:val="auto"/>
        </w:rPr>
      </w:pPr>
    </w:p>
    <w:p>
      <w:pPr>
        <w:ind w:left="960" w:hanging="304"/>
        <w:spacing w:after="0"/>
        <w:tabs>
          <w:tab w:leader="none" w:pos="9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Except as otherwise provided in the Plan or in an Award Agreement, an Option may be exercised for all, or from time to time any part, of the Shares for which it is then exercisable. For purposes of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Option Price shall be payable: (i) in cash or its equivalent (e.g., by personal check), or (ii) by such other method as the Committee may permit in its sole discretion, including, without limitation, (A) if there is a public market for the Shares underlying the Options at such time,</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51" w:lineRule="auto"/>
        <w:rPr>
          <w:sz w:val="20"/>
          <w:szCs w:val="20"/>
          <w:color w:val="auto"/>
        </w:rPr>
      </w:pPr>
      <w:r>
        <w:rPr>
          <w:rFonts w:ascii="Times New Roman" w:cs="Times New Roman" w:eastAsia="Times New Roman" w:hAnsi="Times New Roman"/>
          <w:sz w:val="22"/>
          <w:szCs w:val="22"/>
          <w:color w:val="auto"/>
        </w:rPr>
        <w:t>through the delivery of irrevocable instructions to a broker to sell Shares obtained upon the exercise of the Option and to deliver promptly to the Company an amount out of the proceeds of such sale equal to the aggregate Option Price for the Shares being purchased, or (B) by a “net exercise” method whereby the Company withholds from the delivery of the Shares for which the Option was exercised that number of Shares having a Fair Market Value equal to the aggregate Option Price for the Shares for which the Option was exercised. No fractional Shares will be issued upon exercise of an Option, but instead the number of Shares will be rounded downward to the next whole Share.</w:t>
      </w:r>
    </w:p>
    <w:p>
      <w:pPr>
        <w:spacing w:after="0" w:line="114" w:lineRule="exact"/>
        <w:rPr>
          <w:sz w:val="20"/>
          <w:szCs w:val="20"/>
          <w:color w:val="auto"/>
        </w:rPr>
      </w:pPr>
    </w:p>
    <w:p>
      <w:pPr>
        <w:ind w:left="940" w:hanging="284"/>
        <w:spacing w:after="0"/>
        <w:tabs>
          <w:tab w:leader="none" w:pos="9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ISOs</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118" w:lineRule="exact"/>
        <w:rPr>
          <w:sz w:val="20"/>
          <w:szCs w:val="20"/>
          <w:color w:val="auto"/>
        </w:rPr>
      </w:pPr>
    </w:p>
    <w:p>
      <w:pPr>
        <w:ind w:left="920" w:hanging="264"/>
        <w:spacing w:after="0"/>
        <w:tabs>
          <w:tab w:leader="none" w:pos="9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with Respect to Shares</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 Participant shall have any rights to dividends or other rights of a shareholder with respect to Shares subject to an Option until the Participant has given written notice of exercise of the Option, paid in full (including, but not limited to, the Option Price and Tax-Related Items) for such Shares and, if applicable, has satisfied any other conditions imposed by the Committee pursuant to the Plan and applicable Award Agreement.</w:t>
      </w:r>
    </w:p>
    <w:p>
      <w:pPr>
        <w:spacing w:after="0" w:line="91"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Terms and Conditions of Share Appreciation Rights</w:t>
      </w:r>
    </w:p>
    <w:p>
      <w:pPr>
        <w:spacing w:after="0" w:line="15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Grants</w:t>
      </w:r>
    </w:p>
    <w:p>
      <w:pPr>
        <w:spacing w:after="0" w:line="15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The Committee may grant (i) a Share Appreciation Right independent of an Option or (ii) a Share Appreciation Right in connection with an Option, or a portion thereof. A Share Appreciation Right granted pursuant to clause (ii) of the preceding sentence (A) may only be granted at the time the related Option is granted, (B) shall cover the same number of Shares</w:t>
      </w:r>
    </w:p>
    <w:p>
      <w:pPr>
        <w:sectPr>
          <w:pgSz w:w="11900" w:h="16838" w:orient="portrait"/>
          <w:cols w:equalWidth="0" w:num="1">
            <w:col w:w="11240"/>
          </w:cols>
          <w:pgMar w:left="320" w:top="1422" w:right="339" w:bottom="1440" w:gutter="0" w:footer="0" w:header="0"/>
        </w:sectPr>
      </w:pPr>
    </w:p>
    <w:bookmarkStart w:id="21" w:name="page22"/>
    <w:bookmarkEnd w:id="21"/>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covered by an Option (or such lesser number of Shares as the Committee may determine) and (C) shall be subject to the same terms and conditions as such Option except for such additional limitations as are contemplated by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(or such additional limitations as may be included in an Award Agreement).</w:t>
      </w:r>
    </w:p>
    <w:p>
      <w:pPr>
        <w:spacing w:after="0" w:line="105" w:lineRule="exact"/>
        <w:rPr>
          <w:sz w:val="20"/>
          <w:szCs w:val="20"/>
          <w:color w:val="auto"/>
        </w:rPr>
      </w:pPr>
    </w:p>
    <w:p>
      <w:pPr>
        <w:ind w:left="960" w:hanging="304"/>
        <w:spacing w:after="0"/>
        <w:tabs>
          <w:tab w:leader="none" w:pos="9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Each Share Appreciation Right granted independent of an Option shall entitle a Participant, upon exercise, to a number of Shares equal to an amount that is (i) the excess of (A) the Fair Market Value of a Share on the exercise date over (B) the Strike Price, multiplied by (ii) the number of Shares with respect to which the Share Appreciation Right is being exercised, less any Tax-Related Items.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Fair Market Value of a Share on the date of such surrender over (B) the Strike Price, multiplied by (ii) the number of Shares covered by the portion of the Option that is surrendered, less any Tax-Related Items. Payment shall be made in cash, in Shares valued at Fair Market Value, or any combination thereof, at the discretion of the Committee.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27" w:lineRule="exact"/>
        <w:rPr>
          <w:sz w:val="20"/>
          <w:szCs w:val="20"/>
          <w:color w:val="auto"/>
        </w:rPr>
      </w:pPr>
    </w:p>
    <w:p>
      <w:pPr>
        <w:ind w:left="940" w:hanging="284"/>
        <w:spacing w:after="0"/>
        <w:tabs>
          <w:tab w:leader="none" w:pos="9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w:t>
      </w:r>
    </w:p>
    <w:p>
      <w:pPr>
        <w:spacing w:after="0" w:line="152"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The Committee may impose, in its discretion, such conditions regarding the exercisability of Share Appreciation Rights as it may deem fit, but in no event shall a Share Appreciation Right be exercisable more than ten years after the date it is granted.</w:t>
      </w:r>
    </w:p>
    <w:p>
      <w:pPr>
        <w:spacing w:after="0" w:line="64"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Share-Based Awards</w:t>
      </w:r>
    </w:p>
    <w:p>
      <w:pPr>
        <w:spacing w:after="0" w:line="142"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Grants of Other Share-Based Awards and Performance-Based Awards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w:t>
      </w:r>
    </w:p>
    <w:p>
      <w:pPr>
        <w:sectPr>
          <w:pgSz w:w="11900" w:h="16838" w:orient="portrait"/>
          <w:cols w:equalWidth="0" w:num="1">
            <w:col w:w="11240"/>
          </w:cols>
          <w:pgMar w:left="320" w:top="1422"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22"/>
          <w:szCs w:val="22"/>
          <w:color w:val="auto"/>
        </w:rPr>
        <w:t>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95" w:lineRule="exact"/>
        <w:rPr>
          <w:sz w:val="20"/>
          <w:szCs w:val="20"/>
          <w:color w:val="auto"/>
        </w:rPr>
      </w:pPr>
    </w:p>
    <w:p>
      <w:pPr>
        <w:ind w:left="960" w:hanging="304"/>
        <w:spacing w:after="0"/>
        <w:tabs>
          <w:tab w:leader="none" w:pos="9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of Payment</w:t>
      </w:r>
    </w:p>
    <w:p>
      <w:pPr>
        <w:spacing w:after="0" w:line="1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Payments with respect to any Awards granted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made in cash or cash equivalent, in Shares or any combination of the foregoing, as determined by the Committee.</w:t>
      </w:r>
    </w:p>
    <w:p>
      <w:pPr>
        <w:spacing w:after="0" w:line="90" w:lineRule="exact"/>
        <w:rPr>
          <w:sz w:val="20"/>
          <w:szCs w:val="20"/>
          <w:color w:val="auto"/>
        </w:rPr>
      </w:pPr>
    </w:p>
    <w:p>
      <w:pPr>
        <w:ind w:left="940" w:hanging="284"/>
        <w:spacing w:after="0"/>
        <w:tabs>
          <w:tab w:leader="none" w:pos="9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The Committee shall specify the date or dates on which the Awards granted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9 shall become fully vested and nonforfeitable, and may specify such conditions to vesting as it deems appropriate. The vesting conditions may be based on, among other vesting conditions, a Participant's continued Service or the attainment of Performance Goals.</w:t>
      </w:r>
    </w:p>
    <w:p>
      <w:pPr>
        <w:spacing w:after="0" w:line="86" w:lineRule="exact"/>
        <w:rPr>
          <w:sz w:val="20"/>
          <w:szCs w:val="20"/>
          <w:color w:val="auto"/>
        </w:rPr>
      </w:pPr>
    </w:p>
    <w:p>
      <w:pPr>
        <w:ind w:left="960" w:hanging="304"/>
        <w:spacing w:after="0"/>
        <w:tabs>
          <w:tab w:leader="none" w:pos="9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p>
    <w:p>
      <w:pPr>
        <w:spacing w:after="0" w:line="1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Except as otherwise provided herein, the term of any Award granted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be set by the Committee in its discretion; provided, that the term of any Award granted pursuant to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not exceed 10 years.</w:t>
      </w:r>
    </w:p>
    <w:p>
      <w:pPr>
        <w:spacing w:after="0" w:line="86"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Provisions Applicable to All Awards</w:t>
      </w:r>
    </w:p>
    <w:p>
      <w:pPr>
        <w:spacing w:after="0" w:line="15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Award Agreement</w:t>
      </w:r>
    </w:p>
    <w:p>
      <w:pPr>
        <w:spacing w:after="0" w:line="1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112" w:lineRule="exact"/>
        <w:rPr>
          <w:sz w:val="20"/>
          <w:szCs w:val="20"/>
          <w:color w:val="auto"/>
        </w:rPr>
      </w:pPr>
    </w:p>
    <w:p>
      <w:pPr>
        <w:ind w:left="960" w:hanging="304"/>
        <w:spacing w:after="0"/>
        <w:tabs>
          <w:tab w:leader="none" w:pos="9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 Rights</w:t>
      </w:r>
    </w:p>
    <w:p>
      <w:pPr>
        <w:spacing w:after="0" w:line="152" w:lineRule="exact"/>
        <w:rPr>
          <w:sz w:val="20"/>
          <w:szCs w:val="20"/>
          <w:color w:val="auto"/>
        </w:rPr>
      </w:pPr>
    </w:p>
    <w:p>
      <w:pPr>
        <w:jc w:val="both"/>
        <w:ind w:firstLine="656"/>
        <w:spacing w:after="0" w:line="263" w:lineRule="auto"/>
        <w:tabs>
          <w:tab w:leader="none" w:pos="90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in its sole discretion may provide a Participant as part of a Restricted Share Unit or Other Share-Based Award that is a Full Value Award with Dividend Equivalent Rights, on such terms and conditions as may be determined by the Committee in its sole discretion.</w:t>
      </w:r>
    </w:p>
    <w:p>
      <w:pPr>
        <w:spacing w:after="0" w:line="86" w:lineRule="exact"/>
        <w:rPr>
          <w:rFonts w:ascii="Times New Roman" w:cs="Times New Roman" w:eastAsia="Times New Roman" w:hAnsi="Times New Roman"/>
          <w:sz w:val="22"/>
          <w:szCs w:val="22"/>
          <w:color w:val="auto"/>
        </w:rPr>
      </w:pPr>
    </w:p>
    <w:p>
      <w:pPr>
        <w:jc w:val="both"/>
        <w:ind w:firstLine="656"/>
        <w:spacing w:after="0" w:line="256" w:lineRule="auto"/>
        <w:tabs>
          <w:tab w:leader="none" w:pos="96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 Equivalent Rights provided in connection with an Award that is subject to vesting shall either (i) not be paid or credited or (ii) be accumulated and subject to vesting restrictions applicable to the underlying Award. For Restricted Shares subject to vesting, dividends shall be accumulated and subject to any restrictions and risk of forfeiture to which the underlying Restricted Share is subject.</w:t>
      </w:r>
    </w:p>
    <w:p>
      <w:pPr>
        <w:spacing w:after="0" w:line="109" w:lineRule="exact"/>
        <w:rPr>
          <w:sz w:val="20"/>
          <w:szCs w:val="20"/>
          <w:color w:val="auto"/>
        </w:rPr>
      </w:pPr>
    </w:p>
    <w:p>
      <w:pPr>
        <w:ind w:left="940" w:hanging="284"/>
        <w:spacing w:after="0"/>
        <w:tabs>
          <w:tab w:leader="none" w:pos="94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Limits on Transfer</w:t>
      </w:r>
    </w:p>
    <w:p>
      <w:pPr>
        <w:sectPr>
          <w:pgSz w:w="11900" w:h="16838" w:orient="portrait"/>
          <w:cols w:equalWidth="0" w:num="1">
            <w:col w:w="11240"/>
          </w:cols>
          <w:pgMar w:left="320" w:top="1422"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w:t>
      </w:r>
    </w:p>
    <w:p>
      <w:pPr>
        <w:spacing w:after="0" w:line="11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00" w:lineRule="exact"/>
        <w:rPr>
          <w:sz w:val="20"/>
          <w:szCs w:val="20"/>
          <w:color w:val="auto"/>
        </w:rPr>
      </w:pPr>
    </w:p>
    <w:p>
      <w:pPr>
        <w:ind w:left="960" w:hanging="304"/>
        <w:spacing w:after="0"/>
        <w:tabs>
          <w:tab w:leader="none" w:pos="9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Vesting</w:t>
      </w:r>
    </w:p>
    <w:p>
      <w:pPr>
        <w:spacing w:after="0" w:line="15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Notwithstanding the foregoing, up to 5% of the aggregate number of Shares authorized for issuance under this Plan (as described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may be issued pursuant to Awards subject to any or no vesting conditions (including with regard to such one-year vesting limitation described in the preceding sentence), as the Committee determines appropriate.</w:t>
      </w:r>
    </w:p>
    <w:p>
      <w:pPr>
        <w:spacing w:after="0" w:line="114" w:lineRule="exact"/>
        <w:rPr>
          <w:sz w:val="20"/>
          <w:szCs w:val="20"/>
          <w:color w:val="auto"/>
        </w:rPr>
      </w:pPr>
    </w:p>
    <w:p>
      <w:pPr>
        <w:ind w:left="940" w:hanging="284"/>
        <w:spacing w:after="0"/>
        <w:tabs>
          <w:tab w:leader="none" w:pos="94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 &amp; Acceptance within 30 days</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Each Award is subject to acceptance, within 30 days of delivery of the Award Agreement, by electronic acceptance through the Company’s share plan administrator, or by signed documents delivered to the Company. Failure to accept the Award within 30 days of delivery of the Award Agreement may result in cancellation of the Award.</w:t>
      </w:r>
    </w:p>
    <w:p>
      <w:pPr>
        <w:spacing w:after="0" w:line="105" w:lineRule="exact"/>
        <w:rPr>
          <w:sz w:val="20"/>
          <w:szCs w:val="20"/>
          <w:color w:val="auto"/>
        </w:rPr>
      </w:pPr>
    </w:p>
    <w:p>
      <w:pPr>
        <w:ind w:left="920" w:hanging="264"/>
        <w:spacing w:after="0"/>
        <w:tabs>
          <w:tab w:leader="none" w:pos="9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Paperless Administration</w:t>
      </w:r>
    </w:p>
    <w:p>
      <w:pPr>
        <w:spacing w:after="0" w:line="1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12" w:lineRule="exact"/>
        <w:rPr>
          <w:sz w:val="20"/>
          <w:szCs w:val="20"/>
          <w:color w:val="auto"/>
        </w:rPr>
      </w:pPr>
    </w:p>
    <w:p>
      <w:pPr>
        <w:ind w:left="960" w:hanging="304"/>
        <w:spacing w:after="0"/>
        <w:tabs>
          <w:tab w:leader="none" w:pos="9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Nominal Value</w:t>
      </w:r>
    </w:p>
    <w:p>
      <w:pPr>
        <w:spacing w:after="0" w:line="1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 other provision in this Plan, no Share shall be allotted or issued pursuant to the exercise of vesting of an Award, or as an Award, unless it is fully paid-up to at least its nominal value.</w:t>
      </w:r>
    </w:p>
    <w:p>
      <w:pPr>
        <w:spacing w:after="0" w:line="90" w:lineRule="exact"/>
        <w:rPr>
          <w:sz w:val="20"/>
          <w:szCs w:val="20"/>
          <w:color w:val="auto"/>
        </w:rPr>
      </w:pPr>
    </w:p>
    <w:p>
      <w:pPr>
        <w:ind w:left="960" w:hanging="304"/>
        <w:spacing w:after="0"/>
        <w:tabs>
          <w:tab w:leader="none" w:pos="9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Detrimental Activity</w:t>
      </w:r>
    </w:p>
    <w:p>
      <w:pPr>
        <w:sectPr>
          <w:pgSz w:w="11900" w:h="16838" w:orient="portrait"/>
          <w:cols w:equalWidth="0" w:num="1">
            <w:col w:w="11240"/>
          </w:cols>
          <w:pgMar w:left="320" w:top="1422" w:right="339" w:bottom="1440" w:gutter="0" w:footer="0" w:header="0"/>
        </w:sectPr>
      </w:pPr>
    </w:p>
    <w:bookmarkStart w:id="24" w:name="page25"/>
    <w:bookmarkEnd w:id="24"/>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Notwithstanding anything to the contrary contained herein or in any Award Agreement, if a Participant has engaged in any Detrimental Activity or the Participant's employment or service with any member of the Weatherford Group is terminated for Cause, as determined by the Committee in good faith in its reasonable discretion, the Committee may provide for one or more of the following: (1) cancellation of any or all of such Participant's outstanding Awards; or (2) forfeiture by the Participant of any gain realized on the vesting, settlement or exercise of Awards, and to repay any such gain to promptly to the Company.</w:t>
      </w:r>
    </w:p>
    <w:p>
      <w:pPr>
        <w:spacing w:after="0" w:line="96" w:lineRule="exact"/>
        <w:rPr>
          <w:sz w:val="20"/>
          <w:szCs w:val="20"/>
          <w:color w:val="auto"/>
        </w:rPr>
      </w:pPr>
    </w:p>
    <w:p>
      <w:pPr>
        <w:ind w:left="920" w:hanging="264"/>
        <w:spacing w:after="0"/>
        <w:tabs>
          <w:tab w:leader="none" w:pos="92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p>
    <w:p>
      <w:pPr>
        <w:spacing w:after="0" w:line="13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Committee may impose on any Award any restrictive covenants, including, but not limited to, any noncompetition, non-solicitation, confidentiality, and non-disparagement covenants, as it deems necessary or appropriate in its sole discretion. In addition, by accepting an Award under the Plan, a Participant shall thereby be deemed to have acknowledged and consented to not, without authorization from the Company, use, disclose or disseminate Confidential Information or Trade Secrets pertaining to the business of any member of the Weatherford Group; provided, however, that the activity described in this sentence does not apply to (i) any Confidential Information or Trade Secrets which have become generally known to competitors of any member of the Weatherford Group through no act or omission by the Participant or (ii) a Participant's communications that are required by law or judicial process (e.g., subpoena). Further, the preceding sentence does not preclude a Participant from communicating, cooperating or filing a complaint with any U.S. federal, foreign, state or local governmental or law enforcement branch, agency or entity (collectively, a “</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with respect to possible violations of any U.S. federal, foreign,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Weatherford Group's attorney-client privilege or attorney work product or Trade Secrets without prior written consent of the Board or its designee.</w:t>
      </w:r>
    </w:p>
    <w:p>
      <w:pPr>
        <w:spacing w:after="0" w:line="1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Notwithstanding anything herein to the contrary, in the event of the Participant's breach of any restrictive covenant, including, but not limited to, any non-competition, non-solicitation, confidentiality, and non-disparagement covenants, the Participant has agreed to or is bound by with respect to the Company or any Affiliate, the Award held by the Participant shall be forfeited effective as of the date of such breach in its entirety (whether or not vested), and the Participant shall have no further rights hereunder or thereunder, including, but not limited to, any rights under the Participant's Award Agreement and any rights to any exercise, vesting or settlement in respect of the Award.</w:t>
      </w:r>
    </w:p>
    <w:p>
      <w:pPr>
        <w:spacing w:after="0" w:line="114" w:lineRule="exact"/>
        <w:rPr>
          <w:sz w:val="20"/>
          <w:szCs w:val="20"/>
          <w:color w:val="auto"/>
        </w:rPr>
      </w:pPr>
    </w:p>
    <w:p>
      <w:pPr>
        <w:ind w:left="920" w:hanging="264"/>
        <w:spacing w:after="0"/>
        <w:tabs>
          <w:tab w:leader="none" w:pos="9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p>
    <w:p>
      <w:pPr>
        <w:spacing w:after="0" w:line="1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2"/>
          <w:szCs w:val="22"/>
          <w:color w:val="auto"/>
        </w:rPr>
        <w:t>The Participant shall keep strictly confidential and not disclose to any Person the fact that the Participant has been granted an Award or any terms of the applicable Award Agreement; provided, however, that the Participant may disclose the fact that the Participant has been granted an Award and the terms of the applicable Award Agreement to the Participant’s attorney,</w:t>
      </w:r>
    </w:p>
    <w:p>
      <w:pPr>
        <w:sectPr>
          <w:pgSz w:w="11900" w:h="16838" w:orient="portrait"/>
          <w:cols w:equalWidth="0" w:num="1">
            <w:col w:w="11240"/>
          </w:cols>
          <w:pgMar w:left="320" w:top="1422" w:right="339" w:bottom="1440" w:gutter="0" w:footer="0" w:header="0"/>
        </w:sectPr>
      </w:pPr>
    </w:p>
    <w:bookmarkStart w:id="25" w:name="page26"/>
    <w:bookmarkEnd w:id="25"/>
    <w:p>
      <w:pPr>
        <w:spacing w:after="0" w:line="271" w:lineRule="auto"/>
        <w:rPr>
          <w:sz w:val="20"/>
          <w:szCs w:val="20"/>
          <w:color w:val="auto"/>
        </w:rPr>
      </w:pPr>
      <w:r>
        <w:rPr>
          <w:rFonts w:ascii="Times New Roman" w:cs="Times New Roman" w:eastAsia="Times New Roman" w:hAnsi="Times New Roman"/>
          <w:sz w:val="22"/>
          <w:szCs w:val="22"/>
          <w:color w:val="auto"/>
        </w:rPr>
        <w:t>accountant, spouse or those employees of the Company or its Affiliates who are or will be involved in administering and implementing the Award.</w:t>
      </w:r>
    </w:p>
    <w:p>
      <w:pPr>
        <w:spacing w:after="0" w:line="90" w:lineRule="exact"/>
        <w:rPr>
          <w:sz w:val="20"/>
          <w:szCs w:val="20"/>
          <w:color w:val="auto"/>
        </w:rPr>
      </w:pPr>
    </w:p>
    <w:p>
      <w:pPr>
        <w:ind w:left="960" w:hanging="304"/>
        <w:spacing w:after="0"/>
        <w:tabs>
          <w:tab w:leader="none" w:pos="9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Rights as Shareholder</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Cash dividends on the number of Shares issuable hereunder shall be credited to a dividend book entry account on behalf of the Participant with respect to each Award granted to the Participant; provided that such cash dividends shall not be deemed to be reinvested in Shares and shall be held uninvested and without interest and paid in cash at the same time that the Shares underlying the Award are delivered to the Participant in accordance with the provisions of the Plan and the Award Agreement. Stock dividends on Shares shall be credited to a dividend book entry account on behalf of the Participant with respect to each Award granted to the Participant; provided that such stock dividends shall be paid in Shares at the same time that the Shares underlying Award are delivered to the Participant in accordance with the provisions of the Plan and the Award Agreement. Except as otherwise provided herein, the Participant shall have no rights as a shareholder with respect to any Shares covered by any Award unless and until the Participant has become the holder of record of such Shares.</w:t>
      </w:r>
    </w:p>
    <w:p>
      <w:pPr>
        <w:spacing w:after="0" w:line="118" w:lineRule="exact"/>
        <w:rPr>
          <w:sz w:val="20"/>
          <w:szCs w:val="20"/>
          <w:color w:val="auto"/>
        </w:rPr>
      </w:pPr>
    </w:p>
    <w:p>
      <w:pPr>
        <w:ind w:left="920" w:hanging="264"/>
        <w:spacing w:after="0"/>
        <w:tabs>
          <w:tab w:leader="none" w:pos="9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The Company may at any time place legends referencing any applicable federal, state or foreign securities law restrictions on all certificates, if any, representing Shares issued pursuant to an Award Agreement. The Participant shall, at the request of the Company, promptly present to the Company any and all certificates representing Shares acquired pursuant to this Agreement in the possession of the Participant in order to carry out the provisions of this </w:t>
      </w:r>
      <w:r>
        <w:rPr>
          <w:rFonts w:ascii="Times New Roman" w:cs="Times New Roman" w:eastAsia="Times New Roman" w:hAnsi="Times New Roman"/>
          <w:sz w:val="22"/>
          <w:szCs w:val="22"/>
          <w:u w:val="single" w:color="auto"/>
          <w:color w:val="auto"/>
        </w:rPr>
        <w:t>Section 10(l)</w:t>
      </w:r>
      <w:r>
        <w:rPr>
          <w:rFonts w:ascii="Times New Roman" w:cs="Times New Roman" w:eastAsia="Times New Roman" w:hAnsi="Times New Roman"/>
          <w:sz w:val="22"/>
          <w:szCs w:val="22"/>
          <w:color w:val="auto"/>
        </w:rPr>
        <w:t>.</w:t>
      </w:r>
    </w:p>
    <w:p>
      <w:pPr>
        <w:spacing w:after="0" w:line="95" w:lineRule="exact"/>
        <w:rPr>
          <w:sz w:val="20"/>
          <w:szCs w:val="20"/>
          <w:color w:val="auto"/>
        </w:rPr>
      </w:pPr>
    </w:p>
    <w:p>
      <w:pPr>
        <w:ind w:left="1020" w:hanging="364"/>
        <w:spacing w:after="0"/>
        <w:tabs>
          <w:tab w:leader="none" w:pos="10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Representations</w:t>
      </w:r>
    </w:p>
    <w:p>
      <w:pPr>
        <w:spacing w:after="0" w:line="152"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22"/>
          <w:szCs w:val="22"/>
          <w:color w:val="auto"/>
        </w:rPr>
        <w:t>Each Award and applicable Award Agreement entered into by the Company with a Participant is in reliance on the following express representations and warranties of the Participant:</w:t>
      </w:r>
    </w:p>
    <w:p>
      <w:pPr>
        <w:spacing w:after="0" w:line="63" w:lineRule="exact"/>
        <w:rPr>
          <w:sz w:val="20"/>
          <w:szCs w:val="20"/>
          <w:color w:val="auto"/>
        </w:rPr>
      </w:pPr>
    </w:p>
    <w:p>
      <w:pPr>
        <w:ind w:right="20" w:firstLine="656"/>
        <w:spacing w:after="0" w:line="284" w:lineRule="auto"/>
        <w:tabs>
          <w:tab w:leader="none" w:pos="91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has been advised that the Participant may be an “affiliate” within the meaning of Rule 144 under the Securities Act.</w:t>
      </w:r>
    </w:p>
    <w:p>
      <w:pPr>
        <w:spacing w:after="0" w:line="62" w:lineRule="exact"/>
        <w:rPr>
          <w:rFonts w:ascii="Times New Roman" w:cs="Times New Roman" w:eastAsia="Times New Roman" w:hAnsi="Times New Roman"/>
          <w:sz w:val="22"/>
          <w:szCs w:val="22"/>
          <w:color w:val="auto"/>
        </w:rPr>
      </w:pPr>
    </w:p>
    <w:p>
      <w:pPr>
        <w:jc w:val="both"/>
        <w:ind w:firstLine="656"/>
        <w:spacing w:after="0" w:line="256" w:lineRule="auto"/>
        <w:tabs>
          <w:tab w:leader="none" w:pos="96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is deemed to be an affiliate within the meaning of Rule 144 of the Securities Act, the Shares issuable under the Award Agreement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08" w:lineRule="exact"/>
        <w:rPr>
          <w:rFonts w:ascii="Times New Roman" w:cs="Times New Roman" w:eastAsia="Times New Roman" w:hAnsi="Times New Roman"/>
          <w:sz w:val="22"/>
          <w:szCs w:val="22"/>
          <w:color w:val="auto"/>
        </w:rPr>
      </w:pPr>
    </w:p>
    <w:p>
      <w:pPr>
        <w:jc w:val="both"/>
        <w:ind w:firstLine="656"/>
        <w:spacing w:after="0" w:line="251" w:lineRule="auto"/>
        <w:tabs>
          <w:tab w:leader="none" w:pos="10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 (C) other terms and conditions of Rule 144 or any exemption therefrom are complied with, and (ii) any sale of the Shares issuable hereunder may be made only in limited amounts in accordance with the terms and conditions of Rule 144 or any exemption therefrom.</w:t>
      </w:r>
    </w:p>
    <w:p>
      <w:pPr>
        <w:sectPr>
          <w:pgSz w:w="11900" w:h="16838" w:orient="portrait"/>
          <w:cols w:equalWidth="0" w:num="1">
            <w:col w:w="11240"/>
          </w:cols>
          <w:pgMar w:left="320" w:top="1422" w:right="339" w:bottom="1440" w:gutter="0" w:footer="0" w:header="0"/>
        </w:sectPr>
      </w:pPr>
    </w:p>
    <w:bookmarkStart w:id="26" w:name="page27"/>
    <w:bookmarkEnd w:id="26"/>
    <w:p>
      <w:pPr>
        <w:ind w:left="960" w:hanging="304"/>
        <w:spacing w:after="0"/>
        <w:tabs>
          <w:tab w:leader="none" w:pos="9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Insider Trading Restrictions/Market Abuse Laws</w:t>
      </w:r>
    </w:p>
    <w:p>
      <w:pPr>
        <w:spacing w:after="0" w:line="15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22"/>
          <w:szCs w:val="22"/>
          <w:color w:val="auto"/>
        </w:rPr>
        <w:t>The Participant 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the Company’s insider trading policies. The Participant is responsible for ensuring his or her compliance with any applicable restrictions and should speak to his or her personal legal advisor on this matter.</w:t>
      </w:r>
    </w:p>
    <w:p>
      <w:pPr>
        <w:spacing w:after="0" w:line="113" w:lineRule="exact"/>
        <w:rPr>
          <w:sz w:val="20"/>
          <w:szCs w:val="20"/>
          <w:color w:val="auto"/>
        </w:rPr>
      </w:pPr>
    </w:p>
    <w:p>
      <w:pPr>
        <w:ind w:left="960" w:hanging="304"/>
        <w:spacing w:after="0"/>
        <w:tabs>
          <w:tab w:leader="none" w:pos="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Asset/Account Reporting; Exchange Controls</w:t>
      </w:r>
    </w:p>
    <w:p>
      <w:pPr>
        <w:spacing w:after="0" w:line="15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Depending on the Participant’s country of residence, the Participant may be subject to foreign asset and/or account reporting requirements and/or exchange controls as a result of the vesting and settlement an Award,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114" w:lineRule="exact"/>
        <w:rPr>
          <w:sz w:val="20"/>
          <w:szCs w:val="20"/>
          <w:color w:val="auto"/>
        </w:rPr>
      </w:pPr>
    </w:p>
    <w:p>
      <w:pPr>
        <w:ind w:left="960" w:hanging="304"/>
        <w:spacing w:after="0"/>
        <w:tabs>
          <w:tab w:leader="none" w:pos="9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Country-Specific Provisions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Awards granted under the Plan and the Shares subject to such Awards shall be subject to any special 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Plan and any Award Agreement.</w:t>
      </w:r>
    </w:p>
    <w:p>
      <w:pPr>
        <w:spacing w:after="0" w:line="109"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Adjustments Upon Certain Events</w:t>
      </w:r>
    </w:p>
    <w:p>
      <w:pPr>
        <w:spacing w:after="0" w:line="1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 other provisions in the Plan to the contrary, the following provisions shall apply to all Awards granted under the Plan:</w:t>
      </w:r>
    </w:p>
    <w:p>
      <w:pPr>
        <w:spacing w:after="0" w:line="90" w:lineRule="exact"/>
        <w:rPr>
          <w:sz w:val="20"/>
          <w:szCs w:val="20"/>
          <w:color w:val="auto"/>
        </w:rPr>
      </w:pPr>
    </w:p>
    <w:p>
      <w:pPr>
        <w:ind w:left="940" w:hanging="284"/>
        <w:spacing w:after="0"/>
        <w:tabs>
          <w:tab w:leader="none" w:pos="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p>
    <w:p>
      <w:pPr>
        <w:spacing w:after="0" w:line="1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w:t>
      </w:r>
    </w:p>
    <w:p>
      <w:pPr>
        <w:sectPr>
          <w:pgSz w:w="11900" w:h="16838" w:orient="portrait"/>
          <w:cols w:equalWidth="0" w:num="1">
            <w:col w:w="11240"/>
          </w:cols>
          <w:pgMar w:left="320" w:top="1422" w:right="33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22"/>
          <w:szCs w:val="22"/>
          <w:color w:val="auto"/>
        </w:rPr>
        <w:t>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Strike Price,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w:t>
      </w:r>
    </w:p>
    <w:p>
      <w:pPr>
        <w:spacing w:after="0" w:line="114" w:lineRule="exact"/>
        <w:rPr>
          <w:sz w:val="20"/>
          <w:szCs w:val="20"/>
          <w:color w:val="auto"/>
        </w:rPr>
      </w:pPr>
    </w:p>
    <w:p>
      <w:pPr>
        <w:ind w:left="960" w:hanging="304"/>
        <w:spacing w:after="0"/>
        <w:tabs>
          <w:tab w:leader="none" w:pos="9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Without limiting the foregoing, except as may otherwise be provided in an Award Agreement, in connection with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Change in Control, the Committee may, in its sole discretion, provide for any one or more of the following:</w:t>
      </w:r>
    </w:p>
    <w:p>
      <w:pPr>
        <w:spacing w:after="0" w:line="128" w:lineRule="exact"/>
        <w:rPr>
          <w:sz w:val="20"/>
          <w:szCs w:val="20"/>
          <w:color w:val="auto"/>
        </w:rPr>
      </w:pPr>
    </w:p>
    <w:p>
      <w:pPr>
        <w:jc w:val="both"/>
        <w:ind w:firstLine="656"/>
        <w:spacing w:after="0" w:line="256" w:lineRule="auto"/>
        <w:tabs>
          <w:tab w:leader="none" w:pos="97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continuation, substitution or assumption of Awards (or awards of an acquiring company),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w:t>
      </w:r>
    </w:p>
    <w:p>
      <w:pPr>
        <w:spacing w:after="0" w:line="95" w:lineRule="exact"/>
        <w:rPr>
          <w:rFonts w:ascii="Times New Roman" w:cs="Times New Roman" w:eastAsia="Times New Roman" w:hAnsi="Times New Roman"/>
          <w:sz w:val="22"/>
          <w:szCs w:val="22"/>
          <w:color w:val="auto"/>
        </w:rPr>
      </w:pPr>
    </w:p>
    <w:p>
      <w:pPr>
        <w:jc w:val="both"/>
        <w:ind w:firstLine="656"/>
        <w:spacing w:after="0" w:line="248" w:lineRule="auto"/>
        <w:tabs>
          <w:tab w:leader="none" w:pos="97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limitations or reductions as may be necessary to comply with Section 409A,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received or to be received by other 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Option Price or Strike Price, of such Option or Share Appreciation Right (it being understood that, in such event, any Option or Share Appreciation Right having a per share Option Price or Strike Price, equal to, or in excess of, the Fair Market Value of a Share subject thereto may be canceled and terminated without any payment or consideration therefor).</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Payments to holders pursuant to clause (ii) above shall be made in cash or, in the sole discretion of the Committee, in the form or forms of such other consideration as such Participant would have been entitled to receive upon the occurrence of the transaction if the Participant had been, immediately prior to such transaction, the holder of the number of Shares covered by the Award at such time (less any applicable Option Price or Strike Price).</w:t>
      </w:r>
    </w:p>
    <w:p>
      <w:pPr>
        <w:spacing w:after="0" w:line="109" w:lineRule="exact"/>
        <w:rPr>
          <w:sz w:val="20"/>
          <w:szCs w:val="20"/>
          <w:color w:val="auto"/>
        </w:rPr>
      </w:pPr>
    </w:p>
    <w:p>
      <w:pPr>
        <w:ind w:left="940" w:hanging="284"/>
        <w:spacing w:after="0"/>
        <w:tabs>
          <w:tab w:leader="none" w:pos="9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Requirements</w:t>
      </w:r>
    </w:p>
    <w:p>
      <w:pPr>
        <w:sectPr>
          <w:pgSz w:w="11900" w:h="16838" w:orient="portrait"/>
          <w:cols w:equalWidth="0" w:num="1">
            <w:col w:w="11240"/>
          </w:cols>
          <w:pgMar w:left="320" w:top="1422" w:right="339" w:bottom="1440" w:gutter="0" w:footer="0" w:header="0"/>
        </w:sectPr>
      </w:pPr>
    </w:p>
    <w:bookmarkStart w:id="28" w:name="page29"/>
    <w:bookmarkEnd w:id="28"/>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Prior to any payment or adjustment contemplated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the Committee may require a Participant to (i) represent and warrant as to the unencumbered title to the Participant's Awards; (ii) bear such Participant's pro rata share of any post-closing indemnity obligations, and be subject to the same post-closing 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w:t>
      </w:r>
    </w:p>
    <w:p>
      <w:pPr>
        <w:spacing w:after="0" w:line="114" w:lineRule="exact"/>
        <w:rPr>
          <w:sz w:val="20"/>
          <w:szCs w:val="20"/>
          <w:color w:val="auto"/>
        </w:rPr>
      </w:pPr>
    </w:p>
    <w:p>
      <w:pPr>
        <w:ind w:left="960" w:hanging="304"/>
        <w:spacing w:after="0"/>
        <w:tabs>
          <w:tab w:leader="none" w:pos="9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p>
    <w:p>
      <w:pPr>
        <w:spacing w:after="0" w:line="15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Any adjustment provided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may provide for the elimination of any fractional share that might otherwise become subject to an Award.</w:t>
      </w:r>
    </w:p>
    <w:p>
      <w:pPr>
        <w:spacing w:after="0" w:line="90" w:lineRule="exact"/>
        <w:rPr>
          <w:sz w:val="20"/>
          <w:szCs w:val="20"/>
          <w:color w:val="auto"/>
        </w:rPr>
      </w:pPr>
    </w:p>
    <w:p>
      <w:pPr>
        <w:ind w:left="940" w:hanging="284"/>
        <w:spacing w:after="0"/>
        <w:tabs>
          <w:tab w:leader="none" w:pos="9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p>
    <w:p>
      <w:pPr>
        <w:spacing w:after="0" w:line="152"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Any adjustment, substitution, determination of value or other action taken by the Committee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shall be conclusive and binding for all purposes.</w:t>
      </w:r>
    </w:p>
    <w:p>
      <w:pPr>
        <w:spacing w:after="0" w:line="86"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Right to Employment or Awards</w:t>
      </w:r>
    </w:p>
    <w:p>
      <w:pPr>
        <w:spacing w:after="0" w:line="14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Participant’s rights shall be limited to those rights that are specifically enumerated under the Plan and in an Award Agreement, and such rights shall be for all purposes, unsecured contractual creditors’ rights against the Company only. The Participant’s right to payments under an Award Agreement shall not constitute nor be treated as property or as a trust fund of any kind. The Participant shall not have any rights as an owner of the Company with respect to any Awards granted to Participant until Shares are issued.</w:t>
      </w:r>
    </w:p>
    <w:p>
      <w:pPr>
        <w:spacing w:after="0" w:line="107"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 and Assigns</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101"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or Termination</w:t>
      </w:r>
    </w:p>
    <w:p>
      <w:pPr>
        <w:spacing w:after="0" w:line="156"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Amendment and Termination of the Plan</w:t>
      </w:r>
    </w:p>
    <w:p>
      <w:pPr>
        <w:spacing w:after="0" w:line="15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Board may amend, alter, suspend, discontinue, cancel or terminate the Plan or any portion thereof at any time; provided, that no such amendment, alteration, suspension, discontinuation or termination shall be made without shareholder approval, if at the time of such</w:t>
      </w:r>
    </w:p>
    <w:p>
      <w:pPr>
        <w:sectPr>
          <w:pgSz w:w="11900" w:h="16838" w:orient="portrait"/>
          <w:cols w:equalWidth="0" w:num="1">
            <w:col w:w="11240"/>
          </w:cols>
          <w:pgMar w:left="320" w:top="1422"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event, shareholder approval is required under Applicable Law, if (i) it would materially increase the number of securities which may be issued under the Plan or granted to any Participant (except for increases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w:t>
      </w:r>
    </w:p>
    <w:p>
      <w:pPr>
        <w:spacing w:after="0" w:line="99" w:lineRule="exact"/>
        <w:rPr>
          <w:sz w:val="20"/>
          <w:szCs w:val="20"/>
          <w:color w:val="auto"/>
        </w:rPr>
      </w:pPr>
    </w:p>
    <w:p>
      <w:pPr>
        <w:ind w:left="960" w:hanging="304"/>
        <w:spacing w:after="0"/>
        <w:tabs>
          <w:tab w:leader="none" w:pos="9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Award Agreements</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xml:space="preserve"> 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105" w:lineRule="exact"/>
        <w:rPr>
          <w:sz w:val="20"/>
          <w:szCs w:val="20"/>
          <w:color w:val="auto"/>
        </w:rPr>
      </w:pPr>
    </w:p>
    <w:p>
      <w:pPr>
        <w:ind w:left="940" w:hanging="284"/>
        <w:spacing w:after="0"/>
        <w:tabs>
          <w:tab w:leader="none" w:pos="9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Repricing of Awards</w:t>
      </w:r>
    </w:p>
    <w:p>
      <w:pPr>
        <w:spacing w:after="0" w:line="15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of the Plan, in no event shall the Committee or the Board take any action without approval of the shareholders of the Company that would (i) reduce the Option Price of any Option or Strike Price of any Share Appreciation Right, (ii) result in the cancellation of any outstanding Option or Share Appreciation Right and replacement with a new Option or Share Appreciation Right with a lower Option Price or Strike Price, or with a cash payment or other Award at a time when the Option or Share Appreciation Right has a per Share Option Price or Strike Price, that is higher than the Fair Market Value of a Share on the date of the replacement or (iii) result in any other action that would constitute a “repricing” for purposes of the shareholder approval rules of any stock exchange or inter-dealer quotation system on which the securities of the Company are listed or quoted, in each case, to the extent such shareholder approval is required thereunder.</w:t>
      </w:r>
    </w:p>
    <w:p>
      <w:pPr>
        <w:spacing w:after="0" w:line="110"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01"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Severability</w:t>
      </w:r>
    </w:p>
    <w:p>
      <w:pPr>
        <w:sectPr>
          <w:pgSz w:w="11900" w:h="16838" w:orient="portrait"/>
          <w:cols w:equalWidth="0" w:num="1">
            <w:col w:w="11240"/>
          </w:cols>
          <w:pgMar w:left="320" w:top="1422"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If any provision of the Plan or the application of any provision hereof to any Person or circumstance is held to be illegal, invalid or unenforceable, the remainder of the Plan and the application of such provision to any other Person or circumstance shall not be affected, and the provisions so held to be unenforceable shall be construed and enforced as if the illegal, invalid or unenforceable provisions had never been included herein or reformed to the extent (and only to the extent) necessary to make it enforceable and valid.</w:t>
      </w:r>
    </w:p>
    <w:p>
      <w:pPr>
        <w:spacing w:after="0" w:line="107"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Effectiveness and Term of the Plan</w:t>
      </w:r>
    </w:p>
    <w:p>
      <w:pPr>
        <w:spacing w:after="0" w:line="14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The Plan shall be effective on the Effective Date. The Plan shall terminate on the day before the tenth anniversary of the Effective Date and may be terminated on any earlier date pursuant to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the Plan. The applicable provisions shall continue in effect with respect to an Award granted under the Plan for as long as such Award remains outstanding.</w:t>
      </w:r>
    </w:p>
    <w:p>
      <w:pPr>
        <w:spacing w:after="0" w:line="96"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p>
    <w:p>
      <w:pPr>
        <w:spacing w:after="0" w:line="1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To the extent that the Committee determines that any provision of this Plan or any Award granted hereunder would cause a Participant to incur any additional tax or interest under Section 409A, the Committee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 The exercisability of an Option shall not be extended to the extent that such extension would subject the Participant to additional taxes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 month period (or, if earlier, upon the Participant's death). Each payment in a series of payments made under this Plan and any Awards granted hereunder shall be deemed to be a separate payment for purposes of Section 409A.</w:t>
      </w:r>
    </w:p>
    <w:p>
      <w:pPr>
        <w:sectPr>
          <w:pgSz w:w="11900" w:h="16838" w:orient="portrait"/>
          <w:cols w:equalWidth="0" w:num="1">
            <w:col w:w="11240"/>
          </w:cols>
          <w:pgMar w:left="320" w:top="1422"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 permitted under Section 409A, any deferred compensation payable to a Participant or for a Participant's benefit under this Plan and grants hereunder may not be reduced by, or offset against, any amount owing by a Participant to any member of the Weatherford Group.</w:t>
      </w:r>
    </w:p>
    <w:p>
      <w:pPr>
        <w:spacing w:after="0" w:line="1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Notwithstanding the foregoing, (i) neither the Company nor the Committee shall have any obligation to take any action to prevent the assessment of any additional liability, tax or penalty on any Participant or beneficiary under Section 409A of the Code and (ii) neither the Committee (or any member thereof) nor any member of the Weatherford Group (or any employee, director or officer thereof) guarantees that this Plan or any Award granted hereunder complies with, or is exempt from, Section 409A and none of the foregoing shall have any liability with respect to any failure to so comply or to be so exempt.</w:t>
      </w:r>
    </w:p>
    <w:p>
      <w:pPr>
        <w:spacing w:after="0" w:line="109"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Clawback/Recoupment Policy</w:t>
      </w:r>
    </w:p>
    <w:p>
      <w:pPr>
        <w:spacing w:after="0" w:line="15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Notwithstanding any other provision of this Plan, all Awards shall be subject to reduction, cancellation, forfeiture or recoupment to the extent necessary to comply with (i) the Company's Compensation Clawback Policy and any other clawback, forfeiture or other similar policy adopted by the Board or the Committee and as in effect from time to time; and (ii) applicable law. Further, unless otherwise determined by the Committee in good faith in its reasonable discretion,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113"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Tax-Related Items</w:t>
      </w:r>
    </w:p>
    <w:p>
      <w:pPr>
        <w:spacing w:after="0" w:line="15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(i) makes no representations or undertakings regarding the treatment of any Tax-Related Items in connection with any aspect of an Award; and (ii) does not commit to and is under no obligation to structure the terms of the grant or any aspect of an Award to reduce or eliminate the Participant’s liability for Tax-Related Items or achieve any particular tax result. Further, if the Participant is subject to Tax-Related Items in more than one jurisdiction, the Company and/or the Participant’s employer (or former employer, as applicable) may be required to withhold or account for Tax-Related Items in more than one jurisdiction.</w:t>
      </w:r>
    </w:p>
    <w:p>
      <w:pPr>
        <w:spacing w:after="0" w:line="1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Except as otherwise expressly in any Award Agreement, to satisfy any withholding obligations of the Company and/or the Participant’s employer with respect to the Tax-Related</w:t>
      </w:r>
    </w:p>
    <w:p>
      <w:pPr>
        <w:sectPr>
          <w:pgSz w:w="11900" w:h="16838" w:orient="portrait"/>
          <w:cols w:equalWidth="0" w:num="1">
            <w:col w:w="11240"/>
          </w:cols>
          <w:pgMar w:left="320" w:top="1422" w:right="339" w:bottom="1440" w:gutter="0" w:footer="0" w:header="0"/>
        </w:sectPr>
      </w:pPr>
    </w:p>
    <w:bookmarkStart w:id="32" w:name="page33"/>
    <w:bookmarkEnd w:id="32"/>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Items, the Company will withhold Shares otherwise issuable upon vesting of the Award. Alternatively, or in addition thereto, 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or to comply with applicable securities laws, as applicable, to satisfy withholding obligations for the payment of Tax-Related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(c) delivery to the Company of previously owned and unencumbered Shares of the Company having a Fair Market Value equal to such Tax-Related Items; or (d) requiring the Participant to tender a cash payment to the Company or an Affiliate in the amount of the Tax-Related Items; provided, however, that if the Participant is a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16</w:t>
      </w:r>
      <w:r>
        <w:rPr>
          <w:rFonts w:ascii="Times New Roman" w:cs="Times New Roman" w:eastAsia="Times New Roman" w:hAnsi="Times New Roman"/>
          <w:sz w:val="21"/>
          <w:szCs w:val="21"/>
          <w:color w:val="auto"/>
        </w:rPr>
        <w:t xml:space="preserve"> officer of the Company under the Exchange Act, the withholding methods described in this </w:t>
      </w:r>
      <w:r>
        <w:rPr>
          <w:rFonts w:ascii="Times New Roman" w:cs="Times New Roman" w:eastAsia="Times New Roman" w:hAnsi="Times New Roman"/>
          <w:sz w:val="21"/>
          <w:szCs w:val="21"/>
          <w:u w:val="single" w:color="auto"/>
          <w:color w:val="auto"/>
        </w:rPr>
        <w:t>Section 20(a)</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0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1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Without limiting the foregoing, the Company shall have no obligation to issue or deliver evidence of title for Shares subject to Awards granted hereunder to any Participant or other Person until the Participant or such other Person has made arrangements acceptable to the Committee in its sole discretion to satisfy the obligations for Tax-Related Items with respect to any taxable or tax withholding event concerning the Participant or the Award or such other person arising as a result of an Award.</w:t>
      </w:r>
    </w:p>
    <w:p>
      <w:pPr>
        <w:spacing w:after="0" w:line="92"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Advice Regarding Grant</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05"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Laws; Government and Other Regulations</w:t>
      </w:r>
    </w:p>
    <w:p>
      <w:pPr>
        <w:spacing w:after="0" w:line="14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The obligation of the Company to make payment of Awards in Shares or otherwise shall be subject to all Applicable Laws, and to such approvals by government agencies, including</w:t>
      </w:r>
    </w:p>
    <w:p>
      <w:pPr>
        <w:sectPr>
          <w:pgSz w:w="11900" w:h="16838" w:orient="portrait"/>
          <w:cols w:equalWidth="0" w:num="1">
            <w:col w:w="11240"/>
          </w:cols>
          <w:pgMar w:left="320" w:top="1422" w:right="339" w:bottom="1440" w:gutter="0" w:footer="0" w:header="0"/>
        </w:sectPr>
      </w:pPr>
    </w:p>
    <w:bookmarkStart w:id="33" w:name="page34"/>
    <w:bookmarkEnd w:id="33"/>
    <w:p>
      <w:pPr>
        <w:jc w:val="both"/>
        <w:spacing w:after="0" w:line="259" w:lineRule="auto"/>
        <w:rPr>
          <w:sz w:val="20"/>
          <w:szCs w:val="20"/>
          <w:color w:val="auto"/>
        </w:rPr>
      </w:pPr>
      <w:r>
        <w:rPr>
          <w:rFonts w:ascii="Times New Roman" w:cs="Times New Roman" w:eastAsia="Times New Roman" w:hAnsi="Times New Roman"/>
          <w:sz w:val="21"/>
          <w:szCs w:val="21"/>
          <w:color w:val="auto"/>
        </w:rPr>
        <w:t>government agencies in jurisdictions outside of the United States, in each case as may be required or as the Company deems necessary or advisable. No Shares will be issued hereunder if such issuance would constitute a violation of any Applicable Law.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 As a condition to any issuance of Shares subject to Awards, the Company may require the Participant to satisfy any qualifications that may be necessary or appropriate to evidence compliance with Applicable Law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w:t>
      </w:r>
    </w:p>
    <w:p>
      <w:pPr>
        <w:spacing w:after="0" w:line="104"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Shareholders Rights</w:t>
      </w:r>
    </w:p>
    <w:p>
      <w:pPr>
        <w:sectPr>
          <w:pgSz w:w="11900" w:h="16838" w:orient="portrait"/>
          <w:cols w:equalWidth="0" w:num="1">
            <w:col w:w="11240"/>
          </w:cols>
          <w:pgMar w:left="320" w:top="1422" w:right="339" w:bottom="1440" w:gutter="0" w:footer="0" w:header="0"/>
        </w:sectPr>
      </w:pPr>
    </w:p>
    <w:bookmarkStart w:id="34" w:name="page35"/>
    <w:bookmarkEnd w:id="34"/>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Except as otherwise expressly provided herein or in any Award Agreement, a Participant shall have none of the rights of a shareholder by virtue of holding or receiving an Award, including no right `to vote or receive dividends, until the Participant or its nominee/broker becomes the record owner of such Shares, notwithstanding the exercise of an Option or Share Appreciation Right or lapse of restrictions with respect to vesting of any Award.</w:t>
      </w:r>
    </w:p>
    <w:p>
      <w:pPr>
        <w:spacing w:after="0" w:line="91"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Unfunded Plan</w:t>
      </w:r>
    </w:p>
    <w:p>
      <w:pPr>
        <w:spacing w:after="0" w:line="1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Plan shall be unfunded. Neither the Company, the Board nor the Committee shall be required to establish any special or separate fund or to segregate any assets to assure the performance of its obligations under the Plan.</w:t>
      </w:r>
    </w:p>
    <w:p>
      <w:pPr>
        <w:spacing w:after="0" w:line="86"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Compensation Arrangements</w:t>
      </w:r>
    </w:p>
    <w:p>
      <w:pPr>
        <w:spacing w:after="0" w:line="1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Nothing contained in this Plan or in any Award Agreement shall prevent the Board from adopting other or additional compensation arrangements, subject to shareholder approval if such approval is required; and such arrangements may be either generally applicable or applicable only in specific cases.</w:t>
      </w:r>
    </w:p>
    <w:p>
      <w:pPr>
        <w:spacing w:after="0" w:line="82"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Relationship to Other Benefits</w:t>
      </w:r>
    </w:p>
    <w:p>
      <w:pPr>
        <w:spacing w:after="0" w:line="1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 payment under the Plan or any Award Agreement shall be taken into account in determining any benefits under any pension, retirement, profit sharing, group insurance or other benefit plan or arrangement or related agreement of the Company, except as otherwise specifically provided in such other plan or arrangement or related agreement.</w:t>
      </w:r>
    </w:p>
    <w:p>
      <w:pPr>
        <w:spacing w:after="0" w:line="82"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Other Agreements</w:t>
      </w:r>
    </w:p>
    <w:p>
      <w:pPr>
        <w:spacing w:after="0" w:line="1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Committee may require, as a condition to the Participant’s participation in the Plan and/or to the grant of and/or the receipt of Shares under an Award, that the Participant execute lock-up, shareholder or other agreements or undertakings, as it may determine in its sole and absolute discretion.</w:t>
      </w:r>
    </w:p>
    <w:p>
      <w:pPr>
        <w:spacing w:after="0" w:line="82"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All notices required or permitted under the Plan and any Award Agreement must be in writing and personally delivered or sent by certified mail, return receipt requested, or by international courier,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07"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Electronic Delivery and Participation</w:t>
      </w:r>
    </w:p>
    <w:p>
      <w:pPr>
        <w:spacing w:after="0" w:line="1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The Company may, in its sole discretion, decide to deliver any documents related to participation in the Plan by electronic means or to request the Participant’s consent to participate in the Plan by electronic means. By receipt of an Award, the Participant consents to receive such documents by electronic delivery and agrees to participate in the Plan through an on-line or</w:t>
      </w:r>
    </w:p>
    <w:p>
      <w:pPr>
        <w:sectPr>
          <w:pgSz w:w="11900" w:h="16838" w:orient="portrait"/>
          <w:cols w:equalWidth="0" w:num="1">
            <w:col w:w="11240"/>
          </w:cols>
          <w:pgMar w:left="320" w:top="142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electronic system established and maintained by the Company or a third party designated by the Company.</w:t>
      </w:r>
    </w:p>
    <w:p>
      <w:pPr>
        <w:spacing w:after="0" w:line="148"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 of Personal Data</w:t>
      </w:r>
    </w:p>
    <w:p>
      <w:pPr>
        <w:spacing w:after="0" w:line="15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22"/>
          <w:szCs w:val="22"/>
          <w:color w:val="auto"/>
        </w:rPr>
        <w:t>A Participant shall be deemed to have authorized, agreed and consented to the transmission by the Company (or any Subsidiary) of any personal data information related to an Award for legitimate business purposes (including, without limitation, the administration of the Plan).</w:t>
      </w:r>
    </w:p>
    <w:p>
      <w:pPr>
        <w:spacing w:after="0" w:line="101"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 Further Assurances</w:t>
      </w:r>
    </w:p>
    <w:p>
      <w:pPr>
        <w:spacing w:after="0" w:line="156" w:lineRule="exact"/>
        <w:rPr>
          <w:sz w:val="20"/>
          <w:szCs w:val="20"/>
          <w:color w:val="auto"/>
        </w:rPr>
      </w:pPr>
    </w:p>
    <w:p>
      <w:pPr>
        <w:jc w:val="both"/>
        <w:ind w:firstLine="405"/>
        <w:spacing w:after="0" w:line="248" w:lineRule="auto"/>
        <w:rPr>
          <w:sz w:val="20"/>
          <w:szCs w:val="20"/>
          <w:color w:val="auto"/>
        </w:rPr>
      </w:pPr>
      <w:r>
        <w:rPr>
          <w:rFonts w:ascii="Times New Roman" w:cs="Times New Roman" w:eastAsia="Times New Roman" w:hAnsi="Times New Roman"/>
          <w:sz w:val="22"/>
          <w:szCs w:val="22"/>
          <w:color w:val="auto"/>
        </w:rPr>
        <w:t>Award Agreements and any other document or agreement required under the Plan may be executed in one or more counterparts, each of which shall be deemed to be an original, but all of which shall constitute one and the same instrument. Counterpart signature pages transmitted by facsimile transmission, by electronic mail in portable document format (.pdf), using electronic signature technology (including, without limitation, DocuSign and AdobeSign) or by any other electronic means intended to preserve the original graphic and pictorial appearance of a document, will have the same effect as physical delivery of the paper document bearing an original signature. Each party to an Award Agreement and any other agreement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such agreement and the Plan and the consummation of the transactions contemplated thereunder.</w:t>
      </w:r>
    </w:p>
    <w:p>
      <w:pPr>
        <w:spacing w:after="0" w:line="114"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Expenses; Gender; Titles and Headings</w:t>
      </w:r>
    </w:p>
    <w:p>
      <w:pPr>
        <w:spacing w:after="0" w:line="15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expenses of administering the Plan shall be borne by the Weatherford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0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 * *</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As adopted by the Board of Directors of the Company and effective as of June 11, 2026 upon approval by the Company’s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shareholders.</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lowerLetter"/>
      <w:start w:val="5"/>
    </w:lvl>
  </w:abstractNum>
  <w:abstractNum w:abstractNumId="2">
    <w:nsid w:val="15B5AF5C"/>
    <w:multiLevelType w:val="hybridMultilevel"/>
    <w:lvl w:ilvl="0">
      <w:lvlJc w:val="left"/>
      <w:lvlText w:val="%1"/>
      <w:numFmt w:val="lowerRoman"/>
      <w:start w:val="1"/>
    </w:lvl>
    <w:lvl w:ilvl="1">
      <w:lvlJc w:val="left"/>
      <w:lvlText w:val="%2."/>
      <w:numFmt w:val="decimal"/>
      <w:start w:val="1"/>
    </w:lvl>
  </w:abstractNum>
  <w:abstractNum w:abstractNumId="3">
    <w:nsid w:val="741226BB"/>
    <w:multiLevelType w:val="hybridMultilevel"/>
    <w:lvl w:ilvl="0">
      <w:lvlJc w:val="left"/>
      <w:lvlText w:val="(%1)"/>
      <w:numFmt w:val="lowerRoman"/>
      <w:start w:val="1"/>
    </w:lvl>
    <w:lvl w:ilvl="1">
      <w:lvlJc w:val="left"/>
      <w:lvlText w:val="%2"/>
      <w:numFmt w:val="decimal"/>
      <w:start w:val="1"/>
    </w:lvl>
  </w:abstractNum>
  <w:abstractNum w:abstractNumId="4">
    <w:nsid w:val="D34B6A8"/>
    <w:multiLevelType w:val="hybridMultilevel"/>
    <w:lvl w:ilvl="0">
      <w:lvlJc w:val="left"/>
      <w:lvlText w:val="%1."/>
      <w:numFmt w:val="decimal"/>
      <w:start w:val="1"/>
    </w:lvl>
  </w:abstractNum>
  <w:abstractNum w:abstractNumId="5">
    <w:nsid w:val="10233C99"/>
    <w:multiLevelType w:val="hybridMultilevel"/>
    <w:lvl w:ilvl="0">
      <w:lvlJc w:val="left"/>
      <w:lvlText w:val="%1."/>
      <w:numFmt w:val="decimal"/>
      <w:start w:val="2"/>
    </w:lvl>
  </w:abstractNum>
  <w:abstractNum w:abstractNumId="6">
    <w:nsid w:val="3F6AB60F"/>
    <w:multiLevelType w:val="hybridMultilevel"/>
    <w:lvl w:ilvl="0">
      <w:lvlJc w:val="left"/>
      <w:lvlText w:val="%1."/>
      <w:numFmt w:val="decimal"/>
      <w:start w:val="3"/>
    </w:lvl>
  </w:abstractNum>
  <w:abstractNum w:abstractNumId="7">
    <w:nsid w:val="61574095"/>
    <w:multiLevelType w:val="hybridMultilevel"/>
    <w:lvl w:ilvl="0">
      <w:lvlJc w:val="left"/>
      <w:lvlText w:val="%1."/>
      <w:numFmt w:val="decimal"/>
      <w:start w:val="4"/>
    </w:lvl>
  </w:abstractNum>
  <w:abstractNum w:abstractNumId="8">
    <w:nsid w:val="7E0C57B1"/>
    <w:multiLevelType w:val="hybridMultilevel"/>
    <w:lvl w:ilvl="0">
      <w:lvlJc w:val="left"/>
      <w:lvlText w:val="%1."/>
      <w:numFmt w:val="decimal"/>
      <w:start w:val="5"/>
    </w:lvl>
  </w:abstractNum>
  <w:abstractNum w:abstractNumId="9">
    <w:nsid w:val="77AE35EB"/>
    <w:multiLevelType w:val="hybridMultilevel"/>
    <w:lvl w:ilvl="0">
      <w:lvlJc w:val="left"/>
      <w:lvlText w:val="%1."/>
      <w:numFmt w:val="decimal"/>
      <w:start w:val="6"/>
    </w:lvl>
  </w:abstractNum>
  <w:abstractNum w:abstractNumId="10">
    <w:nsid w:val="579BE4F1"/>
    <w:multiLevelType w:val="hybridMultilevel"/>
    <w:lvl w:ilvl="0">
      <w:lvlJc w:val="left"/>
      <w:lvlText w:val="%1."/>
      <w:numFmt w:val="decimal"/>
      <w:start w:val="7"/>
    </w:lvl>
  </w:abstractNum>
  <w:abstractNum w:abstractNumId="11">
    <w:nsid w:val="310C50B3"/>
    <w:multiLevelType w:val="hybridMultilevel"/>
    <w:lvl w:ilvl="0">
      <w:lvlJc w:val="left"/>
      <w:lvlText w:val="%1."/>
      <w:numFmt w:val="decimal"/>
      <w:start w:val="8"/>
    </w:lvl>
  </w:abstractNum>
  <w:abstractNum w:abstractNumId="12">
    <w:nsid w:val="5FF87E05"/>
    <w:multiLevelType w:val="hybridMultilevel"/>
    <w:lvl w:ilvl="0">
      <w:lvlJc w:val="left"/>
      <w:lvlText w:val="%1."/>
      <w:numFmt w:val="decimal"/>
      <w:start w:val="9"/>
    </w:lvl>
  </w:abstractNum>
  <w:abstractNum w:abstractNumId="13">
    <w:nsid w:val="2F305DEF"/>
    <w:multiLevelType w:val="hybridMultilevel"/>
    <w:lvl w:ilvl="0">
      <w:lvlJc w:val="left"/>
      <w:lvlText w:val="%1."/>
      <w:numFmt w:val="decimal"/>
      <w:start w:val="10"/>
    </w:lvl>
  </w:abstractNum>
  <w:abstractNum w:abstractNumId="14">
    <w:nsid w:val="25A70BF7"/>
    <w:multiLevelType w:val="hybridMultilevel"/>
    <w:lvl w:ilvl="0">
      <w:lvlJc w:val="left"/>
      <w:lvlText w:val="%1."/>
      <w:numFmt w:val="decimal"/>
      <w:start w:val="11"/>
    </w:lvl>
  </w:abstractNum>
  <w:abstractNum w:abstractNumId="15">
    <w:nsid w:val="1DBABF00"/>
    <w:multiLevelType w:val="hybridMultilevel"/>
    <w:lvl w:ilvl="0">
      <w:lvlJc w:val="left"/>
      <w:lvlText w:val="(%1)"/>
      <w:numFmt w:val="lowerLetter"/>
      <w:start w:val="4"/>
    </w:lvl>
  </w:abstractNum>
  <w:abstractNum w:abstractNumId="16">
    <w:nsid w:val="4AD084E9"/>
    <w:multiLevelType w:val="hybridMultilevel"/>
    <w:lvl w:ilvl="0">
      <w:lvlJc w:val="left"/>
      <w:lvlText w:val="%1."/>
      <w:numFmt w:val="decimal"/>
      <w:start w:val="1"/>
    </w:lvl>
  </w:abstractNum>
  <w:abstractNum w:abstractNumId="17">
    <w:nsid w:val="1F48EAA1"/>
    <w:multiLevelType w:val="hybridMultilevel"/>
    <w:lvl w:ilvl="0">
      <w:lvlJc w:val="left"/>
      <w:lvlText w:val="%1."/>
      <w:numFmt w:val="decimal"/>
      <w:start w:val="2"/>
    </w:lvl>
  </w:abstractNum>
  <w:abstractNum w:abstractNumId="18">
    <w:nsid w:val="1381823A"/>
    <w:multiLevelType w:val="hybridMultilevel"/>
    <w:lvl w:ilvl="0">
      <w:lvlJc w:val="left"/>
      <w:lvlText w:val="(%1)"/>
      <w:numFmt w:val="lowerLetter"/>
      <w:start w:val="1"/>
    </w:lvl>
  </w:abstractNum>
  <w:abstractNum w:abstractNumId="19">
    <w:nsid w:val="5DB70AE5"/>
    <w:multiLevelType w:val="hybridMultilevel"/>
    <w:lvl w:ilvl="0">
      <w:lvlJc w:val="left"/>
      <w:lvlText w:val="(%1)"/>
      <w:numFmt w:val="lowerRoman"/>
      <w:start w:val="1"/>
    </w:lvl>
  </w:abstractNum>
  <w:abstractNum w:abstractNumId="20">
    <w:nsid w:val="100F8FCA"/>
    <w:multiLevelType w:val="hybridMultilevel"/>
    <w:lvl w:ilvl="0">
      <w:lvlJc w:val="left"/>
      <w:lvlText w:val="(%1)"/>
      <w:numFmt w:val="lowerRoman"/>
      <w:start w:val="3"/>
    </w:lvl>
  </w:abstractNum>
  <w:abstractNum w:abstractNumId="21">
    <w:nsid w:val="6590700B"/>
    <w:multiLevelType w:val="hybridMultilevel"/>
    <w:lvl w:ilvl="0">
      <w:lvlJc w:val="left"/>
      <w:lvlText w:val="(%1)"/>
      <w:numFmt w:val="lowerLetter"/>
      <w:start w:val="6"/>
    </w:lvl>
  </w:abstractNum>
  <w:abstractNum w:abstractNumId="22">
    <w:nsid w:val="15014ACB"/>
    <w:multiLevelType w:val="hybridMultilevel"/>
    <w:lvl w:ilvl="0">
      <w:lvlJc w:val="left"/>
      <w:lvlText w:val="(%1)"/>
      <w:numFmt w:val="lowerLetter"/>
      <w:start w:val="12"/>
    </w:lvl>
  </w:abstractNum>
  <w:abstractNum w:abstractNumId="23">
    <w:nsid w:val="5F5E7FD0"/>
    <w:multiLevelType w:val="hybridMultilevel"/>
    <w:lvl w:ilvl="0">
      <w:lvlJc w:val="left"/>
      <w:lvlText w:val="(%1)"/>
      <w:numFmt w:val="lowerRoman"/>
      <w:start w:val="1"/>
    </w:lvl>
  </w:abstractNum>
  <w:abstractNum w:abstractNumId="24">
    <w:nsid w:val="98A3148"/>
    <w:multiLevelType w:val="hybridMultilevel"/>
    <w:lvl w:ilvl="0">
      <w:lvlJc w:val="left"/>
      <w:lvlText w:val="(%1)"/>
      <w:numFmt w:val="lowerRoman"/>
      <w:start w:val="2"/>
    </w:lvl>
  </w:abstractNum>
  <w:abstractNum w:abstractNumId="25">
    <w:nsid w:val="799D0247"/>
    <w:multiLevelType w:val="hybridMultilevel"/>
    <w:lvl w:ilvl="0">
      <w:lvlJc w:val="left"/>
      <w:lvlText w:val="(%1)"/>
      <w:numFmt w:val="lowerLetter"/>
      <w:start w:val="13"/>
    </w:lvl>
  </w:abstractNum>
  <w:abstractNum w:abstractNumId="26">
    <w:nsid w:val="6B94764"/>
    <w:multiLevelType w:val="hybridMultilevel"/>
    <w:lvl w:ilvl="0">
      <w:lvlJc w:val="left"/>
      <w:lvlText w:val="(%1)"/>
      <w:numFmt w:val="lowerLetter"/>
      <w:start w:val="18"/>
    </w:lvl>
  </w:abstractNum>
  <w:abstractNum w:abstractNumId="27">
    <w:nsid w:val="42C296BD"/>
    <w:multiLevelType w:val="hybridMultilevel"/>
    <w:lvl w:ilvl="0">
      <w:lvlJc w:val="left"/>
      <w:lvlText w:val="(%1)"/>
      <w:numFmt w:val="lowerLetter"/>
      <w:start w:val="26"/>
    </w:lvl>
  </w:abstractNum>
  <w:abstractNum w:abstractNumId="28">
    <w:nsid w:val="168E121F"/>
    <w:multiLevelType w:val="hybridMultilevel"/>
    <w:lvl w:ilvl="0">
      <w:lvlJc w:val="left"/>
      <w:lvlText w:val="(%1)"/>
      <w:numFmt w:val="lowerLetter"/>
      <w:start w:val="27"/>
    </w:lvl>
  </w:abstractNum>
  <w:abstractNum w:abstractNumId="29">
    <w:nsid w:val="1EBA5D23"/>
    <w:multiLevelType w:val="hybridMultilevel"/>
    <w:lvl w:ilvl="0">
      <w:lvlJc w:val="left"/>
      <w:lvlText w:val="(%1)"/>
      <w:numFmt w:val="lowerRoman"/>
      <w:start w:val="10"/>
    </w:lvl>
  </w:abstractNum>
  <w:abstractNum w:abstractNumId="30">
    <w:nsid w:val="661E3F1E"/>
    <w:multiLevelType w:val="hybridMultilevel"/>
    <w:lvl w:ilvl="0">
      <w:lvlJc w:val="left"/>
      <w:lvlText w:val="(%1)"/>
      <w:numFmt w:val="lowerRoman"/>
      <w:start w:val="13"/>
    </w:lvl>
  </w:abstractNum>
  <w:abstractNum w:abstractNumId="31">
    <w:nsid w:val="5DC79EA8"/>
    <w:multiLevelType w:val="hybridMultilevel"/>
    <w:lvl w:ilvl="0">
      <w:lvlJc w:val="left"/>
      <w:lvlText w:val="(%1)"/>
      <w:numFmt w:val="lowerRoman"/>
      <w:start w:val="17"/>
    </w:lvl>
  </w:abstractNum>
  <w:abstractNum w:abstractNumId="32">
    <w:nsid w:val="540A471C"/>
    <w:multiLevelType w:val="hybridMultilevel"/>
    <w:lvl w:ilvl="0">
      <w:lvlJc w:val="left"/>
      <w:lvlText w:val="%1."/>
      <w:numFmt w:val="decimal"/>
      <w:start w:val="3"/>
    </w:lvl>
  </w:abstractNum>
  <w:abstractNum w:abstractNumId="33">
    <w:nsid w:val="7BD3EE7B"/>
    <w:multiLevelType w:val="hybridMultilevel"/>
    <w:lvl w:ilvl="0">
      <w:lvlJc w:val="left"/>
      <w:lvlText w:val="(%1)"/>
      <w:numFmt w:val="lowerLetter"/>
      <w:start w:val="2"/>
    </w:lvl>
  </w:abstractNum>
  <w:abstractNum w:abstractNumId="34">
    <w:nsid w:val="51D9C564"/>
    <w:multiLevelType w:val="hybridMultilevel"/>
    <w:lvl w:ilvl="0">
      <w:lvlJc w:val="left"/>
      <w:lvlText w:val="(%1)"/>
      <w:numFmt w:val="lowerLetter"/>
      <w:start w:val="3"/>
    </w:lvl>
  </w:abstractNum>
  <w:abstractNum w:abstractNumId="35">
    <w:nsid w:val="613EFDC5"/>
    <w:multiLevelType w:val="hybridMultilevel"/>
    <w:lvl w:ilvl="0">
      <w:lvlJc w:val="left"/>
      <w:lvlText w:val="(%1)"/>
      <w:numFmt w:val="lowerLetter"/>
      <w:start w:val="61"/>
    </w:lvl>
    <w:lvl w:ilvl="1">
      <w:lvlJc w:val="left"/>
      <w:lvlText w:val="(%2)"/>
      <w:numFmt w:val="lowerLetter"/>
      <w:start w:val="4"/>
    </w:lvl>
  </w:abstractNum>
  <w:abstractNum w:abstractNumId="36">
    <w:nsid w:val="BF72B14"/>
    <w:multiLevelType w:val="hybridMultilevel"/>
    <w:lvl w:ilvl="0">
      <w:lvlJc w:val="left"/>
      <w:lvlText w:val="(%1)"/>
      <w:numFmt w:val="lowerLetter"/>
      <w:start w:val="5"/>
    </w:lvl>
  </w:abstractNum>
  <w:abstractNum w:abstractNumId="37">
    <w:nsid w:val="11447B73"/>
    <w:multiLevelType w:val="hybridMultilevel"/>
    <w:lvl w:ilvl="0">
      <w:lvlJc w:val="left"/>
      <w:lvlText w:val="%1."/>
      <w:numFmt w:val="decimal"/>
      <w:start w:val="4"/>
    </w:lvl>
  </w:abstractNum>
  <w:abstractNum w:abstractNumId="38">
    <w:nsid w:val="42963E5A"/>
    <w:multiLevelType w:val="hybridMultilevel"/>
    <w:lvl w:ilvl="0">
      <w:lvlJc w:val="left"/>
      <w:lvlText w:val="(%1)"/>
      <w:numFmt w:val="lowerLetter"/>
      <w:start w:val="2"/>
    </w:lvl>
  </w:abstractNum>
  <w:abstractNum w:abstractNumId="39">
    <w:nsid w:val="A0382C5"/>
    <w:multiLevelType w:val="hybridMultilevel"/>
    <w:lvl w:ilvl="0">
      <w:lvlJc w:val="left"/>
      <w:lvlText w:val="(%1)"/>
      <w:numFmt w:val="lowerRoman"/>
      <w:start w:val="1"/>
    </w:lvl>
  </w:abstractNum>
  <w:abstractNum w:abstractNumId="40">
    <w:nsid w:val="8F2B15E"/>
    <w:multiLevelType w:val="hybridMultilevel"/>
    <w:lvl w:ilvl="0">
      <w:lvlJc w:val="left"/>
      <w:lvlText w:val="(%1)"/>
      <w:numFmt w:val="lowerLetter"/>
      <w:start w:val="3"/>
    </w:lvl>
  </w:abstractNum>
  <w:abstractNum w:abstractNumId="41">
    <w:nsid w:val="1A32234B"/>
    <w:multiLevelType w:val="hybridMultilevel"/>
    <w:lvl w:ilvl="0">
      <w:lvlJc w:val="left"/>
      <w:lvlText w:val="(%1)"/>
      <w:numFmt w:val="lowerLetter"/>
      <w:start w:val="4"/>
    </w:lvl>
  </w:abstractNum>
  <w:abstractNum w:abstractNumId="42">
    <w:nsid w:val="3B0FD379"/>
    <w:multiLevelType w:val="hybridMultilevel"/>
    <w:lvl w:ilvl="0">
      <w:lvlJc w:val="left"/>
      <w:lvlText w:val="(%1)"/>
      <w:numFmt w:val="lowerLetter"/>
      <w:start w:val="5"/>
    </w:lvl>
  </w:abstractNum>
  <w:abstractNum w:abstractNumId="43">
    <w:nsid w:val="68EB2F63"/>
    <w:multiLevelType w:val="hybridMultilevel"/>
    <w:lvl w:ilvl="0">
      <w:lvlJc w:val="left"/>
      <w:lvlText w:val="%1."/>
      <w:numFmt w:val="decimal"/>
      <w:start w:val="5"/>
    </w:lvl>
  </w:abstractNum>
  <w:abstractNum w:abstractNumId="44">
    <w:nsid w:val="4962813B"/>
    <w:multiLevelType w:val="hybridMultilevel"/>
    <w:lvl w:ilvl="0">
      <w:lvlJc w:val="left"/>
      <w:lvlText w:val="(%1)"/>
      <w:numFmt w:val="lowerLetter"/>
      <w:start w:val="1"/>
    </w:lvl>
  </w:abstractNum>
  <w:abstractNum w:abstractNumId="45">
    <w:nsid w:val="60B6DF70"/>
    <w:multiLevelType w:val="hybridMultilevel"/>
    <w:lvl w:ilvl="0">
      <w:lvlJc w:val="left"/>
      <w:lvlText w:val="(%1)"/>
      <w:numFmt w:val="lowerLetter"/>
      <w:start w:val="2"/>
    </w:lvl>
  </w:abstractNum>
  <w:abstractNum w:abstractNumId="46">
    <w:nsid w:val="6A5EE64"/>
    <w:multiLevelType w:val="hybridMultilevel"/>
    <w:lvl w:ilvl="0">
      <w:lvlJc w:val="left"/>
      <w:lvlText w:val="(%1)"/>
      <w:numFmt w:val="lowerLetter"/>
      <w:start w:val="3"/>
    </w:lvl>
  </w:abstractNum>
  <w:abstractNum w:abstractNumId="47">
    <w:nsid w:val="14330624"/>
    <w:multiLevelType w:val="hybridMultilevel"/>
    <w:lvl w:ilvl="0">
      <w:lvlJc w:val="left"/>
      <w:lvlText w:val="(%1)"/>
      <w:numFmt w:val="lowerLetter"/>
      <w:start w:val="4"/>
    </w:lvl>
  </w:abstractNum>
  <w:abstractNum w:abstractNumId="48">
    <w:nsid w:val="7FFFCA11"/>
    <w:multiLevelType w:val="hybridMultilevel"/>
    <w:lvl w:ilvl="0">
      <w:lvlJc w:val="left"/>
      <w:lvlText w:val="(%1)"/>
      <w:numFmt w:val="lowerLetter"/>
      <w:start w:val="5"/>
    </w:lvl>
  </w:abstractNum>
  <w:abstractNum w:abstractNumId="49">
    <w:nsid w:val="1A27709E"/>
    <w:multiLevelType w:val="hybridMultilevel"/>
    <w:lvl w:ilvl="0">
      <w:lvlJc w:val="left"/>
      <w:lvlText w:val="%1."/>
      <w:numFmt w:val="decimal"/>
      <w:start w:val="6"/>
    </w:lvl>
  </w:abstractNum>
  <w:abstractNum w:abstractNumId="50">
    <w:nsid w:val="71EA1109"/>
    <w:multiLevelType w:val="hybridMultilevel"/>
    <w:lvl w:ilvl="0">
      <w:lvlJc w:val="left"/>
      <w:lvlText w:val="(%1)"/>
      <w:numFmt w:val="lowerLetter"/>
      <w:start w:val="2"/>
    </w:lvl>
  </w:abstractNum>
  <w:abstractNum w:abstractNumId="51">
    <w:nsid w:val="100F59DC"/>
    <w:multiLevelType w:val="hybridMultilevel"/>
    <w:lvl w:ilvl="0">
      <w:lvlJc w:val="left"/>
      <w:lvlText w:val="(%1)"/>
      <w:numFmt w:val="lowerLetter"/>
      <w:start w:val="3"/>
    </w:lvl>
  </w:abstractNum>
  <w:abstractNum w:abstractNumId="52">
    <w:nsid w:val="7FB7E0AA"/>
    <w:multiLevelType w:val="hybridMultilevel"/>
    <w:lvl w:ilvl="0">
      <w:lvlJc w:val="left"/>
      <w:lvlText w:val="(%1)"/>
      <w:numFmt w:val="lowerLetter"/>
      <w:start w:val="4"/>
    </w:lvl>
  </w:abstractNum>
  <w:abstractNum w:abstractNumId="53">
    <w:nsid w:val="6EB5BD4"/>
    <w:multiLevelType w:val="hybridMultilevel"/>
    <w:lvl w:ilvl="0">
      <w:lvlJc w:val="left"/>
      <w:lvlText w:val="(%1)"/>
      <w:numFmt w:val="lowerLetter"/>
      <w:start w:val="5"/>
    </w:lvl>
  </w:abstractNum>
  <w:abstractNum w:abstractNumId="54">
    <w:nsid w:val="6F6DD9AC"/>
    <w:multiLevelType w:val="hybridMultilevel"/>
    <w:lvl w:ilvl="0">
      <w:lvlJc w:val="left"/>
      <w:lvlText w:val="(%1)"/>
      <w:numFmt w:val="lowerLetter"/>
      <w:start w:val="6"/>
    </w:lvl>
  </w:abstractNum>
  <w:abstractNum w:abstractNumId="55">
    <w:nsid w:val="94211F2"/>
    <w:multiLevelType w:val="hybridMultilevel"/>
    <w:lvl w:ilvl="0">
      <w:lvlJc w:val="left"/>
      <w:lvlText w:val="%1."/>
      <w:numFmt w:val="decimal"/>
      <w:start w:val="7"/>
    </w:lvl>
  </w:abstractNum>
  <w:abstractNum w:abstractNumId="56">
    <w:nsid w:val="885E1B"/>
    <w:multiLevelType w:val="hybridMultilevel"/>
    <w:lvl w:ilvl="0">
      <w:lvlJc w:val="left"/>
      <w:lvlText w:val="(%1)"/>
      <w:numFmt w:val="lowerLetter"/>
      <w:start w:val="2"/>
    </w:lvl>
  </w:abstractNum>
  <w:abstractNum w:abstractNumId="57">
    <w:nsid w:val="76272110"/>
    <w:multiLevelType w:val="hybridMultilevel"/>
    <w:lvl w:ilvl="0">
      <w:lvlJc w:val="left"/>
      <w:lvlText w:val="(%1)"/>
      <w:numFmt w:val="lowerLetter"/>
      <w:start w:val="3"/>
    </w:lvl>
  </w:abstractNum>
  <w:abstractNum w:abstractNumId="58">
    <w:nsid w:val="4C04A8AF"/>
    <w:multiLevelType w:val="hybridMultilevel"/>
    <w:lvl w:ilvl="0">
      <w:lvlJc w:val="left"/>
      <w:lvlText w:val="(%1)"/>
      <w:numFmt w:val="lowerLetter"/>
      <w:start w:val="4"/>
    </w:lvl>
  </w:abstractNum>
  <w:abstractNum w:abstractNumId="59">
    <w:nsid w:val="1716703B"/>
    <w:multiLevelType w:val="hybridMultilevel"/>
    <w:lvl w:ilvl="0">
      <w:lvlJc w:val="left"/>
      <w:lvlText w:val="(%1)"/>
      <w:numFmt w:val="lowerLetter"/>
      <w:start w:val="5"/>
    </w:lvl>
  </w:abstractNum>
  <w:abstractNum w:abstractNumId="60">
    <w:nsid w:val="14E17E33"/>
    <w:multiLevelType w:val="hybridMultilevel"/>
    <w:lvl w:ilvl="0">
      <w:lvlJc w:val="left"/>
      <w:lvlText w:val="(%1)"/>
      <w:numFmt w:val="lowerLetter"/>
      <w:start w:val="6"/>
    </w:lvl>
  </w:abstractNum>
  <w:abstractNum w:abstractNumId="61">
    <w:nsid w:val="3222E7CD"/>
    <w:multiLevelType w:val="hybridMultilevel"/>
    <w:lvl w:ilvl="0">
      <w:lvlJc w:val="left"/>
      <w:lvlText w:val="%1."/>
      <w:numFmt w:val="decimal"/>
      <w:start w:val="8"/>
    </w:lvl>
  </w:abstractNum>
  <w:abstractNum w:abstractNumId="62">
    <w:nsid w:val="74DE0EE3"/>
    <w:multiLevelType w:val="hybridMultilevel"/>
    <w:lvl w:ilvl="0">
      <w:lvlJc w:val="left"/>
      <w:lvlText w:val="(%1)"/>
      <w:numFmt w:val="lowerLetter"/>
      <w:start w:val="2"/>
    </w:lvl>
  </w:abstractNum>
  <w:abstractNum w:abstractNumId="63">
    <w:nsid w:val="68EBC550"/>
    <w:multiLevelType w:val="hybridMultilevel"/>
    <w:lvl w:ilvl="0">
      <w:lvlJc w:val="left"/>
      <w:lvlText w:val="(%1)"/>
      <w:numFmt w:val="lowerLetter"/>
      <w:start w:val="3"/>
    </w:lvl>
  </w:abstractNum>
  <w:abstractNum w:abstractNumId="64">
    <w:nsid w:val="2DF6D648"/>
    <w:multiLevelType w:val="hybridMultilevel"/>
    <w:lvl w:ilvl="0">
      <w:lvlJc w:val="left"/>
      <w:lvlText w:val="%1."/>
      <w:numFmt w:val="decimal"/>
      <w:start w:val="9"/>
    </w:lvl>
  </w:abstractNum>
  <w:abstractNum w:abstractNumId="65">
    <w:nsid w:val="46B7D447"/>
    <w:multiLevelType w:val="hybridMultilevel"/>
    <w:lvl w:ilvl="0">
      <w:lvlJc w:val="left"/>
      <w:lvlText w:val="(%1)"/>
      <w:numFmt w:val="lowerLetter"/>
      <w:start w:val="2"/>
    </w:lvl>
  </w:abstractNum>
  <w:abstractNum w:abstractNumId="66">
    <w:nsid w:val="4A2AC315"/>
    <w:multiLevelType w:val="hybridMultilevel"/>
    <w:lvl w:ilvl="0">
      <w:lvlJc w:val="left"/>
      <w:lvlText w:val="(%1)"/>
      <w:numFmt w:val="lowerLetter"/>
      <w:start w:val="3"/>
    </w:lvl>
  </w:abstractNum>
  <w:abstractNum w:abstractNumId="67">
    <w:nsid w:val="39EE015C"/>
    <w:multiLevelType w:val="hybridMultilevel"/>
    <w:lvl w:ilvl="0">
      <w:lvlJc w:val="left"/>
      <w:lvlText w:val="(%1)"/>
      <w:numFmt w:val="lowerLetter"/>
      <w:start w:val="4"/>
    </w:lvl>
  </w:abstractNum>
  <w:abstractNum w:abstractNumId="68">
    <w:nsid w:val="57FC4FBB"/>
    <w:multiLevelType w:val="hybridMultilevel"/>
    <w:lvl w:ilvl="0">
      <w:lvlJc w:val="left"/>
      <w:lvlText w:val="%1."/>
      <w:numFmt w:val="decimal"/>
      <w:start w:val="10"/>
    </w:lvl>
  </w:abstractNum>
  <w:abstractNum w:abstractNumId="69">
    <w:nsid w:val="CC1016F"/>
    <w:multiLevelType w:val="hybridMultilevel"/>
    <w:lvl w:ilvl="0">
      <w:lvlJc w:val="left"/>
      <w:lvlText w:val="(%1)"/>
      <w:numFmt w:val="lowerLetter"/>
      <w:start w:val="2"/>
    </w:lvl>
  </w:abstractNum>
  <w:abstractNum w:abstractNumId="70">
    <w:nsid w:val="43F18422"/>
    <w:multiLevelType w:val="hybridMultilevel"/>
    <w:lvl w:ilvl="0">
      <w:lvlJc w:val="left"/>
      <w:lvlText w:val="(%1)"/>
      <w:numFmt w:val="lowerRoman"/>
      <w:start w:val="1"/>
    </w:lvl>
  </w:abstractNum>
  <w:abstractNum w:abstractNumId="71">
    <w:nsid w:val="60EF0119"/>
    <w:multiLevelType w:val="hybridMultilevel"/>
    <w:lvl w:ilvl="0">
      <w:lvlJc w:val="left"/>
      <w:lvlText w:val="(%1)"/>
      <w:numFmt w:val="lowerLetter"/>
      <w:start w:val="3"/>
    </w:lvl>
  </w:abstractNum>
  <w:abstractNum w:abstractNumId="72">
    <w:nsid w:val="26F324BA"/>
    <w:multiLevelType w:val="hybridMultilevel"/>
    <w:lvl w:ilvl="0">
      <w:lvlJc w:val="left"/>
      <w:lvlText w:val="(%1)"/>
      <w:numFmt w:val="lowerLetter"/>
      <w:start w:val="4"/>
    </w:lvl>
  </w:abstractNum>
  <w:abstractNum w:abstractNumId="73">
    <w:nsid w:val="7F01579B"/>
    <w:multiLevelType w:val="hybridMultilevel"/>
    <w:lvl w:ilvl="0">
      <w:lvlJc w:val="left"/>
      <w:lvlText w:val="(%1)"/>
      <w:numFmt w:val="lowerLetter"/>
      <w:start w:val="5"/>
    </w:lvl>
  </w:abstractNum>
  <w:abstractNum w:abstractNumId="74">
    <w:nsid w:val="49DA307D"/>
    <w:multiLevelType w:val="hybridMultilevel"/>
    <w:lvl w:ilvl="0">
      <w:lvlJc w:val="left"/>
      <w:lvlText w:val="(%1)"/>
      <w:numFmt w:val="lowerLetter"/>
      <w:start w:val="6"/>
    </w:lvl>
  </w:abstractNum>
  <w:abstractNum w:abstractNumId="75">
    <w:nsid w:val="7055A5F5"/>
    <w:multiLevelType w:val="hybridMultilevel"/>
    <w:lvl w:ilvl="0">
      <w:lvlJc w:val="left"/>
      <w:lvlText w:val="(%1)"/>
      <w:numFmt w:val="lowerLetter"/>
      <w:start w:val="7"/>
    </w:lvl>
  </w:abstractNum>
  <w:abstractNum w:abstractNumId="76">
    <w:nsid w:val="5FB8370B"/>
    <w:multiLevelType w:val="hybridMultilevel"/>
    <w:lvl w:ilvl="0">
      <w:lvlJc w:val="left"/>
      <w:lvlText w:val="(%1)"/>
      <w:numFmt w:val="lowerLetter"/>
      <w:start w:val="8"/>
    </w:lvl>
  </w:abstractNum>
  <w:abstractNum w:abstractNumId="77">
    <w:nsid w:val="50801EE1"/>
    <w:multiLevelType w:val="hybridMultilevel"/>
    <w:lvl w:ilvl="0">
      <w:lvlJc w:val="left"/>
      <w:lvlText w:val="(%1)"/>
      <w:numFmt w:val="lowerRoman"/>
      <w:start w:val="1"/>
    </w:lvl>
  </w:abstractNum>
  <w:abstractNum w:abstractNumId="78">
    <w:nsid w:val="488AC1A"/>
    <w:multiLevelType w:val="hybridMultilevel"/>
    <w:lvl w:ilvl="0">
      <w:lvlJc w:val="left"/>
      <w:lvlText w:val="(%1)"/>
      <w:numFmt w:val="lowerLetter"/>
      <w:start w:val="10"/>
    </w:lvl>
  </w:abstractNum>
  <w:abstractNum w:abstractNumId="79">
    <w:nsid w:val="5FB8011C"/>
    <w:multiLevelType w:val="hybridMultilevel"/>
    <w:lvl w:ilvl="0">
      <w:lvlJc w:val="left"/>
      <w:lvlText w:val="(%1)"/>
      <w:numFmt w:val="lowerLetter"/>
      <w:start w:val="11"/>
    </w:lvl>
  </w:abstractNum>
  <w:abstractNum w:abstractNumId="80">
    <w:nsid w:val="6AA78F7F"/>
    <w:multiLevelType w:val="hybridMultilevel"/>
    <w:lvl w:ilvl="0">
      <w:lvlJc w:val="left"/>
      <w:lvlText w:val="(%1)"/>
      <w:numFmt w:val="lowerLetter"/>
      <w:start w:val="12"/>
    </w:lvl>
  </w:abstractNum>
  <w:abstractNum w:abstractNumId="81">
    <w:nsid w:val="7672BD23"/>
    <w:multiLevelType w:val="hybridMultilevel"/>
    <w:lvl w:ilvl="0">
      <w:lvlJc w:val="left"/>
      <w:lvlText w:val="(%1)"/>
      <w:numFmt w:val="lowerLetter"/>
      <w:start w:val="13"/>
    </w:lvl>
  </w:abstractNum>
  <w:abstractNum w:abstractNumId="82">
    <w:nsid w:val="6FC75AF8"/>
    <w:multiLevelType w:val="hybridMultilevel"/>
    <w:lvl w:ilvl="0">
      <w:lvlJc w:val="left"/>
      <w:lvlText w:val="(%1)"/>
      <w:numFmt w:val="lowerRoman"/>
      <w:start w:val="1"/>
    </w:lvl>
  </w:abstractNum>
  <w:abstractNum w:abstractNumId="83">
    <w:nsid w:val="6A5F7029"/>
    <w:multiLevelType w:val="hybridMultilevel"/>
    <w:lvl w:ilvl="0">
      <w:lvlJc w:val="left"/>
      <w:lvlText w:val="(%1)"/>
      <w:numFmt w:val="lowerLetter"/>
      <w:start w:val="14"/>
    </w:lvl>
  </w:abstractNum>
  <w:abstractNum w:abstractNumId="84">
    <w:nsid w:val="7D5E18F8"/>
    <w:multiLevelType w:val="hybridMultilevel"/>
    <w:lvl w:ilvl="0">
      <w:lvlJc w:val="left"/>
      <w:lvlText w:val="(%1)"/>
      <w:numFmt w:val="lowerLetter"/>
      <w:start w:val="15"/>
    </w:lvl>
  </w:abstractNum>
  <w:abstractNum w:abstractNumId="85">
    <w:nsid w:val="5F3534A4"/>
    <w:multiLevelType w:val="hybridMultilevel"/>
    <w:lvl w:ilvl="0">
      <w:lvlJc w:val="left"/>
      <w:lvlText w:val="(%1)"/>
      <w:numFmt w:val="lowerLetter"/>
      <w:start w:val="16"/>
    </w:lvl>
  </w:abstractNum>
  <w:abstractNum w:abstractNumId="86">
    <w:nsid w:val="73A1821B"/>
    <w:multiLevelType w:val="hybridMultilevel"/>
    <w:lvl w:ilvl="0">
      <w:lvlJc w:val="left"/>
      <w:lvlText w:val="%1."/>
      <w:numFmt w:val="decimal"/>
      <w:start w:val="11"/>
    </w:lvl>
  </w:abstractNum>
  <w:abstractNum w:abstractNumId="87">
    <w:nsid w:val="7DE67713"/>
    <w:multiLevelType w:val="hybridMultilevel"/>
    <w:lvl w:ilvl="0">
      <w:lvlJc w:val="left"/>
      <w:lvlText w:val="(%1)"/>
      <w:numFmt w:val="lowerLetter"/>
      <w:start w:val="1"/>
    </w:lvl>
  </w:abstractNum>
  <w:abstractNum w:abstractNumId="88">
    <w:nsid w:val="555C55B5"/>
    <w:multiLevelType w:val="hybridMultilevel"/>
    <w:lvl w:ilvl="0">
      <w:lvlJc w:val="left"/>
      <w:lvlText w:val="(%1)"/>
      <w:numFmt w:val="lowerLetter"/>
      <w:start w:val="2"/>
    </w:lvl>
  </w:abstractNum>
  <w:abstractNum w:abstractNumId="89">
    <w:nsid w:val="3FA62ACA"/>
    <w:multiLevelType w:val="hybridMultilevel"/>
    <w:lvl w:ilvl="0">
      <w:lvlJc w:val="left"/>
      <w:lvlText w:val="(%1)"/>
      <w:numFmt w:val="lowerRoman"/>
      <w:start w:val="1"/>
    </w:lvl>
  </w:abstractNum>
  <w:abstractNum w:abstractNumId="90">
    <w:nsid w:val="14FCE74E"/>
    <w:multiLevelType w:val="hybridMultilevel"/>
    <w:lvl w:ilvl="0">
      <w:lvlJc w:val="left"/>
      <w:lvlText w:val="(%1)"/>
      <w:numFmt w:val="lowerLetter"/>
      <w:start w:val="3"/>
    </w:lvl>
  </w:abstractNum>
  <w:abstractNum w:abstractNumId="91">
    <w:nsid w:val="6A3DD3E8"/>
    <w:multiLevelType w:val="hybridMultilevel"/>
    <w:lvl w:ilvl="0">
      <w:lvlJc w:val="left"/>
      <w:lvlText w:val="(%1)"/>
      <w:numFmt w:val="lowerLetter"/>
      <w:start w:val="4"/>
    </w:lvl>
  </w:abstractNum>
  <w:abstractNum w:abstractNumId="92">
    <w:nsid w:val="71C91298"/>
    <w:multiLevelType w:val="hybridMultilevel"/>
    <w:lvl w:ilvl="0">
      <w:lvlJc w:val="left"/>
      <w:lvlText w:val="(%1)"/>
      <w:numFmt w:val="lowerLetter"/>
      <w:start w:val="5"/>
    </w:lvl>
  </w:abstractNum>
  <w:abstractNum w:abstractNumId="93">
    <w:nsid w:val="9DAF632"/>
    <w:multiLevelType w:val="hybridMultilevel"/>
    <w:lvl w:ilvl="0">
      <w:lvlJc w:val="left"/>
      <w:lvlText w:val="%1."/>
      <w:numFmt w:val="decimal"/>
      <w:start w:val="12"/>
    </w:lvl>
  </w:abstractNum>
  <w:abstractNum w:abstractNumId="94">
    <w:nsid w:val="53299938"/>
    <w:multiLevelType w:val="hybridMultilevel"/>
    <w:lvl w:ilvl="0">
      <w:lvlJc w:val="left"/>
      <w:lvlText w:val="%1."/>
      <w:numFmt w:val="decimal"/>
      <w:start w:val="13"/>
    </w:lvl>
  </w:abstractNum>
  <w:abstractNum w:abstractNumId="95">
    <w:nsid w:val="1FBFE8E0"/>
    <w:multiLevelType w:val="hybridMultilevel"/>
    <w:lvl w:ilvl="0">
      <w:lvlJc w:val="left"/>
      <w:lvlText w:val="%1."/>
      <w:numFmt w:val="decimal"/>
      <w:start w:val="14"/>
    </w:lvl>
  </w:abstractNum>
  <w:abstractNum w:abstractNumId="96">
    <w:nsid w:val="5092CA79"/>
    <w:multiLevelType w:val="hybridMultilevel"/>
    <w:lvl w:ilvl="0">
      <w:lvlJc w:val="left"/>
      <w:lvlText w:val="(%1)"/>
      <w:numFmt w:val="lowerLetter"/>
      <w:start w:val="2"/>
    </w:lvl>
  </w:abstractNum>
  <w:abstractNum w:abstractNumId="97">
    <w:nsid w:val="1D545C4D"/>
    <w:multiLevelType w:val="hybridMultilevel"/>
    <w:lvl w:ilvl="0">
      <w:lvlJc w:val="left"/>
      <w:lvlText w:val="(%1)"/>
      <w:numFmt w:val="lowerLetter"/>
      <w:start w:val="3"/>
    </w:lvl>
  </w:abstractNum>
  <w:abstractNum w:abstractNumId="98">
    <w:nsid w:val="59ADEA3D"/>
    <w:multiLevelType w:val="hybridMultilevel"/>
    <w:lvl w:ilvl="0">
      <w:lvlJc w:val="left"/>
      <w:lvlText w:val="%1."/>
      <w:numFmt w:val="decimal"/>
      <w:start w:val="15"/>
    </w:lvl>
  </w:abstractNum>
  <w:abstractNum w:abstractNumId="99">
    <w:nsid w:val="288F1A34"/>
    <w:multiLevelType w:val="hybridMultilevel"/>
    <w:lvl w:ilvl="0">
      <w:lvlJc w:val="left"/>
      <w:lvlText w:val="%1."/>
      <w:numFmt w:val="decimal"/>
      <w:start w:val="16"/>
    </w:lvl>
  </w:abstractNum>
  <w:abstractNum w:abstractNumId="100">
    <w:nsid w:val="2A155DBC"/>
    <w:multiLevelType w:val="hybridMultilevel"/>
    <w:lvl w:ilvl="0">
      <w:lvlJc w:val="left"/>
      <w:lvlText w:val="%1."/>
      <w:numFmt w:val="decimal"/>
      <w:start w:val="17"/>
    </w:lvl>
  </w:abstractNum>
  <w:abstractNum w:abstractNumId="101">
    <w:nsid w:val="1D9F6E5F"/>
    <w:multiLevelType w:val="hybridMultilevel"/>
    <w:lvl w:ilvl="0">
      <w:lvlJc w:val="left"/>
      <w:lvlText w:val="%1."/>
      <w:numFmt w:val="decimal"/>
      <w:start w:val="18"/>
    </w:lvl>
  </w:abstractNum>
  <w:abstractNum w:abstractNumId="102">
    <w:nsid w:val="97E1B4E"/>
    <w:multiLevelType w:val="hybridMultilevel"/>
    <w:lvl w:ilvl="0">
      <w:lvlJc w:val="left"/>
      <w:lvlText w:val="%1."/>
      <w:numFmt w:val="decimal"/>
      <w:start w:val="19"/>
    </w:lvl>
  </w:abstractNum>
  <w:abstractNum w:abstractNumId="103">
    <w:nsid w:val="51088277"/>
    <w:multiLevelType w:val="hybridMultilevel"/>
    <w:lvl w:ilvl="0">
      <w:lvlJc w:val="left"/>
      <w:lvlText w:val="%1."/>
      <w:numFmt w:val="decimal"/>
      <w:start w:val="20"/>
    </w:lvl>
  </w:abstractNum>
  <w:abstractNum w:abstractNumId="104">
    <w:nsid w:val="1CA0C5FA"/>
    <w:multiLevelType w:val="hybridMultilevel"/>
    <w:lvl w:ilvl="0">
      <w:lvlJc w:val="left"/>
      <w:lvlText w:val="%1."/>
      <w:numFmt w:val="decimal"/>
      <w:start w:val="21"/>
    </w:lvl>
  </w:abstractNum>
  <w:abstractNum w:abstractNumId="105">
    <w:nsid w:val="53584BCB"/>
    <w:multiLevelType w:val="hybridMultilevel"/>
    <w:lvl w:ilvl="0">
      <w:lvlJc w:val="left"/>
      <w:lvlText w:val="%1."/>
      <w:numFmt w:val="decimal"/>
      <w:start w:val="22"/>
    </w:lvl>
  </w:abstractNum>
  <w:abstractNum w:abstractNumId="106">
    <w:nsid w:val="415E286C"/>
    <w:multiLevelType w:val="hybridMultilevel"/>
    <w:lvl w:ilvl="0">
      <w:lvlJc w:val="left"/>
      <w:lvlText w:val="%1."/>
      <w:numFmt w:val="decimal"/>
      <w:start w:val="23"/>
    </w:lvl>
  </w:abstractNum>
  <w:abstractNum w:abstractNumId="107">
    <w:nsid w:val="7C58FD05"/>
    <w:multiLevelType w:val="hybridMultilevel"/>
    <w:lvl w:ilvl="0">
      <w:lvlJc w:val="left"/>
      <w:lvlText w:val="%1."/>
      <w:numFmt w:val="decimal"/>
      <w:start w:val="24"/>
    </w:lvl>
  </w:abstractNum>
  <w:abstractNum w:abstractNumId="108">
    <w:nsid w:val="23D86AAC"/>
    <w:multiLevelType w:val="hybridMultilevel"/>
    <w:lvl w:ilvl="0">
      <w:lvlJc w:val="left"/>
      <w:lvlText w:val="%1."/>
      <w:numFmt w:val="decimal"/>
      <w:start w:val="25"/>
    </w:lvl>
  </w:abstractNum>
  <w:abstractNum w:abstractNumId="109">
    <w:nsid w:val="45E6D486"/>
    <w:multiLevelType w:val="hybridMultilevel"/>
    <w:lvl w:ilvl="0">
      <w:lvlJc w:val="left"/>
      <w:lvlText w:val="%1."/>
      <w:numFmt w:val="decimal"/>
      <w:start w:val="26"/>
    </w:lvl>
  </w:abstractNum>
  <w:abstractNum w:abstractNumId="110">
    <w:nsid w:val="5C10FE21"/>
    <w:multiLevelType w:val="hybridMultilevel"/>
    <w:lvl w:ilvl="0">
      <w:lvlJc w:val="left"/>
      <w:lvlText w:val="%1."/>
      <w:numFmt w:val="decimal"/>
      <w:start w:val="27"/>
    </w:lvl>
  </w:abstractNum>
  <w:abstractNum w:abstractNumId="111">
    <w:nsid w:val="E7FFA2B"/>
    <w:multiLevelType w:val="hybridMultilevel"/>
    <w:lvl w:ilvl="0">
      <w:lvlJc w:val="left"/>
      <w:lvlText w:val="%1."/>
      <w:numFmt w:val="decimal"/>
      <w:start w:val="28"/>
    </w:lvl>
  </w:abstractNum>
  <w:abstractNum w:abstractNumId="112">
    <w:nsid w:val="3C5991AA"/>
    <w:multiLevelType w:val="hybridMultilevel"/>
    <w:lvl w:ilvl="0">
      <w:lvlJc w:val="left"/>
      <w:lvlText w:val="%1."/>
      <w:numFmt w:val="decimal"/>
      <w:start w:val="29"/>
    </w:lvl>
  </w:abstractNum>
  <w:abstractNum w:abstractNumId="113">
    <w:nsid w:val="4BD8591A"/>
    <w:multiLevelType w:val="hybridMultilevel"/>
    <w:lvl w:ilvl="0">
      <w:lvlJc w:val="left"/>
      <w:lvlText w:val="%1."/>
      <w:numFmt w:val="decimal"/>
      <w:start w:val="30"/>
    </w:lvl>
  </w:abstractNum>
  <w:abstractNum w:abstractNumId="114">
    <w:nsid w:val="78DF6A55"/>
    <w:multiLevelType w:val="hybridMultilevel"/>
    <w:lvl w:ilvl="0">
      <w:lvlJc w:val="left"/>
      <w:lvlText w:val="%1."/>
      <w:numFmt w:val="decimal"/>
      <w:start w:val="31"/>
    </w:lvl>
  </w:abstractNum>
  <w:abstractNum w:abstractNumId="115">
    <w:nsid w:val="39B7AAA2"/>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2026-06-11T15:37:43Z</dcterms:created>
  <dcterms:modified xsi:type="dcterms:W3CDTF">2026-06-11T15:37:43Z</dcterms:modified>
</cp:coreProperties>
</file>