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13,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203200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228600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6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 Texas</w:t>
            </w:r>
          </w:p>
        </w:tc>
        <w:tc>
          <w:tcPr>
            <w:tcW w:w="36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331" w:lineRule="exact"/>
        <w:rPr>
          <w:sz w:val="24"/>
          <w:szCs w:val="24"/>
          <w:color w:val="auto"/>
        </w:rPr>
      </w:pPr>
    </w:p>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WEATHERFORD INTERNATIONAL PLC FOURTH AMENDED AND RESTATED 2019 EQUITY INCENTIVE PLAN </w:t>
      </w:r>
      <w:r>
        <w:rPr>
          <w:rFonts w:ascii="Times New Roman" w:cs="Times New Roman" w:eastAsia="Times New Roman" w:hAnsi="Times New Roman"/>
          <w:sz w:val="18"/>
          <w:szCs w:val="18"/>
          <w:color w:val="auto"/>
        </w:rPr>
        <w:t>(Full title of the plan)</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C. Weatherholt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Chief Compliance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St. James Place, Houston, Texas 77056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copy to:</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Jonathan B. Newton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1100 Louisiana Street, Suite 4100, 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(713) 751-3200</w:t>
      </w:r>
    </w:p>
    <w:p>
      <w:pPr>
        <w:spacing w:after="0" w:line="234"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1"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202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tc>
        <w:tc>
          <w:tcPr>
            <w:tcW w:w="1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Accelerated filer</w:t>
            </w:r>
          </w:p>
        </w:tc>
        <w:tc>
          <w:tcPr>
            <w:tcW w:w="2600" w:type="dxa"/>
            <w:vAlign w:val="bottom"/>
            <w:vMerge w:val="restart"/>
          </w:tcPr>
          <w:p>
            <w:pPr>
              <w:ind w:left="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w:t>
            </w:r>
          </w:p>
        </w:tc>
        <w:tc>
          <w:tcPr>
            <w:tcW w:w="74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vMerge w:val="restart"/>
          </w:tcPr>
          <w:p>
            <w:pPr>
              <w:ind w:left="4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35"/>
        </w:trPr>
        <w:tc>
          <w:tcPr>
            <w:tcW w:w="202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260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company</w:t>
            </w:r>
          </w:p>
        </w:tc>
        <w:tc>
          <w:tcPr>
            <w:tcW w:w="740" w:type="dxa"/>
            <w:vAlign w:val="bottom"/>
            <w:vMerge w:val="continue"/>
          </w:tcPr>
          <w:p>
            <w:pPr>
              <w:spacing w:after="0"/>
              <w:rPr>
                <w:sz w:val="20"/>
                <w:szCs w:val="20"/>
                <w:color w:val="auto"/>
              </w:rPr>
            </w:pPr>
          </w:p>
        </w:tc>
        <w:tc>
          <w:tcPr>
            <w:tcW w:w="2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This Registration Statement is being filed to register 2,656,146 ordinary shares of Weatherford International plc (the “Registrant”) that may be issued pursuant to the Fourth Amended and Restated 2019 Equity Incentive Plan. The ordinary shares are of the same class and relate to the same equity incentive plan as those registered pursuant to the Registrant’s registration statements on Form S-8, previously filed with the Securities and Exchange Commission (the “Commission”) on June 4, 2021 (No. 333-256809) (the “Prior Registration Statement”). Pursuant to General Instruction E to Form S-8, the contents of the Prior Registration Statement are incorporated herein by reference to the extent not supplemented, amended or superseded by the information set forth in this Registration Statement.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in this Registration Statement by reference and shall be deemed to be a part hereof:</w:t>
      </w:r>
    </w:p>
    <w:p>
      <w:pPr>
        <w:spacing w:after="0" w:line="54"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1">
        <w:r>
          <w:rPr>
            <w:rFonts w:ascii="Times New Roman" w:cs="Times New Roman" w:eastAsia="Times New Roman" w:hAnsi="Times New Roman"/>
            <w:sz w:val="18"/>
            <w:szCs w:val="18"/>
            <w:color w:val="auto"/>
          </w:rPr>
          <w:t>Annual Report on Form 10-K for the year ended December 31, 2024, as filed with the Commission on February 6, 2025;</w:t>
        </w:r>
      </w:hyperlink>
    </w:p>
    <w:p>
      <w:pPr>
        <w:spacing w:after="0" w:line="117"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75" w:val="left"/>
        </w:tabs>
        <w:numPr>
          <w:ilvl w:val="0"/>
          <w:numId w:val="1"/>
        </w:numPr>
        <w:rPr>
          <w:rFonts w:ascii="Times New Roman" w:cs="Times New Roman" w:eastAsia="Times New Roman" w:hAnsi="Times New Roman"/>
          <w:sz w:val="18"/>
          <w:szCs w:val="18"/>
          <w:color w:val="auto"/>
        </w:rPr>
      </w:pPr>
      <w:hyperlink r:id="rId12">
        <w:r>
          <w:rPr>
            <w:rFonts w:ascii="Times New Roman" w:cs="Times New Roman" w:eastAsia="Times New Roman" w:hAnsi="Times New Roman"/>
            <w:sz w:val="18"/>
            <w:szCs w:val="18"/>
            <w:color w:val="auto"/>
          </w:rPr>
          <w:t>the description of the Registrant’s ordinary shares contained in its Registration Statement on Form 10, as filed with the SEC on March 29,</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color w:val="auto"/>
          </w:rPr>
          <w:t>2021, as updated by Exhibit 4.1 to the Registrant's Annual Report on Form 10-K for the year ended December 31, 2024, as filed with the</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color w:val="auto"/>
          </w:rPr>
          <w:t>Commission on February 6, 2025, and any amendment or report filed with the SEC for the purpose of updating such description; and</w:t>
        </w:r>
      </w:hyperlink>
    </w:p>
    <w:p>
      <w:pPr>
        <w:spacing w:after="0" w:line="6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Securities Exchange Act of 1934, as amended (the “Exchange Act”) (except that any portions thereof which are furnished and not filed shall not be deemed incorporated) since the end of the fiscal year covered by the Registrant’s Annual Report on Form 10-K for the fiscal year ended December 31, 2024.</w:t>
      </w:r>
    </w:p>
    <w:p>
      <w:pPr>
        <w:spacing w:after="0" w:line="68" w:lineRule="exact"/>
        <w:rPr>
          <w:rFonts w:ascii="Times New Roman" w:cs="Times New Roman" w:eastAsia="Times New Roman" w:hAnsi="Times New Roman"/>
          <w:sz w:val="18"/>
          <w:szCs w:val="18"/>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All other documents subsequently filed by the Registrant with the Commission pursuant to Sections 13(a), 13(c), 14 and 15(d) of the Exchange Act subsequent to the date of this Registration Statement and prior to the filing of any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(except that any portions thereof which are furnished and not filed shall not be deemed incorporated).</w:t>
      </w:r>
    </w:p>
    <w:p>
      <w:pPr>
        <w:spacing w:after="0" w:line="75" w:lineRule="exact"/>
        <w:rPr>
          <w:rFonts w:ascii="Times New Roman" w:cs="Times New Roman" w:eastAsia="Times New Roman" w:hAnsi="Times New Roman"/>
          <w:sz w:val="18"/>
          <w:szCs w:val="18"/>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is also incorporated by reference herein modifies or supersedes such statement. Any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00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32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9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32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63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8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6320" w:type="dxa"/>
            <w:vAlign w:val="bottom"/>
          </w:tcPr>
          <w:p>
            <w:pPr>
              <w:ind w:left="140"/>
              <w:spacing w:after="0" w:line="182" w:lineRule="exact"/>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Amended and Restated Memorandum and Articles of Association of Weatherford</w:t>
              </w:r>
            </w:hyperlink>
          </w:p>
        </w:tc>
        <w:tc>
          <w:tcPr>
            <w:tcW w:w="23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Exhibit 3.1 of the</w:t>
            </w:r>
          </w:p>
        </w:tc>
        <w:tc>
          <w:tcPr>
            <w:tcW w:w="1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No. 1-36504</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20" w:type="dxa"/>
            <w:vAlign w:val="bottom"/>
          </w:tcPr>
          <w:p>
            <w:pPr>
              <w:ind w:left="140"/>
              <w:spacing w:after="0" w:line="176" w:lineRule="exact"/>
              <w:rPr>
                <w:rFonts w:ascii="Times New Roman" w:cs="Times New Roman" w:eastAsia="Times New Roman" w:hAnsi="Times New Roman"/>
                <w:sz w:val="18"/>
                <w:szCs w:val="18"/>
                <w:color w:val="auto"/>
              </w:rPr>
            </w:pPr>
            <w:hyperlink r:id="rId14">
              <w:r>
                <w:rPr>
                  <w:rFonts w:ascii="Times New Roman" w:cs="Times New Roman" w:eastAsia="Times New Roman" w:hAnsi="Times New Roman"/>
                  <w:sz w:val="18"/>
                  <w:szCs w:val="18"/>
                  <w:color w:val="auto"/>
                </w:rPr>
                <w:t>International plc</w:t>
              </w:r>
            </w:hyperlink>
          </w:p>
        </w:tc>
        <w:tc>
          <w:tcPr>
            <w:tcW w:w="23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Registrant’s Current Report</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3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on Form 8-K filed on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Opinion of Matheson LLP regarding the legality of Ordinary Shares being registered</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18, 2019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5.1*</w:t>
            </w:r>
          </w:p>
        </w:tc>
        <w:tc>
          <w:tcPr>
            <w:tcW w:w="6320" w:type="dxa"/>
            <w:vAlign w:val="bottom"/>
            <w:vMerge w:val="continue"/>
          </w:tcPr>
          <w:p>
            <w:pPr>
              <w:spacing w:after="0"/>
              <w:rPr>
                <w:sz w:val="20"/>
                <w:szCs w:val="20"/>
                <w:color w:val="auto"/>
              </w:rPr>
            </w:pPr>
          </w:p>
        </w:tc>
        <w:tc>
          <w:tcPr>
            <w:tcW w:w="2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23.1*</w:t>
            </w: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KPMG LLP</w:t>
            </w:r>
          </w:p>
        </w:tc>
        <w:tc>
          <w:tcPr>
            <w:tcW w:w="2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23.2*</w:t>
            </w:r>
          </w:p>
        </w:tc>
        <w:tc>
          <w:tcPr>
            <w:tcW w:w="6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Matheson LLP (included in Exhibit 5.1)</w:t>
            </w:r>
          </w:p>
        </w:tc>
        <w:tc>
          <w:tcPr>
            <w:tcW w:w="2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24.1*</w:t>
            </w:r>
          </w:p>
        </w:tc>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Powers of Attorney (included on the signature pages to this Registration Statement)</w:t>
            </w:r>
          </w:p>
        </w:tc>
        <w:tc>
          <w:tcPr>
            <w:tcW w:w="2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99.1</w:t>
            </w:r>
          </w:p>
        </w:tc>
        <w:tc>
          <w:tcPr>
            <w:tcW w:w="6320" w:type="dxa"/>
            <w:vAlign w:val="bottom"/>
          </w:tcPr>
          <w:p>
            <w:pPr>
              <w:ind w:left="140"/>
              <w:spacing w:after="0"/>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Weatherford International plc Fourth Amended and Restated 2019 Equity Incentive</w:t>
              </w:r>
            </w:hyperlink>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10.1 of the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1-36504</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20" w:type="dxa"/>
            <w:vAlign w:val="bottom"/>
          </w:tcPr>
          <w:p>
            <w:pPr>
              <w:ind w:left="140"/>
              <w:spacing w:after="0" w:line="181" w:lineRule="exact"/>
              <w:rPr>
                <w:rFonts w:ascii="Times New Roman" w:cs="Times New Roman" w:eastAsia="Times New Roman" w:hAnsi="Times New Roman"/>
                <w:sz w:val="18"/>
                <w:szCs w:val="18"/>
                <w:color w:val="auto"/>
              </w:rPr>
            </w:pPr>
            <w:hyperlink r:id="rId15">
              <w:r>
                <w:rPr>
                  <w:rFonts w:ascii="Times New Roman" w:cs="Times New Roman" w:eastAsia="Times New Roman" w:hAnsi="Times New Roman"/>
                  <w:sz w:val="18"/>
                  <w:szCs w:val="18"/>
                  <w:color w:val="auto"/>
                </w:rPr>
                <w:t>Plan</w:t>
              </w:r>
            </w:hyperlink>
          </w:p>
        </w:tc>
        <w:tc>
          <w:tcPr>
            <w:tcW w:w="23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Registrant's Current Report</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3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on Form 8-K filed on June</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Filing Fee Table</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13, 2025</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107*</w:t>
            </w:r>
          </w:p>
        </w:tc>
        <w:tc>
          <w:tcPr>
            <w:tcW w:w="6320" w:type="dxa"/>
            <w:vAlign w:val="bottom"/>
            <w:vMerge w:val="continue"/>
          </w:tcPr>
          <w:p>
            <w:pPr>
              <w:spacing w:after="0"/>
              <w:rPr>
                <w:sz w:val="20"/>
                <w:szCs w:val="20"/>
                <w:color w:val="auto"/>
              </w:rPr>
            </w:pPr>
          </w:p>
        </w:tc>
        <w:tc>
          <w:tcPr>
            <w:tcW w:w="2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with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16"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June 13, 2025.</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34290</wp:posOffset>
            </wp:positionV>
            <wp:extent cx="3240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Girishchandra K. Saligram, Scott C. Weatherholt and Beth Ann Dranguet and each of them (with full power to act alone), as his or her true and lawful attorneys-in-fact and agents, with full power of substitution and re-substitution, for him or her in his or her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indicated on June 13, 2025.</w:t>
      </w:r>
    </w:p>
    <w:p>
      <w:pPr>
        <w:spacing w:after="0" w:line="333" w:lineRule="exact"/>
        <w:rPr>
          <w:sz w:val="20"/>
          <w:szCs w:val="20"/>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Girishchandra K. Saligram</w:t>
      </w:r>
    </w:p>
    <w:p>
      <w:pPr>
        <w:ind w:left="4740"/>
        <w:spacing w:after="0" w:line="187" w:lineRule="auto"/>
        <w:rPr>
          <w:sz w:val="20"/>
          <w:szCs w:val="20"/>
          <w:color w:val="auto"/>
        </w:rPr>
      </w:pPr>
      <w:r>
        <w:rPr>
          <w:rFonts w:ascii="Times New Roman" w:cs="Times New Roman" w:eastAsia="Times New Roman" w:hAnsi="Times New Roman"/>
          <w:sz w:val="15"/>
          <w:szCs w:val="15"/>
          <w:color w:val="auto"/>
        </w:rPr>
        <w:t>President, Chief Executive Officer 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Anuj Dhruv</w:t>
      </w:r>
    </w:p>
    <w:p>
      <w:pPr>
        <w:ind w:left="4740"/>
        <w:spacing w:after="0" w:line="187" w:lineRule="auto"/>
        <w:rPr>
          <w:sz w:val="20"/>
          <w:szCs w:val="20"/>
          <w:color w:val="auto"/>
        </w:rPr>
      </w:pPr>
      <w:r>
        <w:rPr>
          <w:rFonts w:ascii="Times New Roman" w:cs="Times New Roman" w:eastAsia="Times New Roman" w:hAnsi="Times New Roman"/>
          <w:sz w:val="15"/>
          <w:szCs w:val="15"/>
          <w:color w:val="auto"/>
        </w:rPr>
        <w:t>Executive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ANUJ DHRUV</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Desmond Mills</w:t>
      </w:r>
    </w:p>
    <w:p>
      <w:pPr>
        <w:ind w:left="4740"/>
        <w:spacing w:after="0" w:line="187" w:lineRule="auto"/>
        <w:rPr>
          <w:sz w:val="20"/>
          <w:szCs w:val="20"/>
          <w:color w:val="auto"/>
        </w:rPr>
      </w:pPr>
      <w:r>
        <w:rPr>
          <w:rFonts w:ascii="Times New Roman" w:cs="Times New Roman" w:eastAsia="Times New Roman" w:hAnsi="Times New Roman"/>
          <w:sz w:val="15"/>
          <w:szCs w:val="15"/>
          <w:color w:val="auto"/>
        </w:rPr>
        <w:t>Vice President and Chief Accounting Officer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DESMOND MILLS</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Charles M. Sledge</w:t>
      </w:r>
    </w:p>
    <w:p>
      <w:pPr>
        <w:ind w:left="4740"/>
        <w:spacing w:after="0" w:line="187" w:lineRule="auto"/>
        <w:rPr>
          <w:sz w:val="20"/>
          <w:szCs w:val="20"/>
          <w:color w:val="auto"/>
        </w:rPr>
      </w:pPr>
      <w:r>
        <w:rPr>
          <w:rFonts w:ascii="Times New Roman" w:cs="Times New Roman" w:eastAsia="Times New Roman" w:hAnsi="Times New Roman"/>
          <w:sz w:val="15"/>
          <w:szCs w:val="15"/>
          <w:color w:val="auto"/>
        </w:rPr>
        <w:t>Chairman of the Board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CHARLES M. SLEDGE</w:t>
      </w:r>
    </w:p>
    <w:p>
      <w:pPr>
        <w:spacing w:after="0" w:line="1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Steven Beringhause</w:t>
      </w:r>
    </w:p>
    <w:p>
      <w:pPr>
        <w:ind w:left="4740"/>
        <w:spacing w:after="0" w:line="187" w:lineRule="auto"/>
        <w:rPr>
          <w:sz w:val="20"/>
          <w:szCs w:val="20"/>
          <w:color w:val="auto"/>
        </w:rPr>
      </w:pPr>
      <w:r>
        <w:rPr>
          <w:rFonts w:ascii="Times New Roman" w:cs="Times New Roman" w:eastAsia="Times New Roman" w:hAnsi="Times New Roman"/>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STEVEN BERINGHAUSE</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Benjamin C. Duster IV</w:t>
      </w:r>
    </w:p>
    <w:p>
      <w:pPr>
        <w:ind w:left="4740"/>
        <w:spacing w:after="0" w:line="203" w:lineRule="auto"/>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-43180</wp:posOffset>
            </wp:positionV>
            <wp:extent cx="2888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BENJAMIN C. DUSTER IV</w:t>
      </w:r>
    </w:p>
    <w:p>
      <w:pPr>
        <w:sectPr>
          <w:pgSz w:w="11900" w:h="16838" w:orient="portrait"/>
          <w:cols w:equalWidth="0" w:num="1">
            <w:col w:w="11200"/>
          </w:cols>
          <w:pgMar w:left="320" w:top="1008" w:right="37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color w:val="auto"/>
        </w:rPr>
        <w:t>/s/ Neal P. Goldman</w:t>
      </w:r>
    </w:p>
    <w:p>
      <w:pPr>
        <w:ind w:left="4740"/>
        <w:spacing w:after="0" w:line="187" w:lineRule="auto"/>
        <w:rPr>
          <w:sz w:val="20"/>
          <w:szCs w:val="20"/>
          <w:color w:val="auto"/>
        </w:rPr>
      </w:pPr>
      <w:r>
        <w:rPr>
          <w:rFonts w:ascii="Times New Roman" w:cs="Times New Roman" w:eastAsia="Times New Roman" w:hAnsi="Times New Roman"/>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NEAL P. GOLDMAN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Jacqueline C. Mutschler</w:t>
      </w:r>
    </w:p>
    <w:p>
      <w:pPr>
        <w:ind w:left="4740"/>
        <w:spacing w:after="0" w:line="187" w:lineRule="auto"/>
        <w:rPr>
          <w:sz w:val="20"/>
          <w:szCs w:val="20"/>
          <w:color w:val="auto"/>
        </w:rPr>
      </w:pPr>
      <w:r>
        <w:rPr>
          <w:rFonts w:ascii="Times New Roman" w:cs="Times New Roman" w:eastAsia="Times New Roman" w:hAnsi="Times New Roman"/>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88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JACQUELINE C. MUTSCHLER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this Registration Statement has been signed by the following person solely in the capacity of the duly authorized representative of Weatherford International plc in the United States on the date indicated.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C. Weatherholt</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Authorized U.S. Representative</w:t>
            </w:r>
          </w:p>
        </w:tc>
        <w:tc>
          <w:tcPr>
            <w:tcW w:w="21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w w:val="97"/>
              </w:rPr>
              <w:t>June 13, 2025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SCOTT C. WEATHERHOLT</w:t>
            </w:r>
          </w:p>
        </w:tc>
        <w:tc>
          <w:tcPr>
            <w:tcW w:w="360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8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1014" w:right="6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jc w:val="right"/>
        <w:spacing w:after="0" w:line="219" w:lineRule="auto"/>
        <w:rPr>
          <w:sz w:val="20"/>
          <w:szCs w:val="20"/>
          <w:color w:val="auto"/>
        </w:rPr>
      </w:pPr>
      <w:r>
        <w:rPr>
          <w:rFonts w:ascii="Times New Roman" w:cs="Times New Roman" w:eastAsia="Times New Roman" w:hAnsi="Times New Roman"/>
          <w:sz w:val="18"/>
          <w:szCs w:val="18"/>
          <w:b w:val="1"/>
          <w:bCs w:val="1"/>
          <w:color w:val="auto"/>
        </w:rPr>
        <w:t>EX-FILING FEES</w:t>
      </w: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S-8</w:t>
      </w: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5180"/>
        <w:spacing w:after="0" w:line="221" w:lineRule="auto"/>
        <w:rPr>
          <w:sz w:val="20"/>
          <w:szCs w:val="20"/>
          <w:color w:val="auto"/>
        </w:rPr>
      </w:pPr>
      <w:r>
        <w:rPr>
          <w:rFonts w:ascii="Times New Roman" w:cs="Times New Roman" w:eastAsia="Times New Roman" w:hAnsi="Times New Roman"/>
          <w:sz w:val="14"/>
          <w:szCs w:val="14"/>
          <w:b w:val="1"/>
          <w:bCs w:val="1"/>
          <w:color w:val="auto"/>
        </w:rPr>
        <w:t>Maximum</w:t>
      </w:r>
    </w:p>
    <w:tbl>
      <w:tblPr>
        <w:tblLayout w:type="fixed"/>
        <w:tblInd w:w="20" w:type="dxa"/>
        <w:tblCellMar>
          <w:top w:w="0" w:type="dxa"/>
          <w:left w:w="0" w:type="dxa"/>
          <w:bottom w:w="0" w:type="dxa"/>
          <w:right w:w="0" w:type="dxa"/>
        </w:tblCellMar>
      </w:tblPr>
      <w:tr>
        <w:trPr>
          <w:trHeight w:val="128"/>
        </w:trPr>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Fee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860" w:type="dxa"/>
            <w:vAlign w:val="bottom"/>
          </w:tcPr>
          <w:p>
            <w:pPr>
              <w:jc w:val="center"/>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460" w:type="dxa"/>
            <w:vAlign w:val="bottom"/>
          </w:tcPr>
          <w:p>
            <w:pPr>
              <w:spacing w:after="0"/>
              <w:rPr>
                <w:sz w:val="4"/>
                <w:szCs w:val="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Calculation</w:t>
            </w:r>
          </w:p>
        </w:tc>
        <w:tc>
          <w:tcPr>
            <w:tcW w:w="8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300" w:type="dxa"/>
            <w:vAlign w:val="bottom"/>
          </w:tcPr>
          <w:p>
            <w:pPr>
              <w:spacing w:after="0"/>
              <w:rPr>
                <w:sz w:val="4"/>
                <w:szCs w:val="4"/>
                <w:color w:val="auto"/>
              </w:rPr>
            </w:pPr>
          </w:p>
        </w:tc>
        <w:tc>
          <w:tcPr>
            <w:tcW w:w="17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92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2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2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460" w:type="dxa"/>
            <w:vAlign w:val="bottom"/>
            <w:vMerge w:val="continue"/>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Rule</w:t>
            </w:r>
          </w:p>
        </w:tc>
        <w:tc>
          <w:tcPr>
            <w:tcW w:w="8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220" w:type="dxa"/>
            <w:vAlign w:val="bottom"/>
          </w:tcPr>
          <w:p>
            <w:pPr>
              <w:spacing w:after="0"/>
              <w:rPr>
                <w:sz w:val="13"/>
                <w:szCs w:val="13"/>
                <w:color w:val="auto"/>
              </w:rPr>
            </w:pPr>
          </w:p>
        </w:tc>
        <w:tc>
          <w:tcPr>
            <w:tcW w:w="860" w:type="dxa"/>
            <w:vAlign w:val="bottom"/>
          </w:tcPr>
          <w:p>
            <w:pPr>
              <w:jc w:val="center"/>
              <w:ind w:right="128"/>
              <w:spacing w:after="0" w:line="153"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9"/>
                <w:szCs w:val="9"/>
                <w:b w:val="1"/>
                <w:bCs w:val="1"/>
                <w:color w:val="auto"/>
              </w:rPr>
              <w:t>(2)</w:t>
            </w:r>
          </w:p>
        </w:tc>
        <w:tc>
          <w:tcPr>
            <w:tcW w:w="300" w:type="dxa"/>
            <w:vAlign w:val="bottom"/>
          </w:tcPr>
          <w:p>
            <w:pPr>
              <w:spacing w:after="0"/>
              <w:rPr>
                <w:sz w:val="13"/>
                <w:szCs w:val="13"/>
                <w:color w:val="auto"/>
              </w:rPr>
            </w:pPr>
          </w:p>
        </w:tc>
        <w:tc>
          <w:tcPr>
            <w:tcW w:w="1760" w:type="dxa"/>
            <w:vAlign w:val="bottom"/>
          </w:tcPr>
          <w:p>
            <w:pPr>
              <w:jc w:val="center"/>
              <w:ind w:right="108"/>
              <w:spacing w:after="0" w:line="153"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2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4"/>
        </w:trPr>
        <w:tc>
          <w:tcPr>
            <w:tcW w:w="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Fees to Be</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Equity</w:t>
            </w:r>
          </w:p>
        </w:tc>
        <w:tc>
          <w:tcPr>
            <w:tcW w:w="14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Ordinary shares,</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Paid</w:t>
            </w:r>
          </w:p>
        </w:tc>
        <w:tc>
          <w:tcPr>
            <w:tcW w:w="840" w:type="dxa"/>
            <w:vAlign w:val="bottom"/>
          </w:tcPr>
          <w:p>
            <w:pPr>
              <w:spacing w:after="0"/>
              <w:rPr>
                <w:sz w:val="12"/>
                <w:szCs w:val="12"/>
                <w:color w:val="auto"/>
              </w:rPr>
            </w:pPr>
          </w:p>
        </w:tc>
        <w:tc>
          <w:tcPr>
            <w:tcW w:w="14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nominal value of</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457(c)</w:t>
            </w: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color w:val="auto"/>
              </w:rPr>
              <w:t>2,656,146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49.250</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130,815,190.50</w:t>
            </w:r>
          </w:p>
        </w:tc>
        <w:tc>
          <w:tcPr>
            <w:tcW w:w="1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0.00015310</w:t>
            </w:r>
          </w:p>
        </w:tc>
        <w:tc>
          <w:tcPr>
            <w:tcW w:w="3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20,027.81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$0.001 per share</w:t>
            </w:r>
          </w:p>
        </w:tc>
        <w:tc>
          <w:tcPr>
            <w:tcW w:w="9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940" w:type="dxa"/>
            <w:vAlign w:val="bottom"/>
            <w:tcBorders>
              <w:bottom w:val="single" w:sz="8" w:color="CCEEFF"/>
            </w:tcBorders>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Total Offering Amount</w:t>
            </w:r>
          </w:p>
        </w:tc>
        <w:tc>
          <w:tcPr>
            <w:tcW w:w="160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CCEEFF"/>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130,815,190.50</w:t>
            </w:r>
          </w:p>
        </w:tc>
        <w:tc>
          <w:tcPr>
            <w:tcW w:w="14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20,027.81</w:t>
            </w:r>
          </w:p>
        </w:tc>
      </w:tr>
      <w:tr>
        <w:trPr>
          <w:trHeight w:val="195"/>
        </w:trPr>
        <w:tc>
          <w:tcPr>
            <w:tcW w:w="494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1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940" w:type="dxa"/>
            <w:vAlign w:val="bottom"/>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color w:val="auto"/>
              </w:rPr>
              <w:t>Total Fee Offsets</w:t>
            </w:r>
          </w:p>
        </w:tc>
        <w:tc>
          <w:tcPr>
            <w:tcW w:w="16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94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Net Fee Due</w:t>
            </w:r>
          </w:p>
        </w:tc>
        <w:tc>
          <w:tcPr>
            <w:tcW w:w="1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20,027.81</w:t>
            </w:r>
          </w:p>
        </w:tc>
      </w:tr>
    </w:tbl>
    <w:p>
      <w:pPr>
        <w:spacing w:after="0" w:line="200" w:lineRule="exact"/>
        <w:rPr>
          <w:sz w:val="20"/>
          <w:szCs w:val="20"/>
          <w:color w:val="auto"/>
        </w:rPr>
      </w:pPr>
    </w:p>
    <w:p>
      <w:pPr>
        <w:spacing w:after="0" w:line="3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w:t>
      </w:r>
    </w:p>
    <w:p>
      <w:pPr>
        <w:ind w:left="520"/>
        <w:spacing w:after="0" w:line="226" w:lineRule="auto"/>
        <w:rPr>
          <w:sz w:val="20"/>
          <w:szCs w:val="20"/>
          <w:color w:val="auto"/>
        </w:rPr>
      </w:pPr>
      <w:r>
        <w:rPr>
          <w:rFonts w:ascii="Times New Roman" w:cs="Times New Roman" w:eastAsia="Times New Roman" w:hAnsi="Times New Roman"/>
          <w:sz w:val="14"/>
          <w:szCs w:val="14"/>
          <w:color w:val="auto"/>
        </w:rPr>
        <w:t>The Form S-8 registration statement to which this Exhibit 107 is attached (the “Registration Statement”) registers 2,656,146 ordinary shares, nominal value of $0.001 per share (the</w:t>
      </w:r>
    </w:p>
    <w:p>
      <w:pPr>
        <w:ind w:left="520" w:right="40"/>
        <w:spacing w:after="0" w:line="211" w:lineRule="auto"/>
        <w:rPr>
          <w:sz w:val="20"/>
          <w:szCs w:val="20"/>
          <w:color w:val="auto"/>
        </w:rPr>
      </w:pPr>
      <w:r>
        <w:rPr>
          <w:rFonts w:ascii="Times New Roman" w:cs="Times New Roman" w:eastAsia="Times New Roman" w:hAnsi="Times New Roman"/>
          <w:sz w:val="14"/>
          <w:szCs w:val="14"/>
          <w:color w:val="auto"/>
        </w:rPr>
        <w:t>“Shares”), of Weatherford International plc, which consists of Shares reserved and that may be offered or are otherwise available for delivery with respect to awards under the Weatherford International plc Fourth Amended and Restated 2019 Equity Incentive Plan (the "Plan"), including Shares that may again become available for offer or delivery with respect</w:t>
      </w:r>
    </w:p>
    <w:p>
      <w:pPr>
        <w:ind w:left="520"/>
        <w:spacing w:after="0"/>
        <w:rPr>
          <w:sz w:val="20"/>
          <w:szCs w:val="20"/>
          <w:color w:val="auto"/>
        </w:rPr>
      </w:pPr>
      <w:r>
        <w:rPr>
          <w:rFonts w:ascii="Times New Roman" w:cs="Times New Roman" w:eastAsia="Times New Roman" w:hAnsi="Times New Roman"/>
          <w:sz w:val="14"/>
          <w:szCs w:val="14"/>
          <w:color w:val="auto"/>
        </w:rPr>
        <w:t>to awards under the Plan pursuant to share counting, share recycling and other terms and conditions of the Plan.</w:t>
      </w:r>
    </w:p>
    <w:p>
      <w:pPr>
        <w:spacing w:after="0" w:line="107" w:lineRule="exact"/>
        <w:rPr>
          <w:sz w:val="20"/>
          <w:szCs w:val="20"/>
          <w:color w:val="auto"/>
        </w:rPr>
      </w:pPr>
    </w:p>
    <w:p>
      <w:pPr>
        <w:ind w:left="520" w:right="120"/>
        <w:spacing w:after="0" w:line="241" w:lineRule="auto"/>
        <w:rPr>
          <w:sz w:val="20"/>
          <w:szCs w:val="20"/>
          <w:color w:val="auto"/>
        </w:rPr>
      </w:pPr>
      <w:r>
        <w:rPr>
          <w:rFonts w:ascii="Times New Roman" w:cs="Times New Roman" w:eastAsia="Times New Roman" w:hAnsi="Times New Roman"/>
          <w:sz w:val="14"/>
          <w:szCs w:val="14"/>
          <w:color w:val="auto"/>
        </w:rPr>
        <w:t>Pursuant to Rule 416(a) under the Securities Act of 1933, as amended (the “Securities Act”), the Registration Statement shall be deemed to cover an indeterminate number of additional ordinary shares that may become issuable as a result of stock splits, stock dividends or similar transactions pursuant to the adjustment or anti-dilution provisions of the Plan.</w:t>
      </w:r>
    </w:p>
    <w:p>
      <w:pPr>
        <w:spacing w:after="0" w:line="136" w:lineRule="exact"/>
        <w:rPr>
          <w:sz w:val="20"/>
          <w:szCs w:val="20"/>
          <w:color w:val="auto"/>
        </w:rPr>
      </w:pPr>
    </w:p>
    <w:p>
      <w:pPr>
        <w:ind w:left="520" w:right="220" w:hanging="413"/>
        <w:spacing w:after="0" w:line="234"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share and proposed maximum aggregate offering price for the Shares covered by this Registration Statement have been estimated solely for purposes of calculating the registration fee pursuant to Rules 457(c) and 457(h) under the Securities Act based upon the average of the high and low prices of our ordinary shares as reported on the NASDAQ on June 9, 2025 (a date within five business days prior to the date of filing the Registration Statement), which was equal to $49.25.</w:t>
      </w:r>
    </w:p>
    <w:p>
      <w:pPr>
        <w:sectPr>
          <w:pgSz w:w="11900" w:h="16838" w:orient="portrait"/>
          <w:cols w:equalWidth="0" w:num="1">
            <w:col w:w="11240"/>
          </w:cols>
          <w:pgMar w:left="320" w:top="1392"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4854575</wp:posOffset>
            </wp:positionH>
            <wp:positionV relativeFrom="page">
              <wp:posOffset>88900</wp:posOffset>
            </wp:positionV>
            <wp:extent cx="2486025" cy="1002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8602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Weatherford International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 Sir John Rogerson’s Quay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Dublin 2, D02R296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Ireland</w:t>
      </w:r>
    </w:p>
    <w:p>
      <w:pPr>
        <w:spacing w:after="0" w:line="396" w:lineRule="exact"/>
        <w:rPr>
          <w:sz w:val="20"/>
          <w:szCs w:val="20"/>
          <w:color w:val="auto"/>
        </w:rPr>
      </w:pPr>
    </w:p>
    <w:p>
      <w:pPr>
        <w:jc w:val="both"/>
        <w:ind w:left="20" w:right="20"/>
        <w:spacing w:after="0"/>
        <w:rPr>
          <w:sz w:val="20"/>
          <w:szCs w:val="20"/>
          <w:color w:val="auto"/>
        </w:rPr>
      </w:pPr>
      <w:r>
        <w:rPr>
          <w:rFonts w:ascii="Arial" w:cs="Arial" w:eastAsia="Arial" w:hAnsi="Arial"/>
          <w:sz w:val="28"/>
          <w:szCs w:val="28"/>
          <w:color w:val="auto"/>
          <w:vertAlign w:val="superscript"/>
        </w:rPr>
        <w:t>Our ref</w:t>
      </w:r>
      <w:r>
        <w:rPr>
          <w:rFonts w:ascii="Arial" w:cs="Arial" w:eastAsia="Arial" w:hAnsi="Arial"/>
          <w:sz w:val="18"/>
          <w:szCs w:val="18"/>
          <w:color w:val="auto"/>
        </w:rPr>
        <w:t xml:space="preserve"> 13 June 2025 661725/62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Dear Addressee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Statement on Form S-8 of Weatherford International plc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We act as legal advisers to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which has asked us to give this Opinion as to certain matters of Irish law in connection with the filing by the Company on the date hereof of a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Pursuant to the Registration Statement, the Company proposes to register an additional 2,656,146 ordinary shares of €0.001 each (nominal value) in the capital of the Company (such number of ordinary shares, being the “</w:t>
      </w:r>
      <w:r>
        <w:rPr>
          <w:rFonts w:ascii="Arial" w:cs="Arial" w:eastAsia="Arial" w:hAnsi="Arial"/>
          <w:sz w:val="18"/>
          <w:szCs w:val="18"/>
          <w:b w:val="1"/>
          <w:bCs w:val="1"/>
          <w:color w:val="auto"/>
        </w:rPr>
        <w:t>Additional Plan Shares</w:t>
      </w:r>
      <w:r>
        <w:rPr>
          <w:rFonts w:ascii="Arial" w:cs="Arial" w:eastAsia="Arial" w:hAnsi="Arial"/>
          <w:sz w:val="18"/>
          <w:szCs w:val="18"/>
          <w:color w:val="auto"/>
        </w:rPr>
        <w:t>”) that may be issued under the Company’s Fourth Amended and Restated 2019 Equity Incentive Plan, first adopted on 12 December 2019, as amended and restated on 13 April 2020, 30 October 2020, 18 January 2023 and 11 June 2025 (such plan, as so amended and restated, being,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Opinion</w:t>
      </w:r>
    </w:p>
    <w:p>
      <w:pPr>
        <w:spacing w:after="0" w:line="24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 xml:space="preserve">For the purpose of giving this Opinion, we have examined the documents (including the corporate certificate), and have conducted the searches, listed in Schedule 1 </w:t>
      </w:r>
      <w:r>
        <w:rPr>
          <w:rFonts w:ascii="Arial" w:cs="Arial" w:eastAsia="Arial" w:hAnsi="Arial"/>
          <w:sz w:val="18"/>
          <w:szCs w:val="18"/>
          <w:i w:val="1"/>
          <w:iCs w:val="1"/>
          <w:color w:val="auto"/>
        </w:rPr>
        <w:t>(Documents and Searches)</w:t>
      </w:r>
      <w:r>
        <w:rPr>
          <w:rFonts w:ascii="Arial" w:cs="Arial" w:eastAsia="Arial" w:hAnsi="Arial"/>
          <w:sz w:val="18"/>
          <w:szCs w:val="18"/>
          <w:color w:val="auto"/>
        </w:rPr>
        <w:t xml:space="preserve"> to this Opinion, together with such other materials as we have considered necessary or relevant as a basis for the opinions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5177790" cy="1165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177790" cy="116586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This Opinion is strictly limited to the matters expressly stated under the heading “Opinions”, below, and is not to be read as extending, by implication or otherwise, to any other matter. In particular, this Opinion does not deal with any tax matter or the tax consequences of any matter referred to in this Opinion, in the documents or other materials examined by us for the purpose of giving this Opinion, or otherwise. We express no opinion and make no representation or warranty as to any matter of fact.</w:t>
      </w:r>
    </w:p>
    <w:p>
      <w:pPr>
        <w:spacing w:after="0" w:line="18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have not investigated or verified any of the facts or assumptions, or the reasonableness of any assumptions, statements or opinions contained or represented by any person in the documents or other materials examined by us for the purposes of giving this Opinion, nor have we attempted to determine if any relevant facts have been omitted from such documents or materials.</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This Opinion is given with respect to the laws of Ireland in effect on the date hereof and is based on legislation published and cases fully reported before that date and our knowledge of the facts relevant to the opinions contained herein. For the avoidance of doubt, Ireland does not include Northern Ireland (which is a separate jurisdiction), and references to the laws of Ireland do not include the laws in force in Northern Ireland.</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have made no investigations of, and we express no opinion on, the laws of any jurisdiction other than Ireland, or the effect thereof. In particular, we have made no investigations of any reference to non-Irish laws in any document or other materials examined by us or the meaning of effect thereof, and any phrases used in any non-Irish law governed document examined by us have been construed by us as having the meaning and effect they would have if such document was governed by Irish law. We have assumed, without enquiry, that there is nothing in the laws of any jurisdiction other than Ireland which would, or might, affect the opinions contained herein, and that, insofar as the laws of any jurisdiction other than Ireland are relevant, such laws have been, or will be, complied with.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expressed as of the date hereof and we assume no obligation to update the opinions contained herein.</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Opinions</w:t>
      </w:r>
    </w:p>
    <w:p>
      <w:pPr>
        <w:spacing w:after="0" w:line="247"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 xml:space="preserve">Based upon, and subject to, the foregoing and the assumptions, qualifications and limitations set out in Schedule 2 </w:t>
      </w:r>
      <w:r>
        <w:rPr>
          <w:rFonts w:ascii="Arial" w:cs="Arial" w:eastAsia="Arial" w:hAnsi="Arial"/>
          <w:sz w:val="18"/>
          <w:szCs w:val="18"/>
          <w:i w:val="1"/>
          <w:iCs w:val="1"/>
          <w:color w:val="auto"/>
        </w:rPr>
        <w:t>(Assumptions)</w:t>
      </w:r>
      <w:r>
        <w:rPr>
          <w:rFonts w:ascii="Arial" w:cs="Arial" w:eastAsia="Arial" w:hAnsi="Arial"/>
          <w:sz w:val="18"/>
          <w:szCs w:val="18"/>
          <w:color w:val="auto"/>
        </w:rPr>
        <w:t xml:space="preserve">, Schedule 3 </w:t>
      </w:r>
      <w:r>
        <w:rPr>
          <w:rFonts w:ascii="Arial" w:cs="Arial" w:eastAsia="Arial" w:hAnsi="Arial"/>
          <w:sz w:val="18"/>
          <w:szCs w:val="18"/>
          <w:i w:val="1"/>
          <w:iCs w:val="1"/>
          <w:color w:val="auto"/>
        </w:rPr>
        <w:t>(Qualifications)</w:t>
      </w:r>
      <w:r>
        <w:rPr>
          <w:rFonts w:ascii="Arial" w:cs="Arial" w:eastAsia="Arial" w:hAnsi="Arial"/>
          <w:sz w:val="18"/>
          <w:szCs w:val="18"/>
          <w:color w:val="auto"/>
        </w:rPr>
        <w:t xml:space="preserve"> and elsewhere in this Opinion, we are of the following opinions:</w:t>
      </w:r>
    </w:p>
    <w:p>
      <w:pPr>
        <w:spacing w:after="0" w:line="13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validly existing under the laws of Ireland.</w:t>
      </w:r>
    </w:p>
    <w:p>
      <w:pPr>
        <w:spacing w:after="0" w:line="265" w:lineRule="exact"/>
        <w:rPr>
          <w:rFonts w:ascii="Arial" w:cs="Arial" w:eastAsia="Arial" w:hAnsi="Arial"/>
          <w:sz w:val="18"/>
          <w:szCs w:val="18"/>
          <w:color w:val="auto"/>
        </w:rPr>
      </w:pPr>
    </w:p>
    <w:p>
      <w:pPr>
        <w:jc w:val="both"/>
        <w:ind w:left="640" w:hanging="632"/>
        <w:spacing w:after="0" w:line="307" w:lineRule="auto"/>
        <w:tabs>
          <w:tab w:leader="none" w:pos="63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Additional Plan Shares, when allotted and issued in accordance with the terms and conditions of the Plan against receipt by the Company of the full consideration payable therefor, will, upon the entry of the name(s) of the relevant allottee(s) in the register of members of the Company as the registered holder(s) thereof (in each case credited as fully paid-up) be validly issued, fully paid-up and non-assessable. “</w:t>
      </w:r>
      <w:r>
        <w:rPr>
          <w:rFonts w:ascii="Arial" w:cs="Arial" w:eastAsia="Arial" w:hAnsi="Arial"/>
          <w:sz w:val="18"/>
          <w:szCs w:val="18"/>
          <w:b w:val="1"/>
          <w:bCs w:val="1"/>
          <w:color w:val="auto"/>
        </w:rPr>
        <w:t>Non-assessable</w:t>
      </w:r>
      <w:r>
        <w:rPr>
          <w:rFonts w:ascii="Arial" w:cs="Arial" w:eastAsia="Arial" w:hAnsi="Arial"/>
          <w:sz w:val="18"/>
          <w:szCs w:val="18"/>
          <w:color w:val="auto"/>
        </w:rPr>
        <w:t>” is a phrase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40"/>
        <w:spacing w:after="0" w:line="304" w:lineRule="auto"/>
        <w:rPr>
          <w:sz w:val="20"/>
          <w:szCs w:val="20"/>
          <w:color w:val="auto"/>
        </w:rPr>
      </w:pPr>
      <w:r>
        <w:rPr>
          <w:rFonts w:ascii="Arial" w:cs="Arial" w:eastAsia="Arial" w:hAnsi="Arial"/>
          <w:sz w:val="18"/>
          <w:szCs w:val="18"/>
          <w:color w:val="auto"/>
        </w:rPr>
        <w:t>which has no defined meaning under Irish law, but, for the purposes of this Opinion, shall mean the registered holders of such Additional Plan Shares are not subject, solely by virtue of their shareholdings, to calls for additional payments of capital on such shares). As a matter of Irish law, a share in an Irish incorporated company is only issued when it has been entered in the register of members of the relevant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Reliance</w:t>
      </w:r>
    </w:p>
    <w:p>
      <w:pPr>
        <w:spacing w:after="0" w:line="247"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This Opinion is furnished to you and the persons entitled to rely upon it pursuant to the applicable provisions of the Securities Act strictly for use in connection with the Registration Statement and may not be relied upon by any other person without our prior written consent.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w:t>
      </w:r>
    </w:p>
    <w:p>
      <w:pPr>
        <w:spacing w:after="0" w:line="24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references to Matheson LLP therein. In giving such consent, we do not admit that we are included in the category of persons whose consent is required under section 7 of the Securities Act, or the rules and regulations of the Commission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Opinion and the opinions contained herein are governed by, and construed in accordance with, the laws of Ireland.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Matheson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MATHESON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and Searches</w:t>
      </w:r>
    </w:p>
    <w:p>
      <w:pPr>
        <w:spacing w:after="0" w:line="266" w:lineRule="exact"/>
        <w:rPr>
          <w:sz w:val="20"/>
          <w:szCs w:val="20"/>
          <w:color w:val="auto"/>
        </w:rPr>
      </w:pPr>
    </w:p>
    <w:p>
      <w:pPr>
        <w:spacing w:after="0" w:line="334" w:lineRule="auto"/>
        <w:rPr>
          <w:sz w:val="20"/>
          <w:szCs w:val="20"/>
          <w:color w:val="auto"/>
        </w:rPr>
      </w:pPr>
      <w:r>
        <w:rPr>
          <w:rFonts w:ascii="Arial" w:cs="Arial" w:eastAsia="Arial" w:hAnsi="Arial"/>
          <w:sz w:val="18"/>
          <w:szCs w:val="18"/>
          <w:color w:val="auto"/>
        </w:rPr>
        <w:t>For the purposes of giving this Opinion, we have examined the documents (including the corporate certificate) and have conducted the searches listed below.</w:t>
      </w:r>
    </w:p>
    <w:p>
      <w:pPr>
        <w:spacing w:after="0" w:line="139"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final form of the Registration Statement to which this Opinion is to be filed as an exhibit.</w:t>
      </w:r>
    </w:p>
    <w:p>
      <w:pPr>
        <w:spacing w:after="0" w:line="265"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Plan, attached as an exhibit to the Company’s current report on Form 8-K filed with the Commission on 13 June 2025.</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Company’s 2025 definitive proxy statement on Schedule 14A filed with the Commission on 23 April 2025.</w:t>
      </w:r>
    </w:p>
    <w:p>
      <w:pPr>
        <w:spacing w:after="0" w:line="265" w:lineRule="exact"/>
        <w:rPr>
          <w:rFonts w:ascii="Arial" w:cs="Arial" w:eastAsia="Arial" w:hAnsi="Arial"/>
          <w:sz w:val="18"/>
          <w:szCs w:val="18"/>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certificate issued by the secretary of the Company dated the date of this Opinion:</w:t>
      </w:r>
    </w:p>
    <w:p>
      <w:pPr>
        <w:spacing w:after="0" w:line="252" w:lineRule="exact"/>
        <w:rPr>
          <w:rFonts w:ascii="Arial" w:cs="Arial" w:eastAsia="Arial" w:hAnsi="Arial"/>
          <w:sz w:val="18"/>
          <w:szCs w:val="18"/>
          <w:color w:val="auto"/>
        </w:rPr>
      </w:pPr>
    </w:p>
    <w:p>
      <w:pPr>
        <w:ind w:left="1280" w:hanging="634"/>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attaching a copy of each of the following documents certified as being true, complete and correct by the secretary:</w:t>
      </w:r>
    </w:p>
    <w:p>
      <w:pPr>
        <w:spacing w:after="0" w:line="265" w:lineRule="exact"/>
        <w:rPr>
          <w:rFonts w:ascii="Arial" w:cs="Arial" w:eastAsia="Arial" w:hAnsi="Arial"/>
          <w:sz w:val="18"/>
          <w:szCs w:val="18"/>
          <w:color w:val="auto"/>
        </w:rPr>
      </w:pPr>
    </w:p>
    <w:p>
      <w:pPr>
        <w:jc w:val="both"/>
        <w:ind w:left="1920" w:hanging="637"/>
        <w:spacing w:after="0" w:line="312" w:lineRule="auto"/>
        <w:tabs>
          <w:tab w:leader="none" w:pos="1914"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Company’s certificate of incorporation dated 3 March 2014, certificate of incorporation on change of name dated 20 March 2014 and certificate of incorporation on re-registration as a public limited company dated 29 May 2014 (the “</w:t>
      </w:r>
      <w:r>
        <w:rPr>
          <w:rFonts w:ascii="Arial" w:cs="Arial" w:eastAsia="Arial" w:hAnsi="Arial"/>
          <w:sz w:val="18"/>
          <w:szCs w:val="18"/>
          <w:b w:val="1"/>
          <w:bCs w:val="1"/>
          <w:color w:val="auto"/>
        </w:rPr>
        <w:t>Certificates of Incorporation</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1920" w:hanging="637"/>
        <w:spacing w:after="0" w:line="307" w:lineRule="auto"/>
        <w:tabs>
          <w:tab w:leader="none" w:pos="1914"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memorandum of association of the Company adopted on 10 December 2019 (the “</w:t>
      </w:r>
      <w:r>
        <w:rPr>
          <w:rFonts w:ascii="Arial" w:cs="Arial" w:eastAsia="Arial" w:hAnsi="Arial"/>
          <w:sz w:val="18"/>
          <w:szCs w:val="18"/>
          <w:b w:val="1"/>
          <w:bCs w:val="1"/>
          <w:color w:val="auto"/>
        </w:rPr>
        <w:t>Memorandum of</w:t>
      </w:r>
      <w:r>
        <w:rPr>
          <w:rFonts w:ascii="Arial" w:cs="Arial" w:eastAsia="Arial" w:hAnsi="Arial"/>
          <w:sz w:val="18"/>
          <w:szCs w:val="18"/>
          <w:color w:val="auto"/>
        </w:rPr>
        <w:t xml:space="preserve"> </w:t>
      </w:r>
      <w:r>
        <w:rPr>
          <w:rFonts w:ascii="Arial" w:cs="Arial" w:eastAsia="Arial" w:hAnsi="Arial"/>
          <w:sz w:val="18"/>
          <w:szCs w:val="18"/>
          <w:b w:val="1"/>
          <w:bCs w:val="1"/>
          <w:color w:val="auto"/>
        </w:rPr>
        <w:t>Association</w:t>
      </w:r>
      <w:r>
        <w:rPr>
          <w:rFonts w:ascii="Arial" w:cs="Arial" w:eastAsia="Arial" w:hAnsi="Arial"/>
          <w:sz w:val="18"/>
          <w:szCs w:val="18"/>
          <w:color w:val="auto"/>
        </w:rPr>
        <w:t>”) and the articles of association of the Company adopted on 10 December 2019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and together with the Certificates of Incorporation and the Memorandum of Association,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Constitutional Documents</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ind w:left="1920" w:hanging="637"/>
        <w:spacing w:after="0" w:line="327" w:lineRule="auto"/>
        <w:tabs>
          <w:tab w:leader="none" w:pos="1913" w:val="left"/>
        </w:tabs>
        <w:numPr>
          <w:ilvl w:val="2"/>
          <w:numId w:val="4"/>
        </w:numPr>
        <w:rPr>
          <w:rFonts w:ascii="Arial" w:cs="Arial" w:eastAsia="Arial" w:hAnsi="Arial"/>
          <w:sz w:val="18"/>
          <w:szCs w:val="18"/>
          <w:color w:val="auto"/>
        </w:rPr>
      </w:pPr>
      <w:r>
        <w:rPr>
          <w:rFonts w:ascii="Arial" w:cs="Arial" w:eastAsia="Arial" w:hAnsi="Arial"/>
          <w:sz w:val="18"/>
          <w:szCs w:val="18"/>
          <w:color w:val="auto"/>
        </w:rPr>
        <w:t>extracts from the minutes of meetings of the board of directors of the Company held on 17 April 2025 and 11 June 2025 (the “</w:t>
      </w:r>
      <w:r>
        <w:rPr>
          <w:rFonts w:ascii="Arial" w:cs="Arial" w:eastAsia="Arial" w:hAnsi="Arial"/>
          <w:sz w:val="18"/>
          <w:szCs w:val="18"/>
          <w:b w:val="1"/>
          <w:bCs w:val="1"/>
          <w:color w:val="auto"/>
        </w:rPr>
        <w:t>Board Minutes</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ind w:left="1920" w:hanging="637"/>
        <w:spacing w:after="0" w:line="327" w:lineRule="auto"/>
        <w:tabs>
          <w:tab w:leader="none" w:pos="191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minutes of the 2025 annual general meeting of the Company held on 11 June 2025, at which the members of the Company resolved, among other matters, to approve Amendment No. 4 to the Plan (the “</w:t>
      </w:r>
      <w:r>
        <w:rPr>
          <w:rFonts w:ascii="Arial" w:cs="Arial" w:eastAsia="Arial" w:hAnsi="Arial"/>
          <w:sz w:val="18"/>
          <w:szCs w:val="18"/>
          <w:b w:val="1"/>
          <w:bCs w:val="1"/>
          <w:color w:val="auto"/>
        </w:rPr>
        <w:t>AGM Minutes</w:t>
      </w:r>
      <w:r>
        <w:rPr>
          <w:rFonts w:ascii="Arial" w:cs="Arial" w:eastAsia="Arial" w:hAnsi="Arial"/>
          <w:sz w:val="18"/>
          <w:szCs w:val="18"/>
          <w:color w:val="auto"/>
        </w:rPr>
        <w:t>”); and</w:t>
      </w:r>
    </w:p>
    <w:p>
      <w:pPr>
        <w:spacing w:after="0" w:line="151" w:lineRule="exact"/>
        <w:rPr>
          <w:rFonts w:ascii="Arial" w:cs="Arial" w:eastAsia="Arial" w:hAnsi="Arial"/>
          <w:sz w:val="18"/>
          <w:szCs w:val="18"/>
          <w:color w:val="auto"/>
        </w:rPr>
      </w:pPr>
    </w:p>
    <w:p>
      <w:pPr>
        <w:ind w:left="1280" w:hanging="634"/>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certifying certain other matters, as set out therein, on which we have relied for the purpose of this Opinion.</w:t>
      </w:r>
    </w:p>
    <w:p>
      <w:pPr>
        <w:spacing w:after="0" w:line="252" w:lineRule="exact"/>
        <w:rPr>
          <w:sz w:val="20"/>
          <w:szCs w:val="20"/>
          <w:color w:val="auto"/>
        </w:rPr>
      </w:pPr>
    </w:p>
    <w:p>
      <w:pPr>
        <w:jc w:val="both"/>
        <w:ind w:left="640" w:hanging="632"/>
        <w:spacing w:after="0" w:line="308"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Searches carried out by independent law researchers on our behalf against the Company on 12 June 2025: (a) in the Register of Winding-up Petitions maintained at the Central Office of the High Court of Ireland; (b) in the Judgments’ Office of the High Court of Ireland; and (c)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43" w:lineRule="auto"/>
        <w:rPr>
          <w:sz w:val="20"/>
          <w:szCs w:val="20"/>
          <w:color w:val="auto"/>
        </w:rPr>
      </w:pPr>
      <w:r>
        <w:rPr>
          <w:rFonts w:ascii="Arial" w:cs="Arial" w:eastAsia="Arial" w:hAnsi="Arial"/>
          <w:sz w:val="18"/>
          <w:szCs w:val="18"/>
          <w:color w:val="auto"/>
        </w:rPr>
        <w:t>the file of the Company maintained by the Registrar of Companies at the Irish Companies Registration Office (the “</w:t>
      </w:r>
      <w:r>
        <w:rPr>
          <w:rFonts w:ascii="Arial" w:cs="Arial" w:eastAsia="Arial" w:hAnsi="Arial"/>
          <w:sz w:val="18"/>
          <w:szCs w:val="18"/>
          <w:b w:val="1"/>
          <w:bCs w:val="1"/>
          <w:color w:val="auto"/>
        </w:rPr>
        <w:t>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Office</w:t>
      </w:r>
      <w:r>
        <w:rPr>
          <w:rFonts w:ascii="Arial" w:cs="Arial" w:eastAsia="Arial" w:hAnsi="Arial"/>
          <w:sz w:val="18"/>
          <w:szCs w:val="18"/>
          <w:color w:val="auto"/>
        </w:rPr>
        <w:t>”)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96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Assumptions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opinions contained herein are given on the basis of the assumptions set out in this Schedule.</w:t>
      </w:r>
    </w:p>
    <w:p>
      <w:pPr>
        <w:spacing w:after="0" w:line="266" w:lineRule="exact"/>
        <w:rPr>
          <w:sz w:val="20"/>
          <w:szCs w:val="20"/>
          <w:color w:val="auto"/>
        </w:rPr>
      </w:pPr>
    </w:p>
    <w:p>
      <w:pPr>
        <w:ind w:left="640" w:hanging="632"/>
        <w:spacing w:after="0" w:line="318"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signatures (including, for the avoidance of doubt, electronic signatures), initials, seals and stamps contained in, or on, any document examined by us are genuine.</w:t>
      </w:r>
    </w:p>
    <w:p>
      <w:pPr>
        <w:spacing w:after="0" w:line="166" w:lineRule="exact"/>
        <w:rPr>
          <w:rFonts w:ascii="Arial" w:cs="Arial" w:eastAsia="Arial" w:hAnsi="Arial"/>
          <w:sz w:val="18"/>
          <w:szCs w:val="18"/>
          <w:color w:val="auto"/>
        </w:rPr>
      </w:pPr>
    </w:p>
    <w:p>
      <w:pPr>
        <w:jc w:val="both"/>
        <w:ind w:left="640" w:hanging="632"/>
        <w:spacing w:after="0" w:line="299"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documents provided to us as originals are authentic and complete and all documents provided to us as copies (including, without limitation, any document provided to us as a .pdf (or any other format) attachment to an email) are complete and conform to the originals of such documents, and the originals of such documents are authentic and complete with all requisite seals and stamps affixed.</w:t>
      </w:r>
    </w:p>
    <w:p>
      <w:pPr>
        <w:spacing w:after="0" w:line="183"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contents of the documents (including the corporate certificate), the Searches and any other materials examined by us for the purposes of this Opinion are true and accurate as to factual matters, but we have made no independent investigation regarding such factual matters.</w:t>
      </w:r>
    </w:p>
    <w:p>
      <w:pPr>
        <w:spacing w:after="0" w:line="161"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have been no amendments to the Constitutional Documents.</w:t>
      </w:r>
    </w:p>
    <w:p>
      <w:pPr>
        <w:spacing w:after="0" w:line="265"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resolutions documented in the extracts from the Board Minutes were passed at properly convened, constituted and quorate meetings of the board of directors of the Company, and such resolutions have not, since their date of adoption, been amended, superseded or rescinded and are in full force and effect.</w:t>
      </w:r>
    </w:p>
    <w:p>
      <w:pPr>
        <w:spacing w:after="0" w:line="175" w:lineRule="exact"/>
        <w:rPr>
          <w:rFonts w:ascii="Arial" w:cs="Arial" w:eastAsia="Arial" w:hAnsi="Arial"/>
          <w:sz w:val="18"/>
          <w:szCs w:val="18"/>
          <w:color w:val="auto"/>
        </w:rPr>
      </w:pPr>
    </w:p>
    <w:p>
      <w:pPr>
        <w:jc w:val="both"/>
        <w:ind w:left="640" w:hanging="632"/>
        <w:spacing w:after="0" w:line="308"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members’ resolutions documented in the AGM Minutes were passed at a properly convened, constituted and quorate meeting of the members of the Company, and such resolutions have not, since their date of adoption, been amended, superseded or rescinded, and are in full force and effect.</w:t>
      </w:r>
    </w:p>
    <w:p>
      <w:pPr>
        <w:spacing w:after="0" w:line="161" w:lineRule="exact"/>
        <w:rPr>
          <w:rFonts w:ascii="Arial" w:cs="Arial" w:eastAsia="Arial" w:hAnsi="Arial"/>
          <w:sz w:val="18"/>
          <w:szCs w:val="18"/>
          <w:color w:val="auto"/>
        </w:rPr>
      </w:pPr>
    </w:p>
    <w:p>
      <w:pPr>
        <w:ind w:left="640" w:hanging="632"/>
        <w:spacing w:after="0" w:line="343"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Additional Plan Shares will be allotted and issued, and all rights to subscribe for, to receive or to convert any security into, Additional Plan Shares (“</w:t>
      </w:r>
      <w:r>
        <w:rPr>
          <w:rFonts w:ascii="Arial" w:cs="Arial" w:eastAsia="Arial" w:hAnsi="Arial"/>
          <w:sz w:val="18"/>
          <w:szCs w:val="18"/>
          <w:b w:val="1"/>
          <w:bCs w:val="1"/>
          <w:color w:val="auto"/>
        </w:rPr>
        <w:t>Rights</w:t>
      </w:r>
      <w:r>
        <w:rPr>
          <w:rFonts w:ascii="Arial" w:cs="Arial" w:eastAsia="Arial" w:hAnsi="Arial"/>
          <w:sz w:val="18"/>
          <w:szCs w:val="18"/>
          <w:color w:val="auto"/>
        </w:rPr>
        <w:t>”) will be granted, in accordance with the terms and conditions of the Plan.</w:t>
      </w:r>
    </w:p>
    <w:p>
      <w:pPr>
        <w:spacing w:after="0" w:line="123"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Additional Plan Shares will be allotted and issued and no Rights will be granted under the Plan other than pursuant to a resolution of the board of directors of the Company, a committee or sub-committee of the board of directors of the Company to whom the board has delegated due authority or one or more officers of the Company to whom the board has delegated due authority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hanging="632"/>
        <w:spacing w:after="0" w:line="334" w:lineRule="auto"/>
        <w:tabs>
          <w:tab w:leader="none" w:pos="63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Additional Plan Shares will be allotted and issued and all Rights will be granted under the Plan in good faith in the interests of the Company for the benefit of its members as a whole and for its legitimate business purposes.</w:t>
      </w:r>
    </w:p>
    <w:p>
      <w:pPr>
        <w:spacing w:after="0" w:line="152" w:lineRule="exact"/>
        <w:rPr>
          <w:rFonts w:ascii="Arial" w:cs="Arial" w:eastAsia="Arial" w:hAnsi="Arial"/>
          <w:sz w:val="18"/>
          <w:szCs w:val="18"/>
          <w:color w:val="auto"/>
        </w:rPr>
      </w:pPr>
    </w:p>
    <w:p>
      <w:pPr>
        <w:ind w:left="640" w:hanging="632"/>
        <w:spacing w:after="0" w:line="318"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will have received the full consideration payable for any Additional Plan Shares prior to, or simultaneous with, their allotment and issue, and no Additional Plan Share will be allotted and issued for consideration that is less than its nominal value.</w:t>
      </w:r>
    </w:p>
    <w:p>
      <w:pPr>
        <w:spacing w:after="0" w:line="166" w:lineRule="exact"/>
        <w:rPr>
          <w:rFonts w:ascii="Arial" w:cs="Arial" w:eastAsia="Arial" w:hAnsi="Arial"/>
          <w:sz w:val="18"/>
          <w:szCs w:val="18"/>
          <w:color w:val="auto"/>
        </w:rPr>
      </w:pPr>
    </w:p>
    <w:p>
      <w:pPr>
        <w:jc w:val="both"/>
        <w:ind w:left="640" w:hanging="632"/>
        <w:spacing w:after="0" w:line="308" w:lineRule="auto"/>
        <w:tabs>
          <w:tab w:leader="none" w:pos="61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Additional Plan Share will be allotted and issued for consideration that: (a) consists of an undertaking given by any person that he, she or another should do work or perform services for the Company or any other person; (b) includes an undertaking which is to be or may be performed more than five years after the date of the allotment; or (c) is not considered good or adequate at law.</w:t>
      </w:r>
    </w:p>
    <w:p>
      <w:pPr>
        <w:spacing w:after="0" w:line="161"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Additional Plan Shares will be allotted or issued fully or partly paid-up otherwise than in cash unless the provisions of sections 1028 to 1030 of the Companies Act 2014 of Ireland, as amended (the “</w:t>
      </w:r>
      <w:r>
        <w:rPr>
          <w:rFonts w:ascii="Arial" w:cs="Arial" w:eastAsia="Arial" w:hAnsi="Arial"/>
          <w:sz w:val="18"/>
          <w:szCs w:val="18"/>
          <w:b w:val="1"/>
          <w:bCs w:val="1"/>
          <w:color w:val="auto"/>
        </w:rPr>
        <w:t>Companies Act</w:t>
      </w:r>
      <w:r>
        <w:rPr>
          <w:rFonts w:ascii="Arial" w:cs="Arial" w:eastAsia="Arial" w:hAnsi="Arial"/>
          <w:sz w:val="18"/>
          <w:szCs w:val="18"/>
          <w:color w:val="auto"/>
        </w:rPr>
        <w:t>”) (which require an independent valuation of the non-cash consideration to be prepared by an expert and circulated to the proposed allottee(s)), are complied with in full.</w:t>
      </w:r>
    </w:p>
    <w:p>
      <w:pPr>
        <w:spacing w:after="0" w:line="175" w:lineRule="exact"/>
        <w:rPr>
          <w:rFonts w:ascii="Arial" w:cs="Arial" w:eastAsia="Arial" w:hAnsi="Arial"/>
          <w:sz w:val="18"/>
          <w:szCs w:val="18"/>
          <w:color w:val="auto"/>
        </w:rPr>
      </w:pPr>
    </w:p>
    <w:p>
      <w:pPr>
        <w:ind w:left="640" w:hanging="632"/>
        <w:spacing w:after="0" w:line="318"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allotment and issue of any Additional Plan Shares, the Company will have a sufficient number of unissued ordinary shares in its authorised share capital, being at least equal to the number of Additional Plan Shares to be allotted and issued.</w:t>
      </w:r>
    </w:p>
    <w:p>
      <w:pPr>
        <w:spacing w:after="0" w:line="166" w:lineRule="exact"/>
        <w:rPr>
          <w:rFonts w:ascii="Arial" w:cs="Arial" w:eastAsia="Arial" w:hAnsi="Arial"/>
          <w:sz w:val="18"/>
          <w:szCs w:val="18"/>
          <w:color w:val="auto"/>
        </w:rPr>
      </w:pPr>
    </w:p>
    <w:p>
      <w:pPr>
        <w:jc w:val="both"/>
        <w:ind w:left="640" w:hanging="632"/>
        <w:spacing w:after="0" w:line="295"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allotment and issue of any Additional Plan Shares or, if earlier, the granting of any Rights, to the extent required: (a) the directors of the Company will, in accordance with section 1021 of the Companies Act, have been either specifically or generally authorised by the members of the Company to allot a sufficient number of “relevant securities” (within the meaning of that section), being at least equal to the number of Additional Plan Shares the subject of such allotment and issuance or Rights; and (b) the directors of the Company will, in accordance with section 1023 of the Companies Act, have been either specifically or generally empowered by the members of the Company to allot and issue such Additional Plan Shares or grant such Rights in respect thereof as if section 1022(1) of the Companies Act did not apply to such allotment and issuance or the granting of such Rights.</w:t>
      </w:r>
    </w:p>
    <w:p>
      <w:pPr>
        <w:spacing w:after="0" w:line="190"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any Additional Plan Shares are being re-allotted off-market from treasury, the maximum and minimum prices of re-issue shall have been determined in advance at a general meeting of the Company in accordance with the requirements of section 1078 of the Companies Act.</w:t>
      </w:r>
    </w:p>
    <w:p>
      <w:pPr>
        <w:spacing w:after="0" w:line="161" w:lineRule="exact"/>
        <w:rPr>
          <w:rFonts w:ascii="Arial" w:cs="Arial" w:eastAsia="Arial" w:hAnsi="Arial"/>
          <w:sz w:val="18"/>
          <w:szCs w:val="18"/>
          <w:color w:val="auto"/>
        </w:rPr>
      </w:pPr>
    </w:p>
    <w:p>
      <w:pPr>
        <w:ind w:left="640" w:right="20" w:hanging="632"/>
        <w:spacing w:after="0" w:line="334"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will not give any financial assistance, as contemplated by sections 82 and 1043 of the Companies Act for the purpose of the acquisition of any Additional Plan Shares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Plan, save as permitted by, or pursuant to an exemption from the application of, the said sections 82 and 1043.</w:t>
      </w:r>
    </w:p>
    <w:p>
      <w:pPr>
        <w:spacing w:after="0" w:line="266" w:lineRule="exact"/>
        <w:rPr>
          <w:sz w:val="20"/>
          <w:szCs w:val="20"/>
          <w:color w:val="auto"/>
        </w:rPr>
      </w:pPr>
    </w:p>
    <w:p>
      <w:pPr>
        <w:jc w:val="both"/>
        <w:ind w:left="640" w:hanging="632"/>
        <w:spacing w:after="0" w:line="308"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to whom Additional Plan Shares are allotted and issued under the Plan will have the due and requisite capacity (and, if relevant, will have taken all necessary corporate action to be authorised) to be allotted and issued Additional Plan Shares (including upon the exercise or vesting of Rights) and to be registered in the register of members of the Company as the holder thereof.</w:t>
      </w:r>
    </w:p>
    <w:p>
      <w:pPr>
        <w:spacing w:after="0" w:line="175" w:lineRule="exact"/>
        <w:rPr>
          <w:rFonts w:ascii="Arial" w:cs="Arial" w:eastAsia="Arial" w:hAnsi="Arial"/>
          <w:sz w:val="18"/>
          <w:szCs w:val="18"/>
          <w:color w:val="auto"/>
        </w:rPr>
      </w:pPr>
    </w:p>
    <w:p>
      <w:pPr>
        <w:jc w:val="both"/>
        <w:ind w:left="640" w:hanging="632"/>
        <w:spacing w:after="0" w:line="308"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any Additional Plan Shares to be allotted and issued pursuant to the Plan are proposed to be issued directly to Cede &amp; Co., as the nominee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the Company will have satisfied all requirements of DTC for acceptance of the Additional Plan Shares as eligible for its depository and book entry transfer services.</w:t>
      </w:r>
    </w:p>
    <w:p>
      <w:pPr>
        <w:spacing w:after="0" w:line="161" w:lineRule="exact"/>
        <w:rPr>
          <w:rFonts w:ascii="Arial" w:cs="Arial" w:eastAsia="Arial" w:hAnsi="Arial"/>
          <w:sz w:val="18"/>
          <w:szCs w:val="18"/>
          <w:color w:val="auto"/>
        </w:rPr>
      </w:pPr>
    </w:p>
    <w:p>
      <w:pPr>
        <w:jc w:val="both"/>
        <w:ind w:left="640" w:hanging="632"/>
        <w:spacing w:after="0" w:line="298"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Plan and the transactions contemplated thereby and transfers and payments to be made thereunder are not and will not be affected or prohibited by any financial restrictions or sanctions imposed by the United Nations, the European Union or Ireland or which arise under any human rights, anti-terrorism, anti-corruption, anti-money laundering or exchange control laws and regulations of the European Union or Ireland, including, without limitation, any arising from orders made under the Financial Transfers Act 1992 of Ireland, the Criminal Justice (Terrorist Offences) Acts 2005 and 2015 of Ireland or the Criminal Justice (Money Laundering and Terrorist Financing) Acts 2010 to 2021 of Ireland.</w:t>
      </w:r>
    </w:p>
    <w:p>
      <w:pPr>
        <w:spacing w:after="0" w:line="172" w:lineRule="exact"/>
        <w:rPr>
          <w:rFonts w:ascii="Arial" w:cs="Arial" w:eastAsia="Arial" w:hAnsi="Arial"/>
          <w:sz w:val="18"/>
          <w:szCs w:val="18"/>
          <w:color w:val="auto"/>
        </w:rPr>
      </w:pPr>
    </w:p>
    <w:p>
      <w:pPr>
        <w:jc w:val="both"/>
        <w:ind w:left="640" w:hanging="632"/>
        <w:spacing w:after="0" w:line="302"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disclosed by the Searches was accurate and complete as of the date the Searches were made and has not been altered, the Searches did not fail to disclose any information which had been delivered for registration but which did not appear from the information available at the time the Searches were made or which ought to have been delivered for registration at that time but had not been so delivered and no additional matters would have been disclosed by additional searches being carried out since that time.</w:t>
      </w:r>
    </w:p>
    <w:p>
      <w:pPr>
        <w:spacing w:after="0" w:line="169" w:lineRule="exact"/>
        <w:rPr>
          <w:rFonts w:ascii="Arial" w:cs="Arial" w:eastAsia="Arial" w:hAnsi="Arial"/>
          <w:sz w:val="18"/>
          <w:szCs w:val="18"/>
          <w:color w:val="auto"/>
        </w:rPr>
      </w:pPr>
    </w:p>
    <w:p>
      <w:pPr>
        <w:jc w:val="both"/>
        <w:ind w:left="640" w:hanging="632"/>
        <w:spacing w:after="0" w:line="304"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time of the allotment and issue of any Additional Plan Shares or, if earlier, the granting of any Rights, the Company will not have passed a voluntary winding-up resolution or a resolution to place the Company under court protection or to appoint a process adviser, and no petition will have been presented to, or order will have been made by, a court for the winding-up of the Company or to place the Company under court protection or for the appointment of a process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5728970</wp:posOffset>
            </wp:positionH>
            <wp:positionV relativeFrom="page">
              <wp:posOffset>88900</wp:posOffset>
            </wp:positionV>
            <wp:extent cx="161163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Schedule 3</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opinions contained herein are given subject to the qualifications set out in this Schedule.</w:t>
      </w:r>
    </w:p>
    <w:p>
      <w:pPr>
        <w:spacing w:after="0" w:line="266" w:lineRule="exact"/>
        <w:rPr>
          <w:sz w:val="20"/>
          <w:szCs w:val="20"/>
          <w:color w:val="auto"/>
        </w:rPr>
      </w:pPr>
    </w:p>
    <w:p>
      <w:pPr>
        <w:ind w:left="640" w:hanging="632"/>
        <w:spacing w:after="0" w:line="318"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search in the Companies Registration Office will not reveal whether a petition has been presented to the Irish courts for the appointment of a liquidator or an examiner.</w:t>
      </w:r>
    </w:p>
    <w:p>
      <w:pPr>
        <w:spacing w:after="0" w:line="166" w:lineRule="exact"/>
        <w:rPr>
          <w:rFonts w:ascii="Arial" w:cs="Arial" w:eastAsia="Arial" w:hAnsi="Arial"/>
          <w:sz w:val="18"/>
          <w:szCs w:val="18"/>
          <w:color w:val="auto"/>
        </w:rPr>
      </w:pPr>
    </w:p>
    <w:p>
      <w:pPr>
        <w:jc w:val="both"/>
        <w:ind w:left="640" w:hanging="632"/>
        <w:spacing w:after="0" w:line="298"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search of the Register of Winding-up Petitions should reveal the existence of a petition for the appointment of a liquidator or an examiner but there may be a time lag between presentation and entry of particulars of the petition on the Register of Winding-up Petitions and accordingly a search of the Register of Winding-up Petitions may fail to reveal that any such petition has been presented. Furthermore in the case of certain smaller companies a petition for the appointment of an examiner may be presented to the Circuit Court and a search of the Register of Winding-up Petitions will not reveal the existence of such a petition.</w:t>
      </w:r>
    </w:p>
    <w:p>
      <w:pPr>
        <w:spacing w:after="0" w:line="172" w:lineRule="exact"/>
        <w:rPr>
          <w:rFonts w:ascii="Arial" w:cs="Arial" w:eastAsia="Arial" w:hAnsi="Arial"/>
          <w:sz w:val="18"/>
          <w:szCs w:val="18"/>
          <w:color w:val="auto"/>
        </w:rPr>
      </w:pPr>
    </w:p>
    <w:p>
      <w:pPr>
        <w:jc w:val="both"/>
        <w:ind w:left="640" w:hanging="632"/>
        <w:spacing w:after="0" w:line="304"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search in the Companies Registration Office should reveal the appointment of a liquidator, examiner, process adviser or receiver (whether by the Irish courts or, in the case of a liquidator, process adviser or a receiver, out of court). However, similarly there may be a time lag between the appointment and the filing of particulars of the appointment and accordingly a search in the Companies Registration Office may fail to reveal any such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375" w:lineRule="exact"/>
        <w:rPr>
          <w:sz w:val="20"/>
          <w:szCs w:val="20"/>
          <w:color w:val="auto"/>
        </w:rPr>
      </w:pPr>
    </w:p>
    <w:p>
      <w:pPr>
        <w:ind w:right="80"/>
        <w:spacing w:after="0" w:line="322" w:lineRule="auto"/>
        <w:rPr>
          <w:sz w:val="20"/>
          <w:szCs w:val="20"/>
          <w:color w:val="auto"/>
        </w:rPr>
      </w:pPr>
      <w:r>
        <w:rPr>
          <w:rFonts w:ascii="Times New Roman" w:cs="Times New Roman" w:eastAsia="Times New Roman" w:hAnsi="Times New Roman"/>
          <w:sz w:val="21"/>
          <w:szCs w:val="21"/>
          <w:color w:val="auto"/>
        </w:rPr>
        <w:t>We consent to the use of our reports dated February 6, 2025, with respect to the consolidated financial statements of Weatherford International plc, and the effectiveness of internal control over financial reporting, incorporated herein by reference.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KPMG LLP</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13, 2025</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11" Type="http://schemas.openxmlformats.org/officeDocument/2006/relationships/hyperlink" Target="https://www.sec.gov/ix?doc=/Archives/edgar/data/0001603923/000160392325000050/wfrd-20241231.htm" TargetMode="External"/><Relationship Id="rId12" Type="http://schemas.openxmlformats.org/officeDocument/2006/relationships/hyperlink" Target="https://www.sec.gov/Archives/edgar/data/1603923/000110465921042795/tm2110708d1_1012b.htm" TargetMode="External"/><Relationship Id="rId13" Type="http://schemas.openxmlformats.org/officeDocument/2006/relationships/hyperlink" Target="https://www.sec.gov/Archives/edgar/data/1603923/000160392322000051/exhibit41descriptionofsecu.htm" TargetMode="External"/><Relationship Id="rId14" Type="http://schemas.openxmlformats.org/officeDocument/2006/relationships/hyperlink" Target="https://www.sec.gov/Archives/edgar/data/1603923/000110465919073841/tm1925198d1_ex3-1.htm" TargetMode="External"/><Relationship Id="rId15" Type="http://schemas.openxmlformats.org/officeDocument/2006/relationships/hyperlink" Target="https://www.sec.gov/Archives/edgar/data/1603923/000160392325000123/fourthamendedandrestated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2025-06-13T15:44:14Z</dcterms:created>
  <dcterms:modified xsi:type="dcterms:W3CDTF">2025-06-13T15:44:14Z</dcterms:modified>
</cp:coreProperties>
</file>