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40" w:right="8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-226060</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5" w:lineRule="exact"/>
        <w:rPr>
          <w:sz w:val="24"/>
          <w:szCs w:val="24"/>
          <w:color w:val="auto"/>
        </w:rPr>
      </w:pPr>
    </w:p>
    <w:p>
      <w:pPr>
        <w:ind w:left="340"/>
        <w:spacing w:after="0" w:line="24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-565785</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-613410</wp:posOffset>
            </wp:positionV>
            <wp:extent cx="57785" cy="626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726440</wp:posOffset>
            </wp:positionV>
            <wp:extent cx="6996430" cy="5151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6430" cy="5151120"/>
                    </a:xfrm>
                    <a:prstGeom prst="rect">
                      <a:avLst/>
                    </a:prstGeom>
                    <a:noFill/>
                  </pic:spPr>
                </pic:pic>
              </a:graphicData>
            </a:graphic>
          </wp:anchor>
        </w:drawing>
      </w:r>
    </w:p>
    <w:p>
      <w:pPr>
        <w:spacing w:after="0" w:line="1195" w:lineRule="exact"/>
        <w:rPr>
          <w:sz w:val="24"/>
          <w:szCs w:val="24"/>
          <w:color w:val="auto"/>
        </w:rPr>
      </w:pPr>
    </w:p>
    <w:p>
      <w:pPr>
        <w:sectPr>
          <w:pgSz w:w="11900" w:h="16838" w:orient="portrait"/>
          <w:cols w:equalWidth="0" w:num="2">
            <w:col w:w="2280" w:space="360"/>
            <w:col w:w="8440"/>
          </w:cols>
          <w:pgMar w:left="460" w:top="215"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Saligram Girish</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2000 ST. JAMES PLACE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Weatherford International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02/06/2025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8" w:right="680" w:hanging="8"/>
        <w:spacing w:after="0" w:line="250" w:lineRule="auto"/>
        <w:tabs>
          <w:tab w:leader="none" w:pos="14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5"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8" w:lineRule="exact"/>
        <w:rPr>
          <w:sz w:val="24"/>
          <w:szCs w:val="24"/>
          <w:color w:val="auto"/>
        </w:rPr>
      </w:pPr>
    </w:p>
    <w:p>
      <w:pPr>
        <w:ind w:left="948"/>
        <w:spacing w:after="0"/>
        <w:rPr>
          <w:sz w:val="20"/>
          <w:szCs w:val="20"/>
          <w:color w:val="auto"/>
        </w:rPr>
      </w:pPr>
      <w:r>
        <w:rPr>
          <w:rFonts w:ascii="Times New Roman" w:cs="Times New Roman" w:eastAsia="Times New Roman" w:hAnsi="Times New Roman"/>
          <w:sz w:val="16"/>
          <w:szCs w:val="16"/>
          <w:color w:val="0000FF"/>
        </w:rPr>
        <w:t>President and CEO</w:t>
      </w:r>
    </w:p>
    <w:p>
      <w:pPr>
        <w:spacing w:after="0" w:line="275" w:lineRule="exact"/>
        <w:rPr>
          <w:sz w:val="24"/>
          <w:szCs w:val="24"/>
          <w:color w:val="auto"/>
        </w:rPr>
      </w:pPr>
    </w:p>
    <w:p>
      <w:pPr>
        <w:sectPr>
          <w:pgSz w:w="11900" w:h="16838" w:orient="portrait"/>
          <w:cols w:equalWidth="0" w:num="3">
            <w:col w:w="3180" w:space="720"/>
            <w:col w:w="3160" w:space="672"/>
            <w:col w:w="3348"/>
          </w:cols>
          <w:pgMar w:left="460" w:top="215"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shd w:val="clear" w:color="auto" w:fill="9A9A9A"/>
          </w:tcPr>
          <w:p>
            <w:pPr>
              <w:spacing w:after="0"/>
              <w:rPr>
                <w:sz w:val="3"/>
                <w:szCs w:val="3"/>
                <w:color w:val="auto"/>
              </w:rPr>
            </w:pPr>
          </w:p>
        </w:tc>
        <w:tc>
          <w:tcPr>
            <w:tcW w:w="520" w:type="dxa"/>
            <w:vAlign w:val="bottom"/>
            <w:shd w:val="clear" w:color="auto" w:fill="9A9A9A"/>
          </w:tcPr>
          <w:p>
            <w:pPr>
              <w:spacing w:after="0"/>
              <w:rPr>
                <w:sz w:val="3"/>
                <w:szCs w:val="3"/>
                <w:color w:val="auto"/>
              </w:rPr>
            </w:pPr>
          </w:p>
        </w:tc>
        <w:tc>
          <w:tcPr>
            <w:tcW w:w="260" w:type="dxa"/>
            <w:vAlign w:val="bottom"/>
            <w:shd w:val="clear" w:color="auto" w:fill="9A9A9A"/>
          </w:tcPr>
          <w:p>
            <w:pPr>
              <w:spacing w:after="0"/>
              <w:rPr>
                <w:sz w:val="3"/>
                <w:szCs w:val="3"/>
                <w:color w:val="auto"/>
              </w:rPr>
            </w:pPr>
          </w:p>
        </w:tc>
        <w:tc>
          <w:tcPr>
            <w:tcW w:w="980" w:type="dxa"/>
            <w:vAlign w:val="bottom"/>
            <w:shd w:val="clear" w:color="auto" w:fill="9A9A9A"/>
          </w:tcPr>
          <w:p>
            <w:pPr>
              <w:spacing w:after="0"/>
              <w:rPr>
                <w:sz w:val="3"/>
                <w:szCs w:val="3"/>
                <w:color w:val="auto"/>
              </w:rPr>
            </w:pPr>
          </w:p>
        </w:tc>
        <w:tc>
          <w:tcPr>
            <w:tcW w:w="11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660" w:type="dxa"/>
            <w:vAlign w:val="bottom"/>
            <w:gridSpan w:val="6"/>
            <w:vMerge w:val="restart"/>
          </w:tcPr>
          <w:p>
            <w:pPr>
              <w:jc w:val="center"/>
              <w:ind w:right="118"/>
              <w:spacing w:after="0"/>
              <w:rPr>
                <w:sz w:val="20"/>
                <w:szCs w:val="20"/>
                <w:color w:val="auto"/>
              </w:rPr>
            </w:pPr>
            <w:r>
              <w:rPr>
                <w:rFonts w:ascii="Arial" w:cs="Arial" w:eastAsia="Arial" w:hAnsi="Arial"/>
                <w:sz w:val="13"/>
                <w:szCs w:val="13"/>
                <w:color w:val="auto"/>
                <w:w w:val="96"/>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6"/>
            <w:vMerge w:val="continue"/>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HOUSTON</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TX</w:t>
            </w:r>
          </w:p>
        </w:tc>
        <w:tc>
          <w:tcPr>
            <w:tcW w:w="98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6"/>
                <w:szCs w:val="16"/>
                <w:color w:val="0000FF"/>
              </w:rPr>
              <w:t>77056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20" w:type="dxa"/>
            <w:vAlign w:val="bottom"/>
            <w:tcBorders>
              <w:top w:val="single" w:sz="8" w:color="EEEEEE"/>
            </w:tcBorders>
          </w:tcPr>
          <w:p>
            <w:pPr>
              <w:spacing w:after="0"/>
              <w:rPr>
                <w:sz w:val="15"/>
                <w:szCs w:val="15"/>
                <w:color w:val="auto"/>
              </w:rPr>
            </w:pPr>
          </w:p>
        </w:tc>
        <w:tc>
          <w:tcPr>
            <w:tcW w:w="124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2"/>
          </w:tcPr>
          <w:p>
            <w:pPr>
              <w:jc w:val="center"/>
              <w:ind w:left="59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4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760"/>
              <w:spacing w:after="0"/>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20" w:type="dxa"/>
            <w:vAlign w:val="bottom"/>
            <w:gridSpan w:val="3"/>
          </w:tcPr>
          <w:p>
            <w:pPr>
              <w:ind w:left="76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jc w:val="right"/>
              <w:ind w:right="174"/>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02/06/2025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230,734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right="74"/>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406,143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73"/>
              <w:spacing w:after="0"/>
              <w:rPr>
                <w:sz w:val="20"/>
                <w:szCs w:val="20"/>
                <w:color w:val="auto"/>
              </w:rPr>
            </w:pPr>
            <w:r>
              <w:rPr>
                <w:rFonts w:ascii="Times New Roman" w:cs="Times New Roman" w:eastAsia="Times New Roman" w:hAnsi="Times New Roman"/>
                <w:sz w:val="16"/>
                <w:szCs w:val="16"/>
                <w:color w:val="0000FF"/>
              </w:rPr>
              <w:t>02/06/2025</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90,794</w:t>
            </w:r>
          </w:p>
        </w:tc>
        <w:tc>
          <w:tcPr>
            <w:tcW w:w="60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65.36</w:t>
            </w: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315,349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52,105</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Spousal</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9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804,820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6"/>
                <w:szCs w:val="16"/>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80" w:type="dxa"/>
            <w:vAlign w:val="bottom"/>
            <w:gridSpan w:val="9"/>
          </w:tcPr>
          <w:p>
            <w:pPr>
              <w:jc w:val="right"/>
              <w:ind w:right="174"/>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6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gridSpan w:val="2"/>
          </w:tcPr>
          <w:p>
            <w:pPr>
              <w:jc w:val="center"/>
              <w:ind w:right="417"/>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2022 Annual</w:t>
            </w: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230,734</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3"/>
                <w:szCs w:val="13"/>
                <w:color w:val="0000FF"/>
              </w:rPr>
              <w:t>Performance</w:t>
            </w:r>
          </w:p>
        </w:tc>
        <w:tc>
          <w:tcPr>
            <w:tcW w:w="52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117"/>
              <w:spacing w:after="0" w:line="127" w:lineRule="exact"/>
              <w:rPr>
                <w:sz w:val="20"/>
                <w:szCs w:val="20"/>
                <w:color w:val="auto"/>
              </w:rPr>
            </w:pPr>
            <w:r>
              <w:rPr>
                <w:rFonts w:ascii="Times New Roman" w:cs="Times New Roman" w:eastAsia="Times New Roman" w:hAnsi="Times New Roman"/>
                <w:sz w:val="13"/>
                <w:szCs w:val="13"/>
                <w:color w:val="0000FF"/>
              </w:rPr>
              <w:t>02/06/2025</w:t>
            </w: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60"/>
              <w:spacing w:after="0" w:line="127" w:lineRule="exact"/>
              <w:rPr>
                <w:sz w:val="20"/>
                <w:szCs w:val="20"/>
                <w:color w:val="auto"/>
              </w:rPr>
            </w:pPr>
            <w:r>
              <w:rPr>
                <w:rFonts w:ascii="Times New Roman" w:cs="Times New Roman" w:eastAsia="Times New Roman" w:hAnsi="Times New Roman"/>
                <w:sz w:val="13"/>
                <w:szCs w:val="13"/>
                <w:color w:val="0000FF"/>
              </w:rPr>
              <w:t>230,734</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0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400"/>
              <w:spacing w:after="0" w:line="127"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7"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-1728470</wp:posOffset>
            </wp:positionV>
            <wp:extent cx="28575" cy="1734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3418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2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performance share units ("PSUs") granted on January 18, 2022 under the Issuer's 2019 Equity Incentive Plan, as amended and restated (the "2019 EIP"). The award vested at 182% based on achievement of performance metrics during the three-year performance period, which ended on December 31, 2024.</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obligations upon vesting, pursuant to the Plan, and the relevant award agreement.</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spousal lifetime access trust, of which the reporting person's spouse is the trustee and beneficiary.</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 a trust, of which the reporting person and his spouse are the grantors, trustees and beneficiaries.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Kathy Medford by Power of</w:t>
            </w:r>
          </w:p>
        </w:tc>
        <w:tc>
          <w:tcPr>
            <w:tcW w:w="16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02/10/2025</w:t>
            </w:r>
          </w:p>
        </w:tc>
        <w:tc>
          <w:tcPr>
            <w:tcW w:w="0" w:type="dxa"/>
            <w:vAlign w:val="bottom"/>
          </w:tcPr>
          <w:p>
            <w:pPr>
              <w:spacing w:after="0"/>
              <w:rPr>
                <w:sz w:val="1"/>
                <w:szCs w:val="1"/>
                <w:color w:val="auto"/>
              </w:rPr>
            </w:pPr>
          </w:p>
        </w:tc>
      </w:tr>
      <w:tr>
        <w:trPr>
          <w:trHeight w:val="81"/>
        </w:trPr>
        <w:tc>
          <w:tcPr>
            <w:tcW w:w="58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8"/>
              </w:rPr>
              <w:t>Attorney</w:t>
            </w:r>
          </w:p>
        </w:tc>
        <w:tc>
          <w:tcPr>
            <w:tcW w:w="14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580" w:type="dxa"/>
            <w:vAlign w:val="bottom"/>
            <w:tcBorders>
              <w:bottom w:val="single" w:sz="8" w:color="auto"/>
            </w:tcBorders>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885" TargetMode="External"/><Relationship Id="rId14"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2025-02-10T16:23:06Z</dcterms:created>
  <dcterms:modified xsi:type="dcterms:W3CDTF">2025-02-10T16:23:06Z</dcterms:modified>
</cp:coreProperties>
</file>