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sz w:val="20"/>
          <w:szCs w:val="20"/>
          <w:color w:val="auto"/>
        </w:rPr>
      </w:pPr>
      <w:r>
        <w:rPr>
          <w:rFonts w:ascii="Times New Roman" w:cs="Times New Roman" w:eastAsia="Times New Roman" w:hAnsi="Times New Roman"/>
          <w:sz w:val="19"/>
          <w:szCs w:val="19"/>
          <w:color w:val="auto"/>
        </w:rPr>
        <w:t>Form 144 Filer Information UNITED STATES</w:t>
      </w:r>
    </w:p>
    <w:p>
      <w:pPr>
        <w:spacing w:after="0" w:line="32"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9"/>
          <w:szCs w:val="19"/>
          <w:color w:val="auto"/>
        </w:rPr>
        <w:t>SECURITIES AND EXCHANGE COMMISSION</w:t>
      </w:r>
    </w:p>
    <w:p>
      <w:pPr>
        <w:spacing w:after="0" w:line="10"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9"/>
          <w:szCs w:val="19"/>
          <w:color w:val="auto"/>
        </w:rPr>
        <w:t>Washington, D.C. 20549</w:t>
      </w:r>
    </w:p>
    <w:p>
      <w:pPr>
        <w:spacing w:after="0" w:line="216" w:lineRule="exact"/>
        <w:rPr>
          <w:sz w:val="24"/>
          <w:szCs w:val="24"/>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19"/>
          <w:szCs w:val="19"/>
          <w:color w:val="auto"/>
        </w:rPr>
        <w:t>FORM 144</w:t>
      </w:r>
      <w:r>
        <w:rPr>
          <w:sz w:val="20"/>
          <w:szCs w:val="20"/>
          <w:color w:val="auto"/>
        </w:rPr>
        <w:tab/>
      </w:r>
      <w:r>
        <w:rPr>
          <w:rFonts w:ascii="Times New Roman" w:cs="Times New Roman" w:eastAsia="Times New Roman" w:hAnsi="Times New Roman"/>
          <w:sz w:val="18"/>
          <w:szCs w:val="18"/>
          <w:color w:val="auto"/>
        </w:rPr>
        <w:t>Form 144</w:t>
      </w:r>
    </w:p>
    <w:p>
      <w:pPr>
        <w:spacing w:after="0" w:line="239"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7"/>
          <w:szCs w:val="17"/>
          <w:color w:val="auto"/>
        </w:rPr>
        <w:t>NOTICE OF PROPOSED SALE OF SECURITIES</w:t>
      </w:r>
    </w:p>
    <w:p>
      <w:pPr>
        <w:spacing w:after="0" w:line="22"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7"/>
          <w:szCs w:val="17"/>
          <w:color w:val="auto"/>
        </w:rPr>
        <w:t>PURSUANT TO RULE 144 UNDER THE SECURITIES ACT OF 1933</w:t>
      </w: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Filer Information</w:t>
      </w:r>
    </w:p>
    <w:p>
      <w:pPr>
        <w:spacing w:after="0" w:line="326"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Filer CIK</w:t>
            </w:r>
          </w:p>
        </w:tc>
        <w:tc>
          <w:tcPr>
            <w:tcW w:w="35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0001659429</w:t>
            </w:r>
          </w:p>
        </w:tc>
        <w:tc>
          <w:tcPr>
            <w:tcW w:w="3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Filer CCC</w:t>
            </w:r>
          </w:p>
        </w:tc>
        <w:tc>
          <w:tcPr>
            <w:tcW w:w="35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XXXXXXXX</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Is this a LIVE or TEST Filing?</w:t>
            </w:r>
          </w:p>
        </w:tc>
        <w:tc>
          <w:tcPr>
            <w:tcW w:w="354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LIVE   TEST</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b w:val="1"/>
                <w:bCs w:val="1"/>
                <w:i w:val="1"/>
                <w:iCs w:val="1"/>
                <w:color w:val="auto"/>
              </w:rPr>
              <w:t>Submission Contact Information</w:t>
            </w:r>
          </w:p>
        </w:tc>
        <w:tc>
          <w:tcPr>
            <w:tcW w:w="35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Name</w:t>
            </w:r>
          </w:p>
        </w:tc>
        <w:tc>
          <w:tcPr>
            <w:tcW w:w="35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Phone</w:t>
            </w:r>
          </w:p>
        </w:tc>
        <w:tc>
          <w:tcPr>
            <w:tcW w:w="35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E-Mail Address</w:t>
            </w:r>
          </w:p>
        </w:tc>
        <w:tc>
          <w:tcPr>
            <w:tcW w:w="35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2"/>
        </w:trPr>
        <w:tc>
          <w:tcPr>
            <w:tcW w:w="6200" w:type="dxa"/>
            <w:vAlign w:val="bottom"/>
            <w:gridSpan w:val="2"/>
          </w:tcPr>
          <w:p>
            <w:pPr>
              <w:spacing w:after="0"/>
              <w:rPr>
                <w:sz w:val="20"/>
                <w:szCs w:val="20"/>
                <w:color w:val="auto"/>
              </w:rPr>
            </w:pPr>
            <w:r>
              <w:rPr>
                <w:rFonts w:ascii="Times New Roman" w:cs="Times New Roman" w:eastAsia="Times New Roman" w:hAnsi="Times New Roman"/>
                <w:sz w:val="38"/>
                <w:szCs w:val="38"/>
                <w:b w:val="1"/>
                <w:bCs w:val="1"/>
                <w:color w:val="auto"/>
              </w:rPr>
              <w:t>144: Issuer Information</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Name of Issuer</w:t>
            </w:r>
          </w:p>
        </w:tc>
        <w:tc>
          <w:tcPr>
            <w:tcW w:w="3540" w:type="dxa"/>
            <w:vAlign w:val="bottom"/>
          </w:tcPr>
          <w:p>
            <w:pPr>
              <w:spacing w:after="0"/>
              <w:rPr>
                <w:sz w:val="24"/>
                <w:szCs w:val="24"/>
                <w:color w:val="auto"/>
              </w:rPr>
            </w:pPr>
          </w:p>
        </w:tc>
        <w:tc>
          <w:tcPr>
            <w:tcW w:w="3360" w:type="dxa"/>
            <w:vAlign w:val="bottom"/>
          </w:tcPr>
          <w:p>
            <w:pPr>
              <w:ind w:left="1080"/>
              <w:spacing w:after="0"/>
              <w:rPr>
                <w:sz w:val="20"/>
                <w:szCs w:val="20"/>
                <w:color w:val="auto"/>
              </w:rPr>
            </w:pPr>
            <w:r>
              <w:rPr>
                <w:rFonts w:ascii="Times New Roman" w:cs="Times New Roman" w:eastAsia="Times New Roman" w:hAnsi="Times New Roman"/>
                <w:sz w:val="19"/>
                <w:szCs w:val="19"/>
                <w:color w:val="auto"/>
              </w:rPr>
              <w:t>Weatherford International plc</w:t>
            </w:r>
          </w:p>
        </w:tc>
        <w:tc>
          <w:tcPr>
            <w:tcW w:w="0" w:type="dxa"/>
            <w:vAlign w:val="bottom"/>
          </w:tcPr>
          <w:p>
            <w:pPr>
              <w:spacing w:after="0"/>
              <w:rPr>
                <w:sz w:val="1"/>
                <w:szCs w:val="1"/>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SEC File Number</w:t>
            </w:r>
          </w:p>
        </w:tc>
        <w:tc>
          <w:tcPr>
            <w:tcW w:w="3540" w:type="dxa"/>
            <w:vAlign w:val="bottom"/>
          </w:tcPr>
          <w:p>
            <w:pPr>
              <w:spacing w:after="0"/>
              <w:rPr>
                <w:sz w:val="24"/>
                <w:szCs w:val="24"/>
                <w:color w:val="auto"/>
              </w:rPr>
            </w:pPr>
          </w:p>
        </w:tc>
        <w:tc>
          <w:tcPr>
            <w:tcW w:w="3360" w:type="dxa"/>
            <w:vAlign w:val="bottom"/>
          </w:tcPr>
          <w:p>
            <w:pPr>
              <w:ind w:left="1080"/>
              <w:spacing w:after="0"/>
              <w:rPr>
                <w:sz w:val="20"/>
                <w:szCs w:val="20"/>
                <w:color w:val="auto"/>
              </w:rPr>
            </w:pPr>
            <w:r>
              <w:rPr>
                <w:rFonts w:ascii="Times New Roman" w:cs="Times New Roman" w:eastAsia="Times New Roman" w:hAnsi="Times New Roman"/>
                <w:sz w:val="19"/>
                <w:szCs w:val="19"/>
                <w:color w:val="auto"/>
              </w:rPr>
              <w:t>001-36504</w:t>
            </w:r>
          </w:p>
        </w:tc>
        <w:tc>
          <w:tcPr>
            <w:tcW w:w="0" w:type="dxa"/>
            <w:vAlign w:val="bottom"/>
          </w:tcPr>
          <w:p>
            <w:pPr>
              <w:spacing w:after="0"/>
              <w:rPr>
                <w:sz w:val="1"/>
                <w:szCs w:val="1"/>
                <w:color w:val="auto"/>
              </w:rPr>
            </w:pPr>
          </w:p>
        </w:tc>
      </w:tr>
      <w:tr>
        <w:trPr>
          <w:trHeight w:val="253"/>
        </w:trPr>
        <w:tc>
          <w:tcPr>
            <w:tcW w:w="266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3360" w:type="dxa"/>
            <w:vAlign w:val="bottom"/>
          </w:tcPr>
          <w:p>
            <w:pPr>
              <w:ind w:left="1080"/>
              <w:spacing w:after="0"/>
              <w:rPr>
                <w:sz w:val="20"/>
                <w:szCs w:val="20"/>
                <w:color w:val="auto"/>
              </w:rPr>
            </w:pPr>
            <w:r>
              <w:rPr>
                <w:rFonts w:ascii="Times New Roman" w:cs="Times New Roman" w:eastAsia="Times New Roman" w:hAnsi="Times New Roman"/>
                <w:sz w:val="19"/>
                <w:szCs w:val="19"/>
                <w:color w:val="auto"/>
              </w:rPr>
              <w:t>2000 ST. JAMES PLACE</w:t>
            </w:r>
          </w:p>
        </w:tc>
        <w:tc>
          <w:tcPr>
            <w:tcW w:w="0" w:type="dxa"/>
            <w:vAlign w:val="bottom"/>
          </w:tcPr>
          <w:p>
            <w:pPr>
              <w:spacing w:after="0"/>
              <w:rPr>
                <w:sz w:val="1"/>
                <w:szCs w:val="1"/>
                <w:color w:val="auto"/>
              </w:rPr>
            </w:pPr>
          </w:p>
        </w:tc>
      </w:tr>
      <w:tr>
        <w:trPr>
          <w:trHeight w:val="228"/>
        </w:trPr>
        <w:tc>
          <w:tcPr>
            <w:tcW w:w="266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Address of Issuer</w:t>
            </w:r>
          </w:p>
        </w:tc>
        <w:tc>
          <w:tcPr>
            <w:tcW w:w="3540" w:type="dxa"/>
            <w:vAlign w:val="bottom"/>
          </w:tcPr>
          <w:p>
            <w:pPr>
              <w:spacing w:after="0"/>
              <w:rPr>
                <w:sz w:val="19"/>
                <w:szCs w:val="19"/>
                <w:color w:val="auto"/>
              </w:rPr>
            </w:pPr>
          </w:p>
        </w:tc>
        <w:tc>
          <w:tcPr>
            <w:tcW w:w="3360" w:type="dxa"/>
            <w:vAlign w:val="bottom"/>
          </w:tcPr>
          <w:p>
            <w:pPr>
              <w:ind w:left="1080"/>
              <w:spacing w:after="0"/>
              <w:rPr>
                <w:sz w:val="20"/>
                <w:szCs w:val="20"/>
                <w:color w:val="auto"/>
              </w:rPr>
            </w:pPr>
            <w:r>
              <w:rPr>
                <w:rFonts w:ascii="Times New Roman" w:cs="Times New Roman" w:eastAsia="Times New Roman" w:hAnsi="Times New Roman"/>
                <w:sz w:val="19"/>
                <w:szCs w:val="19"/>
                <w:color w:val="auto"/>
              </w:rPr>
              <w:t>HOUSTON</w:t>
            </w:r>
          </w:p>
        </w:tc>
        <w:tc>
          <w:tcPr>
            <w:tcW w:w="0" w:type="dxa"/>
            <w:vAlign w:val="bottom"/>
          </w:tcPr>
          <w:p>
            <w:pPr>
              <w:spacing w:after="0"/>
              <w:rPr>
                <w:sz w:val="1"/>
                <w:szCs w:val="1"/>
                <w:color w:val="auto"/>
              </w:rPr>
            </w:pPr>
          </w:p>
        </w:tc>
      </w:tr>
      <w:tr>
        <w:trPr>
          <w:trHeight w:val="131"/>
        </w:trPr>
        <w:tc>
          <w:tcPr>
            <w:tcW w:w="2660" w:type="dxa"/>
            <w:vAlign w:val="bottom"/>
            <w:vMerge w:val="continue"/>
          </w:tcPr>
          <w:p>
            <w:pPr>
              <w:spacing w:after="0"/>
              <w:rPr>
                <w:sz w:val="11"/>
                <w:szCs w:val="11"/>
                <w:color w:val="auto"/>
              </w:rPr>
            </w:pPr>
          </w:p>
        </w:tc>
        <w:tc>
          <w:tcPr>
            <w:tcW w:w="3540" w:type="dxa"/>
            <w:vAlign w:val="bottom"/>
          </w:tcPr>
          <w:p>
            <w:pPr>
              <w:spacing w:after="0"/>
              <w:rPr>
                <w:sz w:val="11"/>
                <w:szCs w:val="11"/>
                <w:color w:val="auto"/>
              </w:rPr>
            </w:pPr>
          </w:p>
        </w:tc>
        <w:tc>
          <w:tcPr>
            <w:tcW w:w="3360" w:type="dxa"/>
            <w:vAlign w:val="bottom"/>
            <w:vMerge w:val="restart"/>
          </w:tcPr>
          <w:p>
            <w:pPr>
              <w:ind w:left="1080"/>
              <w:spacing w:after="0"/>
              <w:rPr>
                <w:sz w:val="20"/>
                <w:szCs w:val="20"/>
                <w:color w:val="auto"/>
              </w:rPr>
            </w:pPr>
            <w:r>
              <w:rPr>
                <w:rFonts w:ascii="Times New Roman" w:cs="Times New Roman" w:eastAsia="Times New Roman" w:hAnsi="Times New Roman"/>
                <w:sz w:val="19"/>
                <w:szCs w:val="19"/>
                <w:color w:val="auto"/>
              </w:rPr>
              <w:t>TEXAS</w:t>
            </w:r>
          </w:p>
        </w:tc>
        <w:tc>
          <w:tcPr>
            <w:tcW w:w="0" w:type="dxa"/>
            <w:vAlign w:val="bottom"/>
          </w:tcPr>
          <w:p>
            <w:pPr>
              <w:spacing w:after="0"/>
              <w:rPr>
                <w:sz w:val="1"/>
                <w:szCs w:val="1"/>
                <w:color w:val="auto"/>
              </w:rPr>
            </w:pPr>
          </w:p>
        </w:tc>
      </w:tr>
      <w:tr>
        <w:trPr>
          <w:trHeight w:val="97"/>
        </w:trPr>
        <w:tc>
          <w:tcPr>
            <w:tcW w:w="2660" w:type="dxa"/>
            <w:vAlign w:val="bottom"/>
          </w:tcPr>
          <w:p>
            <w:pPr>
              <w:spacing w:after="0"/>
              <w:rPr>
                <w:sz w:val="8"/>
                <w:szCs w:val="8"/>
                <w:color w:val="auto"/>
              </w:rPr>
            </w:pPr>
          </w:p>
        </w:tc>
        <w:tc>
          <w:tcPr>
            <w:tcW w:w="3540" w:type="dxa"/>
            <w:vAlign w:val="bottom"/>
          </w:tcPr>
          <w:p>
            <w:pPr>
              <w:spacing w:after="0"/>
              <w:rPr>
                <w:sz w:val="8"/>
                <w:szCs w:val="8"/>
                <w:color w:val="auto"/>
              </w:rPr>
            </w:pPr>
          </w:p>
        </w:tc>
        <w:tc>
          <w:tcPr>
            <w:tcW w:w="3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1"/>
        </w:trPr>
        <w:tc>
          <w:tcPr>
            <w:tcW w:w="266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360" w:type="dxa"/>
            <w:vAlign w:val="bottom"/>
          </w:tcPr>
          <w:p>
            <w:pPr>
              <w:ind w:left="1080"/>
              <w:spacing w:after="0"/>
              <w:rPr>
                <w:sz w:val="20"/>
                <w:szCs w:val="20"/>
                <w:color w:val="auto"/>
              </w:rPr>
            </w:pPr>
            <w:r>
              <w:rPr>
                <w:rFonts w:ascii="Times New Roman" w:cs="Times New Roman" w:eastAsia="Times New Roman" w:hAnsi="Times New Roman"/>
                <w:sz w:val="19"/>
                <w:szCs w:val="19"/>
                <w:color w:val="auto"/>
              </w:rPr>
              <w:t>77056</w:t>
            </w:r>
          </w:p>
        </w:tc>
        <w:tc>
          <w:tcPr>
            <w:tcW w:w="0" w:type="dxa"/>
            <w:vAlign w:val="bottom"/>
          </w:tcPr>
          <w:p>
            <w:pPr>
              <w:spacing w:after="0"/>
              <w:rPr>
                <w:sz w:val="1"/>
                <w:szCs w:val="1"/>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Phone</w:t>
            </w:r>
          </w:p>
        </w:tc>
        <w:tc>
          <w:tcPr>
            <w:tcW w:w="3540" w:type="dxa"/>
            <w:vAlign w:val="bottom"/>
          </w:tcPr>
          <w:p>
            <w:pPr>
              <w:spacing w:after="0"/>
              <w:rPr>
                <w:sz w:val="24"/>
                <w:szCs w:val="24"/>
                <w:color w:val="auto"/>
              </w:rPr>
            </w:pPr>
          </w:p>
        </w:tc>
        <w:tc>
          <w:tcPr>
            <w:tcW w:w="3360" w:type="dxa"/>
            <w:vAlign w:val="bottom"/>
          </w:tcPr>
          <w:p>
            <w:pPr>
              <w:ind w:left="1080"/>
              <w:spacing w:after="0"/>
              <w:rPr>
                <w:sz w:val="20"/>
                <w:szCs w:val="20"/>
                <w:color w:val="auto"/>
              </w:rPr>
            </w:pPr>
            <w:r>
              <w:rPr>
                <w:rFonts w:ascii="Times New Roman" w:cs="Times New Roman" w:eastAsia="Times New Roman" w:hAnsi="Times New Roman"/>
                <w:sz w:val="19"/>
                <w:szCs w:val="19"/>
                <w:color w:val="auto"/>
              </w:rPr>
              <w:t>713.836.4000</w:t>
            </w:r>
          </w:p>
        </w:tc>
        <w:tc>
          <w:tcPr>
            <w:tcW w:w="0" w:type="dxa"/>
            <w:vAlign w:val="bottom"/>
          </w:tcPr>
          <w:p>
            <w:pPr>
              <w:spacing w:after="0"/>
              <w:rPr>
                <w:sz w:val="1"/>
                <w:szCs w:val="1"/>
                <w:color w:val="auto"/>
              </w:rPr>
            </w:pPr>
          </w:p>
        </w:tc>
      </w:tr>
      <w:tr>
        <w:trPr>
          <w:trHeight w:val="276"/>
        </w:trPr>
        <w:tc>
          <w:tcPr>
            <w:tcW w:w="620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Name of Person for Whose Account the Securities are To Be Sold</w:t>
            </w:r>
          </w:p>
        </w:tc>
        <w:tc>
          <w:tcPr>
            <w:tcW w:w="3360" w:type="dxa"/>
            <w:vAlign w:val="bottom"/>
          </w:tcPr>
          <w:p>
            <w:pPr>
              <w:ind w:left="1080"/>
              <w:spacing w:after="0"/>
              <w:rPr>
                <w:sz w:val="20"/>
                <w:szCs w:val="20"/>
                <w:color w:val="auto"/>
              </w:rPr>
            </w:pPr>
            <w:r>
              <w:rPr>
                <w:rFonts w:ascii="Times New Roman" w:cs="Times New Roman" w:eastAsia="Times New Roman" w:hAnsi="Times New Roman"/>
                <w:sz w:val="19"/>
                <w:szCs w:val="19"/>
                <w:color w:val="auto"/>
              </w:rPr>
              <w:t>Weatherholt Scott C</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1711325</wp:posOffset>
            </wp:positionH>
            <wp:positionV relativeFrom="paragraph">
              <wp:posOffset>-2947670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drawing>
          <wp:anchor simplePos="0" relativeHeight="251657728" behindDoc="1" locked="0" layoutInCell="0" allowOverlap="1">
            <wp:simplePos x="0" y="0"/>
            <wp:positionH relativeFrom="column">
              <wp:posOffset>2168525</wp:posOffset>
            </wp:positionH>
            <wp:positionV relativeFrom="paragraph">
              <wp:posOffset>-2947670</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5" w:lineRule="exact"/>
        <w:rPr>
          <w:sz w:val="24"/>
          <w:szCs w:val="24"/>
          <w:color w:val="auto"/>
        </w:rPr>
      </w:pPr>
    </w:p>
    <w:p>
      <w:pPr>
        <w:jc w:val="both"/>
        <w:ind w:left="40" w:right="20"/>
        <w:spacing w:after="0" w:line="265" w:lineRule="auto"/>
        <w:rPr>
          <w:sz w:val="20"/>
          <w:szCs w:val="20"/>
          <w:color w:val="auto"/>
        </w:rPr>
      </w:pPr>
      <w:r>
        <w:rPr>
          <w:rFonts w:ascii="Times New Roman" w:cs="Times New Roman" w:eastAsia="Times New Roman" w:hAnsi="Times New Roman"/>
          <w:sz w:val="19"/>
          <w:szCs w:val="19"/>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0" w:lineRule="exact"/>
        <w:rPr>
          <w:sz w:val="24"/>
          <w:szCs w:val="24"/>
          <w:color w:val="auto"/>
        </w:rPr>
      </w:pPr>
    </w:p>
    <w:p>
      <w:pPr>
        <w:spacing w:after="0" w:line="265"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19"/>
          <w:szCs w:val="19"/>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67" w:lineRule="exact"/>
        <w:rPr>
          <w:sz w:val="24"/>
          <w:szCs w:val="24"/>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Securities Information</w:t>
      </w:r>
    </w:p>
    <w:p>
      <w:pPr>
        <w:sectPr>
          <w:pgSz w:w="11900" w:h="16840" w:orient="portrait"/>
          <w:cols w:equalWidth="0" w:num="1">
            <w:col w:w="10560"/>
          </w:cols>
          <w:pgMar w:left="660" w:top="592" w:right="680" w:bottom="199" w:gutter="0" w:footer="0" w:header="0"/>
        </w:sectPr>
      </w:pPr>
    </w:p>
    <w:p>
      <w:pPr>
        <w:spacing w:after="0" w:line="324"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9"/>
          <w:szCs w:val="19"/>
          <w:b w:val="1"/>
          <w:bCs w:val="1"/>
          <w:color w:val="auto"/>
        </w:rPr>
        <w:t>Number of</w:t>
      </w:r>
    </w:p>
    <w:p>
      <w:pPr>
        <w:spacing w:after="0" w:line="34" w:lineRule="exact"/>
        <w:rPr>
          <w:sz w:val="24"/>
          <w:szCs w:val="24"/>
          <w:color w:val="auto"/>
        </w:rPr>
      </w:pPr>
    </w:p>
    <w:p>
      <w:pPr>
        <w:ind w:left="400"/>
        <w:spacing w:after="0"/>
        <w:tabs>
          <w:tab w:leader="none" w:pos="2420" w:val="left"/>
          <w:tab w:leader="none" w:pos="4760" w:val="left"/>
        </w:tabs>
        <w:rPr>
          <w:sz w:val="20"/>
          <w:szCs w:val="20"/>
          <w:color w:val="auto"/>
        </w:rPr>
      </w:pPr>
      <w:r>
        <w:rPr>
          <w:rFonts w:ascii="Times New Roman" w:cs="Times New Roman" w:eastAsia="Times New Roman" w:hAnsi="Times New Roman"/>
          <w:sz w:val="19"/>
          <w:szCs w:val="19"/>
          <w:b w:val="1"/>
          <w:bCs w:val="1"/>
          <w:color w:val="auto"/>
        </w:rPr>
        <w:t>Title of the Class of</w:t>
      </w:r>
      <w:r>
        <w:rPr>
          <w:sz w:val="20"/>
          <w:szCs w:val="20"/>
          <w:color w:val="auto"/>
        </w:rPr>
        <w:tab/>
      </w:r>
      <w:r>
        <w:rPr>
          <w:rFonts w:ascii="Times New Roman" w:cs="Times New Roman" w:eastAsia="Times New Roman" w:hAnsi="Times New Roman"/>
          <w:sz w:val="19"/>
          <w:szCs w:val="19"/>
          <w:b w:val="1"/>
          <w:bCs w:val="1"/>
          <w:color w:val="auto"/>
        </w:rPr>
        <w:t>Name and Address of the</w:t>
        <w:tab/>
        <w:t>Shares or</w:t>
      </w:r>
    </w:p>
    <w:p>
      <w:pPr>
        <w:spacing w:after="0" w:line="10" w:lineRule="exact"/>
        <w:rPr>
          <w:sz w:val="24"/>
          <w:szCs w:val="24"/>
          <w:color w:val="auto"/>
        </w:rPr>
      </w:pPr>
    </w:p>
    <w:p>
      <w:pPr>
        <w:ind w:left="320"/>
        <w:spacing w:after="0"/>
        <w:tabs>
          <w:tab w:leader="none" w:pos="3160" w:val="left"/>
          <w:tab w:leader="none" w:pos="4680" w:val="left"/>
        </w:tabs>
        <w:rPr>
          <w:sz w:val="20"/>
          <w:szCs w:val="20"/>
          <w:color w:val="auto"/>
        </w:rPr>
      </w:pPr>
      <w:r>
        <w:rPr>
          <w:rFonts w:ascii="Times New Roman" w:cs="Times New Roman" w:eastAsia="Times New Roman" w:hAnsi="Times New Roman"/>
          <w:sz w:val="19"/>
          <w:szCs w:val="19"/>
          <w:b w:val="1"/>
          <w:bCs w:val="1"/>
          <w:color w:val="auto"/>
        </w:rPr>
        <w:t>Securities To Be Sold</w:t>
      </w:r>
      <w:r>
        <w:rPr>
          <w:sz w:val="20"/>
          <w:szCs w:val="20"/>
          <w:color w:val="auto"/>
        </w:rPr>
        <w:tab/>
      </w:r>
      <w:r>
        <w:rPr>
          <w:rFonts w:ascii="Times New Roman" w:cs="Times New Roman" w:eastAsia="Times New Roman" w:hAnsi="Times New Roman"/>
          <w:sz w:val="19"/>
          <w:szCs w:val="19"/>
          <w:b w:val="1"/>
          <w:bCs w:val="1"/>
          <w:color w:val="auto"/>
        </w:rPr>
        <w:t>Broker</w:t>
      </w:r>
      <w:r>
        <w:rPr>
          <w:sz w:val="20"/>
          <w:szCs w:val="20"/>
          <w:color w:val="auto"/>
        </w:rPr>
        <w:tab/>
      </w:r>
      <w:r>
        <w:rPr>
          <w:rFonts w:ascii="Times New Roman" w:cs="Times New Roman" w:eastAsia="Times New Roman" w:hAnsi="Times New Roman"/>
          <w:sz w:val="18"/>
          <w:szCs w:val="18"/>
          <w:b w:val="1"/>
          <w:bCs w:val="1"/>
          <w:color w:val="auto"/>
        </w:rPr>
        <w:t>Other Units</w:t>
      </w:r>
    </w:p>
    <w:p>
      <w:pPr>
        <w:spacing w:after="0" w:line="10"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9"/>
          <w:szCs w:val="19"/>
          <w:b w:val="1"/>
          <w:bCs w:val="1"/>
          <w:color w:val="auto"/>
        </w:rPr>
        <w:t>To Be Sold</w:t>
      </w:r>
    </w:p>
    <w:p>
      <w:pPr>
        <w:spacing w:after="0" w:line="36"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9"/>
          <w:szCs w:val="19"/>
          <w:color w:val="auto"/>
        </w:rPr>
        <w:t>Merrill</w:t>
      </w:r>
    </w:p>
    <w:p>
      <w:pPr>
        <w:spacing w:after="0" w:line="32" w:lineRule="exact"/>
        <w:rPr>
          <w:sz w:val="24"/>
          <w:szCs w:val="24"/>
          <w:color w:val="auto"/>
        </w:rPr>
      </w:pPr>
    </w:p>
    <w:p>
      <w:pPr>
        <w:ind w:left="40"/>
        <w:spacing w:after="0"/>
        <w:tabs>
          <w:tab w:leader="none" w:pos="2360" w:val="left"/>
          <w:tab w:leader="none" w:pos="4600" w:val="left"/>
        </w:tabs>
        <w:rPr>
          <w:sz w:val="20"/>
          <w:szCs w:val="20"/>
          <w:color w:val="auto"/>
        </w:rPr>
      </w:pPr>
      <w:r>
        <w:rPr>
          <w:rFonts w:ascii="Times New Roman" w:cs="Times New Roman" w:eastAsia="Times New Roman" w:hAnsi="Times New Roman"/>
          <w:sz w:val="19"/>
          <w:szCs w:val="19"/>
          <w:color w:val="auto"/>
        </w:rPr>
        <w:t>Common Stock</w:t>
      </w:r>
      <w:r>
        <w:rPr>
          <w:sz w:val="20"/>
          <w:szCs w:val="20"/>
          <w:color w:val="auto"/>
        </w:rPr>
        <w:tab/>
      </w:r>
      <w:r>
        <w:rPr>
          <w:rFonts w:ascii="Times New Roman" w:cs="Times New Roman" w:eastAsia="Times New Roman" w:hAnsi="Times New Roman"/>
          <w:sz w:val="19"/>
          <w:szCs w:val="19"/>
          <w:color w:val="auto"/>
        </w:rPr>
        <w:t>800 Capitol St. Suite 1900</w:t>
        <w:tab/>
        <w:t>8550</w:t>
      </w:r>
    </w:p>
    <w:p>
      <w:pPr>
        <w:spacing w:after="0" w:line="10"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9"/>
          <w:szCs w:val="19"/>
          <w:color w:val="auto"/>
        </w:rPr>
        <w:t>Houston  TX  77002</w:t>
      </w:r>
    </w:p>
    <w:p>
      <w:pPr>
        <w:spacing w:after="0" w:line="20" w:lineRule="exact"/>
        <w:rPr>
          <w:sz w:val="24"/>
          <w:szCs w:val="24"/>
          <w:color w:val="auto"/>
        </w:rPr>
      </w:pPr>
      <w:r>
        <w:rPr>
          <w:sz w:val="24"/>
          <w:szCs w:val="24"/>
          <w:color w:val="auto"/>
        </w:rPr>
        <w:br w:type="column"/>
      </w:r>
    </w:p>
    <w:p>
      <w:pPr>
        <w:spacing w:after="0" w:line="30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2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Number of</w:t>
            </w:r>
          </w:p>
        </w:tc>
        <w:tc>
          <w:tcPr>
            <w:tcW w:w="126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Name the</w:t>
            </w:r>
          </w:p>
        </w:tc>
        <w:tc>
          <w:tcPr>
            <w:tcW w:w="0" w:type="dxa"/>
            <w:vAlign w:val="bottom"/>
          </w:tcPr>
          <w:p>
            <w:pPr>
              <w:spacing w:after="0"/>
              <w:rPr>
                <w:sz w:val="1"/>
                <w:szCs w:val="1"/>
                <w:color w:val="auto"/>
              </w:rPr>
            </w:pPr>
          </w:p>
        </w:tc>
      </w:tr>
      <w:tr>
        <w:trPr>
          <w:trHeight w:val="108"/>
        </w:trPr>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Aggregate</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Shares or</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9"/>
                <w:szCs w:val="19"/>
                <w:b w:val="1"/>
                <w:bCs w:val="1"/>
                <w:color w:val="auto"/>
              </w:rPr>
              <w:t>Approximate</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2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Securities</w:t>
            </w:r>
          </w:p>
        </w:tc>
        <w:tc>
          <w:tcPr>
            <w:tcW w:w="0" w:type="dxa"/>
            <w:vAlign w:val="bottom"/>
          </w:tcPr>
          <w:p>
            <w:pPr>
              <w:spacing w:after="0"/>
              <w:rPr>
                <w:sz w:val="1"/>
                <w:szCs w:val="1"/>
                <w:color w:val="auto"/>
              </w:rPr>
            </w:pPr>
          </w:p>
        </w:tc>
      </w:tr>
      <w:tr>
        <w:trPr>
          <w:trHeight w:val="108"/>
        </w:trPr>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Market Value</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Other Units</w:t>
            </w:r>
          </w:p>
        </w:tc>
        <w:tc>
          <w:tcPr>
            <w:tcW w:w="1260" w:type="dxa"/>
            <w:vAlign w:val="bottom"/>
            <w:vMerge w:val="restart"/>
          </w:tcPr>
          <w:p>
            <w:pPr>
              <w:ind w:left="100"/>
              <w:spacing w:after="0"/>
              <w:rPr>
                <w:sz w:val="20"/>
                <w:szCs w:val="20"/>
                <w:color w:val="auto"/>
              </w:rPr>
            </w:pPr>
            <w:r>
              <w:rPr>
                <w:rFonts w:ascii="Times New Roman" w:cs="Times New Roman" w:eastAsia="Times New Roman" w:hAnsi="Times New Roman"/>
                <w:sz w:val="19"/>
                <w:szCs w:val="19"/>
                <w:b w:val="1"/>
                <w:bCs w:val="1"/>
                <w:color w:val="auto"/>
              </w:rPr>
              <w:t>Date of Sale</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2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Exchange</w:t>
            </w:r>
          </w:p>
        </w:tc>
        <w:tc>
          <w:tcPr>
            <w:tcW w:w="0" w:type="dxa"/>
            <w:vAlign w:val="bottom"/>
          </w:tcPr>
          <w:p>
            <w:pPr>
              <w:spacing w:after="0"/>
              <w:rPr>
                <w:sz w:val="1"/>
                <w:szCs w:val="1"/>
                <w:color w:val="auto"/>
              </w:rPr>
            </w:pPr>
          </w:p>
        </w:tc>
      </w:tr>
      <w:tr>
        <w:trPr>
          <w:trHeight w:val="133"/>
        </w:trPr>
        <w:tc>
          <w:tcPr>
            <w:tcW w:w="1220" w:type="dxa"/>
            <w:vAlign w:val="bottom"/>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Outstanding</w:t>
            </w:r>
          </w:p>
        </w:tc>
        <w:tc>
          <w:tcPr>
            <w:tcW w:w="12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2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4"/>
        </w:trPr>
        <w:tc>
          <w:tcPr>
            <w:tcW w:w="1220" w:type="dxa"/>
            <w:vAlign w:val="bottom"/>
          </w:tcPr>
          <w:p>
            <w:pPr>
              <w:jc w:val="right"/>
              <w:ind w:right="304"/>
              <w:spacing w:after="0"/>
              <w:rPr>
                <w:sz w:val="20"/>
                <w:szCs w:val="20"/>
                <w:color w:val="auto"/>
              </w:rPr>
            </w:pPr>
            <w:r>
              <w:rPr>
                <w:rFonts w:ascii="Times New Roman" w:cs="Times New Roman" w:eastAsia="Times New Roman" w:hAnsi="Times New Roman"/>
                <w:sz w:val="19"/>
                <w:szCs w:val="19"/>
                <w:color w:val="auto"/>
                <w:w w:val="99"/>
              </w:rPr>
              <w:t>838338.88</w:t>
            </w:r>
          </w:p>
        </w:tc>
        <w:tc>
          <w:tcPr>
            <w:tcW w:w="1140" w:type="dxa"/>
            <w:vAlign w:val="bottom"/>
          </w:tcPr>
          <w:p>
            <w:pPr>
              <w:jc w:val="right"/>
              <w:ind w:right="244"/>
              <w:spacing w:after="0"/>
              <w:rPr>
                <w:sz w:val="20"/>
                <w:szCs w:val="20"/>
                <w:color w:val="auto"/>
              </w:rPr>
            </w:pPr>
            <w:r>
              <w:rPr>
                <w:rFonts w:ascii="Times New Roman" w:cs="Times New Roman" w:eastAsia="Times New Roman" w:hAnsi="Times New Roman"/>
                <w:sz w:val="19"/>
                <w:szCs w:val="19"/>
                <w:color w:val="auto"/>
              </w:rPr>
              <w:t>72316426</w:t>
            </w:r>
          </w:p>
        </w:tc>
        <w:tc>
          <w:tcPr>
            <w:tcW w:w="220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02/08/2024   NASDAQ</w:t>
            </w:r>
          </w:p>
        </w:tc>
        <w:tc>
          <w:tcPr>
            <w:tcW w:w="0" w:type="dxa"/>
            <w:vAlign w:val="bottom"/>
          </w:tcPr>
          <w:p>
            <w:pPr>
              <w:spacing w:after="0"/>
              <w:rPr>
                <w:sz w:val="1"/>
                <w:szCs w:val="1"/>
                <w:color w:val="auto"/>
              </w:rPr>
            </w:pPr>
          </w:p>
        </w:tc>
      </w:tr>
    </w:tbl>
    <w:p>
      <w:pPr>
        <w:spacing w:after="0" w:line="417" w:lineRule="exact"/>
        <w:rPr>
          <w:sz w:val="24"/>
          <w:szCs w:val="24"/>
          <w:color w:val="auto"/>
        </w:rPr>
      </w:pPr>
    </w:p>
    <w:p>
      <w:pPr>
        <w:sectPr>
          <w:pgSz w:w="11900" w:h="16840" w:orient="portrait"/>
          <w:cols w:equalWidth="0" w:num="2">
            <w:col w:w="5660" w:space="120"/>
            <w:col w:w="4780"/>
          </w:cols>
          <w:pgMar w:left="660" w:top="592" w:right="680" w:bottom="199" w:gutter="0" w:footer="0" w:header="0"/>
          <w:type w:val="continuous"/>
        </w:sectPr>
      </w:pPr>
    </w:p>
    <w:p>
      <w:pPr>
        <w:spacing w:after="0" w:line="280"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9"/>
          <w:szCs w:val="19"/>
          <w:color w:val="auto"/>
        </w:rPr>
        <w:t>Furnish the following information with respect to the acquisition of the securities to be sold and with respect to the payment of all or any part of the purchase price or other consideration therefor:</w:t>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Securities To Be Sold</w:t>
      </w:r>
    </w:p>
    <w:p>
      <w:pPr>
        <w:spacing w:after="0" w:line="324" w:lineRule="exact"/>
        <w:rPr>
          <w:sz w:val="24"/>
          <w:szCs w:val="24"/>
          <w:color w:val="auto"/>
        </w:rPr>
      </w:pPr>
    </w:p>
    <w:tbl>
      <w:tblPr>
        <w:tblLayout w:type="fixed"/>
        <w:tblInd w:w="40" w:type="dxa"/>
        <w:tblCellMar>
          <w:top w:w="0" w:type="dxa"/>
          <w:left w:w="0" w:type="dxa"/>
          <w:bottom w:w="0" w:type="dxa"/>
          <w:right w:w="0" w:type="dxa"/>
        </w:tblCellMar>
      </w:tblPr>
      <w:tr>
        <w:trPr>
          <w:trHeight w:val="228"/>
        </w:trPr>
        <w:tc>
          <w:tcPr>
            <w:tcW w:w="1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Nature of</w:t>
            </w:r>
          </w:p>
        </w:tc>
        <w:tc>
          <w:tcPr>
            <w:tcW w:w="1560" w:type="dxa"/>
            <w:vAlign w:val="bottom"/>
            <w:vMerge w:val="restart"/>
          </w:tcPr>
          <w:p>
            <w:pPr>
              <w:jc w:val="center"/>
              <w:ind w:left="84"/>
              <w:spacing w:after="0"/>
              <w:rPr>
                <w:sz w:val="20"/>
                <w:szCs w:val="20"/>
                <w:color w:val="auto"/>
              </w:rPr>
            </w:pPr>
            <w:r>
              <w:rPr>
                <w:rFonts w:ascii="Times New Roman" w:cs="Times New Roman" w:eastAsia="Times New Roman" w:hAnsi="Times New Roman"/>
                <w:sz w:val="19"/>
                <w:szCs w:val="19"/>
                <w:b w:val="1"/>
                <w:bCs w:val="1"/>
                <w:color w:val="auto"/>
              </w:rPr>
              <w:t>Name of Person</w:t>
            </w:r>
          </w:p>
        </w:tc>
        <w:tc>
          <w:tcPr>
            <w:tcW w:w="52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4"/>
              </w:rPr>
              <w:t>Is</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Date</w:t>
            </w:r>
          </w:p>
        </w:tc>
        <w:tc>
          <w:tcPr>
            <w:tcW w:w="1180" w:type="dxa"/>
            <w:vAlign w:val="bottom"/>
            <w:vMerge w:val="restart"/>
          </w:tcPr>
          <w:p>
            <w:pPr>
              <w:jc w:val="center"/>
              <w:ind w:left="4"/>
              <w:spacing w:after="0"/>
              <w:rPr>
                <w:sz w:val="20"/>
                <w:szCs w:val="20"/>
                <w:color w:val="auto"/>
              </w:rPr>
            </w:pPr>
            <w:r>
              <w:rPr>
                <w:rFonts w:ascii="Times New Roman" w:cs="Times New Roman" w:eastAsia="Times New Roman" w:hAnsi="Times New Roman"/>
                <w:sz w:val="19"/>
                <w:szCs w:val="19"/>
                <w:b w:val="1"/>
                <w:bCs w:val="1"/>
                <w:color w:val="auto"/>
              </w:rPr>
              <w:t>Amount of</w:t>
            </w:r>
          </w:p>
        </w:tc>
        <w:tc>
          <w:tcPr>
            <w:tcW w:w="9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400" w:type="dxa"/>
            <w:vAlign w:val="bottom"/>
          </w:tcPr>
          <w:p>
            <w:pPr>
              <w:spacing w:after="0"/>
              <w:rPr>
                <w:sz w:val="9"/>
                <w:szCs w:val="9"/>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19"/>
                <w:szCs w:val="19"/>
                <w:b w:val="1"/>
                <w:bCs w:val="1"/>
                <w:color w:val="auto"/>
              </w:rPr>
              <w:t>Date you</w:t>
            </w:r>
          </w:p>
        </w:tc>
        <w:tc>
          <w:tcPr>
            <w:tcW w:w="1360" w:type="dxa"/>
            <w:vAlign w:val="bottom"/>
            <w:vMerge w:val="continue"/>
          </w:tcPr>
          <w:p>
            <w:pPr>
              <w:spacing w:after="0"/>
              <w:rPr>
                <w:sz w:val="9"/>
                <w:szCs w:val="9"/>
                <w:color w:val="auto"/>
              </w:rPr>
            </w:pPr>
          </w:p>
        </w:tc>
        <w:tc>
          <w:tcPr>
            <w:tcW w:w="1560" w:type="dxa"/>
            <w:vAlign w:val="bottom"/>
            <w:vMerge w:val="continue"/>
          </w:tcPr>
          <w:p>
            <w:pPr>
              <w:spacing w:after="0"/>
              <w:rPr>
                <w:sz w:val="9"/>
                <w:szCs w:val="9"/>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this</w:t>
            </w:r>
          </w:p>
        </w:tc>
        <w:tc>
          <w:tcPr>
            <w:tcW w:w="8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980" w:type="dxa"/>
            <w:vAlign w:val="bottom"/>
            <w:vMerge w:val="restart"/>
          </w:tcPr>
          <w:p>
            <w:pPr>
              <w:jc w:val="center"/>
              <w:ind w:left="8"/>
              <w:spacing w:after="0"/>
              <w:rPr>
                <w:sz w:val="20"/>
                <w:szCs w:val="20"/>
                <w:color w:val="auto"/>
              </w:rPr>
            </w:pPr>
            <w:r>
              <w:rPr>
                <w:rFonts w:ascii="Times New Roman" w:cs="Times New Roman" w:eastAsia="Times New Roman" w:hAnsi="Times New Roman"/>
                <w:sz w:val="19"/>
                <w:szCs w:val="19"/>
                <w:b w:val="1"/>
                <w:bCs w:val="1"/>
                <w:color w:val="auto"/>
              </w:rPr>
              <w:t>Date of</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Nature of Payment</w:t>
            </w:r>
          </w:p>
        </w:tc>
        <w:tc>
          <w:tcPr>
            <w:tcW w:w="0" w:type="dxa"/>
            <w:vAlign w:val="bottom"/>
          </w:tcPr>
          <w:p>
            <w:pPr>
              <w:spacing w:after="0"/>
              <w:rPr>
                <w:sz w:val="1"/>
                <w:szCs w:val="1"/>
                <w:color w:val="auto"/>
              </w:rPr>
            </w:pPr>
          </w:p>
        </w:tc>
      </w:tr>
      <w:tr>
        <w:trPr>
          <w:trHeight w:val="195"/>
        </w:trPr>
        <w:tc>
          <w:tcPr>
            <w:tcW w:w="1400" w:type="dxa"/>
            <w:vAlign w:val="bottom"/>
          </w:tcPr>
          <w:p>
            <w:pPr>
              <w:spacing w:after="0" w:line="195" w:lineRule="exact"/>
              <w:rPr>
                <w:sz w:val="20"/>
                <w:szCs w:val="20"/>
                <w:color w:val="auto"/>
              </w:rPr>
            </w:pPr>
            <w:r>
              <w:rPr>
                <w:rFonts w:ascii="Times New Roman" w:cs="Times New Roman" w:eastAsia="Times New Roman" w:hAnsi="Times New Roman"/>
                <w:sz w:val="19"/>
                <w:szCs w:val="19"/>
                <w:b w:val="1"/>
                <w:bCs w:val="1"/>
                <w:color w:val="auto"/>
              </w:rPr>
              <w:t>Title of the Class</w:t>
            </w:r>
          </w:p>
        </w:tc>
        <w:tc>
          <w:tcPr>
            <w:tcW w:w="1040" w:type="dxa"/>
            <w:vAlign w:val="bottom"/>
            <w:vMerge w:val="continue"/>
          </w:tcPr>
          <w:p>
            <w:pPr>
              <w:spacing w:after="0"/>
              <w:rPr>
                <w:sz w:val="16"/>
                <w:szCs w:val="16"/>
                <w:color w:val="auto"/>
              </w:rPr>
            </w:pPr>
          </w:p>
        </w:tc>
        <w:tc>
          <w:tcPr>
            <w:tcW w:w="1360" w:type="dxa"/>
            <w:vAlign w:val="bottom"/>
          </w:tcPr>
          <w:p>
            <w:pPr>
              <w:jc w:val="center"/>
              <w:spacing w:after="0" w:line="195" w:lineRule="exact"/>
              <w:rPr>
                <w:sz w:val="20"/>
                <w:szCs w:val="20"/>
                <w:color w:val="auto"/>
              </w:rPr>
            </w:pPr>
            <w:r>
              <w:rPr>
                <w:rFonts w:ascii="Times New Roman" w:cs="Times New Roman" w:eastAsia="Times New Roman" w:hAnsi="Times New Roman"/>
                <w:sz w:val="19"/>
                <w:szCs w:val="19"/>
                <w:b w:val="1"/>
                <w:bCs w:val="1"/>
                <w:color w:val="auto"/>
              </w:rPr>
              <w:t>Acquisition</w:t>
            </w:r>
          </w:p>
        </w:tc>
        <w:tc>
          <w:tcPr>
            <w:tcW w:w="1560" w:type="dxa"/>
            <w:vAlign w:val="bottom"/>
          </w:tcPr>
          <w:p>
            <w:pPr>
              <w:jc w:val="center"/>
              <w:ind w:left="84"/>
              <w:spacing w:after="0" w:line="195" w:lineRule="exact"/>
              <w:rPr>
                <w:sz w:val="20"/>
                <w:szCs w:val="20"/>
                <w:color w:val="auto"/>
              </w:rPr>
            </w:pPr>
            <w:r>
              <w:rPr>
                <w:rFonts w:ascii="Times New Roman" w:cs="Times New Roman" w:eastAsia="Times New Roman" w:hAnsi="Times New Roman"/>
                <w:sz w:val="19"/>
                <w:szCs w:val="19"/>
                <w:b w:val="1"/>
                <w:bCs w:val="1"/>
                <w:color w:val="auto"/>
              </w:rPr>
              <w:t>from Whom</w:t>
            </w:r>
          </w:p>
        </w:tc>
        <w:tc>
          <w:tcPr>
            <w:tcW w:w="520" w:type="dxa"/>
            <w:vAlign w:val="bottom"/>
            <w:vMerge w:val="continue"/>
          </w:tcPr>
          <w:p>
            <w:pPr>
              <w:spacing w:after="0"/>
              <w:rPr>
                <w:sz w:val="16"/>
                <w:szCs w:val="16"/>
                <w:color w:val="auto"/>
              </w:rPr>
            </w:pPr>
          </w:p>
        </w:tc>
        <w:tc>
          <w:tcPr>
            <w:tcW w:w="820" w:type="dxa"/>
            <w:vAlign w:val="bottom"/>
          </w:tcPr>
          <w:p>
            <w:pPr>
              <w:jc w:val="center"/>
              <w:spacing w:after="0" w:line="195" w:lineRule="exact"/>
              <w:rPr>
                <w:sz w:val="20"/>
                <w:szCs w:val="20"/>
                <w:color w:val="auto"/>
              </w:rPr>
            </w:pPr>
            <w:r>
              <w:rPr>
                <w:rFonts w:ascii="Times New Roman" w:cs="Times New Roman" w:eastAsia="Times New Roman" w:hAnsi="Times New Roman"/>
                <w:sz w:val="19"/>
                <w:szCs w:val="19"/>
                <w:b w:val="1"/>
                <w:bCs w:val="1"/>
                <w:color w:val="auto"/>
              </w:rPr>
              <w:t>Donor</w:t>
            </w:r>
          </w:p>
        </w:tc>
        <w:tc>
          <w:tcPr>
            <w:tcW w:w="1180" w:type="dxa"/>
            <w:vAlign w:val="bottom"/>
          </w:tcPr>
          <w:p>
            <w:pPr>
              <w:jc w:val="center"/>
              <w:ind w:left="4"/>
              <w:spacing w:after="0" w:line="195" w:lineRule="exact"/>
              <w:rPr>
                <w:sz w:val="20"/>
                <w:szCs w:val="20"/>
                <w:color w:val="auto"/>
              </w:rPr>
            </w:pPr>
            <w:r>
              <w:rPr>
                <w:rFonts w:ascii="Times New Roman" w:cs="Times New Roman" w:eastAsia="Times New Roman" w:hAnsi="Times New Roman"/>
                <w:sz w:val="19"/>
                <w:szCs w:val="19"/>
                <w:b w:val="1"/>
                <w:bCs w:val="1"/>
                <w:color w:val="auto"/>
              </w:rPr>
              <w:t>Securities</w:t>
            </w:r>
          </w:p>
        </w:tc>
        <w:tc>
          <w:tcPr>
            <w:tcW w:w="980" w:type="dxa"/>
            <w:vAlign w:val="bottom"/>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400" w:type="dxa"/>
            <w:vAlign w:val="bottom"/>
          </w:tcPr>
          <w:p>
            <w:pPr>
              <w:spacing w:after="0"/>
              <w:rPr>
                <w:sz w:val="13"/>
                <w:szCs w:val="13"/>
                <w:color w:val="auto"/>
              </w:rPr>
            </w:pPr>
          </w:p>
        </w:tc>
        <w:tc>
          <w:tcPr>
            <w:tcW w:w="1040" w:type="dxa"/>
            <w:vAlign w:val="bottom"/>
          </w:tcPr>
          <w:p>
            <w:pPr>
              <w:ind w:left="80"/>
              <w:spacing w:after="0" w:line="153" w:lineRule="exact"/>
              <w:rPr>
                <w:sz w:val="20"/>
                <w:szCs w:val="20"/>
                <w:color w:val="auto"/>
              </w:rPr>
            </w:pPr>
            <w:r>
              <w:rPr>
                <w:rFonts w:ascii="Times New Roman" w:cs="Times New Roman" w:eastAsia="Times New Roman" w:hAnsi="Times New Roman"/>
                <w:sz w:val="17"/>
                <w:szCs w:val="17"/>
                <w:b w:val="1"/>
                <w:bCs w:val="1"/>
                <w:color w:val="auto"/>
              </w:rPr>
              <w:t>Acquired</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Transaction</w:t>
            </w:r>
          </w:p>
        </w:tc>
        <w:tc>
          <w:tcPr>
            <w:tcW w:w="1560" w:type="dxa"/>
            <w:vAlign w:val="bottom"/>
            <w:vMerge w:val="restart"/>
          </w:tcPr>
          <w:p>
            <w:pPr>
              <w:jc w:val="center"/>
              <w:ind w:left="84"/>
              <w:spacing w:after="0"/>
              <w:rPr>
                <w:sz w:val="20"/>
                <w:szCs w:val="20"/>
                <w:color w:val="auto"/>
              </w:rPr>
            </w:pPr>
            <w:r>
              <w:rPr>
                <w:rFonts w:ascii="Times New Roman" w:cs="Times New Roman" w:eastAsia="Times New Roman" w:hAnsi="Times New Roman"/>
                <w:sz w:val="19"/>
                <w:szCs w:val="19"/>
                <w:b w:val="1"/>
                <w:bCs w:val="1"/>
                <w:color w:val="auto"/>
              </w:rPr>
              <w:t>Acquired</w:t>
            </w:r>
          </w:p>
        </w:tc>
        <w:tc>
          <w:tcPr>
            <w:tcW w:w="520" w:type="dxa"/>
            <w:vAlign w:val="bottom"/>
          </w:tcPr>
          <w:p>
            <w:pPr>
              <w:jc w:val="center"/>
              <w:spacing w:after="0" w:line="153" w:lineRule="exact"/>
              <w:rPr>
                <w:sz w:val="20"/>
                <w:szCs w:val="20"/>
                <w:color w:val="auto"/>
              </w:rPr>
            </w:pPr>
            <w:r>
              <w:rPr>
                <w:rFonts w:ascii="Times New Roman" w:cs="Times New Roman" w:eastAsia="Times New Roman" w:hAnsi="Times New Roman"/>
                <w:sz w:val="17"/>
                <w:szCs w:val="17"/>
                <w:b w:val="1"/>
                <w:bCs w:val="1"/>
                <w:color w:val="auto"/>
              </w:rPr>
              <w:t>a</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Acquired</w:t>
            </w:r>
          </w:p>
        </w:tc>
        <w:tc>
          <w:tcPr>
            <w:tcW w:w="1180" w:type="dxa"/>
            <w:vAlign w:val="bottom"/>
            <w:vMerge w:val="restart"/>
          </w:tcPr>
          <w:p>
            <w:pPr>
              <w:jc w:val="center"/>
              <w:ind w:left="4"/>
              <w:spacing w:after="0"/>
              <w:rPr>
                <w:sz w:val="20"/>
                <w:szCs w:val="20"/>
                <w:color w:val="auto"/>
              </w:rPr>
            </w:pPr>
            <w:r>
              <w:rPr>
                <w:rFonts w:ascii="Times New Roman" w:cs="Times New Roman" w:eastAsia="Times New Roman" w:hAnsi="Times New Roman"/>
                <w:sz w:val="19"/>
                <w:szCs w:val="19"/>
                <w:b w:val="1"/>
                <w:bCs w:val="1"/>
                <w:color w:val="auto"/>
                <w:w w:val="99"/>
              </w:rPr>
              <w:t>Acquired</w:t>
            </w:r>
          </w:p>
        </w:tc>
        <w:tc>
          <w:tcPr>
            <w:tcW w:w="980" w:type="dxa"/>
            <w:vAlign w:val="bottom"/>
          </w:tcPr>
          <w:p>
            <w:pPr>
              <w:jc w:val="center"/>
              <w:ind w:left="8"/>
              <w:spacing w:after="0" w:line="153" w:lineRule="exact"/>
              <w:rPr>
                <w:sz w:val="20"/>
                <w:szCs w:val="20"/>
                <w:color w:val="auto"/>
              </w:rPr>
            </w:pPr>
            <w:r>
              <w:rPr>
                <w:rFonts w:ascii="Times New Roman" w:cs="Times New Roman" w:eastAsia="Times New Roman" w:hAnsi="Times New Roman"/>
                <w:sz w:val="17"/>
                <w:szCs w:val="17"/>
                <w:b w:val="1"/>
                <w:bCs w:val="1"/>
                <w:color w:val="auto"/>
              </w:rPr>
              <w:t>Payment</w:t>
            </w:r>
          </w:p>
        </w:tc>
        <w:tc>
          <w:tcPr>
            <w:tcW w:w="1620" w:type="dxa"/>
            <w:vAlign w:val="bottom"/>
          </w:tcPr>
          <w:p>
            <w:pPr>
              <w:jc w:val="right"/>
              <w:ind w:right="649"/>
              <w:spacing w:after="0" w:line="153" w:lineRule="exact"/>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3"/>
        </w:trPr>
        <w:tc>
          <w:tcPr>
            <w:tcW w:w="14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360" w:type="dxa"/>
            <w:vAlign w:val="bottom"/>
            <w:vMerge w:val="continue"/>
          </w:tcPr>
          <w:p>
            <w:pPr>
              <w:spacing w:after="0"/>
              <w:rPr>
                <w:sz w:val="22"/>
                <w:szCs w:val="22"/>
                <w:color w:val="auto"/>
              </w:rPr>
            </w:pPr>
          </w:p>
        </w:tc>
        <w:tc>
          <w:tcPr>
            <w:tcW w:w="1560" w:type="dxa"/>
            <w:vAlign w:val="bottom"/>
            <w:vMerge w:val="continue"/>
          </w:tcPr>
          <w:p>
            <w:pPr>
              <w:spacing w:after="0"/>
              <w:rPr>
                <w:sz w:val="22"/>
                <w:szCs w:val="22"/>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Gift?</w:t>
            </w:r>
          </w:p>
        </w:tc>
        <w:tc>
          <w:tcPr>
            <w:tcW w:w="820" w:type="dxa"/>
            <w:vAlign w:val="bottom"/>
            <w:vMerge w:val="continue"/>
          </w:tcPr>
          <w:p>
            <w:pPr>
              <w:spacing w:after="0"/>
              <w:rPr>
                <w:sz w:val="22"/>
                <w:szCs w:val="22"/>
                <w:color w:val="auto"/>
              </w:rPr>
            </w:pPr>
          </w:p>
        </w:tc>
        <w:tc>
          <w:tcPr>
            <w:tcW w:w="1180" w:type="dxa"/>
            <w:vAlign w:val="bottom"/>
            <w:vMerge w:val="continue"/>
          </w:tcPr>
          <w:p>
            <w:pPr>
              <w:spacing w:after="0"/>
              <w:rPr>
                <w:sz w:val="22"/>
                <w:szCs w:val="22"/>
                <w:color w:val="auto"/>
              </w:rPr>
            </w:pPr>
          </w:p>
        </w:tc>
        <w:tc>
          <w:tcPr>
            <w:tcW w:w="9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140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Common Stock</w:t>
            </w:r>
          </w:p>
        </w:tc>
        <w:tc>
          <w:tcPr>
            <w:tcW w:w="2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9"/>
                <w:szCs w:val="19"/>
                <w:color w:val="auto"/>
              </w:rPr>
              <w:t>02/08/2023 Stock Bonus</w:t>
            </w:r>
          </w:p>
        </w:tc>
        <w:tc>
          <w:tcPr>
            <w:tcW w:w="15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Weatherford</w:t>
            </w:r>
          </w:p>
        </w:tc>
        <w:tc>
          <w:tcPr>
            <w:tcW w:w="5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80" w:type="dxa"/>
            <w:vAlign w:val="bottom"/>
            <w:vMerge w:val="restart"/>
          </w:tcPr>
          <w:p>
            <w:pPr>
              <w:jc w:val="right"/>
              <w:ind w:right="564"/>
              <w:spacing w:after="0"/>
              <w:rPr>
                <w:sz w:val="20"/>
                <w:szCs w:val="20"/>
                <w:color w:val="auto"/>
              </w:rPr>
            </w:pPr>
            <w:r>
              <w:rPr>
                <w:rFonts w:ascii="Times New Roman" w:cs="Times New Roman" w:eastAsia="Times New Roman" w:hAnsi="Times New Roman"/>
                <w:sz w:val="19"/>
                <w:szCs w:val="19"/>
                <w:color w:val="auto"/>
              </w:rPr>
              <w:t>13094</w:t>
            </w:r>
          </w:p>
        </w:tc>
        <w:tc>
          <w:tcPr>
            <w:tcW w:w="26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9"/>
                <w:szCs w:val="19"/>
                <w:color w:val="auto"/>
              </w:rPr>
              <w:t>02/08/2023 Stock Bonus</w:t>
            </w:r>
          </w:p>
        </w:tc>
        <w:tc>
          <w:tcPr>
            <w:tcW w:w="0" w:type="dxa"/>
            <w:vAlign w:val="bottom"/>
          </w:tcPr>
          <w:p>
            <w:pPr>
              <w:spacing w:after="0"/>
              <w:rPr>
                <w:sz w:val="1"/>
                <w:szCs w:val="1"/>
                <w:color w:val="auto"/>
              </w:rPr>
            </w:pPr>
          </w:p>
        </w:tc>
      </w:tr>
      <w:tr>
        <w:trPr>
          <w:trHeight w:val="131"/>
        </w:trPr>
        <w:tc>
          <w:tcPr>
            <w:tcW w:w="1400" w:type="dxa"/>
            <w:vAlign w:val="bottom"/>
            <w:vMerge w:val="continue"/>
          </w:tcPr>
          <w:p>
            <w:pPr>
              <w:spacing w:after="0"/>
              <w:rPr>
                <w:sz w:val="11"/>
                <w:szCs w:val="11"/>
                <w:color w:val="auto"/>
              </w:rPr>
            </w:pPr>
          </w:p>
        </w:tc>
        <w:tc>
          <w:tcPr>
            <w:tcW w:w="2400" w:type="dxa"/>
            <w:vAlign w:val="bottom"/>
            <w:gridSpan w:val="2"/>
            <w:vMerge w:val="continue"/>
          </w:tcPr>
          <w:p>
            <w:pPr>
              <w:spacing w:after="0"/>
              <w:rPr>
                <w:sz w:val="11"/>
                <w:szCs w:val="11"/>
                <w:color w:val="auto"/>
              </w:rPr>
            </w:pPr>
          </w:p>
        </w:tc>
        <w:tc>
          <w:tcPr>
            <w:tcW w:w="1560" w:type="dxa"/>
            <w:vAlign w:val="bottom"/>
            <w:vMerge w:val="restart"/>
          </w:tcPr>
          <w:p>
            <w:pPr>
              <w:ind w:left="180"/>
              <w:spacing w:after="0"/>
              <w:rPr>
                <w:sz w:val="20"/>
                <w:szCs w:val="20"/>
                <w:color w:val="auto"/>
              </w:rPr>
            </w:pPr>
            <w:r>
              <w:rPr>
                <w:rFonts w:ascii="Times New Roman" w:cs="Times New Roman" w:eastAsia="Times New Roman" w:hAnsi="Times New Roman"/>
                <w:sz w:val="19"/>
                <w:szCs w:val="19"/>
                <w:color w:val="auto"/>
              </w:rPr>
              <w:t>International plc</w:t>
            </w: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2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4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3464560</wp:posOffset>
            </wp:positionH>
            <wp:positionV relativeFrom="paragraph">
              <wp:posOffset>-211455</wp:posOffset>
            </wp:positionV>
            <wp:extent cx="114300" cy="114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ectPr>
          <w:pgSz w:w="11900" w:h="16840" w:orient="portrait"/>
          <w:cols w:equalWidth="0" w:num="1">
            <w:col w:w="10560"/>
          </w:cols>
          <w:pgMar w:left="660" w:top="592" w:right="680" w:bottom="199" w:gutter="0" w:footer="0" w:header="0"/>
          <w:type w:val="continuous"/>
        </w:sectPr>
      </w:pPr>
    </w:p>
    <w:bookmarkStart w:id="1" w:name="page2"/>
    <w:bookmarkEnd w:id="1"/>
    <w:p>
      <w:pPr>
        <w:jc w:val="both"/>
        <w:ind w:firstLine="6"/>
        <w:spacing w:after="0" w:line="268" w:lineRule="auto"/>
        <w:tabs>
          <w:tab w:leader="none" w:pos="145" w:val="left"/>
        </w:tabs>
        <w:numPr>
          <w:ilvl w:val="0"/>
          <w:numId w:val="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9"/>
          <w:szCs w:val="19"/>
          <w:color w:val="auto"/>
        </w:rPr>
        <w:t>Furnish the following information as to all securities of the issuer sold during the past 3 months by the person for whose account the securities are to be sold.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Securities Sold During The Past 3 Months</w:t>
      </w:r>
    </w:p>
    <w:p>
      <w:pPr>
        <w:spacing w:after="0" w:line="3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 xml:space="preserve">Nothing to Report </w:t>
      </w:r>
      <w:r>
        <w:rPr>
          <w:sz w:val="1"/>
          <w:szCs w:val="1"/>
          <w:color w:val="auto"/>
        </w:rPr>
        <w:drawing>
          <wp:inline distT="0" distB="0" distL="0" distR="0">
            <wp:extent cx="114300" cy="1143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Remarks and Signature</w:t>
      </w:r>
    </w:p>
    <w:p>
      <w:pPr>
        <w:spacing w:after="0" w:line="326" w:lineRule="exact"/>
        <w:rPr>
          <w:sz w:val="20"/>
          <w:szCs w:val="20"/>
          <w:color w:val="auto"/>
        </w:rPr>
      </w:pPr>
    </w:p>
    <w:tbl>
      <w:tblPr>
        <w:tblLayout w:type="fixed"/>
        <w:tblInd w:w="40" w:type="dxa"/>
        <w:tblCellMar>
          <w:top w:w="0" w:type="dxa"/>
          <w:left w:w="0" w:type="dxa"/>
          <w:bottom w:w="0" w:type="dxa"/>
          <w:right w:w="0" w:type="dxa"/>
        </w:tblCellMar>
      </w:tblPr>
      <w:tr>
        <w:trPr>
          <w:trHeight w:val="251"/>
        </w:trPr>
        <w:tc>
          <w:tcPr>
            <w:tcW w:w="2780" w:type="dxa"/>
            <w:vAlign w:val="bottom"/>
          </w:tcPr>
          <w:p>
            <w:pPr>
              <w:spacing w:after="0"/>
              <w:rPr>
                <w:sz w:val="20"/>
                <w:szCs w:val="20"/>
                <w:color w:val="auto"/>
              </w:rPr>
            </w:pPr>
            <w:r>
              <w:rPr>
                <w:rFonts w:ascii="Times New Roman" w:cs="Times New Roman" w:eastAsia="Times New Roman" w:hAnsi="Times New Roman"/>
                <w:sz w:val="19"/>
                <w:szCs w:val="19"/>
                <w:color w:val="auto"/>
              </w:rPr>
              <w:t>Remarks</w:t>
            </w:r>
          </w:p>
        </w:tc>
        <w:tc>
          <w:tcPr>
            <w:tcW w:w="2520" w:type="dxa"/>
            <w:vAlign w:val="bottom"/>
          </w:tcPr>
          <w:p>
            <w:pPr>
              <w:spacing w:after="0"/>
              <w:rPr>
                <w:sz w:val="21"/>
                <w:szCs w:val="21"/>
                <w:color w:val="auto"/>
              </w:rPr>
            </w:pPr>
          </w:p>
        </w:tc>
      </w:tr>
      <w:tr>
        <w:trPr>
          <w:trHeight w:val="276"/>
        </w:trPr>
        <w:tc>
          <w:tcPr>
            <w:tcW w:w="2780" w:type="dxa"/>
            <w:vAlign w:val="bottom"/>
          </w:tcPr>
          <w:p>
            <w:pPr>
              <w:spacing w:after="0"/>
              <w:rPr>
                <w:sz w:val="20"/>
                <w:szCs w:val="20"/>
                <w:color w:val="auto"/>
              </w:rPr>
            </w:pPr>
            <w:r>
              <w:rPr>
                <w:rFonts w:ascii="Times New Roman" w:cs="Times New Roman" w:eastAsia="Times New Roman" w:hAnsi="Times New Roman"/>
                <w:sz w:val="19"/>
                <w:szCs w:val="19"/>
                <w:color w:val="auto"/>
              </w:rPr>
              <w:t>Date of Notice</w:t>
            </w:r>
          </w:p>
        </w:tc>
        <w:tc>
          <w:tcPr>
            <w:tcW w:w="2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02/08/2024</w:t>
            </w:r>
          </w:p>
        </w:tc>
      </w:tr>
    </w:tbl>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i w:val="1"/>
          <w:iCs w:val="1"/>
          <w:color w:val="auto"/>
        </w:rPr>
        <w:t>ATTENTION:</w:t>
      </w:r>
    </w:p>
    <w:p>
      <w:pPr>
        <w:spacing w:after="0" w:line="314" w:lineRule="exact"/>
        <w:rPr>
          <w:sz w:val="20"/>
          <w:szCs w:val="20"/>
          <w:color w:val="auto"/>
        </w:rPr>
      </w:pPr>
    </w:p>
    <w:p>
      <w:pPr>
        <w:jc w:val="both"/>
        <w:ind w:left="40" w:right="40"/>
        <w:spacing w:after="0" w:line="259" w:lineRule="auto"/>
        <w:rPr>
          <w:sz w:val="20"/>
          <w:szCs w:val="20"/>
          <w:color w:val="auto"/>
        </w:rPr>
      </w:pPr>
      <w:r>
        <w:rPr>
          <w:rFonts w:ascii="Times New Roman" w:cs="Times New Roman" w:eastAsia="Times New Roman" w:hAnsi="Times New Roman"/>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9" w:lineRule="exact"/>
        <w:rPr>
          <w:sz w:val="20"/>
          <w:szCs w:val="20"/>
          <w:color w:val="auto"/>
        </w:rPr>
      </w:pPr>
    </w:p>
    <w:p>
      <w:pPr>
        <w:ind w:left="40"/>
        <w:spacing w:after="0"/>
        <w:tabs>
          <w:tab w:leader="none" w:pos="4440" w:val="left"/>
        </w:tabs>
        <w:rPr>
          <w:sz w:val="20"/>
          <w:szCs w:val="20"/>
          <w:color w:val="auto"/>
        </w:rPr>
      </w:pPr>
      <w:r>
        <w:rPr>
          <w:rFonts w:ascii="Times New Roman" w:cs="Times New Roman" w:eastAsia="Times New Roman" w:hAnsi="Times New Roman"/>
          <w:sz w:val="19"/>
          <w:szCs w:val="19"/>
          <w:color w:val="auto"/>
        </w:rPr>
        <w:t>Signature</w:t>
      </w:r>
      <w:r>
        <w:rPr>
          <w:sz w:val="20"/>
          <w:szCs w:val="20"/>
          <w:color w:val="auto"/>
        </w:rPr>
        <w:tab/>
      </w:r>
      <w:r>
        <w:rPr>
          <w:rFonts w:ascii="Times New Roman" w:cs="Times New Roman" w:eastAsia="Times New Roman" w:hAnsi="Times New Roman"/>
          <w:sz w:val="19"/>
          <w:szCs w:val="19"/>
          <w:color w:val="auto"/>
        </w:rPr>
        <w:t>Scott C Weatherholt</w:t>
      </w: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i w:val="1"/>
          <w:iCs w:val="1"/>
          <w:color w:val="auto"/>
        </w:rPr>
        <w:t>ATTENTION: Intentional misstatements or omission of facts constitute Federal Criminal Violations (See 18 U.S.C. 1001)</w:t>
      </w:r>
    </w:p>
    <w:sectPr>
      <w:pgSz w:w="11900" w:h="16840" w:orient="portrait"/>
      <w:cols w:equalWidth="0" w:num="1">
        <w:col w:w="10580"/>
      </w:cols>
      <w:pgMar w:left="660" w:top="784" w:right="66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2024-02-08T19:34:25Z</dcterms:created>
  <dcterms:modified xsi:type="dcterms:W3CDTF">2024-02-08T19:34:25Z</dcterms:modified>
</cp:coreProperties>
</file>