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454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4540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Sandhu Depinder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02/06/2025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color w:val="0000FF"/>
        </w:rPr>
        <w:t>EVP, Global Product Lines</w:t>
      </w:r>
    </w:p>
    <w:p>
      <w:pPr>
        <w:spacing w:after="0" w:line="312"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jc w:val="center"/>
              <w:ind w:right="54"/>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9"/>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60" w:type="dxa"/>
            <w:vAlign w:val="bottom"/>
          </w:tcPr>
          <w:p>
            <w:pPr>
              <w:spacing w:after="0"/>
              <w:rPr>
                <w:sz w:val="19"/>
                <w:szCs w:val="19"/>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780" w:type="dxa"/>
            <w:vAlign w:val="bottom"/>
            <w:tcBorders>
              <w:bottom w:val="single" w:sz="8" w:color="2C2C2C"/>
            </w:tcBorders>
            <w:gridSpan w:val="6"/>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2"/>
          </w:tcPr>
          <w:p>
            <w:pPr>
              <w:ind w:left="6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80" w:type="dxa"/>
            <w:vAlign w:val="bottom"/>
            <w:gridSpan w:val="2"/>
          </w:tcPr>
          <w:p>
            <w:pPr>
              <w:jc w:val="center"/>
              <w:ind w:left="64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49"/>
              <w:spacing w:after="0"/>
              <w:rPr>
                <w:sz w:val="20"/>
                <w:szCs w:val="20"/>
                <w:color w:val="auto"/>
              </w:rPr>
            </w:pPr>
            <w:r>
              <w:rPr>
                <w:rFonts w:ascii="Times New Roman" w:cs="Times New Roman" w:eastAsia="Times New Roman" w:hAnsi="Times New Roman"/>
                <w:sz w:val="17"/>
                <w:szCs w:val="17"/>
                <w:color w:val="0000FF"/>
                <w:w w:val="98"/>
              </w:rPr>
              <w:t>02/06/2025</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133"/>
              <w:spacing w:after="0"/>
              <w:rPr>
                <w:sz w:val="20"/>
                <w:szCs w:val="20"/>
                <w:color w:val="auto"/>
              </w:rPr>
            </w:pPr>
            <w:r>
              <w:rPr>
                <w:rFonts w:ascii="Times New Roman" w:cs="Times New Roman" w:eastAsia="Times New Roman" w:hAnsi="Times New Roman"/>
                <w:sz w:val="17"/>
                <w:szCs w:val="17"/>
                <w:color w:val="0000FF"/>
                <w:w w:val="99"/>
              </w:rPr>
              <w:t>9,164</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26,499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49"/>
              <w:spacing w:after="0"/>
              <w:rPr>
                <w:sz w:val="20"/>
                <w:szCs w:val="20"/>
                <w:color w:val="auto"/>
              </w:rPr>
            </w:pPr>
            <w:r>
              <w:rPr>
                <w:rFonts w:ascii="Times New Roman" w:cs="Times New Roman" w:eastAsia="Times New Roman" w:hAnsi="Times New Roman"/>
                <w:sz w:val="17"/>
                <w:szCs w:val="17"/>
                <w:color w:val="0000FF"/>
                <w:w w:val="98"/>
              </w:rPr>
              <w:t>02/06/2025</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center"/>
              <w:ind w:left="133"/>
              <w:spacing w:after="0"/>
              <w:rPr>
                <w:sz w:val="20"/>
                <w:szCs w:val="20"/>
                <w:color w:val="auto"/>
              </w:rPr>
            </w:pPr>
            <w:r>
              <w:rPr>
                <w:rFonts w:ascii="Times New Roman" w:cs="Times New Roman" w:eastAsia="Times New Roman" w:hAnsi="Times New Roman"/>
                <w:sz w:val="17"/>
                <w:szCs w:val="17"/>
                <w:color w:val="0000FF"/>
                <w:w w:val="99"/>
              </w:rPr>
              <w:t>3,607</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22,892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49"/>
              <w:spacing w:after="0"/>
              <w:rPr>
                <w:sz w:val="20"/>
                <w:szCs w:val="20"/>
                <w:color w:val="auto"/>
              </w:rPr>
            </w:pPr>
            <w:r>
              <w:rPr>
                <w:rFonts w:ascii="Times New Roman" w:cs="Times New Roman" w:eastAsia="Times New Roman" w:hAnsi="Times New Roman"/>
                <w:sz w:val="17"/>
                <w:szCs w:val="17"/>
                <w:color w:val="0000FF"/>
                <w:w w:val="98"/>
              </w:rPr>
              <w:t>02/07/2025</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33"/>
              <w:spacing w:after="0"/>
              <w:rPr>
                <w:sz w:val="20"/>
                <w:szCs w:val="20"/>
                <w:color w:val="auto"/>
              </w:rPr>
            </w:pPr>
            <w:r>
              <w:rPr>
                <w:rFonts w:ascii="Times New Roman" w:cs="Times New Roman" w:eastAsia="Times New Roman" w:hAnsi="Times New Roman"/>
                <w:sz w:val="17"/>
                <w:szCs w:val="17"/>
                <w:color w:val="0000FF"/>
                <w:w w:val="98"/>
              </w:rPr>
              <w:t>13,800</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66.4</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9,092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49"/>
              <w:spacing w:after="0"/>
              <w:rPr>
                <w:sz w:val="20"/>
                <w:szCs w:val="20"/>
                <w:color w:val="auto"/>
              </w:rPr>
            </w:pPr>
            <w:r>
              <w:rPr>
                <w:rFonts w:ascii="Times New Roman" w:cs="Times New Roman" w:eastAsia="Times New Roman" w:hAnsi="Times New Roman"/>
                <w:sz w:val="17"/>
                <w:szCs w:val="17"/>
                <w:color w:val="0000FF"/>
                <w:w w:val="98"/>
              </w:rPr>
              <w:t>02/07/2025</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33"/>
              <w:spacing w:after="0"/>
              <w:rPr>
                <w:sz w:val="20"/>
                <w:szCs w:val="20"/>
                <w:color w:val="auto"/>
              </w:rPr>
            </w:pPr>
            <w:r>
              <w:rPr>
                <w:rFonts w:ascii="Times New Roman" w:cs="Times New Roman" w:eastAsia="Times New Roman" w:hAnsi="Times New Roman"/>
                <w:sz w:val="17"/>
                <w:szCs w:val="17"/>
                <w:color w:val="0000FF"/>
              </w:rPr>
              <w:t>200</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67.1</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8,892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5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40" w:type="dxa"/>
            <w:vAlign w:val="bottom"/>
            <w:gridSpan w:val="10"/>
          </w:tcPr>
          <w:p>
            <w:pPr>
              <w:jc w:val="center"/>
              <w:ind w:left="42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2022 Annual</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9,164</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rPr>
              <w:t>02/06/2025</w:t>
            </w:r>
          </w:p>
        </w:tc>
        <w:tc>
          <w:tcPr>
            <w:tcW w:w="128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7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9,164</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-2091690</wp:posOffset>
            </wp:positionV>
            <wp:extent cx="29210" cy="2096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967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performance share units ("PSUs") granted on January 18, 2022 under the Issuer's 2019 Equity Incentive Plan, as amended and restated (the "2019 EIP"). The award vested at 182% based on achievement of performance metrics during the three-year performance period, which ended on December 31, 2024.</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PSUs to satisfy the reporting person's tax obligations upon vesting, pursuant to the 2019 EIP and the relevant award agreements.</w:t>
      </w:r>
    </w:p>
    <w:p>
      <w:pPr>
        <w:spacing w:after="0" w:line="43"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$66.09 to $67.08. Details on the number of shares sold at each separate price will be provided to the staff of the Securities and Exchange Commission upon request.</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$67.09 to $67.11. Details on the number of shares sold at each separate price will be provided to the staff of the Securities and Exchange Commission upon request.</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Kathy Medford by Power of</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02/10/2025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817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2025-02-10T16:30:19Z</dcterms:created>
  <dcterms:modified xsi:type="dcterms:W3CDTF">2025-02-10T16:30:19Z</dcterms:modified>
</cp:coreProperties>
</file>