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Saligram Girish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999,406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1,338,925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(2)</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393,266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64.48</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945,659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a non-derivative performance restricted share unit award (the "PSU") under the 2019 Equity Incentive Plan, as amended and restated (the "2019 EIP"), that was originally granted on January 4, 2021. The PSU vested at 200% of Target based on the achievement of the Performance Goals (as defined in the 2019 EIP and the PSU agreement) at maximum achievement.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withholding obligations upon vesting, pursuant to the award agreement and the 2019 EIP under which the award was granted.</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Jonathan B. Wolens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2023-02-10T19:07:56Z</dcterms:created>
  <dcterms:modified xsi:type="dcterms:W3CDTF">2023-02-10T19:07:56Z</dcterms:modified>
</cp:coreProperties>
</file>