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506730</wp:posOffset>
            </wp:positionH>
            <wp:positionV relativeFrom="page">
              <wp:posOffset>720090</wp:posOffset>
            </wp:positionV>
            <wp:extent cx="6535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5420" cy="8255"/>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 2024</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Weatherford International plc</w:t>
      </w:r>
    </w:p>
    <w:p>
      <w:pPr>
        <w:spacing w:after="0" w:line="64" w:lineRule="exact"/>
        <w:rPr>
          <w:sz w:val="24"/>
          <w:szCs w:val="24"/>
          <w:color w:val="auto"/>
        </w:rPr>
      </w:pPr>
    </w:p>
    <w:tbl>
      <w:tblPr>
        <w:tblLayout w:type="fixed"/>
        <w:tblInd w:w="160" w:type="dxa"/>
        <w:tblCellMar>
          <w:top w:w="0" w:type="dxa"/>
          <w:left w:w="0" w:type="dxa"/>
          <w:bottom w:w="0" w:type="dxa"/>
          <w:right w:w="0" w:type="dxa"/>
        </w:tblCellMar>
      </w:tblPr>
      <w:tr>
        <w:trPr>
          <w:trHeight w:val="231"/>
        </w:trPr>
        <w:tc>
          <w:tcPr>
            <w:tcW w:w="800" w:type="dxa"/>
            <w:vAlign w:val="bottom"/>
          </w:tcPr>
          <w:p>
            <w:pPr>
              <w:spacing w:after="0"/>
              <w:rPr>
                <w:sz w:val="20"/>
                <w:szCs w:val="20"/>
                <w:color w:val="auto"/>
              </w:rPr>
            </w:pPr>
          </w:p>
        </w:tc>
        <w:tc>
          <w:tcPr>
            <w:tcW w:w="682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7"/>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4"/>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29"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465455</wp:posOffset>
            </wp:positionH>
            <wp:positionV relativeFrom="paragraph">
              <wp:posOffset>19050</wp:posOffset>
            </wp:positionV>
            <wp:extent cx="6194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2" w:lineRule="exact"/>
        <w:rPr>
          <w:sz w:val="24"/>
          <w:szCs w:val="24"/>
          <w:color w:val="auto"/>
        </w:rPr>
      </w:pPr>
    </w:p>
    <w:p>
      <w:pPr>
        <w:ind w:right="72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9" w:lineRule="exact"/>
        <w:rPr>
          <w:rFonts w:ascii="MS PGothic" w:cs="MS PGothic" w:eastAsia="MS PGothic" w:hAnsi="MS PGothic"/>
          <w:sz w:val="21"/>
          <w:szCs w:val="21"/>
          <w:color w:val="auto"/>
        </w:rPr>
      </w:pPr>
    </w:p>
    <w:p>
      <w:pPr>
        <w:ind w:left="380" w:hanging="373"/>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6"/>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7"/>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08" w:right="359" w:bottom="1440" w:gutter="0" w:footer="0" w:header="0"/>
        </w:sectPr>
      </w:pPr>
    </w:p>
    <w:bookmarkStart w:id="1" w:name="page2"/>
    <w:bookmarkEnd w:id="1"/>
    <w:p>
      <w:pPr>
        <w:ind w:left="18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48"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On February 6, 2024, Weatherford International plc (“Weatherford” and together with its subsidiaries, “we” or the “Company”) issued a news release announcing results for the fourth quarter ended December 31, 2023. A copy of the news release is furnished as Exhibit 99.1 and incorporated into this Item 2.02.</w:t>
      </w:r>
    </w:p>
    <w:p>
      <w:pPr>
        <w:spacing w:after="0" w:line="24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Weatherford will host a conference call on Wednesday, February 7, 2024, to discuss the Company’s results for the fourth quarter and full year ended December 31, 2023. The conference call will begin at 9:00 a.m. Eastern Time (8:00 a.m. Central Time).</w:t>
      </w:r>
    </w:p>
    <w:p>
      <w:pPr>
        <w:spacing w:after="0" w:line="175" w:lineRule="exact"/>
        <w:rPr>
          <w:sz w:val="20"/>
          <w:szCs w:val="20"/>
          <w:color w:val="auto"/>
        </w:rPr>
      </w:pPr>
    </w:p>
    <w:p>
      <w:pPr>
        <w:jc w:val="both"/>
        <w:ind w:firstLine="484"/>
        <w:spacing w:after="0" w:line="264"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203"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216"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February 21, 2024, at 5:00 p.m. Eastern Time. To access the replay, please dial +1 877-344-7529 (within the U.S.) or +1 412-317-0088 (outside of the U.S.) and reference conference number 5521443. A replay and transcript of the earnings call will also be available in the investor relations section of the Company’s website</w:t>
      </w:r>
    </w:p>
    <w:p>
      <w:pPr>
        <w:spacing w:after="0" w:line="252" w:lineRule="exact"/>
        <w:rPr>
          <w:sz w:val="20"/>
          <w:szCs w:val="20"/>
          <w:color w:val="auto"/>
        </w:rPr>
      </w:pPr>
    </w:p>
    <w:p>
      <w:pPr>
        <w:ind w:left="18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321" w:lineRule="exact"/>
        <w:rPr>
          <w:sz w:val="20"/>
          <w:szCs w:val="20"/>
          <w:color w:val="auto"/>
        </w:rPr>
      </w:pPr>
    </w:p>
    <w:p>
      <w:pPr>
        <w:jc w:val="both"/>
        <w:ind w:firstLine="484"/>
        <w:spacing w:after="0" w:line="238" w:lineRule="auto"/>
        <w:rPr>
          <w:sz w:val="20"/>
          <w:szCs w:val="20"/>
          <w:color w:val="auto"/>
        </w:rPr>
      </w:pPr>
      <w:r>
        <w:rPr>
          <w:rFonts w:ascii="Times New Roman" w:cs="Times New Roman" w:eastAsia="Times New Roman" w:hAnsi="Times New Roman"/>
          <w:sz w:val="18"/>
          <w:szCs w:val="18"/>
          <w:color w:val="auto"/>
        </w:rPr>
        <w:t>On February 1, 2024, Weatherford International plc (“Weatherford”) entered into two separate merger agreements (the “Merger Agreements”) with ISI Holding Company, LLC (“ISI”) and Probe Technologies Holdings, Inc. (“Probe”), respectively, as well as Turnbridge Capital Management, LLC, as representative of the sellers, pursuant to which Weatherford acquired all of the outstanding equity securities, on a cash-free/debt-free basis, of ISI and Probe (the “Acquisitions”). Aggregate consideration for the Acquisitions paid at closing consists of 844,702 ordinary shares of the Company (the “Ordinary Shares”), plus $6 million in cash, subject to customary adjustments. Subject to meeting certain earn-out terms, Weatherford has also agreed to additional consideration in the form of (a) the issuance of up to 30,298 Ordinary Shares, and (b) up to $12 million, to be satisfied, at Weatherford’s sole discretion, in either cash or Ordinary Shares (the number of Ordinary Shares to be calculated by dividing $12 million by a price per Ordinary Share equal to the volume-weighted average price of the Company’s Ordinary Shares over five consecutive trading days from June 24, 2024 to June 28, 2024).</w:t>
      </w:r>
    </w:p>
    <w:p>
      <w:pPr>
        <w:spacing w:after="0" w:line="226"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Ordinary Shares will be issued in reliance upon the exemption from the registration requirements of the Securities Act of 1933, as amended (the “Securities Act”), pursuant to Section 4(a)(2) of the Securities Act as two isolated private sales by Weatherford not involving any public offering. Weatherford’s reliance upon such exemption was based upon the following factors: (a) a limited number of recipients who each provided Weatherford accredited investor questionnaires, and (b) representations from the recipients to support such exemption in the Merger Agreements.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Current Report on Form 8-K is not an offer to sell or the solicitation of an offer to buy Ordinary Shares of the Company.</w:t>
      </w:r>
    </w:p>
    <w:p>
      <w:pPr>
        <w:spacing w:after="0" w:line="2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5.02</w:t>
            </w:r>
          </w:p>
        </w:tc>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Departure of Directors or Certain Officers; Election of Directors; Appointment of Certain Officers; Compensatory</w:t>
            </w:r>
          </w:p>
        </w:tc>
        <w:tc>
          <w:tcPr>
            <w:tcW w:w="0" w:type="dxa"/>
            <w:vAlign w:val="bottom"/>
          </w:tcPr>
          <w:p>
            <w:pPr>
              <w:spacing w:after="0"/>
              <w:rPr>
                <w:sz w:val="1"/>
                <w:szCs w:val="1"/>
                <w:color w:val="auto"/>
              </w:rPr>
            </w:pPr>
          </w:p>
        </w:tc>
      </w:tr>
      <w:tr>
        <w:trPr>
          <w:trHeight w:val="238"/>
        </w:trPr>
        <w:tc>
          <w:tcPr>
            <w:tcW w:w="1180" w:type="dxa"/>
            <w:vAlign w:val="bottom"/>
            <w:vMerge w:val="continue"/>
          </w:tcPr>
          <w:p>
            <w:pPr>
              <w:spacing w:after="0"/>
              <w:rPr>
                <w:sz w:val="20"/>
                <w:szCs w:val="20"/>
                <w:color w:val="auto"/>
              </w:rPr>
            </w:pPr>
          </w:p>
        </w:tc>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Arrangements of Certain Officers.</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484"/>
        <w:spacing w:after="0" w:line="264" w:lineRule="auto"/>
        <w:rPr>
          <w:sz w:val="20"/>
          <w:szCs w:val="20"/>
          <w:color w:val="auto"/>
        </w:rPr>
      </w:pPr>
      <w:r>
        <w:rPr>
          <w:rFonts w:ascii="Times New Roman" w:cs="Times New Roman" w:eastAsia="Times New Roman" w:hAnsi="Times New Roman"/>
          <w:sz w:val="18"/>
          <w:szCs w:val="18"/>
          <w:color w:val="auto"/>
        </w:rPr>
        <w:t>The Company today announced the departure of Charles “Chuck” W. Davison, Jr., Executive Vice President and Chief Fulfillment and Enterprise Infrastructure Officer, and Joseph H. Mongrain, Chief People Officer, each to be effective on February 6, 2024.</w:t>
      </w:r>
    </w:p>
    <w:p>
      <w:pPr>
        <w:spacing w:after="0" w:line="203" w:lineRule="exact"/>
        <w:rPr>
          <w:sz w:val="20"/>
          <w:szCs w:val="20"/>
          <w:color w:val="auto"/>
        </w:rPr>
      </w:pPr>
    </w:p>
    <w:p>
      <w:pPr>
        <w:jc w:val="both"/>
        <w:ind w:firstLine="484"/>
        <w:spacing w:after="0" w:line="245" w:lineRule="auto"/>
        <w:rPr>
          <w:sz w:val="20"/>
          <w:szCs w:val="20"/>
          <w:color w:val="auto"/>
        </w:rPr>
      </w:pPr>
      <w:r>
        <w:rPr>
          <w:rFonts w:ascii="Times New Roman" w:cs="Times New Roman" w:eastAsia="Times New Roman" w:hAnsi="Times New Roman"/>
          <w:sz w:val="18"/>
          <w:szCs w:val="18"/>
          <w:color w:val="auto"/>
        </w:rPr>
        <w:t>In conjunction with their departures, Mr. Davison and Mr. Mongrain will be entitled to certain benefits and compensation under the Company’s pre-existing compensation plans and applicable policies and related agreements, forms of which are on file with the Securities and Exchange Commission (the “SEC”) and described in the Company’s annual proxy statement filed with the SEC on April 24, 2023 (the “Proxy Statement”), as well as subsequent Company filings on Form 8-K. These include benefits under our Third Amended and Restated 2019 Equity Incentive Plan and related award agreements. Receipt of these benefits is subject to execution of a general release of claims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530860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4" w:lineRule="exact"/>
        <w:rPr>
          <w:sz w:val="20"/>
          <w:szCs w:val="20"/>
          <w:color w:val="auto"/>
        </w:rPr>
      </w:pPr>
    </w:p>
    <w:p>
      <w:pPr>
        <w:ind w:left="1660" w:hanging="910"/>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2"/>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5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February 6, 2024 announcing results for the fourth quarter ended December 31, 2023</w:t>
            </w:r>
            <w:r>
              <w:rPr>
                <w:rFonts w:ascii="Times New Roman" w:cs="Times New Roman" w:eastAsia="Times New Roman" w:hAnsi="Times New Roman"/>
                <w:sz w:val="18"/>
                <w:szCs w:val="18"/>
                <w:color w:val="000000"/>
              </w:rPr>
              <w:t>.</w:t>
            </w:r>
          </w:p>
        </w:tc>
      </w:tr>
      <w:tr>
        <w:trPr>
          <w:trHeight w:val="20"/>
        </w:trPr>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49"/>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61"/>
        </w:trPr>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13335</wp:posOffset>
            </wp:positionV>
            <wp:extent cx="3250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1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Arunava Mitra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160"/>
          </w:cols>
          <w:pgMar w:left="320" w:top="883"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62230</wp:posOffset>
            </wp:positionV>
            <wp:extent cx="1894205" cy="784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420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Announces Fourth Quarter and Full Year 2023 Results</w:t>
      </w:r>
    </w:p>
    <w:p>
      <w:pPr>
        <w:spacing w:after="0" w:line="313" w:lineRule="exact"/>
        <w:rPr>
          <w:sz w:val="20"/>
          <w:szCs w:val="20"/>
          <w:color w:val="auto"/>
        </w:rPr>
      </w:pPr>
    </w:p>
    <w:p>
      <w:pPr>
        <w:ind w:left="660" w:right="20" w:hanging="330"/>
        <w:spacing w:after="0" w:line="3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revenue of $1,362 million increased 4% sequentially and 13% year-over-year; full year revenue of $5,135 million, increased 19% from prior year, driven by international revenue growth of 26%</w:t>
      </w:r>
    </w:p>
    <w:p>
      <w:pPr>
        <w:spacing w:after="0" w:line="1" w:lineRule="exact"/>
        <w:rPr>
          <w:rFonts w:ascii="Times New Roman" w:cs="Times New Roman" w:eastAsia="Times New Roman" w:hAnsi="Times New Roman"/>
          <w:sz w:val="20"/>
          <w:szCs w:val="20"/>
          <w:color w:val="auto"/>
        </w:rPr>
      </w:pPr>
    </w:p>
    <w:p>
      <w:pPr>
        <w:ind w:left="660" w:hanging="330"/>
        <w:spacing w:after="0" w:line="3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operating income of $216 million decreased 1% sequentially and increased 28% year-over-year; full year operating income of $820 million, increased 99% from prior year</w:t>
      </w:r>
    </w:p>
    <w:p>
      <w:pPr>
        <w:spacing w:after="0" w:line="1" w:lineRule="exact"/>
        <w:rPr>
          <w:rFonts w:ascii="Times New Roman" w:cs="Times New Roman" w:eastAsia="Times New Roman" w:hAnsi="Times New Roman"/>
          <w:sz w:val="20"/>
          <w:szCs w:val="20"/>
          <w:color w:val="auto"/>
        </w:rPr>
      </w:pPr>
    </w:p>
    <w:p>
      <w:pPr>
        <w:ind w:left="660" w:right="20" w:hanging="330"/>
        <w:spacing w:after="0" w:line="3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net income of $140 million, a 10.3% margin, increased 14% sequentially and increased 94% year-over-year; full year net income of $417 million, a 8.1% margin, increased by 1,504% from prior year</w:t>
      </w:r>
    </w:p>
    <w:p>
      <w:pPr>
        <w:spacing w:after="0" w:line="1" w:lineRule="exact"/>
        <w:rPr>
          <w:rFonts w:ascii="Times New Roman" w:cs="Times New Roman" w:eastAsia="Times New Roman" w:hAnsi="Times New Roman"/>
          <w:sz w:val="20"/>
          <w:szCs w:val="20"/>
          <w:color w:val="auto"/>
        </w:rPr>
      </w:pPr>
    </w:p>
    <w:p>
      <w:pPr>
        <w:jc w:val="both"/>
        <w:ind w:left="660" w:hanging="330"/>
        <w:spacing w:after="0" w:line="3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adjusted EBITDA* of $321 million, a 23.6% margin, increased 5% and 34 basis points sequentially and 21% and 157 basis points year-over-year; full year adjusted EBITDA* of $1,186 million, a 23.1% margin, the highest in over 15 years, increased 45% and 423 basis points from prior year</w:t>
      </w:r>
    </w:p>
    <w:p>
      <w:pPr>
        <w:spacing w:after="0" w:line="5" w:lineRule="exact"/>
        <w:rPr>
          <w:rFonts w:ascii="Times New Roman" w:cs="Times New Roman" w:eastAsia="Times New Roman" w:hAnsi="Times New Roman"/>
          <w:sz w:val="20"/>
          <w:szCs w:val="20"/>
          <w:color w:val="auto"/>
        </w:rPr>
      </w:pPr>
    </w:p>
    <w:p>
      <w:pPr>
        <w:ind w:left="660" w:hanging="330"/>
        <w:spacing w:after="0" w:line="360" w:lineRule="auto"/>
        <w:tabs>
          <w:tab w:leader="none" w:pos="648"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Fourth quarter cash provided by operating activities of $375 million and adjusted free cash flow* of $315 million driven by heightened collections; full year cash provided by operating activities of $832 million and adjusted free cash flow* of $651 million</w:t>
      </w:r>
    </w:p>
    <w:p>
      <w:pPr>
        <w:spacing w:after="0" w:line="22" w:lineRule="exact"/>
        <w:rPr>
          <w:rFonts w:ascii="Times New Roman" w:cs="Times New Roman" w:eastAsia="Times New Roman" w:hAnsi="Times New Roman"/>
          <w:sz w:val="20"/>
          <w:szCs w:val="20"/>
          <w:b w:val="1"/>
          <w:bCs w:val="1"/>
          <w:color w:val="auto"/>
        </w:rPr>
      </w:pPr>
    </w:p>
    <w:p>
      <w:pPr>
        <w:ind w:left="660" w:hanging="330"/>
        <w:spacing w:after="0" w:line="348" w:lineRule="auto"/>
        <w:tabs>
          <w:tab w:leader="none" w:pos="655" w:val="left"/>
        </w:tabs>
        <w:numPr>
          <w:ilvl w:val="0"/>
          <w:numId w:val="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0"/>
          <w:szCs w:val="20"/>
          <w:color w:val="auto"/>
        </w:rPr>
        <w:t>Debt repayments of $226 million on 6.50% Senior Secured Notes comprised of the previously announced $75 million in the fourth quarter of 2023, and an additional $151 million in January 2024</w:t>
      </w:r>
    </w:p>
    <w:p>
      <w:pPr>
        <w:spacing w:after="0" w:line="1" w:lineRule="exact"/>
        <w:rPr>
          <w:rFonts w:ascii="Times New Roman" w:cs="Times New Roman" w:eastAsia="Times New Roman" w:hAnsi="Times New Roman"/>
          <w:sz w:val="21"/>
          <w:szCs w:val="21"/>
          <w:i w:val="1"/>
          <w:iCs w:val="1"/>
          <w:color w:val="auto"/>
        </w:rPr>
      </w:pPr>
    </w:p>
    <w:p>
      <w:pPr>
        <w:ind w:left="660" w:hanging="330"/>
        <w:spacing w:after="0" w:line="3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credit rating upgrades from S&amp;P Global Ratings to ‘B+’ (with a positive outlook) and Moody’s to ‘B1’ (with a positive outlook); newly initiated Fitch Ratings of ‘B+’</w:t>
      </w:r>
    </w:p>
    <w:p>
      <w:pPr>
        <w:spacing w:after="0" w:line="1" w:lineRule="exact"/>
        <w:rPr>
          <w:rFonts w:ascii="Times New Roman" w:cs="Times New Roman" w:eastAsia="Times New Roman" w:hAnsi="Times New Roman"/>
          <w:sz w:val="20"/>
          <w:szCs w:val="20"/>
          <w:color w:val="auto"/>
        </w:rPr>
      </w:pPr>
    </w:p>
    <w:p>
      <w:pPr>
        <w:ind w:left="660" w:right="20" w:hanging="330"/>
        <w:spacing w:after="0" w:line="3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Closed acquisition of specialty technology plays in the wireline and plug and abandonment space, further highlighting growth prospects for the future</w:t>
      </w:r>
    </w:p>
    <w:p>
      <w:pPr>
        <w:spacing w:after="0" w:line="1" w:lineRule="exact"/>
        <w:rPr>
          <w:rFonts w:ascii="Times New Roman" w:cs="Times New Roman" w:eastAsia="Times New Roman" w:hAnsi="Times New Roman"/>
          <w:sz w:val="20"/>
          <w:szCs w:val="20"/>
          <w:color w:val="auto"/>
        </w:rPr>
      </w:pPr>
    </w:p>
    <w:p>
      <w:pPr>
        <w:ind w:left="640" w:hanging="310"/>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OTC Asia Spotlight on New Technology Award in Tubular Running Services for StringGuard</w:t>
      </w:r>
      <w:r>
        <w:rPr>
          <w:rFonts w:ascii="Times New Roman" w:cs="Times New Roman" w:eastAsia="Times New Roman" w:hAnsi="Times New Roman"/>
          <w:sz w:val="25"/>
          <w:szCs w:val="25"/>
          <w:color w:val="auto"/>
          <w:vertAlign w:val="superscript"/>
        </w:rPr>
        <w:t>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4" w:right="339" w:bottom="1440" w:gutter="0" w:footer="0" w:header="0"/>
        </w:sectPr>
      </w:pPr>
    </w:p>
    <w:bookmarkStart w:id="5" w:name="page6"/>
    <w:bookmarkEnd w:id="5"/>
    <w:p>
      <w:pPr>
        <w:ind w:right="340"/>
        <w:spacing w:after="0" w:line="397" w:lineRule="auto"/>
        <w:rPr>
          <w:sz w:val="20"/>
          <w:szCs w:val="20"/>
          <w:color w:val="auto"/>
        </w:rPr>
      </w:pPr>
      <w:r>
        <w:rPr>
          <w:rFonts w:ascii="Times New Roman" w:cs="Times New Roman" w:eastAsia="Times New Roman" w:hAnsi="Times New Roman"/>
          <w:sz w:val="20"/>
          <w:szCs w:val="20"/>
          <w:b w:val="1"/>
          <w:bCs w:val="1"/>
          <w:color w:val="auto"/>
        </w:rPr>
        <w:t xml:space="preserve">Houston, February 6, 2024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fourth quarter of 2023 and full year 2023.</w:t>
      </w:r>
    </w:p>
    <w:p>
      <w:pPr>
        <w:spacing w:after="0" w:line="90"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fourth quarter of 2023 were $1,362 million, an increase of 4% sequentially and 13% year-over-year. Operating income was $216 million in the fourth quarter of 2023, compared to $218 million in the third quarter of 2023 and $169 million in the fourth quarter of 2022. Net income in the fourth quarter of 2023 was $140 million, an increase of 14% or 91 basis points sequentially, and an increase of 94% or 432 basis points year-over-year. Adjusted EBITDA* was $321 million, an increase of 5% or 34 basis points sequentially, and an increase of 21% or 157 basis points year-over-year. Basic income per share was $1.94, compared to $1.70 in the third quarter of 2023 and $1.01 in the fourth quarter of 2022.</w:t>
      </w:r>
    </w:p>
    <w:p>
      <w:pPr>
        <w:spacing w:after="0" w:line="124"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20"/>
          <w:szCs w:val="20"/>
          <w:color w:val="auto"/>
        </w:rPr>
        <w:t>Fourth quarter 2023 cash flows provided by operating activities were $375 million, compared to $172 million in the third quarter of 2023 and $193 million in the fourth quarter of 2022. Adjusted free cash flow* was $315 million, an increase of $178 million sequentially and $144 million year-over-year. Capital expenditures were $67 million in the fourth quarter of 2023, compared to $42 million in the third quarter of 2023 and $49 million in the fourth quarter of 2022.</w:t>
      </w:r>
    </w:p>
    <w:p>
      <w:pPr>
        <w:spacing w:after="0" w:line="11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 for the full year 2023 was $5,135 million, compared to revenues of $4,331 million in 2022. Operating Income for the full year was $820 million, compared to $412 million in 2022. The company’s full year 2023 net income was $417 million, compared to $26 million in 2022. Full year cash flows provided by operations were $832 million, compared to $349 million in 2022. Adjusted free cash flow for the full year was $651 million compared to $299 million in 2022. Capital expenditures for full year 2023 were $209 million, compared to $132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0" w:right="339" w:bottom="1440" w:gutter="0" w:footer="0" w:header="0"/>
        </w:sectPr>
      </w:pPr>
    </w:p>
    <w:bookmarkStart w:id="6" w:name="page7"/>
    <w:bookmarkEnd w:id="6"/>
    <w:p>
      <w:pPr>
        <w:jc w:val="both"/>
        <w:spacing w:after="0" w:line="371"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“The results from the fourth quarter bookend another transformative year for the company and underscore the fundamentally changed nature of our operating profile. I am very grateful to our One Weatherford team for their continued passion and commitment in delivering these results.</w:t>
      </w:r>
    </w:p>
    <w:p>
      <w:pPr>
        <w:spacing w:after="0" w:line="210"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2023 top line growth of 19%, adjusted free cash flow generation of $651 million, margin expansion of 423 basis points, and adjusted EBITDA margins of 23.1% set another record. Simultaneously, we made measurable improvements in our capital structure, with continued debt pay down, an enhanced credit facility, and credit rating upgrades. These actions and results reflect our commitment to achieving our strategic priorities and position us for a new phase of growth.</w:t>
      </w:r>
    </w:p>
    <w:p>
      <w:pPr>
        <w:spacing w:after="0" w:line="21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On February 1, 2024, we completed the acquisition of two technology companies in the wireline space from Turnbridge Capital - Probe and Impact Selector International, both widely recognized brands. We also completed the acquisition of Ardyne, a leader in well de-commissioning technology with whom we have had a partnership since the fourth quarter of 2022. These companies are strategically aligned with our portfolio and fit well within our acquisition criterion. We have very robust integration plans and are excited about the additional technology differentiation they add to Weatherford.</w:t>
      </w:r>
    </w:p>
    <w:p>
      <w:pPr>
        <w:spacing w:after="0" w:line="204" w:lineRule="exact"/>
        <w:rPr>
          <w:sz w:val="20"/>
          <w:szCs w:val="20"/>
          <w:color w:val="auto"/>
        </w:rPr>
      </w:pPr>
    </w:p>
    <w:p>
      <w:pPr>
        <w:jc w:val="both"/>
        <w:ind w:right="20"/>
        <w:spacing w:after="0" w:line="371" w:lineRule="auto"/>
        <w:rPr>
          <w:sz w:val="20"/>
          <w:szCs w:val="20"/>
          <w:color w:val="auto"/>
        </w:rPr>
      </w:pPr>
      <w:r>
        <w:rPr>
          <w:rFonts w:ascii="Times New Roman" w:cs="Times New Roman" w:eastAsia="Times New Roman" w:hAnsi="Times New Roman"/>
          <w:sz w:val="20"/>
          <w:szCs w:val="20"/>
          <w:color w:val="auto"/>
        </w:rPr>
        <w:t>Our outlook for 2024 remains positive, with market fundamentals and international and offshore activity continuing to show resilience. We expect full year 2024 revenue to grow between double digits and low teens year-over-year, spearheaded by robust growth in the Middle East, and for adjusted EBITDA margins to make meaningful progress towards our goal of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Highlights</w:t>
      </w:r>
    </w:p>
    <w:p>
      <w:pPr>
        <w:spacing w:after="0" w:line="133" w:lineRule="exact"/>
        <w:rPr>
          <w:sz w:val="20"/>
          <w:szCs w:val="20"/>
          <w:color w:val="auto"/>
        </w:rPr>
      </w:pPr>
    </w:p>
    <w:p>
      <w:pPr>
        <w:ind w:left="340" w:hanging="333"/>
        <w:spacing w:after="0" w:line="39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QatarEnergy awarded us three, five-year contracts to provide Completions and Gas Lift equipment, including Well and Intervention Services.</w:t>
      </w:r>
    </w:p>
    <w:p>
      <w:pPr>
        <w:spacing w:after="0" w:line="12" w:lineRule="exact"/>
        <w:rPr>
          <w:rFonts w:ascii="Times New Roman" w:cs="Times New Roman" w:eastAsia="Times New Roman" w:hAnsi="Times New Roman"/>
          <w:sz w:val="20"/>
          <w:szCs w:val="20"/>
          <w:color w:val="auto"/>
        </w:rPr>
      </w:pPr>
    </w:p>
    <w:p>
      <w:pPr>
        <w:ind w:left="340" w:hanging="333"/>
        <w:spacing w:after="0" w:line="39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Petrobras awarded us a five-year contract in Brazil to address subsea intervention and commissioning through our comprehensive offering, enhanced by our Centro™ well construction optimization platform.</w:t>
      </w:r>
    </w:p>
    <w:p>
      <w:pPr>
        <w:spacing w:after="0" w:line="12" w:lineRule="exact"/>
        <w:rPr>
          <w:rFonts w:ascii="Times New Roman" w:cs="Times New Roman" w:eastAsia="Times New Roman" w:hAnsi="Times New Roman"/>
          <w:sz w:val="20"/>
          <w:szCs w:val="20"/>
          <w:color w:val="auto"/>
        </w:rPr>
      </w:pPr>
    </w:p>
    <w:p>
      <w:pPr>
        <w:ind w:left="340" w:right="20" w:hanging="333"/>
        <w:spacing w:after="0" w:line="37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ENI Italy awarded us a three-year contract for the provision of Wireline services, in addition to a three-year contract for the supply of Liner Hanger systems for their onshore and offshore operations.</w:t>
      </w:r>
    </w:p>
    <w:p>
      <w:pPr>
        <w:spacing w:after="0" w:line="26" w:lineRule="exact"/>
        <w:rPr>
          <w:rFonts w:ascii="Times New Roman" w:cs="Times New Roman" w:eastAsia="Times New Roman" w:hAnsi="Times New Roman"/>
          <w:sz w:val="20"/>
          <w:szCs w:val="20"/>
          <w:color w:val="auto"/>
        </w:rPr>
      </w:pPr>
    </w:p>
    <w:p>
      <w:pPr>
        <w:ind w:left="340" w:hanging="333"/>
        <w:spacing w:after="0" w:line="39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Brunei awarded us a three-year contract for the provision of Well Services, including the supply of thru-tubing products and services.</w:t>
      </w:r>
    </w:p>
    <w:p>
      <w:pPr>
        <w:spacing w:after="0" w:line="12"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Exxon awarded us a two-year Completions and Sand Control systems on the Guyana offshore programs.</w:t>
      </w:r>
    </w:p>
    <w:p>
      <w:pPr>
        <w:spacing w:after="0" w:line="186"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BPX Energy awarded us a two-year contract to supply Cementation Products for their Eagle Ford asset</w:t>
      </w:r>
    </w:p>
    <w:p>
      <w:pPr>
        <w:spacing w:after="0" w:line="186"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Cairn awarded us a three-year contract to provide Completions and Liner Hanger systems and services on the Barmer field in India</w:t>
      </w:r>
    </w:p>
    <w:p>
      <w:pPr>
        <w:spacing w:after="0" w:line="186" w:lineRule="exact"/>
        <w:rPr>
          <w:rFonts w:ascii="Times New Roman" w:cs="Times New Roman" w:eastAsia="Times New Roman" w:hAnsi="Times New Roman"/>
          <w:sz w:val="20"/>
          <w:szCs w:val="20"/>
          <w:color w:val="auto"/>
        </w:rPr>
      </w:pPr>
    </w:p>
    <w:p>
      <w:pPr>
        <w:ind w:left="340" w:hanging="333"/>
        <w:spacing w:after="0" w:line="39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Asia awarded us a one-year contract for the supply of MPD systems for Carbon Capture and Sequestration (CCS) on an offshore gas development project.</w:t>
      </w:r>
    </w:p>
    <w:p>
      <w:pPr>
        <w:spacing w:after="0" w:line="12" w:lineRule="exact"/>
        <w:rPr>
          <w:rFonts w:ascii="Times New Roman" w:cs="Times New Roman" w:eastAsia="Times New Roman" w:hAnsi="Times New Roman"/>
          <w:sz w:val="20"/>
          <w:szCs w:val="20"/>
          <w:color w:val="auto"/>
        </w:rPr>
      </w:pPr>
    </w:p>
    <w:p>
      <w:pPr>
        <w:ind w:left="340" w:hanging="333"/>
        <w:spacing w:after="0" w:line="37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PTTEP Thailand awarded us a four-year contract for the provision of Fishing and Well Abandonment Services for Offshore Drilling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187" w:lineRule="exact"/>
        <w:rPr>
          <w:sz w:val="20"/>
          <w:szCs w:val="20"/>
          <w:color w:val="auto"/>
        </w:rPr>
      </w:pPr>
    </w:p>
    <w:p>
      <w:pPr>
        <w:ind w:left="340" w:hanging="333"/>
        <w:spacing w:after="0" w:line="333"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Weatherford received OTC Asia Spotlight on New Technology award for StringGuard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 system that prevents dropped tubulars adding safety and reliability to both offshore and onshore rig operations.</w:t>
      </w:r>
    </w:p>
    <w:p>
      <w:pPr>
        <w:spacing w:after="0" w:line="34" w:lineRule="exact"/>
        <w:rPr>
          <w:rFonts w:ascii="Times New Roman" w:cs="Times New Roman" w:eastAsia="Times New Roman" w:hAnsi="Times New Roman"/>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successfully installed fiber optic sensing technology for ADNOC’s first CCS well in support of their low-carbon initiatives.</w:t>
      </w:r>
    </w:p>
    <w:p>
      <w:pPr>
        <w:spacing w:after="0" w:line="159" w:lineRule="exact"/>
        <w:rPr>
          <w:rFonts w:ascii="Times New Roman" w:cs="Times New Roman" w:eastAsia="Times New Roman" w:hAnsi="Times New Roman"/>
          <w:sz w:val="20"/>
          <w:szCs w:val="20"/>
          <w:color w:val="auto"/>
        </w:rPr>
      </w:pPr>
    </w:p>
    <w:p>
      <w:pPr>
        <w:jc w:val="both"/>
        <w:ind w:left="340" w:right="20" w:hanging="333"/>
        <w:spacing w:after="0" w:line="378"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our partnership with Ardyne, Weatherford provided a unique, integrated solution that delivered significant value to a major operator in the Middle East, combining Weatherford’s existing portfolio with Ardyne’s industry leading technology to extend production on an aging asset.</w:t>
      </w:r>
    </w:p>
    <w:p>
      <w:pPr>
        <w:spacing w:after="0" w:line="1" w:lineRule="exact"/>
        <w:rPr>
          <w:rFonts w:ascii="Times New Roman" w:cs="Times New Roman" w:eastAsia="Times New Roman" w:hAnsi="Times New Roman"/>
          <w:sz w:val="20"/>
          <w:szCs w:val="20"/>
          <w:color w:val="auto"/>
        </w:rPr>
      </w:pPr>
    </w:p>
    <w:p>
      <w:pPr>
        <w:ind w:left="340" w:hanging="333"/>
        <w:spacing w:after="0" w:line="393"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Deployed an engineered downhole Progressive Cavity Pump for 5E Advanced Materials to handle the extreme downhole conditions for a boron solution mining project.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25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Liquidity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closed the fourth quarter 2023 with total cash of approximately $1,063 million as of December 31, 2023, up $117 million sequentially.</w:t>
      </w:r>
    </w:p>
    <w:p>
      <w:pPr>
        <w:spacing w:after="0" w:line="38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Net cash provided by operating activities during the fourth quarter 2023 was $375 million, up $203 million sequentially, and up $182 million year-over-year. Adjusted free cash flow* of $315 million was up $178 million sequentially and $144 million compared to the fourth quarter of 2022. The increases were mostly attributed to heightened collections activity.</w:t>
      </w:r>
    </w:p>
    <w:p>
      <w:pPr>
        <w:spacing w:after="0" w:line="23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In the fourth quarter 2023, we repurchased $75 million of our 6.5% Senior Secured Notes (“Secured Notes”) and an additional $151 million in January 2024. The principal remaining on our Secured Notes was approximately $248 million as of December 31, 2023 and $97 million as of the date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Drilling &amp; Evaluation (“DRE”)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Pr>
          <w:p>
            <w:pPr>
              <w:spacing w:after="0"/>
              <w:rPr>
                <w:sz w:val="14"/>
                <w:szCs w:val="14"/>
                <w:color w:val="auto"/>
              </w:rPr>
            </w:pPr>
          </w:p>
        </w:tc>
        <w:tc>
          <w:tcPr>
            <w:tcW w:w="860" w:type="dxa"/>
            <w:vAlign w:val="bottom"/>
          </w:tcPr>
          <w:p>
            <w:pPr>
              <w:jc w:val="right"/>
              <w:ind w:right="170"/>
              <w:spacing w:after="0" w:line="168"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Pr>
          <w:p>
            <w:pPr>
              <w:spacing w:after="0"/>
              <w:rPr>
                <w:sz w:val="14"/>
                <w:szCs w:val="14"/>
                <w:color w:val="auto"/>
              </w:rPr>
            </w:pPr>
          </w:p>
        </w:tc>
        <w:tc>
          <w:tcPr>
            <w:tcW w:w="840" w:type="dxa"/>
            <w:vAlign w:val="bottom"/>
          </w:tcPr>
          <w:p>
            <w:pPr>
              <w:jc w:val="center"/>
              <w:ind w:right="130"/>
              <w:spacing w:after="0" w:line="168"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220" w:type="dxa"/>
            <w:vAlign w:val="bottom"/>
          </w:tcPr>
          <w:p>
            <w:pPr>
              <w:spacing w:after="0"/>
              <w:rPr>
                <w:sz w:val="14"/>
                <w:szCs w:val="14"/>
                <w:color w:val="auto"/>
              </w:rPr>
            </w:pPr>
          </w:p>
        </w:tc>
        <w:tc>
          <w:tcPr>
            <w:tcW w:w="80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4"/>
                <w:szCs w:val="14"/>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Seq.</w:t>
            </w:r>
          </w:p>
        </w:tc>
        <w:tc>
          <w:tcPr>
            <w:tcW w:w="600" w:type="dxa"/>
            <w:vAlign w:val="bottom"/>
          </w:tcPr>
          <w:p>
            <w:pPr>
              <w:spacing w:after="0"/>
              <w:rPr>
                <w:sz w:val="14"/>
                <w:szCs w:val="14"/>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1,536</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Segment Adj EBITDA</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(322) bps</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(453)bps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DRE revenues of $382 million decreased by $6 million, or 2% sequentially, primarily due to lower activity for drilling-related services in Latin America caused by weather, partially offset by increased wireline activity. Year-over-year DRE revenues increased by $11 million, or 3%, primarily due to international activity increases in wireline and drilling-related services.</w:t>
      </w:r>
    </w:p>
    <w:p>
      <w:pPr>
        <w:spacing w:after="0" w:line="89"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DRE segment adjusted EBITDA of $97 million decreased by $14 million, or 13% sequentially, primarily due to lower activity and a change in mix around drilling-related services. Year-over-year, DRE segment adjusted EBITDA decreased by $14 million, or 13%, primarily due to a change in mix around drilling-related services.</w:t>
      </w:r>
    </w:p>
    <w:p>
      <w:pPr>
        <w:spacing w:after="0" w:line="89"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DRE revenues of $1,536 million increased by $208 million, or 16% compared to 2022, with increased activity primarily from drilling-related services in Latin America and the Middle East/North Africa/Asia regions.</w:t>
      </w:r>
    </w:p>
    <w:p>
      <w:pPr>
        <w:spacing w:after="0" w:line="53"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DRE segment adjusted EBITDA of $422 million increased by $98 million, or 30% compared to 2022, with margins expanding 308 basis points primarily due to higher activity.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Well Construction and Completions (“WCC”)</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i w:val="1"/>
                <w:iCs w:val="1"/>
                <w:color w:val="auto"/>
              </w:rPr>
              <w:t>($ in Millions)</w:t>
            </w:r>
          </w:p>
        </w:tc>
        <w:tc>
          <w:tcPr>
            <w:tcW w:w="160" w:type="dxa"/>
            <w:vAlign w:val="bottom"/>
          </w:tcPr>
          <w:p>
            <w:pPr>
              <w:spacing w:after="0"/>
              <w:rPr>
                <w:sz w:val="15"/>
                <w:szCs w:val="15"/>
                <w:color w:val="auto"/>
              </w:rPr>
            </w:pPr>
          </w:p>
        </w:tc>
        <w:tc>
          <w:tcPr>
            <w:tcW w:w="84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Pr>
          <w:p>
            <w:pPr>
              <w:spacing w:after="0"/>
              <w:rPr>
                <w:sz w:val="15"/>
                <w:szCs w:val="15"/>
                <w:color w:val="auto"/>
              </w:rPr>
            </w:pPr>
          </w:p>
        </w:tc>
        <w:tc>
          <w:tcPr>
            <w:tcW w:w="860" w:type="dxa"/>
            <w:vAlign w:val="bottom"/>
          </w:tcPr>
          <w:p>
            <w:pPr>
              <w:jc w:val="center"/>
              <w:ind w:right="130"/>
              <w:spacing w:after="0" w:line="173" w:lineRule="exact"/>
              <w:rPr>
                <w:sz w:val="20"/>
                <w:szCs w:val="20"/>
                <w:color w:val="auto"/>
              </w:rPr>
            </w:pPr>
            <w:r>
              <w:rPr>
                <w:rFonts w:ascii="Times New Roman" w:cs="Times New Roman" w:eastAsia="Times New Roman" w:hAnsi="Times New Roman"/>
                <w:sz w:val="18"/>
                <w:szCs w:val="18"/>
                <w:b w:val="1"/>
                <w:bCs w:val="1"/>
                <w:color w:val="auto"/>
              </w:rPr>
              <w:t>Sep 30,</w:t>
            </w:r>
          </w:p>
        </w:tc>
        <w:tc>
          <w:tcPr>
            <w:tcW w:w="200" w:type="dxa"/>
            <w:vAlign w:val="bottom"/>
          </w:tcPr>
          <w:p>
            <w:pPr>
              <w:spacing w:after="0"/>
              <w:rPr>
                <w:sz w:val="15"/>
                <w:szCs w:val="15"/>
                <w:color w:val="auto"/>
              </w:rPr>
            </w:pPr>
          </w:p>
        </w:tc>
        <w:tc>
          <w:tcPr>
            <w:tcW w:w="800" w:type="dxa"/>
            <w:vAlign w:val="bottom"/>
          </w:tcPr>
          <w:p>
            <w:pPr>
              <w:jc w:val="right"/>
              <w:ind w:right="11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20" w:type="dxa"/>
            <w:vAlign w:val="bottom"/>
          </w:tcPr>
          <w:p>
            <w:pPr>
              <w:spacing w:after="0"/>
              <w:rPr>
                <w:sz w:val="15"/>
                <w:szCs w:val="15"/>
                <w:color w:val="auto"/>
              </w:rPr>
            </w:pP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bps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 bps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Fourth quarter 2023 WCC revenues of $480 million increased by $21 million, or 5% sequentially, primarily due to higher activity in completions and cementation products in the Middle East/North Africa/Asia regions, partially offset by lower activity in North America. Year-over-year WCC revenues increased by $77 million, or 19%, primarily due to increased completions activity, partially offset by lower activity in North America.</w:t>
      </w:r>
    </w:p>
    <w:p>
      <w:pPr>
        <w:spacing w:after="0" w:line="13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WCC segment adjusted EBITDA of $131 million increased by $12 million, or 10% sequentially, primarily due to higher international activity and a favorable change in mix around tubular running services. Year-over-year, WCC segment adjusted EBITDA increased by $44 million, or 51%, primarily due to higher fall through from increased activity across all product lines.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093" w:right="339" w:bottom="1440" w:gutter="0" w:footer="0" w:header="0"/>
          <w:type w:val="continuous"/>
        </w:sectPr>
      </w:pPr>
    </w:p>
    <w:bookmarkStart w:id="10" w:name="page11"/>
    <w:bookmarkEnd w:id="10"/>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WCC revenues of $1,800 million increased by $279 million, or 18% compared to 2022, with increased international activity primarily from completions and cementation products.</w:t>
      </w:r>
    </w:p>
    <w:p>
      <w:pPr>
        <w:spacing w:after="0" w:line="53"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WCC segment adjusted EBITDA of $455 million increased by $156 million, or 52% compared to 2022, with margins increasing 562 basis points due to increased activity and higher fall through.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Production and Intervention (“PRI”)</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5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110"/>
              <w:spacing w:after="0" w:line="173"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1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120" w:type="dxa"/>
            <w:vAlign w:val="bottom"/>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124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2022</w:t>
            </w:r>
          </w:p>
        </w:tc>
        <w:tc>
          <w:tcPr>
            <w:tcW w:w="9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1,472</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323</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220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 bps</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 bps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bps</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Fourth quarter 2023 PRI revenues of $386 million increased by $15 million, or 4% sequentially, primarily due to higher activity in digital solutions and international artificial lift, partially offset by lower activity for international pressure pumping and lower activity in North America for artificial lift. Year-over-year PRI revenues decreased by $21 million, or 5%, primarily due to lower activity in North America for artificial lift, partially offset by higher international activity in digital solutions, artificial lift and intervention services.</w:t>
      </w:r>
    </w:p>
    <w:p>
      <w:pPr>
        <w:spacing w:after="0" w:line="137"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Fourth quarter 2023 PRI segment adjusted EBITDA of $88 million, increased by $2 million, or 2% sequentially, primarily due to higher fall through for digital solutions, partially offset by lower activity for international pressure pumping. Year-over-year, PRI segment adjusted EBITDA was flat but margins increased by 118 basis points, primarily due to a significant increase in digital solutions activity, and higher margins in artificial lift despite an overall reduction in activity in North America.</w:t>
      </w:r>
    </w:p>
    <w:p>
      <w:pPr>
        <w:spacing w:after="0" w:line="137"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0"/>
          <w:szCs w:val="20"/>
          <w:color w:val="auto"/>
        </w:rPr>
        <w:t>Full year 2023 PRI revenues of $1,472 million increased by $77 million, or 6% compared to 2022, primarily due to increased activity in the Middle East/North Africa/Asia and Latin America regions.</w:t>
      </w:r>
    </w:p>
    <w:p>
      <w:pPr>
        <w:spacing w:after="0" w:line="120"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0"/>
          <w:szCs w:val="20"/>
          <w:color w:val="auto"/>
        </w:rPr>
        <w:t>Full year 2023 PRI segment adjusted EBITDA of $323 million, increased by $62 million, or 24% compared to 2022, with margins increasing 323 basis points mainly due to an increase in activity.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173"/>
        </w:trPr>
        <w:tc>
          <w:tcPr>
            <w:tcW w:w="2900" w:type="dxa"/>
            <w:vAlign w:val="bottom"/>
            <w:vMerge w:val="restart"/>
          </w:tcPr>
          <w:p>
            <w:pPr>
              <w:jc w:val="center"/>
              <w:ind w:right="169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Pr>
          <w:p>
            <w:pPr>
              <w:spacing w:after="0"/>
              <w:rPr>
                <w:sz w:val="15"/>
                <w:szCs w:val="15"/>
                <w:color w:val="auto"/>
              </w:rPr>
            </w:pPr>
          </w:p>
        </w:tc>
        <w:tc>
          <w:tcPr>
            <w:tcW w:w="780" w:type="dxa"/>
            <w:vAlign w:val="bottom"/>
          </w:tcPr>
          <w:p>
            <w:pPr>
              <w:jc w:val="right"/>
              <w:ind w:right="9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Pr>
          <w:p>
            <w:pPr>
              <w:spacing w:after="0"/>
              <w:rPr>
                <w:sz w:val="15"/>
                <w:szCs w:val="15"/>
                <w:color w:val="auto"/>
              </w:rPr>
            </w:pPr>
          </w:p>
        </w:tc>
        <w:tc>
          <w:tcPr>
            <w:tcW w:w="780" w:type="dxa"/>
            <w:vAlign w:val="bottom"/>
          </w:tcPr>
          <w:p>
            <w:pPr>
              <w:jc w:val="center"/>
              <w:ind w:right="90"/>
              <w:spacing w:after="0" w:line="173" w:lineRule="exact"/>
              <w:rPr>
                <w:sz w:val="20"/>
                <w:szCs w:val="20"/>
                <w:color w:val="auto"/>
              </w:rPr>
            </w:pPr>
            <w:r>
              <w:rPr>
                <w:rFonts w:ascii="Times New Roman" w:cs="Times New Roman" w:eastAsia="Times New Roman" w:hAnsi="Times New Roman"/>
                <w:sz w:val="18"/>
                <w:szCs w:val="18"/>
                <w:b w:val="1"/>
                <w:bCs w:val="1"/>
                <w:color w:val="auto"/>
              </w:rPr>
              <w:t>Sep 30,</w:t>
            </w:r>
          </w:p>
        </w:tc>
        <w:tc>
          <w:tcPr>
            <w:tcW w:w="200" w:type="dxa"/>
            <w:vAlign w:val="bottom"/>
          </w:tcPr>
          <w:p>
            <w:pPr>
              <w:spacing w:after="0"/>
              <w:rPr>
                <w:sz w:val="15"/>
                <w:szCs w:val="15"/>
                <w:color w:val="auto"/>
              </w:rPr>
            </w:pPr>
          </w:p>
        </w:tc>
        <w:tc>
          <w:tcPr>
            <w:tcW w:w="760" w:type="dxa"/>
            <w:vAlign w:val="bottom"/>
          </w:tcPr>
          <w:p>
            <w:pPr>
              <w:jc w:val="right"/>
              <w:ind w:right="7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5"/>
                <w:szCs w:val="15"/>
                <w:color w:val="auto"/>
              </w:rPr>
            </w:pPr>
          </w:p>
        </w:tc>
        <w:tc>
          <w:tcPr>
            <w:tcW w:w="142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Seq.</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40" w:type="dxa"/>
            <w:vAlign w:val="bottom"/>
          </w:tcPr>
          <w:p>
            <w:pPr>
              <w:spacing w:after="0"/>
              <w:rPr>
                <w:sz w:val="15"/>
                <w:szCs w:val="15"/>
                <w:color w:val="auto"/>
              </w:rPr>
            </w:pPr>
          </w:p>
        </w:tc>
        <w:tc>
          <w:tcPr>
            <w:tcW w:w="860" w:type="dxa"/>
            <w:vAlign w:val="bottom"/>
          </w:tcPr>
          <w:p>
            <w:pPr>
              <w:jc w:val="right"/>
              <w:ind w:right="15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Pr>
          <w:p>
            <w:pPr>
              <w:spacing w:after="0"/>
              <w:rPr>
                <w:sz w:val="15"/>
                <w:szCs w:val="15"/>
                <w:color w:val="auto"/>
              </w:rPr>
            </w:pPr>
          </w:p>
        </w:tc>
        <w:tc>
          <w:tcPr>
            <w:tcW w:w="90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37"/>
        </w:trPr>
        <w:tc>
          <w:tcPr>
            <w:tcW w:w="2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jc w:val="center"/>
              <w:ind w:right="1690"/>
              <w:spacing w:after="0"/>
              <w:rPr>
                <w:sz w:val="20"/>
                <w:szCs w:val="20"/>
                <w:color w:val="auto"/>
              </w:rPr>
            </w:pPr>
            <w:r>
              <w:rPr>
                <w:rFonts w:ascii="Times New Roman" w:cs="Times New Roman" w:eastAsia="Times New Roman" w:hAnsi="Times New Roman"/>
                <w:sz w:val="18"/>
                <w:szCs w:val="18"/>
                <w:color w:val="auto"/>
                <w:w w:val="99"/>
              </w:rPr>
              <w:t>International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8"/>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8"/>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8"/>
        </w:trPr>
        <w:tc>
          <w:tcPr>
            <w:tcW w:w="2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7"/>
        </w:trPr>
        <w:tc>
          <w:tcPr>
            <w:tcW w:w="2900" w:type="dxa"/>
            <w:vAlign w:val="bottom"/>
            <w:tcBorders>
              <w:bottom w:val="single" w:sz="8" w:color="auto"/>
            </w:tcBorders>
            <w:shd w:val="clear" w:color="auto" w:fill="CCEEFF"/>
          </w:tcPr>
          <w:p>
            <w:pPr>
              <w:jc w:val="center"/>
              <w:ind w:right="1730"/>
              <w:spacing w:after="0"/>
              <w:rPr>
                <w:sz w:val="20"/>
                <w:szCs w:val="20"/>
                <w:color w:val="auto"/>
              </w:rPr>
            </w:pPr>
            <w:r>
              <w:rPr>
                <w:rFonts w:ascii="Times New Roman" w:cs="Times New Roman" w:eastAsia="Times New Roman" w:hAnsi="Times New Roman"/>
                <w:sz w:val="18"/>
                <w:szCs w:val="18"/>
                <w:color w:val="auto"/>
                <w:w w:val="98"/>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North America</w:t>
      </w:r>
    </w:p>
    <w:p>
      <w:pPr>
        <w:spacing w:after="0" w:line="22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North America revenue of $248 million decreased by $21 million, or 8% sequentially, primarily due to lower PRI and WCC activity in the United States. Year-over-year North America revenue decreased by $53 million, or 18%, primarily due to the slowdown in overall activity in the United States (“US”) and Canada, partially offset by higher activity in the US Gulf of Mexico.</w:t>
      </w:r>
    </w:p>
    <w:p>
      <w:pPr>
        <w:spacing w:after="0" w:line="11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Full year 2023 North America revenue of $1,068 million decreased by $36 million, or 3% compared to 2022, primarily due to lower artificial lift activity in the United States and lower completions activity in Canada, partially offset by increased activity in the US Gulf of Mexico across all the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International</w:t>
      </w:r>
    </w:p>
    <w:p>
      <w:pPr>
        <w:spacing w:after="0" w:line="226"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0"/>
          <w:szCs w:val="20"/>
          <w:color w:val="auto"/>
        </w:rPr>
        <w:t>Fourth quarter 2023 international revenue of $1,114 million increased 7% sequentially and 23% year over year, and full year 2023 international revenue of $4,067 million increased 26% compared to 2022.</w:t>
      </w:r>
    </w:p>
    <w:p>
      <w:pPr>
        <w:spacing w:after="0" w:line="12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Latin America revenue of $342 million decreased by $15 million, or 4% sequentially, primarily due to the impact of weather disruptions in Mexico on drilling-related services and lower completions activity in Brazil due to timing of certain product deliveries. Year-over-year, Latin America revenue increased by $52 million, or 18%, primarily due to higher activity in all our segments.</w:t>
      </w:r>
    </w:p>
    <w:p>
      <w:pPr>
        <w:spacing w:after="0" w:line="116"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Latin America revenue of $1,387 million increased by $325 million, or 31% compared to 2022, primarily due to increased activity across all segments and in integrated services and projects.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369" w:lineRule="auto"/>
        <w:rPr>
          <w:sz w:val="20"/>
          <w:szCs w:val="20"/>
          <w:color w:val="auto"/>
        </w:rPr>
      </w:pPr>
      <w:r>
        <w:rPr>
          <w:rFonts w:ascii="Times New Roman" w:cs="Times New Roman" w:eastAsia="Times New Roman" w:hAnsi="Times New Roman"/>
          <w:sz w:val="20"/>
          <w:szCs w:val="20"/>
          <w:color w:val="auto"/>
        </w:rPr>
        <w:t>Fourth quarter 2023 Middle East/North Africa/Asia revenue of $547 million increased by $76 million, or 16% sequentially, primarily driven by higher activity across all segments as well as in integrated services and projects, most notably in Saudi Arabia and the United Arab Emirates. Year-over-year, the Middle East/North Africa/Asia revenue increased by $160 million, or 41%, primarily due to higher activity in all segments as well as in integrated services and projects.</w:t>
      </w:r>
    </w:p>
    <w:p>
      <w:pPr>
        <w:spacing w:after="0" w:line="117"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Full year 2023 Middle East/North Africa/Asia revenues of $1,815 million increased by $414 million, or 30% compared to 2022, primarily due to increased activity across all segments as well as in integrated services and projects, most notably in Saudi Arabia and Oman.</w:t>
      </w:r>
    </w:p>
    <w:p>
      <w:pPr>
        <w:spacing w:after="0" w:line="5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2023 Europe/Sub-Sahara Africa/Russia revenue of $225 million increased by $9 million, or 4% sequentially, mainly due to higher PRI and DRE activity in Europe. Year-over-year, Europe/Sub-Sahara Africa/Russia revenue decreased by $6 million, or 3%, primarily due to lower revenue in Russia, partially offset by increased WCC activity in Europe and the Sub-Sahara Africa regions.</w:t>
      </w:r>
    </w:p>
    <w:p>
      <w:pPr>
        <w:spacing w:after="0" w:line="129"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0"/>
          <w:szCs w:val="20"/>
          <w:color w:val="auto"/>
        </w:rPr>
        <w:t>Full year 2023 Europe/Sub-Sahara Africa/Russia revenues of $865 million increased by $101 million, or 13% compared to 2022, mainly due to increased activity in WCC and DRE.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Acquisition Details</w:t>
      </w:r>
    </w:p>
    <w:p>
      <w:pPr>
        <w:spacing w:after="0" w:line="174"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On February 1, 2024, we acquired ISI Holding Company, LLC (“ISI”) and Probe Technologies Holdings, Inc. (“Probe”). Aggregate consideration for these acquisitions was 844,702 ordinary shares, plus $6 million in cash, subject to customary adjustments and an earn out which applies to 2024 performance. Included in this consideration as part of the acquisition of Probe, Weatherford approved the grant of an aggregate of 28,632 ordinary shares to four individuals who were offered employment with Weatherford following the closing of the acquisitions. The issuance of these ordinary shares was a material inducement to them to accept employment with Weatherford. These shares will be issued within 30 days following the closing. This disclosure is a requirement of the Nasdaq rule 5635 (c)(4).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3" w:lineRule="exact"/>
        <w:rPr>
          <w:sz w:val="20"/>
          <w:szCs w:val="20"/>
          <w:color w:val="auto"/>
        </w:rPr>
      </w:pPr>
    </w:p>
    <w:p>
      <w:pPr>
        <w:jc w:val="both"/>
        <w:ind w:right="40"/>
        <w:spacing w:after="0" w:line="390"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18,500 team members representing more than 110 nationalities and 335 operating locations. Visit </w:t>
      </w:r>
      <w:r>
        <w:rPr>
          <w:rFonts w:ascii="Times New Roman" w:cs="Times New Roman" w:eastAsia="Times New Roman" w:hAnsi="Times New Roman"/>
          <w:sz w:val="19"/>
          <w:szCs w:val="19"/>
          <w:u w:val="single" w:color="auto"/>
          <w:color w:val="3051F2"/>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08"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0"/>
          <w:szCs w:val="20"/>
          <w:color w:val="auto"/>
        </w:rPr>
        <w:t>Weatherford will host a conference call on Wednesday, February 7, 2024, to discuss the Company’s results for the fourth quarter and full year ended December 31, 2023. The conference call will begin at 9:00 a.m. Eastern Time (8:00 a.m. Central Time)</w:t>
      </w:r>
    </w:p>
    <w:p>
      <w:pPr>
        <w:spacing w:after="0" w:line="40" w:lineRule="exact"/>
        <w:rPr>
          <w:sz w:val="20"/>
          <w:szCs w:val="20"/>
          <w:color w:val="auto"/>
        </w:rPr>
      </w:pPr>
    </w:p>
    <w:p>
      <w:pPr>
        <w:jc w:val="both"/>
        <w:spacing w:after="0" w:line="393"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2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49"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February 21, 2024, at 5:00 p.m. Eastern Time. To access the replay, please dial +1 877-344-7529 (within the U.S.) or +1 412-317-0088 (outside of the U.S.) and reference conference number 5521443. A replay and transcript of the earnings call will also be available in the investor relations section of the Company’s website.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Mohammed Topiwala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and M&amp;A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&amp; Employee Engagement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8"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adjusted EBITDA*, adjusted EBITDA margin*, adjusted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war, terrorist attacks,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w:t>
      </w:r>
    </w:p>
    <w:p>
      <w:pPr>
        <w:spacing w:after="0" w:line="58"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9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20" w:type="dxa"/>
            <w:vAlign w:val="bottom"/>
          </w:tcPr>
          <w:p>
            <w:pPr>
              <w:spacing w:after="0"/>
              <w:rPr>
                <w:sz w:val="14"/>
                <w:szCs w:val="14"/>
                <w:color w:val="auto"/>
              </w:rPr>
            </w:pPr>
          </w:p>
        </w:tc>
        <w:tc>
          <w:tcPr>
            <w:tcW w:w="1160" w:type="dxa"/>
            <w:vAlign w:val="bottom"/>
          </w:tcPr>
          <w:p>
            <w:pPr>
              <w:jc w:val="right"/>
              <w:ind w:right="270"/>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44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4"/>
                <w:szCs w:val="14"/>
                <w:color w:val="auto"/>
              </w:rPr>
            </w:pPr>
          </w:p>
        </w:tc>
        <w:tc>
          <w:tcPr>
            <w:tcW w:w="900" w:type="dxa"/>
            <w:vAlign w:val="bottom"/>
          </w:tcPr>
          <w:p>
            <w:pPr>
              <w:jc w:val="right"/>
              <w:ind w:right="30"/>
              <w:spacing w:after="0" w:line="168"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260" w:type="dxa"/>
            <w:vAlign w:val="bottom"/>
          </w:tcPr>
          <w:p>
            <w:pPr>
              <w:spacing w:after="0"/>
              <w:rPr>
                <w:sz w:val="14"/>
                <w:szCs w:val="14"/>
                <w:color w:val="auto"/>
              </w:rPr>
            </w:pPr>
          </w:p>
        </w:tc>
        <w:tc>
          <w:tcPr>
            <w:tcW w:w="1220" w:type="dxa"/>
            <w:vAlign w:val="bottom"/>
            <w:gridSpan w:val="2"/>
          </w:tcPr>
          <w:p>
            <w:pPr>
              <w:jc w:val="right"/>
              <w:ind w:right="250"/>
              <w:spacing w:after="0" w:line="168"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980" w:type="dxa"/>
            <w:vAlign w:val="bottom"/>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0" w:type="dxa"/>
            <w:vAlign w:val="bottom"/>
          </w:tcPr>
          <w:p>
            <w:pPr>
              <w:spacing w:after="0"/>
              <w:rPr>
                <w:sz w:val="1"/>
                <w:szCs w:val="1"/>
                <w:color w:val="auto"/>
              </w:rPr>
            </w:pP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8"/>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1,362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5,135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8"/>
        </w:trPr>
        <w:tc>
          <w:tcPr>
            <w:tcW w:w="504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5040" w:type="dxa"/>
            <w:vAlign w:val="bottom"/>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Credits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2"/>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5"/>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Interest Expense, Net of Interest Income of $12, $15, $12, $59 and</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8"/>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Income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8"/>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9"/>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40" w:hanging="233"/>
        <w:spacing w:after="0" w:line="219" w:lineRule="auto"/>
        <w:tabs>
          <w:tab w:leader="none" w:pos="22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jc w:val="both"/>
        <w:ind w:left="240" w:hanging="233"/>
        <w:spacing w:after="0" w:line="280" w:lineRule="auto"/>
        <w:tabs>
          <w:tab w:leader="none" w:pos="227"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Other includes business activities related to all other segments (profit and loss) and Corporate includes overhead support and centrally managed or shared facilities costs. All Other and Corporate do not individually meet the criteria for segment reporting. The improvement in All Other in 2023 was primarily due to higher activity related to our integrated services and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1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2"/>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69"/>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3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69"/>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bl>
    <w:p>
      <w:pPr>
        <w:spacing w:after="0" w:line="46" w:lineRule="exact"/>
        <w:rPr>
          <w:sz w:val="20"/>
          <w:szCs w:val="20"/>
          <w:color w:val="auto"/>
        </w:rPr>
      </w:pPr>
    </w:p>
    <w:p>
      <w:pPr>
        <w:ind w:left="340" w:hanging="171"/>
        <w:spacing w:after="0"/>
        <w:tabs>
          <w:tab w:leader="none" w:pos="340" w:val="left"/>
        </w:tabs>
        <w:numPr>
          <w:ilvl w:val="0"/>
          <w:numId w:val="7"/>
        </w:numPr>
        <w:rPr>
          <w:rFonts w:ascii="Times New Roman" w:cs="Times New Roman" w:eastAsia="Times New Roman" w:hAnsi="Times New Roman"/>
          <w:sz w:val="21"/>
          <w:szCs w:val="21"/>
          <w:color w:val="FFFFFF"/>
          <w:vertAlign w:val="superscript"/>
        </w:rPr>
      </w:pPr>
      <w:r>
        <w:rPr>
          <w:rFonts w:ascii="Times New Roman" w:cs="Times New Roman" w:eastAsia="Times New Roman" w:hAnsi="Times New Roman"/>
          <w:sz w:val="15"/>
          <w:szCs w:val="15"/>
          <w:color w:val="FFFFFF"/>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7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8"/>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 in Millions)</w:t>
            </w:r>
          </w:p>
        </w:tc>
        <w:tc>
          <w:tcPr>
            <w:tcW w:w="120" w:type="dxa"/>
            <w:vAlign w:val="bottom"/>
          </w:tcPr>
          <w:p>
            <w:pPr>
              <w:spacing w:after="0"/>
              <w:rPr>
                <w:sz w:val="14"/>
                <w:szCs w:val="14"/>
                <w:color w:val="auto"/>
              </w:rPr>
            </w:pPr>
          </w:p>
        </w:tc>
        <w:tc>
          <w:tcPr>
            <w:tcW w:w="960" w:type="dxa"/>
            <w:vAlign w:val="bottom"/>
          </w:tcPr>
          <w:p>
            <w:pPr>
              <w:jc w:val="right"/>
              <w:ind w:right="70"/>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320" w:type="dxa"/>
            <w:vAlign w:val="bottom"/>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4"/>
                <w:szCs w:val="14"/>
                <w:color w:val="auto"/>
              </w:rPr>
            </w:pPr>
          </w:p>
        </w:tc>
        <w:tc>
          <w:tcPr>
            <w:tcW w:w="920" w:type="dxa"/>
            <w:vAlign w:val="bottom"/>
          </w:tcPr>
          <w:p>
            <w:pPr>
              <w:jc w:val="right"/>
              <w:ind w:right="50"/>
              <w:spacing w:after="0" w:line="168"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70"/>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60" w:type="dxa"/>
            <w:vAlign w:val="bottom"/>
          </w:tcPr>
          <w:p>
            <w:pPr>
              <w:spacing w:after="0"/>
              <w:rPr>
                <w:sz w:val="14"/>
                <w:szCs w:val="14"/>
                <w:color w:val="auto"/>
              </w:rPr>
            </w:pPr>
          </w:p>
        </w:tc>
        <w:tc>
          <w:tcPr>
            <w:tcW w:w="920" w:type="dxa"/>
            <w:vAlign w:val="bottom"/>
          </w:tcPr>
          <w:p>
            <w:pPr>
              <w:jc w:val="right"/>
              <w:ind w:right="30"/>
              <w:spacing w:after="0" w:line="168"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40"/>
        </w:trPr>
        <w:tc>
          <w:tcPr>
            <w:tcW w:w="55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5"/>
        </w:trPr>
        <w:tc>
          <w:tcPr>
            <w:tcW w:w="55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Charges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Share-Based Compensation Expense</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Accounts Receivable, Inventory, and Accounts Payable: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8"/>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41"/>
        </w:trPr>
        <w:tc>
          <w:tcPr>
            <w:tcW w:w="5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41"/>
        </w:trPr>
        <w:tc>
          <w:tcPr>
            <w:tcW w:w="5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and Repurchases of Long-term Debt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0E74"/>
              </w:rPr>
              <w:t>(136)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0E74"/>
              </w:rPr>
              <w:t>(386)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0E74"/>
              </w:rPr>
              <w:t>(198)</w:t>
            </w:r>
          </w:p>
        </w:tc>
        <w:tc>
          <w:tcPr>
            <w:tcW w:w="0" w:type="dxa"/>
            <w:vAlign w:val="bottom"/>
          </w:tcPr>
          <w:p>
            <w:pPr>
              <w:spacing w:after="0"/>
              <w:rPr>
                <w:sz w:val="1"/>
                <w:szCs w:val="1"/>
                <w:color w:val="auto"/>
              </w:rPr>
            </w:pPr>
          </w:p>
        </w:tc>
      </w:tr>
      <w:tr>
        <w:trPr>
          <w:trHeight w:val="228"/>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 Vested</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(56)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330E74"/>
              </w:rPr>
              <w:t>(4)</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Free Cash Flow* (formerly titled as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2" w:right="339" w:bottom="1004"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52" w:right="339" w:bottom="1004"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 Millions, Except Margin in Percentages)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8"/>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00" w:type="dxa"/>
            <w:vAlign w:val="bottom"/>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ind w:left="80"/>
              <w:spacing w:after="0" w:line="16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4"/>
                <w:szCs w:val="14"/>
                <w:color w:val="auto"/>
              </w:rPr>
            </w:pPr>
          </w:p>
        </w:tc>
        <w:tc>
          <w:tcPr>
            <w:tcW w:w="1180" w:type="dxa"/>
            <w:vAlign w:val="bottom"/>
            <w:gridSpan w:val="2"/>
          </w:tcPr>
          <w:p>
            <w:pPr>
              <w:jc w:val="right"/>
              <w:ind w:right="10"/>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2"/>
        </w:trPr>
        <w:tc>
          <w:tcPr>
            <w:tcW w:w="51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1,362</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5,135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69"/>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5120" w:type="dxa"/>
            <w:vAlign w:val="bottom"/>
          </w:tcPr>
          <w:p>
            <w:pPr>
              <w:ind w:left="220"/>
              <w:spacing w:after="0" w:line="175" w:lineRule="exact"/>
              <w:rPr>
                <w:sz w:val="20"/>
                <w:szCs w:val="20"/>
                <w:color w:val="auto"/>
              </w:rPr>
            </w:pPr>
            <w:r>
              <w:rPr>
                <w:rFonts w:ascii="Times New Roman" w:cs="Times New Roman" w:eastAsia="Times New Roman" w:hAnsi="Times New Roman"/>
                <w:sz w:val="18"/>
                <w:szCs w:val="18"/>
                <w:color w:val="auto"/>
              </w:rPr>
              <w:t>Interest Expense, Net of Interest Income of $12, $15, $12, $59</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$31</w:t>
            </w:r>
          </w:p>
        </w:tc>
        <w:tc>
          <w:tcPr>
            <w:tcW w:w="26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26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Charges (Credits)</w:t>
            </w:r>
          </w:p>
        </w:tc>
        <w:tc>
          <w:tcPr>
            <w:tcW w:w="26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375</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7"/>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40"/>
      </w:cols>
      <w:pgMar w:left="320" w:top="10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2024-02-06T15:39:39Z</dcterms:created>
  <dcterms:modified xsi:type="dcterms:W3CDTF">2024-02-06T15:39:39Z</dcterms:modified>
</cp:coreProperties>
</file>