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25, 2023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Weatherford International plc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before="0" w:after="0"/>
        <w:rPr/>
      </w:pPr>
      <w:r>
        <w:rPr/>
      </w:r>
    </w:p>
    <w:p>
      <w:pPr>
        <w:pStyle w:val="TextBody"/>
        <w:spacing w:lineRule="auto" w:line="288" w:before="60" w:after="283"/>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60" w:after="283"/>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60" w:after="283"/>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60" w:after="283"/>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center"/>
        <w:tblInd w:w="0" w:type="dxa"/>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88" w:before="0" w:after="0"/>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008" w:type="dxa"/>
        <w:jc w:val="left"/>
        <w:tblInd w:w="0" w:type="dxa"/>
        <w:tblCellMar>
          <w:top w:w="28" w:type="dxa"/>
          <w:left w:w="28" w:type="dxa"/>
          <w:bottom w:w="28" w:type="dxa"/>
          <w:right w:w="28" w:type="dxa"/>
        </w:tblCellMar>
      </w:tblPr>
      <w:tblGrid>
        <w:gridCol w:w="331"/>
        <w:gridCol w:w="290"/>
        <w:gridCol w:w="293"/>
        <w:gridCol w:w="1199"/>
        <w:gridCol w:w="1199"/>
        <w:gridCol w:w="1696"/>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Weatherford International plc (“Weatherford” and together with its subsidiaries, “we” or the “Company”) issued a news release announcing results for the first quarter ended March 31, 2023. A copy of the news release is furnished as Exhibit 99.1 and incorporated into this Item 2.02.</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host a conference call on Wednesday, April 26, 2023, to discuss the results for the first quarter ended March 31, 2023. The conference call will begin at 10:00 a.m. Eastern Time (9:00 a.m. Central Time). </w:t>
      </w:r>
    </w:p>
    <w:p>
      <w:pPr>
        <w:pStyle w:val="TextBody"/>
        <w:spacing w:before="0" w:after="0"/>
        <w:ind w:left="0" w:right="0" w:firstLine="180"/>
        <w:jc w:val="both"/>
        <w:rPr/>
      </w:pPr>
      <w:r>
        <w:rPr/>
      </w:r>
    </w:p>
    <w:p>
      <w:pPr>
        <w:pStyle w:val="TextBody"/>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are encouraged to download the accompanying presentation slides which will be available in the investor relations section of the Company’s website.</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A telephonic replay of the conference call will be available until May 10, 2023, at 5:00 p.m. Eastern Time. To access the replay, please dial +1 877-344-7529 (within the U.S.) or +1 412-317-0088 (outside of the U.S.) and reference conference number 8819198.</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replay and transcript of the earnings call will also be available in the investor relations section of the Company’s website. </w:t>
      </w:r>
    </w:p>
    <w:p>
      <w:pPr>
        <w:pStyle w:val="TextBody"/>
        <w:spacing w:before="0" w:after="0"/>
        <w:ind w:left="0" w:right="0" w:firstLine="180"/>
        <w:jc w:val="both"/>
        <w:rPr/>
      </w:pPr>
      <w:r>
        <w:rPr/>
      </w:r>
    </w:p>
    <w:tbl>
      <w:tblPr>
        <w:tblW w:w="4316" w:type="dxa"/>
        <w:jc w:val="left"/>
        <w:tblInd w:w="0" w:type="dxa"/>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center"/>
        <w:tblInd w:w="0" w:type="dxa"/>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8" w:type="dxa"/>
            <w:tcBorders/>
            <w:shd w:fill="auto" w:val="clear"/>
            <w:vAlign w:val="center"/>
          </w:tcPr>
          <w:p>
            <w:pPr>
              <w:pStyle w:val="TableContents"/>
              <w:spacing w:before="0" w:after="283"/>
              <w:rPr>
                <w:sz w:val="4"/>
                <w:szCs w:val="4"/>
              </w:rPr>
            </w:pPr>
            <w:r>
              <w:rPr>
                <w:sz w:val="4"/>
                <w:szCs w:val="4"/>
              </w:rPr>
            </w:r>
          </w:p>
        </w:tc>
        <w:tc>
          <w:tcPr>
            <w:tcW w:w="2468" w:type="dxa"/>
            <w:tcBorders/>
            <w:shd w:fill="auto" w:val="clear"/>
            <w:vAlign w:val="center"/>
          </w:tcPr>
          <w:p>
            <w:pPr>
              <w:pStyle w:val="TableContents"/>
              <w:spacing w:before="0" w:after="283"/>
              <w:rPr>
                <w:sz w:val="4"/>
                <w:szCs w:val="4"/>
              </w:rPr>
            </w:pPr>
            <w:r>
              <w:rPr>
                <w:sz w:val="4"/>
                <w:szCs w:val="4"/>
              </w:rPr>
            </w:r>
          </w:p>
        </w:tc>
        <w:tc>
          <w:tcPr>
            <w:tcW w:w="3514" w:type="dxa"/>
            <w:tcBorders/>
            <w:shd w:fill="auto" w:val="clear"/>
            <w:vAlign w:val="center"/>
          </w:tcPr>
          <w:p>
            <w:pPr>
              <w:pStyle w:val="TableContents"/>
              <w:spacing w:before="0" w:after="283"/>
              <w:rPr>
                <w:sz w:val="4"/>
                <w:szCs w:val="4"/>
              </w:rPr>
            </w:pPr>
            <w:r>
              <w:rPr>
                <w:sz w:val="4"/>
                <w:szCs w:val="4"/>
              </w:rPr>
            </w:r>
          </w:p>
        </w:tc>
      </w:tr>
      <w:tr>
        <w:trPr/>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a2023-q1ex991earningsrelea.htm">
              <w:r>
                <w:rPr>
                  <w:rStyle w:val="InternetLink"/>
                  <w:rFonts w:ascii="Times New Roman;sans-serif" w:hAnsi="Times New Roman;sans-serif"/>
                  <w:b w:val="false"/>
                  <w:color w:val="0000FF"/>
                  <w:sz w:val="20"/>
                  <w:u w:val="single"/>
                </w:rPr>
                <w:t>News Release dated April 25, 2023 announcing results for the first quarter ended March 31, 2023.</w:t>
              </w:r>
            </w:hyperlink>
          </w:p>
        </w:tc>
      </w:tr>
      <w:tr>
        <w:trPr/>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ind w:left="0" w:right="0" w:firstLine="495"/>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495"/>
        <w:rPr/>
      </w:pPr>
      <w:r>
        <w:rPr/>
      </w:r>
    </w:p>
    <w:tbl>
      <w:tblPr>
        <w:tblW w:w="6223" w:type="dxa"/>
        <w:jc w:val="left"/>
        <w:tblInd w:w="0" w:type="dxa"/>
        <w:tblCellMar>
          <w:top w:w="28" w:type="dxa"/>
          <w:left w:w="28" w:type="dxa"/>
          <w:bottom w:w="28" w:type="dxa"/>
          <w:right w:w="28" w:type="dxa"/>
        </w:tblCellMar>
      </w:tblPr>
      <w:tblGrid>
        <w:gridCol w:w="645"/>
        <w:gridCol w:w="568"/>
        <w:gridCol w:w="571"/>
        <w:gridCol w:w="1297"/>
        <w:gridCol w:w="1297"/>
        <w:gridCol w:w="1845"/>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25, 2023</w:t>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tbl>
      <w:tblPr>
        <w:tblW w:w="4705" w:type="dxa"/>
        <w:jc w:val="center"/>
        <w:tblInd w:w="0" w:type="dxa"/>
        <w:tblCellMar>
          <w:top w:w="28" w:type="dxa"/>
          <w:left w:w="28" w:type="dxa"/>
          <w:bottom w:w="28" w:type="dxa"/>
          <w:right w:w="28" w:type="dxa"/>
        </w:tblCellMar>
      </w:tblPr>
      <w:tblGrid>
        <w:gridCol w:w="1243"/>
        <w:gridCol w:w="1093"/>
        <w:gridCol w:w="1095"/>
        <w:gridCol w:w="373"/>
        <w:gridCol w:w="373"/>
        <w:gridCol w:w="528"/>
      </w:tblGrid>
      <w:tr>
        <w:trPr/>
        <w:tc>
          <w:tcPr>
            <w:tcW w:w="124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343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News Release</w:t>
            </w:r>
          </w:p>
        </w:tc>
      </w:tr>
    </w:tbl>
    <w:p>
      <w:pPr>
        <w:pStyle w:val="TextBody"/>
        <w:spacing w:before="0" w:after="0"/>
        <w:rPr/>
      </w:pPr>
      <w:r>
        <w:rPr/>
      </w:r>
    </w:p>
    <w:p>
      <w:pPr>
        <w:pStyle w:val="TextBody"/>
        <w:spacing w:lineRule="auto" w:line="417"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Weatherford Announces First Quarter 2023 Results </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Revenues of $1,186 million increased 26% year-over-year</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Operating income of $185 million increased 928% year-over-year</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Net income of $72 million increased 190% year-over-year; net income margin of 6.1%</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Adjusted EBITDA* of $269 million increased 78% year-over-year; adjusted EBITDA margin* of 22.7% </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Cash provided by operating activities of $84 million and adjusted free cash flow* of $27 million</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Senior notes repayments and repurchases of $62 million in the first quarter of 2023, followed by issuance of notice to redeem the remaining $105 million of 11% senior unsecured notes due 2024</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Over $1.2 billion of global commercial wins during the first quarter of 2023</w:t>
      </w:r>
    </w:p>
    <w:p>
      <w:pPr>
        <w:pStyle w:val="TextBody"/>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Launched new technology offerings in all three segments, leveraging digital capabilities to enhance performance and differentiate value proposition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417"/>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r>
        <w:br w:type="page"/>
      </w:r>
    </w:p>
    <w:p>
      <w:pPr>
        <w:pStyle w:val="TextBody"/>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180"/>
        <w:rPr/>
      </w:pPr>
      <w:r>
        <w:rPr>
          <w:rFonts w:ascii="Times New Roman;sans-serif" w:hAnsi="Times New Roman;sans-serif"/>
          <w:b/>
          <w:color w:val="000000"/>
          <w:sz w:val="22"/>
        </w:rPr>
        <w:t>Houston, April 25, 2023 –</w:t>
      </w:r>
      <w:r>
        <w:rPr>
          <w:color w:val="000000"/>
        </w:rPr>
        <w:t xml:space="preserve"> </w:t>
      </w:r>
      <w:r>
        <w:rPr>
          <w:rFonts w:ascii="Times New Roman;sans-serif" w:hAnsi="Times New Roman;sans-serif"/>
          <w:b w:val="false"/>
          <w:color w:val="000000"/>
          <w:sz w:val="22"/>
        </w:rPr>
        <w:t xml:space="preserve">Weatherford International plc (NASDAQ: WFRD) (“Weatherford” or the “Company”) announced today its results for the first quarter of 2023. </w:t>
      </w:r>
    </w:p>
    <w:p>
      <w:pPr>
        <w:pStyle w:val="TextBody"/>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Revenues for the first quarter of 2023 were $1,186 million, an increase of 26% year-over-year and a decrease of 2% sequentially. Operating income was $185 million in the first quarter of 2023, compared to $18 million in the first quarter of 2022 and $169 million in the fourth quarter of 2022. The Company’s first quarter of 2023 net income was $72 million, compared to a net loss of $80 million in the first quarter of 2022 and net income of $72 million in the fourth quarter of 2022. Adjusted EBITDA* was $269 million, an increase of 78% year-over-year and 1% sequentially. Diluted income per share was $0.97, compared to a diluted loss per share of $1.14 in the first quarter of 2022 and diluted income per share of $0.99 in the fourth quarter of 2022.</w:t>
      </w:r>
    </w:p>
    <w:p>
      <w:pPr>
        <w:pStyle w:val="TextBody"/>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2023 cash flows provided by operations were $84 million, compared to cash flows used by operations of $64 million in the first quarter of 2022 and cash flows provided by operations of $193 million in the fourth quarter of 2022. Adjusted free cash flow* was $27 million, an increase of $91 million year-over-year and a decrease of $144 million sequentially. Capital expenditures were $64 million in the first quarter of 2023, compared to $20 million in the first quarter of 2022 and $49 million in the fourth quarter of 2022.</w:t>
      </w:r>
    </w:p>
    <w:p>
      <w:pPr>
        <w:pStyle w:val="TextBody"/>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Girish Saligram, President and Chief Executive Officer, commented, “The first quarter results are a testament to the unfolding of the next chapter at Weatherford. I am immensely proud of our One Weatherford team for executing very well on all operating fronts and the performance in the first quarter is a springboard for our total year outlook. The first quarter results which generated margins ahead of a historic record fourth quarter of 2022, positions us well for 2023. This very encouraging start to the year gives us confidence to continue to reduce debt, improve our outlook, and raise our guidance for the full year on revenue, margins and adjusted free cash flow*. </w:t>
      </w:r>
    </w:p>
    <w:p>
      <w:pPr>
        <w:pStyle w:val="TextBody"/>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While we see macro volatility, driven by geopolitical events, inflation and recessionary threats, a strong outlook for international activity continues to support a robust growth scenario featuring a spending pattern that is more long-lasting and less prone to fluctuations in commodity prices compared to previous cycles. We are seeing some potential softness in the North America market but expect to fully offset that with International demand on both land and offshore. </w:t>
      </w:r>
    </w:p>
    <w:p>
      <w:pPr>
        <w:pStyle w:val="TextBody"/>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Our strategic priorities provide us with the clarity of purpose and based on our execution, we now expect our overall revenue to grow by mid-teens year-over-year in 2023 and expect adjusted EBITDA margins* to expand by at least 250 basis points year-over-year. This will result in higher adjusted free cash flow* generation than 2022, providing a very constructive operating performance framework for the year.”</w:t>
      </w:r>
    </w:p>
    <w:p>
      <w:pPr>
        <w:pStyle w:val="TextBody"/>
        <w:spacing w:before="0" w:after="140"/>
        <w:jc w:val="both"/>
        <w:rPr/>
      </w:pPr>
      <w:r>
        <w:rPr/>
      </w:r>
    </w:p>
    <w:p>
      <w:pPr>
        <w:pStyle w:val="TextBody"/>
        <w:spacing w:before="0" w:after="140"/>
        <w:jc w:val="both"/>
        <w:rPr/>
      </w:pPr>
      <w:r>
        <w:rPr/>
      </w:r>
    </w:p>
    <w:p>
      <w:pPr>
        <w:pStyle w:val="TextBody"/>
        <w:spacing w:before="0" w:after="140"/>
        <w:jc w:val="both"/>
        <w:rPr/>
      </w:pPr>
      <w:r>
        <w:rPr/>
      </w:r>
    </w:p>
    <w:p>
      <w:pPr>
        <w:pStyle w:val="TextBody"/>
        <w:spacing w:lineRule="auto" w:line="417"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refer to the section titled Non-GAAP Financial Measures Defined and GAAP to Non-GAAP Financial Measures Reconciled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417" w:before="300" w:after="283"/>
        <w:jc w:val="both"/>
        <w:rPr>
          <w:rFonts w:ascii="Times New Roman;sans-serif" w:hAnsi="Times New Roman;sans-serif"/>
          <w:b/>
          <w:color w:val="000000"/>
          <w:sz w:val="28"/>
          <w:u w:val="single"/>
        </w:rPr>
      </w:pPr>
      <w:r>
        <w:rPr>
          <w:rFonts w:ascii="Times New Roman;sans-serif" w:hAnsi="Times New Roman;sans-serif"/>
          <w:b/>
          <w:color w:val="000000"/>
          <w:sz w:val="28"/>
          <w:u w:val="single"/>
        </w:rPr>
        <w:t>Operational Highlights</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Weatherford was awarded a $290 million, two-year contract extension with a Latin America operator to provide pressure pumping, wireline, well services and testing services for onshore gas and shale wells. </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Weatherford was awarded a five-rig deep water contract with bp Azerbaijan. The three-year contract allows bp to further automate its TRS operations and reduce red zone risk by using the Vero technology. </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Weatherford was awarded a three-year joint operations contract with Saudi Arabian Chevron and Kuwait Gulf Oil Company. Weatherford is the first company to provide its premier MPD technology offering for an upcoming exploration campaign.</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Petroleum Development Oman (PDO) awarded Weatherford a seven-year contract for its industry-leading ForeSite® technology, which enables improved production performance of wells through its integrated and automated well models.</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Weatherford received an award from Aramco to deliver Red Eye Water Cut Meter measurement technology. This technology delivers real-time measurements and enhanced accuracy in multi-phase conditions</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CeraPhi Energy and Weatherford have entered into an exclusive collaboration agreement to provide an integrated package of products and services to end users for the development of geothermal energy. Weatherford will offer its global expertise in Data Acquisition, Digitalization and Automation Services and CeraPhi will leverage its proven engineering and project management services to provide enhanced geothermal technology solutions to the market.</w:t>
      </w:r>
    </w:p>
    <w:p>
      <w:pPr>
        <w:pStyle w:val="TextBody"/>
        <w:spacing w:lineRule="auto" w:line="417" w:before="0" w:after="6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Technology Highlights </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Launched a new MPD offering for the performance tier of the market providing comprehensive coverage across the market spectrum. This solution enhances pressure management, improves detection and visualization of kick/loss incidents while digitally capturing data for post job analyses and process improvement by leveraging our industry-leading monitoring and modeling software capability. </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Launched ForeSite® 5.0, which builds upon our industry-leading production optimization platform. By integrating with DataRobot we are now able to deliver operationalized Artificial Intelligence (AI) through machine learning (ML) models. These advanced and field tested ML models will be able to deliver failure prediction of artificial lift to deliver cost savings as well as improved production for customers. This AI foundation in ForeSite® will also enable further collaborative development of machine learning models with our customers.</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Launched CygNet 9.7, which advances our CygNet platform to include greater flow measurement functionality for both gas and liquids. CygNet is the only IoT/SCADA platform offered by an energy services company for upstream and midstream customers, currently active on more than 350,000 wells and facilities.</w:t>
      </w:r>
    </w:p>
    <w:p>
      <w:pPr>
        <w:pStyle w:val="TextBody"/>
        <w:spacing w:lineRule="auto" w:line="417" w:before="0" w:after="60"/>
        <w:ind w:left="0" w:right="0" w:hanging="360"/>
        <w:jc w:val="both"/>
        <w:rPr/>
      </w:pPr>
      <w:r>
        <w:rPr>
          <w:color w:val="000000"/>
        </w:rPr>
        <w:t>•</w:t>
      </w:r>
      <w:r>
        <w:rPr>
          <w:rFonts w:ascii="Times New Roman;sans-serif" w:hAnsi="Times New Roman;sans-serif"/>
          <w:b w:val="false"/>
          <w:color w:val="000000"/>
          <w:sz w:val="22"/>
        </w:rPr>
        <w:t>Within our WCC segment, launched the Xpress XT Liner System with an API 19LH validation and pressure-balanced capability. With this launch, we are driving increased reliability of Liner hanger systems leading to reduced operational risk and superior well integrity.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417" w:before="300" w:after="100"/>
        <w:jc w:val="both"/>
        <w:rPr>
          <w:rFonts w:ascii="Times New Roman;sans-serif" w:hAnsi="Times New Roman;sans-serif"/>
          <w:b/>
          <w:color w:val="000000"/>
          <w:sz w:val="28"/>
          <w:u w:val="single"/>
        </w:rPr>
      </w:pPr>
      <w:r>
        <w:rPr>
          <w:rFonts w:ascii="Times New Roman;sans-serif" w:hAnsi="Times New Roman;sans-serif"/>
          <w:b/>
          <w:color w:val="000000"/>
          <w:sz w:val="28"/>
          <w:u w:val="single"/>
        </w:rPr>
        <w:t>Liquidity</w:t>
      </w:r>
    </w:p>
    <w:p>
      <w:pPr>
        <w:pStyle w:val="TextBody"/>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We closed the first quarter of 2023 with total cash of approximately $983 million as of March 31, 2023, down $129 million sequentially. In the first quarter of 2023, we made senior notes repayments and repurchases of $62 million, comprised of $20 million of our 11% Senior Unsecured Notes and $42 million of our 6.5% Senior Secured Notes. On April 20, 2023, we issued a notice to redeem the remaining $105 million of our 11% Senior Unsecured Notes due 2024.</w:t>
      </w:r>
    </w:p>
    <w:p>
      <w:pPr>
        <w:pStyle w:val="TextBody"/>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Net cash provided by operating activities during the first quarter of 2023 was $84 million, down $109 million sequentially, and up $148 million year-over-year. Adjusted free cash flow* of $27 million was down $144 million sequentially and up $91 million compared to the first quarter of 2022. The sequential decrease was driven mainly by higher operating and working capital requirements, capital expenditures, and lower proceeds from asset sales. The year-over-year increase was primarily driven by higher operating income.</w:t>
      </w:r>
    </w:p>
    <w:p>
      <w:pPr>
        <w:pStyle w:val="TextBody"/>
        <w:spacing w:before="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before="100" w:after="180"/>
        <w:jc w:val="both"/>
        <w:rPr/>
      </w:pPr>
      <w:r>
        <w:rPr/>
      </w:r>
    </w:p>
    <w:p>
      <w:pPr>
        <w:pStyle w:val="TextBody"/>
        <w:spacing w:lineRule="auto" w:line="417" w:before="10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r>
        <w:br w:type="page"/>
      </w:r>
    </w:p>
    <w:p>
      <w:pPr>
        <w:pStyle w:val="TextBody"/>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Results by Reportable Segment</w:t>
      </w:r>
    </w:p>
    <w:p>
      <w:pPr>
        <w:pStyle w:val="TextBody"/>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Drilling &amp; Evaluation (“DRE”)</w:t>
      </w:r>
    </w:p>
    <w:tbl>
      <w:tblPr>
        <w:tblW w:w="10205" w:type="dxa"/>
        <w:jc w:val="center"/>
        <w:tblInd w:w="0" w:type="dxa"/>
        <w:tblCellMar>
          <w:top w:w="28" w:type="dxa"/>
          <w:left w:w="28" w:type="dxa"/>
          <w:bottom w:w="28" w:type="dxa"/>
          <w:right w:w="28" w:type="dxa"/>
        </w:tblCellMar>
      </w:tblPr>
      <w:tblGrid>
        <w:gridCol w:w="998"/>
        <w:gridCol w:w="847"/>
        <w:gridCol w:w="851"/>
        <w:gridCol w:w="109"/>
        <w:gridCol w:w="109"/>
        <w:gridCol w:w="109"/>
        <w:gridCol w:w="288"/>
        <w:gridCol w:w="637"/>
        <w:gridCol w:w="370"/>
        <w:gridCol w:w="109"/>
        <w:gridCol w:w="109"/>
        <w:gridCol w:w="109"/>
        <w:gridCol w:w="332"/>
        <w:gridCol w:w="737"/>
        <w:gridCol w:w="430"/>
        <w:gridCol w:w="109"/>
        <w:gridCol w:w="109"/>
        <w:gridCol w:w="109"/>
        <w:gridCol w:w="288"/>
        <w:gridCol w:w="637"/>
        <w:gridCol w:w="370"/>
        <w:gridCol w:w="109"/>
        <w:gridCol w:w="109"/>
        <w:gridCol w:w="109"/>
        <w:gridCol w:w="213"/>
        <w:gridCol w:w="213"/>
        <w:gridCol w:w="451"/>
        <w:gridCol w:w="109"/>
        <w:gridCol w:w="109"/>
        <w:gridCol w:w="109"/>
        <w:gridCol w:w="232"/>
        <w:gridCol w:w="234"/>
        <w:gridCol w:w="442"/>
      </w:tblGrid>
      <w:tr>
        <w:trPr/>
        <w:tc>
          <w:tcPr>
            <w:tcW w:w="99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6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r>
      <w:tr>
        <w:trPr/>
        <w:tc>
          <w:tcPr>
            <w:tcW w:w="26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2023 DRE revenues of $372 million increased by $80 million, or 27%, year-over-year due to increased activity across all product lines and geographies, primarily in drilling-related services. Sequentially, DRE revenues was flat primarily due to a decline in activity for managed pressure drilling and drilling services, offset by increased drilling fluids and wireline activity. Geographically, increased activity in Latin America and North America offset decreased activity in the Europe/Sub-Sahara Africa/Russia and Middle East/North Africa/Asia regions. </w:t>
      </w:r>
    </w:p>
    <w:p>
      <w:pPr>
        <w:pStyle w:val="TextBody"/>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2023 DRE segment adjusted EBITDA of $108 million increased by $49 million, or 83%, year-over-year, mainly due to higher drilling-related services activity. Sequentially, DRE segment adjusted EBITDA decreased by $3 million, or 3%, primarily due to lower activity in managed pressure drilling partially offset by higher drilling-related services activity and timing of cost inflation related recoveries. </w:t>
      </w:r>
    </w:p>
    <w:p>
      <w:pPr>
        <w:pStyle w:val="TextBody"/>
        <w:spacing w:lineRule="auto" w:line="417" w:before="0" w:after="6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Well Construction and Completions (“WCC”)</w:t>
      </w:r>
    </w:p>
    <w:tbl>
      <w:tblPr>
        <w:tblW w:w="10205" w:type="dxa"/>
        <w:jc w:val="center"/>
        <w:tblInd w:w="0" w:type="dxa"/>
        <w:tblCellMar>
          <w:top w:w="28" w:type="dxa"/>
          <w:left w:w="28" w:type="dxa"/>
          <w:bottom w:w="28" w:type="dxa"/>
          <w:right w:w="28" w:type="dxa"/>
        </w:tblCellMar>
      </w:tblPr>
      <w:tblGrid>
        <w:gridCol w:w="996"/>
        <w:gridCol w:w="845"/>
        <w:gridCol w:w="849"/>
        <w:gridCol w:w="109"/>
        <w:gridCol w:w="109"/>
        <w:gridCol w:w="109"/>
        <w:gridCol w:w="286"/>
        <w:gridCol w:w="632"/>
        <w:gridCol w:w="367"/>
        <w:gridCol w:w="109"/>
        <w:gridCol w:w="109"/>
        <w:gridCol w:w="109"/>
        <w:gridCol w:w="329"/>
        <w:gridCol w:w="730"/>
        <w:gridCol w:w="426"/>
        <w:gridCol w:w="109"/>
        <w:gridCol w:w="109"/>
        <w:gridCol w:w="109"/>
        <w:gridCol w:w="286"/>
        <w:gridCol w:w="632"/>
        <w:gridCol w:w="367"/>
        <w:gridCol w:w="109"/>
        <w:gridCol w:w="109"/>
        <w:gridCol w:w="109"/>
        <w:gridCol w:w="232"/>
        <w:gridCol w:w="234"/>
        <w:gridCol w:w="451"/>
        <w:gridCol w:w="109"/>
        <w:gridCol w:w="109"/>
        <w:gridCol w:w="109"/>
        <w:gridCol w:w="232"/>
        <w:gridCol w:w="234"/>
        <w:gridCol w:w="442"/>
      </w:tblGrid>
      <w:tr>
        <w:trPr/>
        <w:tc>
          <w:tcPr>
            <w:tcW w:w="99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r>
      <w:tr>
        <w:trPr/>
        <w:tc>
          <w:tcPr>
            <w:tcW w:w="26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2023 WCC revenues of $421 million increased by $77 million, or 22% year-over-year, driven by increased activity across all product lines and geographies, and primarily driven by higher cementation products, completions, and tubular running services activity. Sequentially WCC revenues increased by $18 million, or 4%, primarily due to increased completions activity in Europe/SSA/Russia, increased cementation products activity in North America, and higher tubular running services activity. </w:t>
      </w:r>
    </w:p>
    <w:p>
      <w:pPr>
        <w:pStyle w:val="TextBody"/>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2023 WCC segment adjusted EBITDA of $96 million increased by $29 million, or 43% year-over-year, mainly due to increased activity across all our geographies. Sequentially, WCC segment adjusted EBITDA increased by $9 million, or 10% sequentially, primarily due to higher tubular running services and completions activity. </w:t>
      </w:r>
      <w:r>
        <w:br w:type="page"/>
      </w:r>
    </w:p>
    <w:p>
      <w:pPr>
        <w:pStyle w:val="TextBody"/>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417" w:before="180" w:after="18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Production and Intervention (“PRI”)</w:t>
      </w:r>
    </w:p>
    <w:tbl>
      <w:tblPr>
        <w:tblW w:w="10205" w:type="dxa"/>
        <w:jc w:val="center"/>
        <w:tblInd w:w="0" w:type="dxa"/>
        <w:tblCellMar>
          <w:top w:w="28" w:type="dxa"/>
          <w:left w:w="28" w:type="dxa"/>
          <w:bottom w:w="28" w:type="dxa"/>
          <w:right w:w="28" w:type="dxa"/>
        </w:tblCellMar>
      </w:tblPr>
      <w:tblGrid>
        <w:gridCol w:w="968"/>
        <w:gridCol w:w="821"/>
        <w:gridCol w:w="825"/>
        <w:gridCol w:w="109"/>
        <w:gridCol w:w="109"/>
        <w:gridCol w:w="109"/>
        <w:gridCol w:w="287"/>
        <w:gridCol w:w="635"/>
        <w:gridCol w:w="369"/>
        <w:gridCol w:w="109"/>
        <w:gridCol w:w="109"/>
        <w:gridCol w:w="109"/>
        <w:gridCol w:w="331"/>
        <w:gridCol w:w="734"/>
        <w:gridCol w:w="429"/>
        <w:gridCol w:w="109"/>
        <w:gridCol w:w="109"/>
        <w:gridCol w:w="109"/>
        <w:gridCol w:w="287"/>
        <w:gridCol w:w="635"/>
        <w:gridCol w:w="369"/>
        <w:gridCol w:w="109"/>
        <w:gridCol w:w="109"/>
        <w:gridCol w:w="109"/>
        <w:gridCol w:w="260"/>
        <w:gridCol w:w="262"/>
        <w:gridCol w:w="451"/>
        <w:gridCol w:w="109"/>
        <w:gridCol w:w="109"/>
        <w:gridCol w:w="109"/>
        <w:gridCol w:w="232"/>
        <w:gridCol w:w="234"/>
        <w:gridCol w:w="441"/>
      </w:tblGrid>
      <w:tr>
        <w:trPr/>
        <w:tc>
          <w:tcPr>
            <w:tcW w:w="968"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r>
      <w:tr>
        <w:trPr/>
        <w:tc>
          <w:tcPr>
            <w:tcW w:w="26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1234" w:type="dxa"/>
            <w:gridSpan w:val="6"/>
            <w:tcBorders/>
            <w:shd w:fill="auto" w:val="clea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1234" w:type="dxa"/>
            <w:gridSpan w:val="6"/>
            <w:tcBorders/>
            <w:shd w:fill="auto" w:val="clea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1234" w:type="dxa"/>
            <w:gridSpan w:val="6"/>
            <w:tcBorders/>
            <w:shd w:fill="auto" w:val="clear"/>
          </w:tcPr>
          <w:p>
            <w:pPr>
              <w:pStyle w:val="TableContents"/>
              <w:spacing w:before="0" w:after="283"/>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First quarter 2023 PRI revenues of $349 million increased by $63 million, or 22% year-over-year, due to increased activity across all product lines and geographies. Intervention services and drilling tools, international pressure pumping, and artificial lift experienced the highest activity increases. Sequentially, PRI revenues decreased by $58 million, or 14%, primarily due to a decline in artificial lift activity in North America and international pressure pumping partially offset by increased intervention services and drilling tools activity. </w:t>
      </w:r>
    </w:p>
    <w:p>
      <w:pPr>
        <w:pStyle w:val="TextBody"/>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2023 PRI segment adjusted EBITDA of $68 million, increased by $29 million, or 74% year-over-year, mainly due to higher activity across all product lines and geographies, led by intervention services and drilling tools. Sequentially, PRI segment adjusted EBITDA decreased $20 million, or 23%, primarily due to lower activity for artificial lift in North America and international pressure pumping.</w:t>
      </w:r>
    </w:p>
    <w:p>
      <w:pPr>
        <w:pStyle w:val="TextBody"/>
        <w:spacing w:before="10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About Weatherford</w:t>
      </w:r>
    </w:p>
    <w:p>
      <w:pPr>
        <w:pStyle w:val="TextBody"/>
        <w:spacing w:lineRule="auto" w:line="417" w:before="0" w:after="140"/>
        <w:jc w:val="both"/>
        <w:rPr/>
      </w:pPr>
      <w:r>
        <w:rPr>
          <w:rFonts w:ascii="Times New Roman;sans-serif" w:hAnsi="Times New Roman;sans-serif"/>
          <w:b w:val="false"/>
          <w:color w:val="000000"/>
          <w:sz w:val="22"/>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17,900 team members representing more than 110 nationalities and 345 operating locations. Visit </w:t>
      </w:r>
      <w:r>
        <w:rPr>
          <w:rFonts w:ascii="Times New Roman;sans-serif" w:hAnsi="Times New Roman;sans-serif"/>
          <w:b w:val="false"/>
          <w:color w:val="3051F2"/>
          <w:sz w:val="22"/>
          <w:u w:val="single"/>
        </w:rPr>
        <w:t>weatherford.com</w:t>
      </w:r>
      <w:r>
        <w:rPr>
          <w:color w:val="000000"/>
        </w:rPr>
        <w:t xml:space="preserve"> </w:t>
      </w:r>
      <w:r>
        <w:rPr>
          <w:rFonts w:ascii="Times New Roman;sans-serif" w:hAnsi="Times New Roman;sans-serif"/>
          <w:b w:val="false"/>
          <w:color w:val="000000"/>
          <w:sz w:val="22"/>
        </w:rPr>
        <w:t>for more information and connect with us on social media.</w:t>
      </w:r>
    </w:p>
    <w:p>
      <w:pPr>
        <w:pStyle w:val="TextBody"/>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Conference Call Details</w:t>
      </w:r>
    </w:p>
    <w:p>
      <w:pPr>
        <w:pStyle w:val="TextBody"/>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Weatherford will host a conference call on Wednesday, April 26, 2023, to discuss the Company’s results for the first quarter ended March 31, 2023. The conference call will begin at 10:00 a.m. Eastern Time (9:00 a.m. Central Time). </w:t>
      </w:r>
    </w:p>
    <w:p>
      <w:pPr>
        <w:pStyle w:val="TextBody"/>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are encouraged to download the accompanying presentation slides which will be available in the investor relations section of the Company’s website.</w:t>
      </w:r>
    </w:p>
    <w:p>
      <w:pPr>
        <w:pStyle w:val="TextBody"/>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telephonic replay of the conference call will be available until May 10, 2023, at 5:00 p.m. Eastern Time. To access the replay, please dial +1 877-344-7529 (within the U.S.) or +1 412-317-0088 (outside of the U.S.) and reference conference number 8819198. A replay and transcript of the earnings call will also be available in the investor relations section of the Company’s website. </w:t>
      </w:r>
    </w:p>
    <w:p>
      <w:pPr>
        <w:pStyle w:val="TextBody"/>
        <w:spacing w:lineRule="auto" w:line="417"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Contacts</w:t>
      </w:r>
    </w:p>
    <w:p>
      <w:pPr>
        <w:pStyle w:val="TextBody"/>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For Investors:</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Mohammed Topiwala</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Investor Relations and M&amp;A</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+1 713-836-7777</w:t>
      </w:r>
    </w:p>
    <w:p>
      <w:pPr>
        <w:pStyle w:val="TextBody"/>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investor.relations@weatherford.com</w:t>
      </w:r>
    </w:p>
    <w:p>
      <w:pPr>
        <w:pStyle w:val="TextBody"/>
        <w:spacing w:before="0" w:after="0"/>
        <w:jc w:val="both"/>
        <w:rPr/>
      </w:pPr>
      <w:r>
        <w:rPr/>
      </w:r>
    </w:p>
    <w:p>
      <w:pPr>
        <w:pStyle w:val="TextBody"/>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 Media:</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Kelley Hughes</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 &amp; Employee Engagement</w:t>
      </w:r>
    </w:p>
    <w:p>
      <w:pPr>
        <w:pStyle w:val="TextBody"/>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+1 713-836-4193</w:t>
      </w:r>
    </w:p>
    <w:p>
      <w:pPr>
        <w:pStyle w:val="TextBody"/>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media@weatherford.com</w:t>
      </w:r>
      <w:r>
        <w:br w:type="page"/>
      </w:r>
    </w:p>
    <w:p>
      <w:pPr>
        <w:pStyle w:val="TextBody"/>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80" w:after="80"/>
        <w:jc w:val="both"/>
        <w:rPr/>
      </w:pPr>
      <w:r>
        <w:rPr/>
      </w:r>
    </w:p>
    <w:p>
      <w:pPr>
        <w:pStyle w:val="TextBody"/>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Forward-Looking Statements</w:t>
      </w:r>
    </w:p>
    <w:p>
      <w:pPr>
        <w:pStyle w:val="TextBody"/>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news release contains projections and forward-looking statements concerning, among other things, the Company’s quarterly and full-year revenues, operating income and losses, segment adjusted EBITDA, adjusted EBITDA*, adjusted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global political, economic and market conditions, banking crises, political disturbances,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extended business interruptions, sanctions, treaties and regulations imposed by various countries, associated operational and logistical challenges, and impacts to the overall global energy supply; cybersecurity issues, as we may experience a higher rate of cybersecurity attacks, intrusions or incidents in the current environment of remote connectivity; our ability to comply with, and respond to, climate change, environmental, social and governance and other sustainability initiatives and future legislative and regulatory measures both globally and in specific geographic regions; further spread and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 </w:t>
      </w:r>
    </w:p>
    <w:p>
      <w:pPr>
        <w:pStyle w:val="TextBody"/>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spacing w:before="0" w:after="0"/>
        <w:jc w:val="both"/>
        <w:rPr/>
      </w:pPr>
      <w:r>
        <w:rPr/>
      </w:r>
    </w:p>
    <w:p>
      <w:pPr>
        <w:pStyle w:val="TextBody"/>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1521"/>
        <w:gridCol w:w="1312"/>
        <w:gridCol w:w="1321"/>
        <w:gridCol w:w="111"/>
        <w:gridCol w:w="111"/>
        <w:gridCol w:w="111"/>
        <w:gridCol w:w="356"/>
        <w:gridCol w:w="865"/>
        <w:gridCol w:w="183"/>
        <w:gridCol w:w="111"/>
        <w:gridCol w:w="111"/>
        <w:gridCol w:w="111"/>
        <w:gridCol w:w="427"/>
        <w:gridCol w:w="1032"/>
        <w:gridCol w:w="222"/>
        <w:gridCol w:w="111"/>
        <w:gridCol w:w="111"/>
        <w:gridCol w:w="111"/>
        <w:gridCol w:w="328"/>
        <w:gridCol w:w="909"/>
        <w:gridCol w:w="169"/>
        <w:gridCol w:w="109"/>
        <w:gridCol w:w="109"/>
        <w:gridCol w:w="109"/>
        <w:gridCol w:w="234"/>
      </w:tblGrid>
      <w:tr>
        <w:trPr/>
        <w:tc>
          <w:tcPr>
            <w:tcW w:w="1521"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964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561" w:type="dxa"/>
            <w:gridSpan w:val="4"/>
            <w:tcBorders/>
            <w:shd w:fill="auto" w:val="clear"/>
          </w:tcPr>
          <w:p>
            <w:pPr>
              <w:pStyle w:val="TableContents"/>
              <w:spacing w:before="0" w:after="283"/>
              <w:rPr>
                <w:sz w:val="4"/>
                <w:szCs w:val="4"/>
              </w:rPr>
            </w:pPr>
            <w:r>
              <w:rPr>
                <w:sz w:val="4"/>
                <w:szCs w:val="4"/>
              </w:rPr>
            </w:r>
          </w:p>
        </w:tc>
      </w:tr>
      <w:tr>
        <w:trPr/>
        <w:tc>
          <w:tcPr>
            <w:tcW w:w="964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Statements of Operations (Unaudited)</w:t>
            </w:r>
          </w:p>
        </w:tc>
        <w:tc>
          <w:tcPr>
            <w:tcW w:w="561" w:type="dxa"/>
            <w:gridSpan w:val="4"/>
            <w:tcBorders/>
            <w:shd w:fill="auto" w:val="clea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gridSpan w:val="2"/>
            <w:tcBorders/>
            <w:shd w:fill="auto" w:val="clea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 in Millions, Except Per Share Amounts) </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DRE Segment Adjusted EBITDA</w:t>
            </w:r>
            <w:r>
              <w:rPr>
                <w:rFonts w:ascii="Times New Roman;sans-serif" w:hAnsi="Times New Roman;sans-serif"/>
                <w:b w:val="false"/>
                <w:color w:val="000000"/>
                <w:sz w:val="13"/>
              </w:rPr>
              <w:t>[1]</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WCC Segment Adjusted EBITDA</w:t>
            </w:r>
            <w:r>
              <w:rPr>
                <w:rFonts w:ascii="Times New Roman;sans-serif" w:hAnsi="Times New Roman;sans-serif"/>
                <w:b w:val="false"/>
                <w:color w:val="000000"/>
                <w:sz w:val="13"/>
              </w:rPr>
              <w:t>[1]</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PRI Segment Adjusted EBITDA</w:t>
            </w:r>
            <w:r>
              <w:rPr>
                <w:rFonts w:ascii="Times New Roman;sans-serif" w:hAnsi="Times New Roman;sans-serif"/>
                <w:b w:val="false"/>
                <w:color w:val="000000"/>
                <w:sz w:val="13"/>
              </w:rPr>
              <w:t>[1]</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 and Other</w:t>
            </w:r>
            <w:r>
              <w:rPr>
                <w:rFonts w:ascii="Times New Roman;sans-serif" w:hAnsi="Times New Roman;sans-serif"/>
                <w:b w:val="false"/>
                <w:color w:val="000000"/>
                <w:sz w:val="13"/>
              </w:rPr>
              <w:t>[2]</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(Charges) Credits</w:t>
            </w:r>
            <w:r>
              <w:rPr>
                <w:rFonts w:ascii="Times New Roman;sans-serif" w:hAnsi="Times New Roman;sans-serif"/>
                <w:b w:val="false"/>
                <w:color w:val="000000"/>
                <w:sz w:val="13"/>
              </w:rPr>
              <w:t>[3]</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ind w:left="0" w:right="0" w:firstLine="90"/>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pStyle w:val="TextBody"/>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 xml:space="preserve">Corporate and other includes business activities related to all other segments (profit and loss), corporate and other expenses (overhead support and centrally managed or shared facilities costs) that do not individually meet the criteria for segment reporting. The sequential decrease in the three months ended March 31, 2023 was driven by improved results in other non-core businesses that did not individually meet the criteria for segment reporting. </w:t>
      </w:r>
    </w:p>
    <w:p>
      <w:pPr>
        <w:pStyle w:val="TextBody"/>
        <w:spacing w:lineRule="auto" w:line="288" w:before="0" w:after="0"/>
        <w:ind w:left="0" w:right="0" w:hanging="270"/>
        <w:rPr/>
      </w:pPr>
      <w:r>
        <w:rPr>
          <w:rFonts w:ascii="Times New Roman;sans-serif" w:hAnsi="Times New Roman;sans-serif"/>
          <w:b w:val="false"/>
          <w:color w:val="000000"/>
          <w:sz w:val="12"/>
        </w:rPr>
        <w:t>[3]</w:t>
      </w:r>
      <w:r>
        <w:rPr>
          <w:rFonts w:ascii="Times New Roman;sans-serif" w:hAnsi="Times New Roman;sans-serif"/>
          <w:b w:val="false"/>
          <w:color w:val="000000"/>
          <w:sz w:val="16"/>
        </w:rPr>
        <w:t>Other (charges) credits relate to miscellaneous charges and credits.</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ind w:left="0" w:right="0" w:firstLine="90"/>
        <w:rPr/>
      </w:pPr>
      <w:r>
        <w:rPr/>
      </w:r>
      <w:r>
        <w:br w:type="page"/>
      </w:r>
    </w:p>
    <w:p>
      <w:pPr>
        <w:pStyle w:val="TextBody"/>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985"/>
        <w:gridCol w:w="864"/>
        <w:gridCol w:w="861"/>
        <w:gridCol w:w="109"/>
        <w:gridCol w:w="109"/>
        <w:gridCol w:w="109"/>
        <w:gridCol w:w="316"/>
        <w:gridCol w:w="926"/>
        <w:gridCol w:w="163"/>
        <w:gridCol w:w="109"/>
        <w:gridCol w:w="109"/>
        <w:gridCol w:w="109"/>
        <w:gridCol w:w="376"/>
        <w:gridCol w:w="1102"/>
        <w:gridCol w:w="196"/>
        <w:gridCol w:w="109"/>
        <w:gridCol w:w="109"/>
        <w:gridCol w:w="109"/>
        <w:gridCol w:w="374"/>
        <w:gridCol w:w="829"/>
        <w:gridCol w:w="193"/>
        <w:gridCol w:w="109"/>
        <w:gridCol w:w="109"/>
        <w:gridCol w:w="109"/>
        <w:gridCol w:w="214"/>
        <w:gridCol w:w="217"/>
        <w:gridCol w:w="271"/>
        <w:gridCol w:w="109"/>
        <w:gridCol w:w="109"/>
        <w:gridCol w:w="109"/>
        <w:gridCol w:w="180"/>
        <w:gridCol w:w="181"/>
        <w:gridCol w:w="322"/>
      </w:tblGrid>
      <w:tr>
        <w:trPr/>
        <w:tc>
          <w:tcPr>
            <w:tcW w:w="98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 by Geographic Areas (Unaudited)</w:t>
            </w:r>
          </w:p>
        </w:tc>
      </w:tr>
      <w:tr>
        <w:trPr/>
        <w:tc>
          <w:tcPr>
            <w:tcW w:w="2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r>
      <w:tr>
        <w:trPr/>
        <w:tc>
          <w:tcPr>
            <w:tcW w:w="27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Areas: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6702" w:type="dxa"/>
        <w:jc w:val="center"/>
        <w:tblInd w:w="0" w:type="dxa"/>
        <w:tblCellMar>
          <w:top w:w="28" w:type="dxa"/>
          <w:left w:w="28" w:type="dxa"/>
          <w:bottom w:w="28" w:type="dxa"/>
          <w:right w:w="28" w:type="dxa"/>
        </w:tblCellMar>
      </w:tblPr>
      <w:tblGrid>
        <w:gridCol w:w="1080"/>
        <w:gridCol w:w="950"/>
        <w:gridCol w:w="954"/>
        <w:gridCol w:w="386"/>
        <w:gridCol w:w="854"/>
        <w:gridCol w:w="199"/>
        <w:gridCol w:w="170"/>
        <w:gridCol w:w="170"/>
        <w:gridCol w:w="170"/>
        <w:gridCol w:w="449"/>
        <w:gridCol w:w="994"/>
        <w:gridCol w:w="326"/>
      </w:tblGrid>
      <w:tr>
        <w:trPr/>
        <w:tc>
          <w:tcPr>
            <w:tcW w:w="108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67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67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 (Unaudited)</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FFFFFF"/>
          <w:sz w:val="12"/>
        </w:rPr>
        <w:t>[1]</w:t>
      </w:r>
      <w:r>
        <w:rPr>
          <w:color w:val="FFFFFF"/>
        </w:rPr>
        <w:t xml:space="preserve"> </w:t>
      </w:r>
      <w:r>
        <w:rPr>
          <w:rFonts w:ascii="Times New Roman;sans-serif" w:hAnsi="Times New Roman;sans-serif"/>
          <w:b w:val="false"/>
          <w:color w:val="FFFFFF"/>
          <w:sz w:val="17"/>
        </w:rPr>
        <w:t xml:space="preserve">Net debt is a non-GAAP measure calculated as total short and long-term debt less cash and cash equivalents and restricted cash. </w:t>
      </w:r>
    </w:p>
    <w:p>
      <w:pPr>
        <w:pStyle w:val="TextBody"/>
        <w:spacing w:before="0" w:after="0"/>
        <w:ind w:left="0" w:right="0" w:hanging="18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912"/>
        <w:gridCol w:w="1432"/>
        <w:gridCol w:w="1438"/>
        <w:gridCol w:w="110"/>
        <w:gridCol w:w="110"/>
        <w:gridCol w:w="110"/>
        <w:gridCol w:w="280"/>
        <w:gridCol w:w="689"/>
        <w:gridCol w:w="144"/>
        <w:gridCol w:w="110"/>
        <w:gridCol w:w="110"/>
        <w:gridCol w:w="110"/>
        <w:gridCol w:w="351"/>
        <w:gridCol w:w="801"/>
        <w:gridCol w:w="181"/>
        <w:gridCol w:w="110"/>
        <w:gridCol w:w="110"/>
        <w:gridCol w:w="110"/>
        <w:gridCol w:w="304"/>
        <w:gridCol w:w="599"/>
        <w:gridCol w:w="156"/>
        <w:gridCol w:w="109"/>
        <w:gridCol w:w="109"/>
        <w:gridCol w:w="109"/>
        <w:gridCol w:w="109"/>
        <w:gridCol w:w="109"/>
        <w:gridCol w:w="109"/>
        <w:gridCol w:w="109"/>
        <w:gridCol w:w="165"/>
      </w:tblGrid>
      <w:tr>
        <w:trPr/>
        <w:tc>
          <w:tcPr>
            <w:tcW w:w="1912"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92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928" w:type="dxa"/>
            <w:gridSpan w:val="8"/>
            <w:tcBorders/>
            <w:shd w:fill="auto" w:val="clear"/>
          </w:tcPr>
          <w:p>
            <w:pPr>
              <w:pStyle w:val="TableContents"/>
              <w:spacing w:before="0" w:after="283"/>
              <w:rPr>
                <w:sz w:val="4"/>
                <w:szCs w:val="4"/>
              </w:rPr>
            </w:pPr>
            <w:r>
              <w:rPr>
                <w:sz w:val="4"/>
                <w:szCs w:val="4"/>
              </w:rPr>
            </w:r>
          </w:p>
        </w:tc>
      </w:tr>
      <w:tr>
        <w:trPr/>
        <w:tc>
          <w:tcPr>
            <w:tcW w:w="92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Cash Flows Information (Unaudited)</w:t>
            </w:r>
          </w:p>
        </w:tc>
        <w:tc>
          <w:tcPr>
            <w:tcW w:w="928" w:type="dxa"/>
            <w:gridSpan w:val="8"/>
            <w:tcBorders/>
            <w:shd w:fill="auto" w:val="clear"/>
          </w:tcPr>
          <w:p>
            <w:pPr>
              <w:pStyle w:val="TableContents"/>
              <w:spacing w:before="0" w:after="283"/>
              <w:rPr>
                <w:sz w:val="4"/>
                <w:szCs w:val="4"/>
              </w:rPr>
            </w:pPr>
            <w:r>
              <w:rPr>
                <w:sz w:val="4"/>
                <w:szCs w:val="4"/>
              </w:rPr>
            </w:r>
          </w:p>
        </w:tc>
      </w:tr>
      <w:tr>
        <w:trPr/>
        <w:tc>
          <w:tcPr>
            <w:tcW w:w="4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gridSpan w:val="4"/>
            <w:tcBorders/>
            <w:shd w:fill="auto" w:val="clear"/>
          </w:tcPr>
          <w:p>
            <w:pPr>
              <w:pStyle w:val="TableContents"/>
              <w:spacing w:before="0" w:after="283"/>
              <w:rPr>
                <w:sz w:val="4"/>
                <w:szCs w:val="4"/>
              </w:rPr>
            </w:pPr>
            <w:r>
              <w:rPr>
                <w:sz w:val="4"/>
                <w:szCs w:val="4"/>
              </w:rPr>
            </w:r>
          </w:p>
        </w:tc>
      </w:tr>
      <w:tr>
        <w:trPr/>
        <w:tc>
          <w:tcPr>
            <w:tcW w:w="4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 in Millions)</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Write-downs and Other (Credits) Charges </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 Net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(Payments) for Other Investing Activities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In Investing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Dividends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330E74"/>
              </w:rPr>
            </w:pPr>
            <w:r>
              <w:rPr>
                <w:color w:val="330E74"/>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Remittance on Equity Awards Vested</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Other Financing Activities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both"/>
        <w:rPr/>
      </w:pPr>
      <w:r>
        <w:rPr/>
      </w:r>
    </w:p>
    <w:tbl>
      <w:tblPr>
        <w:tblW w:w="4978" w:type="dxa"/>
        <w:jc w:val="left"/>
        <w:tblInd w:w="0" w:type="dxa"/>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7"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81" w:type="dxa"/>
            <w:gridSpan w:val="4"/>
            <w:tcBorders/>
            <w:shd w:fill="auto" w:val="clear"/>
          </w:tcPr>
          <w:p>
            <w:pPr>
              <w:pStyle w:val="TableContents"/>
              <w:spacing w:before="0" w:after="283"/>
              <w:rPr>
                <w:sz w:val="4"/>
                <w:szCs w:val="4"/>
              </w:rPr>
            </w:pPr>
            <w:r>
              <w:rPr>
                <w:sz w:val="4"/>
                <w:szCs w:val="4"/>
              </w:rPr>
            </w:r>
          </w:p>
        </w:tc>
      </w:tr>
      <w:tr>
        <w:trPr/>
        <w:tc>
          <w:tcPr>
            <w:tcW w:w="4497"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Financial Measures Defined (Unaudited)</w:t>
            </w:r>
          </w:p>
        </w:tc>
        <w:tc>
          <w:tcPr>
            <w:tcW w:w="481" w:type="dxa"/>
            <w:gridSpan w:val="4"/>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margin* - Adjusted EBITDA margin* is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(formerly titled as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60"/>
        <w:jc w:val="both"/>
        <w:rPr/>
      </w:pPr>
      <w:r>
        <w:rPr/>
      </w:r>
    </w:p>
    <w:p>
      <w:pPr>
        <w:pStyle w:val="TextBody"/>
        <w:spacing w:lineRule="auto" w:line="417"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454"/>
        <w:gridCol w:w="1218"/>
        <w:gridCol w:w="1194"/>
        <w:gridCol w:w="129"/>
        <w:gridCol w:w="129"/>
        <w:gridCol w:w="129"/>
        <w:gridCol w:w="260"/>
        <w:gridCol w:w="762"/>
        <w:gridCol w:w="334"/>
        <w:gridCol w:w="129"/>
        <w:gridCol w:w="129"/>
        <w:gridCol w:w="129"/>
        <w:gridCol w:w="302"/>
        <w:gridCol w:w="883"/>
        <w:gridCol w:w="388"/>
        <w:gridCol w:w="129"/>
        <w:gridCol w:w="129"/>
        <w:gridCol w:w="129"/>
        <w:gridCol w:w="293"/>
        <w:gridCol w:w="650"/>
        <w:gridCol w:w="377"/>
        <w:gridCol w:w="109"/>
        <w:gridCol w:w="109"/>
        <w:gridCol w:w="109"/>
        <w:gridCol w:w="109"/>
        <w:gridCol w:w="109"/>
        <w:gridCol w:w="109"/>
        <w:gridCol w:w="109"/>
        <w:gridCol w:w="166"/>
      </w:tblGrid>
      <w:tr>
        <w:trPr/>
        <w:tc>
          <w:tcPr>
            <w:tcW w:w="1454"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27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tcPr>
          <w:p>
            <w:pPr>
              <w:pStyle w:val="TableContents"/>
              <w:spacing w:before="0" w:after="283"/>
              <w:rPr>
                <w:sz w:val="4"/>
                <w:szCs w:val="4"/>
              </w:rPr>
            </w:pPr>
            <w:r>
              <w:rPr>
                <w:sz w:val="4"/>
                <w:szCs w:val="4"/>
              </w:rPr>
            </w:r>
          </w:p>
        </w:tc>
      </w:tr>
      <w:tr>
        <w:trPr/>
        <w:tc>
          <w:tcPr>
            <w:tcW w:w="927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tcPr>
          <w:p>
            <w:pPr>
              <w:pStyle w:val="TableContents"/>
              <w:spacing w:before="0" w:after="283"/>
              <w:rPr>
                <w:sz w:val="4"/>
                <w:szCs w:val="4"/>
              </w:rPr>
            </w:pPr>
            <w:r>
              <w:rPr>
                <w:sz w:val="4"/>
                <w:szCs w:val="4"/>
              </w:rPr>
            </w:r>
          </w:p>
        </w:tc>
      </w:tr>
      <w:tr>
        <w:trPr/>
        <w:tc>
          <w:tcPr>
            <w:tcW w:w="927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Margin in Percentages)</w:t>
            </w:r>
          </w:p>
        </w:tc>
        <w:tc>
          <w:tcPr>
            <w:tcW w:w="929" w:type="dxa"/>
            <w:gridSpan w:val="8"/>
            <w:tcBorders/>
            <w:shd w:fill="auto" w:val="clear"/>
          </w:tcPr>
          <w:p>
            <w:pPr>
              <w:pStyle w:val="TableContents"/>
              <w:spacing w:before="0" w:after="283"/>
              <w:rPr>
                <w:sz w:val="4"/>
                <w:szCs w:val="4"/>
              </w:rPr>
            </w:pPr>
            <w:r>
              <w:rPr>
                <w:sz w:val="4"/>
                <w:szCs w:val="4"/>
              </w:rPr>
            </w:r>
          </w:p>
        </w:tc>
      </w:tr>
      <w:tr>
        <w:trPr/>
        <w:tc>
          <w:tcPr>
            <w:tcW w:w="3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tcPr>
          <w:p>
            <w:pPr>
              <w:pStyle w:val="TableContents"/>
              <w:spacing w:before="0" w:after="283"/>
              <w:rPr>
                <w:sz w:val="4"/>
                <w:szCs w:val="4"/>
              </w:rPr>
            </w:pPr>
            <w:r>
              <w:rPr>
                <w:sz w:val="4"/>
                <w:szCs w:val="4"/>
              </w:rPr>
            </w:r>
          </w:p>
        </w:tc>
      </w:tr>
      <w:tr>
        <w:trPr/>
        <w:tc>
          <w:tcPr>
            <w:tcW w:w="3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Margin</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Weatherford</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(Used) By Operating Activities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276" w:type="dxa"/>
            <w:gridSpan w:val="21"/>
            <w:tcBorders>
              <w:top w:val="double" w:sz="8" w:space="0" w:color="000000"/>
            </w:tcBorders>
            <w:shd w:fill="auto" w:val="clear"/>
            <w:tcMar>
              <w:left w:w="0" w:type="dxa"/>
              <w:bottom w:w="0" w:type="dxa"/>
              <w:right w:w="0" w:type="dxa"/>
            </w:tcMar>
            <w:vAlign w:val="center"/>
          </w:tcPr>
          <w:p>
            <w:pPr>
              <w:pStyle w:val="TableContents"/>
              <w:spacing w:before="0" w:after="0"/>
              <w:jc w:val="both"/>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6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1" w:type="dxa"/>
            <w:gridSpan w:val="6"/>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r>
        <w:br w:type="page"/>
      </w:r>
    </w:p>
    <w:p>
      <w:pPr>
        <w:pStyle w:val="TextBody"/>
        <w:spacing w:before="0" w:after="283"/>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4656</Words>
  <CharactersWithSpaces>30289</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