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175930.xml.htm"/>
      <w:bookmarkStart w:id="1" w:name="kswkform4_1773175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Weatherholt Scott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GC &amp; CCO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58"/>
        <w:gridCol w:w="465"/>
        <w:gridCol w:w="678"/>
        <w:gridCol w:w="1180"/>
        <w:gridCol w:w="1010"/>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3,788</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133,136</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w:t>
            </w:r>
            <w:r>
              <w:rPr/>
              <w:t xml:space="preserve"> </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131,645</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2025 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7,079</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10,619</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share units ("RSUs") granted on March 7, 2025 pursuant to Issuer's 2019 Equity Incentive Plan, as amended and restated (the "2019 EIP"). The RSUs vest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of a portion of vested RSUs to satisfy the reporting person's tax obligations upon vesting, pursuant to the 2019 EIP and the relevant award agreements.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granted on March 7, 2026 pursuant to the 2019 EIP. The RSUs vest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performance share units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9429"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4242</Characters>
  <CharactersWithSpaces>4948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