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5189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189220"/>
                    </a:xfrm>
                    <a:prstGeom prst="rect">
                      <a:avLst/>
                    </a:prstGeom>
                    <a:noFill/>
                  </pic:spPr>
                </pic:pic>
              </a:graphicData>
            </a:graphic>
          </wp:anchor>
        </w:drawing>
      </w:r>
    </w:p>
    <w:p>
      <w:pPr>
        <w:spacing w:after="0" w:line="123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Dhruv Anuj Hasit</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102"/>
        <w:spacing w:after="0"/>
        <w:rPr>
          <w:sz w:val="20"/>
          <w:szCs w:val="20"/>
          <w:color w:val="auto"/>
        </w:rPr>
      </w:pPr>
      <w:r>
        <w:rPr>
          <w:rFonts w:ascii="Times New Roman" w:cs="Times New Roman" w:eastAsia="Times New Roman" w:hAnsi="Times New Roman"/>
          <w:sz w:val="17"/>
          <w:szCs w:val="17"/>
          <w:color w:val="0000FF"/>
        </w:rPr>
        <w:t>EVP and CFO</w:t>
      </w:r>
    </w:p>
    <w:p>
      <w:pPr>
        <w:spacing w:after="0" w:line="308" w:lineRule="exact"/>
        <w:rPr>
          <w:sz w:val="24"/>
          <w:szCs w:val="24"/>
          <w:color w:val="auto"/>
        </w:rPr>
      </w:pPr>
    </w:p>
    <w:p>
      <w:pPr>
        <w:sectPr>
          <w:pgSz w:w="11900" w:h="16838" w:orient="portrait"/>
          <w:cols w:equalWidth="0" w:num="3">
            <w:col w:w="3180" w:space="720"/>
            <w:col w:w="3200" w:space="63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77056</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84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27,825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04/21/2025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27,825</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27,825</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11,925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04/21/2025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11,925</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11,925</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2025</w:t>
            </w:r>
          </w:p>
        </w:tc>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22,496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04/21/2025</w:t>
            </w: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22,496</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line="128" w:lineRule="exact"/>
              <w:rPr>
                <w:sz w:val="20"/>
                <w:szCs w:val="20"/>
                <w:color w:val="auto"/>
              </w:rPr>
            </w:pPr>
            <w:r>
              <w:rPr>
                <w:rFonts w:ascii="Times New Roman" w:cs="Times New Roman" w:eastAsia="Times New Roman" w:hAnsi="Times New Roman"/>
                <w:sz w:val="13"/>
                <w:szCs w:val="13"/>
                <w:color w:val="0000FF"/>
                <w:w w:val="89"/>
              </w:rPr>
              <w:t>34,421</w:t>
            </w:r>
          </w:p>
        </w:tc>
        <w:tc>
          <w:tcPr>
            <w:tcW w:w="280" w:type="dxa"/>
            <w:vAlign w:val="bottom"/>
          </w:tcPr>
          <w:p>
            <w:pPr>
              <w:spacing w:after="0"/>
              <w:rPr>
                <w:sz w:val="11"/>
                <w:szCs w:val="11"/>
                <w:color w:val="auto"/>
              </w:rPr>
            </w:pP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-2695575</wp:posOffset>
            </wp:positionV>
            <wp:extent cx="29210" cy="2700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7006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share units ("PSUs") granted on April 21, 2025 under the Issuer's 2019 Equity Incentive Plan, as amended and restated (the "2019 EIP"). The number of PSUs reported is the target award and may be subject to a payout ranging from 0% to 200% of the target award depending on the actual achievement of the performance goals at the end of the performance period. The PSUs vest based on actual performance during the Issuer's three fiscal years beginning on January 1, 2025 and ending December 31, 2027.</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April 21, 2025 under the 2019 EIP. The RSUs vest in three equal installments on the first, second and third anniversaries of the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April 21, 2025 pursuant to the 2019 EIP. The RSUs vest in two equal installments on the first and second anniversaries of the grant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04/24/2025</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Attorney</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559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2025-04-24T15:47:35Z</dcterms:created>
  <dcterms:modified xsi:type="dcterms:W3CDTF">2025-04-24T15:47:35Z</dcterms:modified>
</cp:coreProperties>
</file>