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645160</wp:posOffset>
            </wp:positionH>
            <wp:positionV relativeFrom="page">
              <wp:posOffset>2934970</wp:posOffset>
            </wp:positionV>
            <wp:extent cx="164592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39"/>
          <w:szCs w:val="39"/>
          <w:color w:val="CE1141"/>
        </w:rPr>
        <w:t>Weatherford International plc</w:t>
      </w:r>
    </w:p>
    <w:p>
      <w:pPr>
        <w:spacing w:after="0"/>
        <w:rPr>
          <w:sz w:val="20"/>
          <w:szCs w:val="20"/>
          <w:color w:val="auto"/>
        </w:rPr>
      </w:pPr>
      <w:r>
        <w:rPr>
          <w:rFonts w:ascii="Arial" w:cs="Arial" w:eastAsia="Arial" w:hAnsi="Arial"/>
          <w:sz w:val="18"/>
          <w:szCs w:val="18"/>
          <w:color w:val="CE1141"/>
        </w:rPr>
        <w:t>__________________________________</w:t>
      </w:r>
    </w:p>
    <w:p>
      <w:pPr>
        <w:spacing w:after="0" w:line="175" w:lineRule="exact"/>
        <w:rPr>
          <w:sz w:val="24"/>
          <w:szCs w:val="24"/>
          <w:color w:val="auto"/>
        </w:rPr>
      </w:pPr>
    </w:p>
    <w:p>
      <w:pPr>
        <w:spacing w:after="0"/>
        <w:rPr>
          <w:sz w:val="20"/>
          <w:szCs w:val="20"/>
          <w:color w:val="auto"/>
        </w:rPr>
      </w:pPr>
      <w:r>
        <w:rPr>
          <w:rFonts w:ascii="Arial" w:cs="Arial" w:eastAsia="Arial" w:hAnsi="Arial"/>
          <w:sz w:val="36"/>
          <w:szCs w:val="36"/>
          <w:b w:val="1"/>
          <w:bCs w:val="1"/>
          <w:color w:val="CE1141"/>
        </w:rPr>
        <w:t xml:space="preserve">Form 10-K </w:t>
      </w:r>
      <w:r>
        <w:rPr>
          <w:rFonts w:ascii="Arial" w:cs="Arial" w:eastAsia="Arial" w:hAnsi="Arial"/>
          <w:sz w:val="36"/>
          <w:szCs w:val="36"/>
          <w:color w:val="CE1141"/>
        </w:rPr>
        <w:t>2024</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CE1141"/>
        </w:rPr>
        <w:t>FOR THE YEAR ENDED</w:t>
      </w:r>
    </w:p>
    <w:p>
      <w:pPr>
        <w:spacing w:after="0"/>
        <w:rPr>
          <w:sz w:val="20"/>
          <w:szCs w:val="20"/>
          <w:color w:val="auto"/>
        </w:rPr>
      </w:pPr>
      <w:r>
        <w:rPr>
          <w:rFonts w:ascii="Arial" w:cs="Arial" w:eastAsia="Arial" w:hAnsi="Arial"/>
          <w:sz w:val="18"/>
          <w:szCs w:val="18"/>
          <w:color w:val="CE1141"/>
        </w:rPr>
        <w:t>DECEMBER 31</w:t>
      </w:r>
    </w:p>
    <w:p>
      <w:pPr>
        <w:sectPr>
          <w:pgSz w:w="11900" w:h="16838" w:orient="portrait"/>
          <w:cols w:equalWidth="0" w:num="1">
            <w:col w:w="9019"/>
          </w:cols>
          <w:pgMar w:left="1440" w:top="1440"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-157480</wp:posOffset>
            </wp:positionV>
            <wp:extent cx="6720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387" w:lineRule="exact"/>
        <w:rPr>
          <w:sz w:val="20"/>
          <w:szCs w:val="20"/>
          <w:color w:val="auto"/>
        </w:rPr>
      </w:pPr>
    </w:p>
    <w:p>
      <w:pPr>
        <w:ind w:left="760" w:hanging="531"/>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6" w:lineRule="exact"/>
        <w:rPr>
          <w:sz w:val="20"/>
          <w:szCs w:val="20"/>
          <w:color w:val="auto"/>
        </w:rPr>
      </w:pPr>
    </w:p>
    <w:p>
      <w:pPr>
        <w:ind w:left="760"/>
        <w:spacing w:after="0"/>
        <w:tabs>
          <w:tab w:leader="none" w:pos="4520" w:val="left"/>
        </w:tabs>
        <w:rPr>
          <w:sz w:val="20"/>
          <w:szCs w:val="20"/>
          <w:color w:val="auto"/>
        </w:rPr>
      </w:pPr>
      <w:r>
        <w:rPr>
          <w:rFonts w:ascii="Times New Roman" w:cs="Times New Roman" w:eastAsia="Times New Roman" w:hAnsi="Times New Roman"/>
          <w:sz w:val="17"/>
          <w:szCs w:val="17"/>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2024</w:t>
      </w:r>
    </w:p>
    <w:p>
      <w:pPr>
        <w:spacing w:after="0" w:line="2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or</w:t>
      </w:r>
    </w:p>
    <w:p>
      <w:pPr>
        <w:spacing w:after="0" w:line="22" w:lineRule="exact"/>
        <w:rPr>
          <w:sz w:val="20"/>
          <w:szCs w:val="20"/>
          <w:color w:val="auto"/>
        </w:rPr>
      </w:pPr>
    </w:p>
    <w:p>
      <w:pPr>
        <w:ind w:left="760" w:hanging="531"/>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__________________________________to __________________________________</w:t>
      </w:r>
    </w:p>
    <w:p>
      <w:pPr>
        <w:spacing w:after="0" w:line="16"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Commission file number</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001-36504</w:t>
            </w: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Weatherford International plc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0" w:type="dxa"/>
            <w:vAlign w:val="bottom"/>
          </w:tcPr>
          <w:p>
            <w:pPr>
              <w:spacing w:after="0"/>
              <w:rPr>
                <w:sz w:val="1"/>
                <w:szCs w:val="1"/>
                <w:color w:val="auto"/>
              </w:rPr>
            </w:pPr>
          </w:p>
        </w:tc>
      </w:tr>
      <w:tr>
        <w:trPr>
          <w:trHeight w:val="225"/>
        </w:trPr>
        <w:tc>
          <w:tcPr>
            <w:tcW w:w="4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980" w:type="dxa"/>
            <w:vAlign w:val="bottom"/>
          </w:tcPr>
          <w:p>
            <w:pPr>
              <w:spacing w:after="0"/>
              <w:rPr>
                <w:sz w:val="19"/>
                <w:szCs w:val="19"/>
                <w:color w:val="auto"/>
              </w:rPr>
            </w:pPr>
          </w:p>
        </w:tc>
        <w:tc>
          <w:tcPr>
            <w:tcW w:w="40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w:t>
            </w:r>
          </w:p>
        </w:tc>
        <w:tc>
          <w:tcPr>
            <w:tcW w:w="1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1980" w:type="dxa"/>
            <w:vAlign w:val="bottom"/>
          </w:tcPr>
          <w:p>
            <w:pPr>
              <w:spacing w:after="0"/>
              <w:rPr>
                <w:sz w:val="20"/>
                <w:szCs w:val="20"/>
                <w:color w:val="auto"/>
              </w:rPr>
            </w:pPr>
          </w:p>
        </w:tc>
        <w:tc>
          <w:tcPr>
            <w:tcW w:w="40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0" w:type="dxa"/>
            <w:vAlign w:val="bottom"/>
          </w:tcPr>
          <w:p>
            <w:pPr>
              <w:spacing w:after="0"/>
              <w:rPr>
                <w:sz w:val="1"/>
                <w:szCs w:val="1"/>
                <w:color w:val="auto"/>
              </w:rPr>
            </w:pPr>
          </w:p>
        </w:tc>
      </w:tr>
      <w:tr>
        <w:trPr>
          <w:trHeight w:val="234"/>
        </w:trPr>
        <w:tc>
          <w:tcPr>
            <w:tcW w:w="47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80" w:type="dxa"/>
            <w:vAlign w:val="bottom"/>
          </w:tcPr>
          <w:p>
            <w:pPr>
              <w:spacing w:after="0"/>
              <w:rPr>
                <w:sz w:val="20"/>
                <w:szCs w:val="20"/>
                <w:color w:val="auto"/>
              </w:rPr>
            </w:pP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32"/>
        </w:trPr>
        <w:tc>
          <w:tcPr>
            <w:tcW w:w="3080" w:type="dxa"/>
            <w:vAlign w:val="bottom"/>
          </w:tcPr>
          <w:p>
            <w:pPr>
              <w:spacing w:after="0"/>
              <w:rPr>
                <w:sz w:val="24"/>
                <w:szCs w:val="24"/>
                <w:color w:val="auto"/>
              </w:rPr>
            </w:pPr>
          </w:p>
        </w:tc>
        <w:tc>
          <w:tcPr>
            <w:tcW w:w="7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713.836.4000</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7680" w:type="dxa"/>
            <w:vAlign w:val="bottom"/>
            <w:gridSpan w:val="3"/>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378"/>
        </w:trPr>
        <w:tc>
          <w:tcPr>
            <w:tcW w:w="308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91"/>
        </w:trPr>
        <w:tc>
          <w:tcPr>
            <w:tcW w:w="478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19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WFRD</w:t>
            </w:r>
          </w:p>
        </w:tc>
        <w:tc>
          <w:tcPr>
            <w:tcW w:w="4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4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0"/>
          <w:szCs w:val="20"/>
          <w:color w:val="auto"/>
        </w:rPr>
      </w:pPr>
    </w:p>
    <w:p>
      <w:pPr>
        <w:ind w:right="1640"/>
        <w:spacing w:after="0" w:line="27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0"/>
          <w:szCs w:val="20"/>
          <w:color w:val="auto"/>
        </w:rPr>
      </w:pPr>
    </w:p>
    <w:p>
      <w:pPr>
        <w:ind w:left="140"/>
        <w:spacing w:after="0" w:line="196" w:lineRule="exact"/>
        <w:tabs>
          <w:tab w:leader="none" w:pos="1840" w:val="left"/>
          <w:tab w:leader="none" w:pos="3900" w:val="left"/>
          <w:tab w:leader="none" w:pos="5540" w:val="left"/>
          <w:tab w:leader="none" w:pos="5940" w:val="left"/>
          <w:tab w:leader="none" w:pos="8020" w:val="left"/>
          <w:tab w:leader="none" w:pos="8420" w:val="left"/>
          <w:tab w:leader="none" w:pos="1052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 xml:space="preserve">  ☐</w:t>
      </w:r>
      <w:r>
        <w:rPr>
          <w:sz w:val="20"/>
          <w:szCs w:val="20"/>
          <w:color w:val="auto"/>
        </w:rPr>
        <w:tab/>
      </w: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7"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2"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48" w:right="339" w:bottom="1440" w:gutter="0" w:footer="0" w:header="0"/>
        </w:sectPr>
      </w:pPr>
    </w:p>
    <w:bookmarkStart w:id="2" w:name="page3"/>
    <w:bookmarkEnd w:id="2"/>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June 30, 2024 was approximately $6.6 billion based upon the closing price on the Nasdaq Global Select Market as of such date. The registrant had 72,846,372 ordinary shares outstanding as of February 1, 2025.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Certain information required to be furnished pursuant to Part III of this Form 10-K will be set forth in, and will be incorporated by reference from, Weatherford’s definitive proxy statement for the 2025 Annual General Meeting of Shareholders to be filed by Weatherford with the Securities and Exchange Commission (“SEC”) pursuant to Regulation 14A within 120 days after the registrant’s fiscal year ended December 31, 2024.</w:t>
      </w:r>
    </w:p>
    <w:p>
      <w:pPr>
        <w:sectPr>
          <w:pgSz w:w="11900" w:h="16838" w:orient="portrait"/>
          <w:cols w:equalWidth="0" w:num="1">
            <w:col w:w="11240"/>
          </w:cols>
          <w:pgMar w:left="320" w:top="6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60" w:type="dxa"/>
            <w:vAlign w:val="bottom"/>
            <w:gridSpan w:val="12"/>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gridSpan w:val="1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Form 10-K for the Year Ended December 31, 2024</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Business</w:t>
            </w:r>
          </w:p>
        </w:tc>
        <w:tc>
          <w:tcPr>
            <w:tcW w:w="7220" w:type="dxa"/>
            <w:vAlign w:val="bottom"/>
            <w:gridSpan w:val="28"/>
            <w:shd w:val="clear" w:color="auto" w:fill="CCEEFF"/>
          </w:tcPr>
          <w:p>
            <w:pPr>
              <w:spacing w:after="0"/>
              <w:rPr>
                <w:sz w:val="16"/>
                <w:szCs w:val="16"/>
                <w:color w:val="auto"/>
              </w:rPr>
            </w:pPr>
          </w:p>
        </w:tc>
        <w:tc>
          <w:tcPr>
            <w:tcW w:w="900" w:type="dxa"/>
            <w:vAlign w:val="bottom"/>
            <w:gridSpan w:val="4"/>
            <w:shd w:val="clear" w:color="auto" w:fill="CCEEFF"/>
          </w:tcPr>
          <w:p>
            <w:pPr>
              <w:jc w:val="center"/>
              <w:ind w:left="650"/>
              <w:spacing w:after="0" w:line="189" w:lineRule="exact"/>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8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900" w:type="dxa"/>
            <w:vAlign w:val="bottom"/>
            <w:gridSpan w:val="4"/>
          </w:tcPr>
          <w:p>
            <w:pPr>
              <w:jc w:val="center"/>
              <w:ind w:left="650"/>
              <w:spacing w:after="0" w:line="189" w:lineRule="exact"/>
              <w:rPr>
                <w:sz w:val="20"/>
                <w:szCs w:val="20"/>
                <w:color w:val="auto"/>
              </w:rPr>
            </w:pPr>
            <w:r>
              <w:rPr>
                <w:rFonts w:ascii="Times New Roman" w:cs="Times New Roman" w:eastAsia="Times New Roman" w:hAnsi="Times New Roman"/>
                <w:sz w:val="18"/>
                <w:szCs w:val="18"/>
                <w:color w:val="auto"/>
                <w:w w:val="88"/>
              </w:rPr>
              <w:t>9</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78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20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900" w:type="dxa"/>
            <w:vAlign w:val="bottom"/>
            <w:tcBorders>
              <w:top w:val="single" w:sz="8" w:color="CCEEFF"/>
            </w:tcBorders>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auto"/>
            </w:tcBorders>
            <w:gridSpan w:val="15"/>
          </w:tcPr>
          <w:p>
            <w:pPr>
              <w:spacing w:after="0" w:line="189" w:lineRule="exact"/>
              <w:rPr>
                <w:sz w:val="20"/>
                <w:szCs w:val="20"/>
                <w:color w:val="auto"/>
              </w:rPr>
            </w:pPr>
            <w:r>
              <w:rPr>
                <w:rFonts w:ascii="Times New Roman" w:cs="Times New Roman" w:eastAsia="Times New Roman" w:hAnsi="Times New Roman"/>
                <w:sz w:val="18"/>
                <w:szCs w:val="18"/>
                <w:color w:val="auto"/>
              </w:rPr>
              <w:t>Cybersecurity</w:t>
            </w:r>
          </w:p>
        </w:tc>
        <w:tc>
          <w:tcPr>
            <w:tcW w:w="5820" w:type="dxa"/>
            <w:vAlign w:val="bottom"/>
            <w:tcBorders>
              <w:top w:val="single" w:sz="8" w:color="CCEEFF"/>
            </w:tcBorders>
            <w:gridSpan w:val="15"/>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w:t>
            </w: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8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22</w:t>
            </w: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8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gridSpan w:val="4"/>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22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8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22</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Item 5</w:t>
            </w:r>
          </w:p>
        </w:tc>
        <w:tc>
          <w:tcPr>
            <w:tcW w:w="1240" w:type="dxa"/>
            <w:vAlign w:val="bottom"/>
            <w:tcBorders>
              <w:top w:val="single" w:sz="8" w:color="CCEEFF"/>
              <w:bottom w:val="single" w:sz="8" w:color="CCEEFF"/>
            </w:tcBorders>
            <w:gridSpan w:val="3"/>
            <w:vMerge w:val="restart"/>
          </w:tcPr>
          <w:p>
            <w:pPr>
              <w:spacing w:after="0"/>
              <w:rPr>
                <w:sz w:val="16"/>
                <w:szCs w:val="16"/>
                <w:color w:val="auto"/>
              </w:rPr>
            </w:pPr>
          </w:p>
        </w:tc>
        <w:tc>
          <w:tcPr>
            <w:tcW w:w="7300" w:type="dxa"/>
            <w:vAlign w:val="bottom"/>
            <w:tcBorders>
              <w:top w:val="single" w:sz="8" w:color="CCEEFF"/>
              <w:bottom w:val="single" w:sz="8" w:color="auto"/>
            </w:tcBorders>
            <w:gridSpan w:val="29"/>
          </w:tcPr>
          <w:p>
            <w:pPr>
              <w:spacing w:after="0" w:line="189" w:lineRule="exact"/>
              <w:rPr>
                <w:sz w:val="20"/>
                <w:szCs w:val="20"/>
                <w:color w:val="auto"/>
              </w:rPr>
            </w:pPr>
            <w:r>
              <w:rPr>
                <w:rFonts w:ascii="Times New Roman" w:cs="Times New Roman" w:eastAsia="Times New Roman" w:hAnsi="Times New Roman"/>
                <w:sz w:val="18"/>
                <w:szCs w:val="18"/>
                <w:color w:val="auto"/>
                <w:w w:val="99"/>
              </w:rPr>
              <w:t>Market for Registrant's Common Equity, Related Shareholder Matters and Issuer Purchases of Equity</w:t>
            </w:r>
          </w:p>
        </w:tc>
        <w:tc>
          <w:tcPr>
            <w:tcW w:w="560" w:type="dxa"/>
            <w:vAlign w:val="bottom"/>
            <w:tcBorders>
              <w:top w:val="single" w:sz="8" w:color="CCEEFF"/>
            </w:tcBorders>
          </w:tcPr>
          <w:p>
            <w:pPr>
              <w:spacing w:after="0"/>
              <w:rPr>
                <w:sz w:val="16"/>
                <w:szCs w:val="16"/>
                <w:color w:val="auto"/>
              </w:rPr>
            </w:pPr>
          </w:p>
        </w:tc>
        <w:tc>
          <w:tcPr>
            <w:tcW w:w="900" w:type="dxa"/>
            <w:vAlign w:val="bottom"/>
            <w:tcBorders>
              <w:top w:val="single" w:sz="8" w:color="CCEEFF"/>
              <w:bottom w:val="single" w:sz="8" w:color="CCEEFF"/>
            </w:tcBorders>
            <w:gridSpan w:val="4"/>
            <w:vMerge w:val="restart"/>
          </w:tcPr>
          <w:p>
            <w:pPr>
              <w:jc w:val="center"/>
              <w:ind w:left="630"/>
              <w:spacing w:after="0"/>
              <w:rPr>
                <w:sz w:val="20"/>
                <w:szCs w:val="20"/>
                <w:color w:val="auto"/>
              </w:rPr>
            </w:pPr>
            <w:r>
              <w:rPr>
                <w:rFonts w:ascii="Times New Roman" w:cs="Times New Roman" w:eastAsia="Times New Roman" w:hAnsi="Times New Roman"/>
                <w:sz w:val="18"/>
                <w:szCs w:val="18"/>
                <w:color w:val="auto"/>
                <w:w w:val="99"/>
              </w:rPr>
              <w:t>24</w:t>
            </w: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7860" w:type="dxa"/>
            <w:vAlign w:val="bottom"/>
            <w:gridSpan w:val="30"/>
            <w:vMerge w:val="restart"/>
          </w:tcPr>
          <w:p>
            <w:pPr>
              <w:spacing w:after="0" w:line="156" w:lineRule="exact"/>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60" w:type="dxa"/>
            <w:vAlign w:val="bottom"/>
            <w:gridSpan w:val="30"/>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78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26</w:t>
            </w: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78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00" w:type="dxa"/>
            <w:vAlign w:val="bottom"/>
            <w:gridSpan w:val="4"/>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26</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Financial Results Overview</w:t>
            </w:r>
          </w:p>
        </w:tc>
        <w:tc>
          <w:tcPr>
            <w:tcW w:w="5780" w:type="dxa"/>
            <w:vAlign w:val="bottom"/>
            <w:tcBorders>
              <w:bottom w:val="single" w:sz="8" w:color="CCEEFF"/>
            </w:tcBorders>
            <w:gridSpan w:val="14"/>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27</w:t>
            </w: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78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auto"/>
              </w:rPr>
              <w:t>Business Outlook</w:t>
            </w:r>
          </w:p>
        </w:tc>
        <w:tc>
          <w:tcPr>
            <w:tcW w:w="900" w:type="dxa"/>
            <w:vAlign w:val="bottom"/>
            <w:gridSpan w:val="4"/>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34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78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Liquidity and Capital Resources</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34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320" w:type="dxa"/>
            <w:vAlign w:val="bottom"/>
            <w:tcBorders>
              <w:top w:val="single" w:sz="8" w:color="auto"/>
            </w:tcBorders>
            <w:gridSpan w:val="17"/>
          </w:tcPr>
          <w:p>
            <w:pPr>
              <w:spacing w:after="0" w:line="189" w:lineRule="exact"/>
              <w:rPr>
                <w:sz w:val="20"/>
                <w:szCs w:val="20"/>
                <w:color w:val="auto"/>
              </w:rPr>
            </w:pPr>
            <w:r>
              <w:rPr>
                <w:rFonts w:ascii="Times New Roman" w:cs="Times New Roman" w:eastAsia="Times New Roman" w:hAnsi="Times New Roman"/>
                <w:sz w:val="18"/>
                <w:szCs w:val="18"/>
                <w:color w:val="auto"/>
              </w:rPr>
              <w:t>Critical Accounting Estimates</w:t>
            </w:r>
          </w:p>
        </w:tc>
        <w:tc>
          <w:tcPr>
            <w:tcW w:w="5460" w:type="dxa"/>
            <w:vAlign w:val="bottom"/>
            <w:tcBorders>
              <w:top w:val="single" w:sz="8" w:color="CCEEFF"/>
            </w:tcBorders>
            <w:gridSpan w:val="12"/>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38</w:t>
            </w: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auto"/>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3500" w:type="dxa"/>
            <w:vAlign w:val="bottom"/>
            <w:tcBorders>
              <w:bottom w:val="single" w:sz="8" w:color="CCEEFF"/>
            </w:tcBorders>
            <w:gridSpan w:val="7"/>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w:t>
            </w: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78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00" w:type="dxa"/>
            <w:vAlign w:val="bottom"/>
            <w:gridSpan w:val="4"/>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42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auto"/>
            </w:tcBorders>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1380" w:type="dxa"/>
            <w:vAlign w:val="bottom"/>
            <w:tcBorders>
              <w:bottom w:val="single" w:sz="8" w:color="CCEEFF"/>
            </w:tcBorders>
            <w:gridSpan w:val="3"/>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79</w:t>
            </w: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78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gridSpan w:val="4"/>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79</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auto"/>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Other Information</w:t>
            </w:r>
          </w:p>
        </w:tc>
        <w:tc>
          <w:tcPr>
            <w:tcW w:w="6540" w:type="dxa"/>
            <w:vAlign w:val="bottom"/>
            <w:tcBorders>
              <w:bottom w:val="single" w:sz="8" w:color="CCEEFF"/>
            </w:tcBorders>
            <w:gridSpan w:val="21"/>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79</w:t>
            </w: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78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00" w:type="dxa"/>
            <w:vAlign w:val="bottom"/>
            <w:gridSpan w:val="4"/>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80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III</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78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80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900" w:type="dxa"/>
            <w:vAlign w:val="bottom"/>
            <w:tcBorders>
              <w:top w:val="single" w:sz="8" w:color="CCEEFF"/>
            </w:tcBorders>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auto"/>
            </w:tcBorders>
            <w:gridSpan w:val="22"/>
          </w:tcPr>
          <w:p>
            <w:pPr>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3780" w:type="dxa"/>
            <w:vAlign w:val="bottom"/>
            <w:tcBorders>
              <w:top w:val="single" w:sz="8" w:color="CCEEFF"/>
            </w:tcBorders>
            <w:gridSpan w:val="8"/>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w:t>
            </w: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78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80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900" w:type="dxa"/>
            <w:vAlign w:val="bottom"/>
            <w:tcBorders>
              <w:top w:val="single" w:sz="8" w:color="CCEEFF"/>
            </w:tcBorders>
            <w:gridSpan w:val="5"/>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auto"/>
            </w:tcBorders>
            <w:gridSpan w:val="28"/>
          </w:tcPr>
          <w:p>
            <w:pPr>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580" w:type="dxa"/>
            <w:vAlign w:val="bottom"/>
            <w:tcBorders>
              <w:top w:val="single" w:sz="8" w:color="CCEEFF"/>
            </w:tcBorders>
            <w:gridSpan w:val="2"/>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78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Principal Accounting Fees and Services</w:t>
            </w:r>
          </w:p>
        </w:tc>
        <w:tc>
          <w:tcPr>
            <w:tcW w:w="900" w:type="dxa"/>
            <w:vAlign w:val="bottom"/>
            <w:gridSpan w:val="4"/>
            <w:shd w:val="clear" w:color="auto" w:fill="CCEEFF"/>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IV</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1180" w:type="dxa"/>
            <w:vAlign w:val="bottom"/>
            <w:tcBorders>
              <w:top w:val="single" w:sz="8" w:color="CCEEFF"/>
            </w:tcBorders>
            <w:gridSpan w:val="2"/>
          </w:tcPr>
          <w:p>
            <w:pPr>
              <w:spacing w:after="0"/>
              <w:rPr>
                <w:sz w:val="16"/>
                <w:szCs w:val="16"/>
                <w:color w:val="auto"/>
              </w:rPr>
            </w:pPr>
          </w:p>
        </w:tc>
        <w:tc>
          <w:tcPr>
            <w:tcW w:w="7860" w:type="dxa"/>
            <w:vAlign w:val="bottom"/>
            <w:tcBorders>
              <w:top w:val="single" w:sz="8" w:color="CCEEFF"/>
            </w:tcBorders>
            <w:gridSpan w:val="30"/>
          </w:tcPr>
          <w:p>
            <w:pPr>
              <w:spacing w:after="0" w:line="189"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900" w:type="dxa"/>
            <w:vAlign w:val="bottom"/>
            <w:tcBorders>
              <w:top w:val="single" w:sz="8" w:color="CCEEFF"/>
            </w:tcBorders>
            <w:gridSpan w:val="4"/>
          </w:tcPr>
          <w:p>
            <w:pPr>
              <w:jc w:val="center"/>
              <w:ind w:left="630"/>
              <w:spacing w:after="0" w:line="189" w:lineRule="exact"/>
              <w:rPr>
                <w:sz w:val="20"/>
                <w:szCs w:val="20"/>
                <w:color w:val="auto"/>
              </w:rPr>
            </w:pPr>
            <w:r>
              <w:rPr>
                <w:rFonts w:ascii="Times New Roman" w:cs="Times New Roman" w:eastAsia="Times New Roman" w:hAnsi="Times New Roman"/>
                <w:sz w:val="18"/>
                <w:szCs w:val="18"/>
                <w:color w:val="auto"/>
                <w:w w:val="99"/>
              </w:rPr>
              <w:t>81</w:t>
            </w: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16</w:t>
            </w:r>
          </w:p>
        </w:tc>
        <w:tc>
          <w:tcPr>
            <w:tcW w:w="7860" w:type="dxa"/>
            <w:vAlign w:val="bottom"/>
            <w:tcBorders>
              <w:bottom w:val="single" w:sz="8" w:color="CCEEFF"/>
            </w:tcBorders>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7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5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100" w:type="dxa"/>
            <w:vAlign w:val="bottom"/>
            <w:tcBorders>
              <w:top w:val="single" w:sz="8" w:color="auto"/>
              <w:bottom w:val="single" w:sz="8" w:color="auto"/>
            </w:tcBorders>
            <w:gridSpan w:val="8"/>
          </w:tcPr>
          <w:p>
            <w:pPr>
              <w:spacing w:after="0" w:line="189" w:lineRule="exact"/>
              <w:rPr>
                <w:sz w:val="20"/>
                <w:szCs w:val="20"/>
                <w:color w:val="auto"/>
              </w:rPr>
            </w:pPr>
            <w:r>
              <w:rPr>
                <w:rFonts w:ascii="Times New Roman" w:cs="Times New Roman" w:eastAsia="Times New Roman" w:hAnsi="Times New Roman"/>
                <w:sz w:val="18"/>
                <w:szCs w:val="18"/>
                <w:color w:val="auto"/>
                <w:w w:val="96"/>
              </w:rPr>
              <w:t>SIGNATURES</w:t>
            </w:r>
          </w:p>
        </w:tc>
        <w:tc>
          <w:tcPr>
            <w:tcW w:w="440" w:type="dxa"/>
            <w:vAlign w:val="bottom"/>
            <w:tcBorders>
              <w:top w:val="single" w:sz="8" w:color="auto"/>
            </w:tcBorders>
            <w:gridSpan w:val="4"/>
          </w:tcPr>
          <w:p>
            <w:pPr>
              <w:spacing w:after="0"/>
              <w:rPr>
                <w:sz w:val="16"/>
                <w:szCs w:val="16"/>
                <w:color w:val="auto"/>
              </w:rPr>
            </w:pPr>
          </w:p>
        </w:tc>
        <w:tc>
          <w:tcPr>
            <w:tcW w:w="6320" w:type="dxa"/>
            <w:vAlign w:val="bottom"/>
            <w:tcBorders>
              <w:top w:val="single" w:sz="8" w:color="CCEEFF"/>
            </w:tcBorders>
            <w:gridSpan w:val="18"/>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CCEEFF"/>
              <w:bottom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89</w:t>
            </w:r>
          </w:p>
        </w:tc>
        <w:tc>
          <w:tcPr>
            <w:tcW w:w="5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w:t>
      </w:r>
    </w:p>
    <w:p>
      <w:pPr>
        <w:sectPr>
          <w:pgSz w:w="11900" w:h="16838" w:orient="portrait"/>
          <w:cols w:equalWidth="0" w:num="1">
            <w:col w:w="11240"/>
          </w:cols>
          <w:pgMar w:left="320" w:top="1022" w:right="339" w:bottom="144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Weatherford International plc, an Irish public limited company, together with its subsidiaries (“Weatherford,” the “Company,” “we,” “us” and “our”),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21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330 operating locations including manufacturing, research and development, service, and training facilities. Our operational performance is reviewed and managed across the life cycle of the well, and we report in three segments (1) Drilling and Evaluation, (2) Well Construction and Completions, and (3) Production and Intervention.</w:t>
      </w:r>
    </w:p>
    <w:p>
      <w:pPr>
        <w:spacing w:after="0" w:line="21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proxy statements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objective is to create value for our shareholders across industry cycles by ensuring sustainable profitability and cash flow generation. We aim to accomplish this goal with a comprehensive suite of products and services, differentiated technologies, strong customer focus, operational rigor, disciplined capital management, and a commitment to safety and operational efficiency.</w:t>
      </w:r>
    </w:p>
    <w:p>
      <w:pPr>
        <w:spacing w:after="0" w:line="21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customers’ objectives are continually evolving and are currently focused on disciplined capital and operational expenditures, generating investor and shareholder returns, reducing emissions, participating in the energy transition, and enhancing safety. Weatherford has aligned its technology development, capital spending and operations around these objectives and expanded its role as a market leading provider of solutions that assist our customers in addressing their key operational challenges, not just in conventional reservoirs but also in mature fields, unconventionals, offshore, and in digitalization and automation.</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focus is on the deployment of our five strategic priorities of:</w:t>
      </w:r>
    </w:p>
    <w:p>
      <w:pPr>
        <w:spacing w:after="0" w:line="4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Experience </w:t>
      </w:r>
      <w:r>
        <w:rPr>
          <w:rFonts w:ascii="Times New Roman" w:cs="Times New Roman" w:eastAsia="Times New Roman" w:hAnsi="Times New Roman"/>
          <w:sz w:val="18"/>
          <w:szCs w:val="18"/>
          <w:color w:val="auto"/>
        </w:rPr>
        <w:t>enhancement by directly addressing customer needs of improved efficiency, value creation and safety;</w:t>
      </w:r>
    </w:p>
    <w:p>
      <w:pPr>
        <w:spacing w:after="0" w:line="36" w:lineRule="exact"/>
        <w:rPr>
          <w:rFonts w:ascii="Times New Roman" w:cs="Times New Roman" w:eastAsia="Times New Roman" w:hAnsi="Times New Roman"/>
          <w:sz w:val="18"/>
          <w:szCs w:val="18"/>
          <w:color w:val="auto"/>
        </w:rPr>
      </w:pPr>
    </w:p>
    <w:p>
      <w:pPr>
        <w:ind w:left="1300" w:right="1860" w:hanging="644"/>
        <w:spacing w:after="0" w:line="289"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Creating the Future </w:t>
      </w:r>
      <w:r>
        <w:rPr>
          <w:rFonts w:ascii="Times New Roman" w:cs="Times New Roman" w:eastAsia="Times New Roman" w:hAnsi="Times New Roman"/>
          <w:sz w:val="18"/>
          <w:szCs w:val="18"/>
          <w:color w:val="auto"/>
        </w:rPr>
        <w:t>through continued investment in research and development and building our Digital &amp;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portfolio and capabilities;</w:t>
      </w:r>
    </w:p>
    <w:p>
      <w:pPr>
        <w:spacing w:after="0" w:line="1" w:lineRule="exact"/>
        <w:rPr>
          <w:rFonts w:ascii="Times New Roman" w:cs="Times New Roman" w:eastAsia="Times New Roman" w:hAnsi="Times New Roman"/>
          <w:sz w:val="18"/>
          <w:szCs w:val="18"/>
          <w:color w:val="auto"/>
        </w:rPr>
      </w:pPr>
    </w:p>
    <w:p>
      <w:pPr>
        <w:ind w:left="1300" w:right="2340" w:hanging="644"/>
        <w:spacing w:after="0" w:line="289"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Organizational Vitality </w:t>
      </w:r>
      <w:r>
        <w:rPr>
          <w:rFonts w:ascii="Times New Roman" w:cs="Times New Roman" w:eastAsia="Times New Roman" w:hAnsi="Times New Roman"/>
          <w:sz w:val="18"/>
          <w:szCs w:val="18"/>
          <w:color w:val="auto"/>
        </w:rPr>
        <w:t>to harness employee engagement, attract and retain talent, develop our people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leadership effectiveness;</w:t>
      </w:r>
    </w:p>
    <w:p>
      <w:pPr>
        <w:spacing w:after="0" w:line="1" w:lineRule="exact"/>
        <w:rPr>
          <w:rFonts w:ascii="Times New Roman" w:cs="Times New Roman" w:eastAsia="Times New Roman" w:hAnsi="Times New Roman"/>
          <w:sz w:val="18"/>
          <w:szCs w:val="18"/>
          <w:color w:val="auto"/>
        </w:rPr>
      </w:pPr>
    </w:p>
    <w:p>
      <w:pPr>
        <w:ind w:left="1300" w:right="2540" w:hanging="644"/>
        <w:spacing w:after="0" w:line="289"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Lean Operations </w:t>
      </w:r>
      <w:r>
        <w:rPr>
          <w:rFonts w:ascii="Times New Roman" w:cs="Times New Roman" w:eastAsia="Times New Roman" w:hAnsi="Times New Roman"/>
          <w:sz w:val="18"/>
          <w:szCs w:val="18"/>
          <w:color w:val="auto"/>
        </w:rPr>
        <w:t>to simplify and drive waste out of the business for increased productivity, 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service levels; and</w:t>
      </w:r>
    </w:p>
    <w:p>
      <w:pPr>
        <w:spacing w:after="0" w:line="1" w:lineRule="exact"/>
        <w:rPr>
          <w:rFonts w:ascii="Times New Roman" w:cs="Times New Roman" w:eastAsia="Times New Roman" w:hAnsi="Times New Roman"/>
          <w:sz w:val="18"/>
          <w:szCs w:val="18"/>
          <w:color w:val="auto"/>
        </w:rPr>
      </w:pPr>
    </w:p>
    <w:p>
      <w:pPr>
        <w:ind w:left="1300" w:hanging="644"/>
        <w:spacing w:after="0" w:line="33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Performance </w:t>
      </w:r>
      <w:r>
        <w:rPr>
          <w:rFonts w:ascii="Times New Roman" w:cs="Times New Roman" w:eastAsia="Times New Roman" w:hAnsi="Times New Roman"/>
          <w:sz w:val="18"/>
          <w:szCs w:val="18"/>
          <w:color w:val="auto"/>
        </w:rPr>
        <w:t>that drives value creation across economic cycles with sustainable profitability, cash flow generation and top-tier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on capital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strategic focus is enabled by a comprehensive capital allocation framework that includes:</w:t>
      </w:r>
    </w:p>
    <w:p>
      <w:pPr>
        <w:spacing w:after="0" w:line="36"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through-cycle resilience from a strong balance sheet;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2024 Form 10-K | 2</w:t>
      </w:r>
    </w:p>
    <w:p>
      <w:pPr>
        <w:sectPr>
          <w:pgSz w:w="11900" w:h="16838" w:orient="portrait"/>
          <w:cols w:equalWidth="0" w:num="1">
            <w:col w:w="11240"/>
          </w:cols>
          <w:pgMar w:left="320" w:top="432" w:right="33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7" w:lineRule="exact"/>
        <w:rPr>
          <w:sz w:val="20"/>
          <w:szCs w:val="20"/>
          <w:color w:val="auto"/>
        </w:rPr>
      </w:pPr>
    </w:p>
    <w:p>
      <w:pPr>
        <w:ind w:left="1300" w:right="2000" w:hanging="644"/>
        <w:spacing w:after="0" w:line="289"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Judicious business investments in technology and infrastructure upgrades to drive portfolio differentiation and structural cost efficiencies leading to improved returns;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disciplined mergers and acquisitions that align with our portfolio strategy; and</w:t>
      </w:r>
    </w:p>
    <w:p>
      <w:pPr>
        <w:spacing w:after="0" w:line="49" w:lineRule="exact"/>
        <w:rPr>
          <w:rFonts w:ascii="Times New Roman" w:cs="Times New Roman" w:eastAsia="Times New Roman" w:hAnsi="Times New Roman"/>
          <w:sz w:val="18"/>
          <w:szCs w:val="18"/>
          <w:color w:val="auto"/>
        </w:rPr>
      </w:pPr>
    </w:p>
    <w:p>
      <w:pPr>
        <w:ind w:left="1300" w:right="2260" w:hanging="644"/>
        <w:spacing w:after="0" w:line="313"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returns program as introduced in 2024 with an expected annual dividend of $1 per share and a $500 million share repurchase authorization over three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environments and the level of workover activity worldwide.</w:t>
      </w:r>
    </w:p>
    <w:p>
      <w:pPr>
        <w:spacing w:after="0" w:line="210"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Technology is critical to the energy services marketplace as a result of the maturity of the world’s oil and natural gas reservoirs, declining production rates and the nature of complex well designs, in both land and offshore markets. Customers continue to seek, test and use technologies that accelerate and optimize production at an increasing rate. We invest substantial resources into building our technology offerings, which enable our customers to evaluate, develop and produce from their oil and natural gas reservoirs more efficiently. Our products and services are designed to enable our customers to increase production rates while reducing their costs of drilling and production.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83" w:lineRule="exact"/>
        <w:rPr>
          <w:sz w:val="20"/>
          <w:szCs w:val="20"/>
          <w:color w:val="auto"/>
        </w:rPr>
      </w:pPr>
    </w:p>
    <w:p>
      <w:pPr>
        <w:jc w:val="both"/>
        <w:ind w:firstLine="324"/>
        <w:spacing w:after="0" w:line="288" w:lineRule="auto"/>
        <w:rPr>
          <w:sz w:val="20"/>
          <w:szCs w:val="20"/>
          <w:color w:val="auto"/>
        </w:rPr>
      </w:pPr>
      <w:r>
        <w:rPr>
          <w:rFonts w:ascii="Times New Roman" w:cs="Times New Roman" w:eastAsia="Times New Roman" w:hAnsi="Times New Roman"/>
          <w:sz w:val="18"/>
          <w:szCs w:val="18"/>
          <w:color w:val="auto"/>
        </w:rPr>
        <w:t>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 at the end of the well’s productive life.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93"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evaluation and productivity.</w:t>
      </w:r>
    </w:p>
    <w:p>
      <w:pPr>
        <w:spacing w:after="0" w:line="191" w:lineRule="exact"/>
        <w:rPr>
          <w:sz w:val="20"/>
          <w:szCs w:val="20"/>
          <w:color w:val="auto"/>
        </w:rPr>
      </w:pPr>
    </w:p>
    <w:p>
      <w:pPr>
        <w:jc w:val="both"/>
        <w:ind w:left="500"/>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Managed Pressure Drilling </w:t>
      </w:r>
      <w:r>
        <w:rPr>
          <w:rFonts w:ascii="Times New Roman" w:cs="Times New Roman" w:eastAsia="Times New Roman" w:hAnsi="Times New Roman"/>
          <w:sz w:val="18"/>
          <w:szCs w:val="18"/>
          <w:color w:val="auto"/>
        </w:rPr>
        <w:t>helps to manage wellbore pressures to optimize drilling performance. We incorporate various technologies,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rotating control devices and advanced automated control systems, as well as several drilling techniques, such as closed-loop drilling, air drilling, managed-pressure drilling and underbalanced drilling.</w:t>
      </w:r>
    </w:p>
    <w:p>
      <w:pPr>
        <w:spacing w:after="0" w:line="184" w:lineRule="exact"/>
        <w:rPr>
          <w:sz w:val="20"/>
          <w:szCs w:val="20"/>
          <w:color w:val="auto"/>
        </w:rPr>
      </w:pPr>
    </w:p>
    <w:p>
      <w:pPr>
        <w:jc w:val="both"/>
        <w:ind w:left="50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Services </w:t>
      </w:r>
      <w:r>
        <w:rPr>
          <w:rFonts w:ascii="Times New Roman" w:cs="Times New Roman" w:eastAsia="Times New Roman" w:hAnsi="Times New Roman"/>
          <w:sz w:val="18"/>
          <w:szCs w:val="18"/>
          <w:color w:val="auto"/>
        </w:rPr>
        <w:t>includes directional drilling, logging while drilling, measurement while drilling and rotary-steerable systems. We provide a full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downhole equipment, including high-temperature and high-pressure sensors, drilling reamers and circulation subs.</w:t>
      </w:r>
    </w:p>
    <w:p>
      <w:pPr>
        <w:spacing w:after="0" w:line="168"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Wireline </w:t>
      </w:r>
      <w:r>
        <w:rPr>
          <w:rFonts w:ascii="Times New Roman" w:cs="Times New Roman" w:eastAsia="Times New Roman" w:hAnsi="Times New Roman"/>
          <w:sz w:val="18"/>
          <w:szCs w:val="18"/>
          <w:color w:val="auto"/>
        </w:rPr>
        <w:t>includes open-hole and cased-hole logging services that measure the geophysical properties of subsurface formations to determine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potential, locate resources and detect cement and casing integrity issues. We also execute well intervention and remediation operations by conveying equipment via cable into existing wells.</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Drilling Fluids </w:t>
      </w:r>
      <w:r>
        <w:rPr>
          <w:rFonts w:ascii="Times New Roman" w:cs="Times New Roman" w:eastAsia="Times New Roman" w:hAnsi="Times New Roman"/>
          <w:sz w:val="18"/>
          <w:szCs w:val="18"/>
          <w:color w:val="auto"/>
        </w:rPr>
        <w:t>provides fluids and chemicals essential to the drilling process.</w:t>
      </w:r>
    </w:p>
    <w:p>
      <w:pPr>
        <w:spacing w:after="0" w:line="266"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2024 Form 10-K | 3</w:t>
      </w:r>
    </w:p>
    <w:p>
      <w:pPr>
        <w:sectPr>
          <w:pgSz w:w="11900" w:h="16838" w:orient="portrait"/>
          <w:cols w:equalWidth="0" w:num="1">
            <w:col w:w="11240"/>
          </w:cols>
          <w:pgMar w:left="320" w:top="432" w:right="33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00"/>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Tubular Running Services </w:t>
      </w:r>
      <w:r>
        <w:rPr>
          <w:rFonts w:ascii="Times New Roman" w:cs="Times New Roman" w:eastAsia="Times New Roman" w:hAnsi="Times New Roman"/>
          <w:sz w:val="18"/>
          <w:szCs w:val="18"/>
          <w:color w:val="auto"/>
        </w:rPr>
        <w:t>provides equipment, tubular handling, tubular management and tubular connection services for the drilling, completions,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workover of various types of wells. We include conventional rig services, automated rig systems, real-time torque-monitoring, and remote viewing of the makeup and breakout verification process, all underscored by our technology and procedural protocols to provide casing and tubular running operations with superior efficiency, and reduced health, safety, and environmental risks.</w:t>
      </w:r>
    </w:p>
    <w:p>
      <w:pPr>
        <w:spacing w:after="0" w:line="193"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Cementation Products </w:t>
      </w:r>
      <w:r>
        <w:rPr>
          <w:rFonts w:ascii="Times New Roman" w:cs="Times New Roman" w:eastAsia="Times New Roman" w:hAnsi="Times New Roman"/>
          <w:sz w:val="18"/>
          <w:szCs w:val="18"/>
          <w:color w:val="auto"/>
        </w:rPr>
        <w:t>enable operators to centralize the casing throughout the wellbore and control the displacement of cement and other fluids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 zonal isolation. Specialized equipment includes plugs, float and stage equipment and torque-and-drag reduction technology. Our cementation engineers analyze customer requirements and provide software enabled design input from pre-job planning to installation.</w:t>
      </w:r>
    </w:p>
    <w:p>
      <w:pPr>
        <w:spacing w:after="0" w:line="205"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Completions </w:t>
      </w:r>
      <w:r>
        <w:rPr>
          <w:rFonts w:ascii="Times New Roman" w:cs="Times New Roman" w:eastAsia="Times New Roman" w:hAnsi="Times New Roman"/>
          <w:sz w:val="18"/>
          <w:szCs w:val="18"/>
          <w:color w:val="auto"/>
        </w:rPr>
        <w:t>offer customers a comprehensive line of completion tools, such as safety valves, production packers, downhole reservoir monitoring,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 control, isolation packers, multistage fracturing systems and sand-control technologies that not only allow our customers to produce optimally from their reservoirs but also monitor and control the reservoirs throughout their productive life.</w:t>
      </w:r>
    </w:p>
    <w:p>
      <w:pPr>
        <w:spacing w:after="0" w:line="205"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Liner Hangers </w:t>
      </w:r>
      <w:r>
        <w:rPr>
          <w:rFonts w:ascii="Times New Roman" w:cs="Times New Roman" w:eastAsia="Times New Roman" w:hAnsi="Times New Roman"/>
          <w:sz w:val="18"/>
          <w:szCs w:val="18"/>
          <w:color w:val="auto"/>
        </w:rPr>
        <w:t>suspend a casing string within a previous casing string thereby eliminating the need to run casing to the surface.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liner-hanger portfolio, along with engineering and execution experience, for a wide range of applications that include high-temperature and high-pressure wells.</w:t>
      </w:r>
    </w:p>
    <w:p>
      <w:pPr>
        <w:spacing w:after="0" w:line="178" w:lineRule="exact"/>
        <w:rPr>
          <w:sz w:val="20"/>
          <w:szCs w:val="20"/>
          <w:color w:val="auto"/>
        </w:rPr>
      </w:pPr>
    </w:p>
    <w:p>
      <w:pPr>
        <w:ind w:left="500" w:right="1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Services </w:t>
      </w:r>
      <w:r>
        <w:rPr>
          <w:rFonts w:ascii="Times New Roman" w:cs="Times New Roman" w:eastAsia="Times New Roman" w:hAnsi="Times New Roman"/>
          <w:sz w:val="18"/>
          <w:szCs w:val="18"/>
          <w:color w:val="auto"/>
        </w:rPr>
        <w:t>provides through tubing products and services which ensure consistent delivery of well solutions that extend the economic life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assets.</w:t>
      </w:r>
    </w:p>
    <w:p>
      <w:pPr>
        <w:spacing w:after="0" w:line="181"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production optimization technologies through our ability to design and deliver a complete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ecosystem ranging from boosting productivity to responsible well abandonment for our customers. The primary offerings are intervention services &amp; drilling tools, artificial lift, digital solutions,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spacing w:after="0" w:line="200" w:lineRule="exact"/>
        <w:rPr>
          <w:sz w:val="20"/>
          <w:szCs w:val="20"/>
          <w:color w:val="auto"/>
        </w:rPr>
      </w:pPr>
    </w:p>
    <w:p>
      <w:pPr>
        <w:jc w:val="both"/>
        <w:ind w:lef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Intervention Services &amp; Drilling Tools </w:t>
      </w:r>
      <w:r>
        <w:rPr>
          <w:rFonts w:ascii="Times New Roman" w:cs="Times New Roman" w:eastAsia="Times New Roman" w:hAnsi="Times New Roman"/>
          <w:sz w:val="18"/>
          <w:szCs w:val="18"/>
          <w:color w:val="auto"/>
        </w:rPr>
        <w:t>provides re-entry, fishing and well abandonment services as well as patented downhole tools, tubular-handling equipment, pressure-control equipment and drill pipe and tubulars for various types of wells.</w:t>
      </w:r>
    </w:p>
    <w:p>
      <w:pPr>
        <w:spacing w:after="0" w:line="209"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Lift </w:t>
      </w:r>
      <w:r>
        <w:rPr>
          <w:rFonts w:ascii="Times New Roman" w:cs="Times New Roman" w:eastAsia="Times New Roman" w:hAnsi="Times New Roman"/>
          <w:sz w:val="18"/>
          <w:szCs w:val="18"/>
          <w:color w:val="auto"/>
        </w:rPr>
        <w:t>provides pressure enabling methods to produce reservoir fluids from wells lacking sufficient reservoir pressure for natural flow.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91"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Solutions </w:t>
      </w:r>
      <w:r>
        <w:rPr>
          <w:rFonts w:ascii="Times New Roman" w:cs="Times New Roman" w:eastAsia="Times New Roman" w:hAnsi="Times New Roman"/>
          <w:sz w:val="18"/>
          <w:szCs w:val="18"/>
          <w:color w:val="auto"/>
        </w:rPr>
        <w:t>provides software, automation, and flow measurement solutions. For our customers’ drilling operations, the solutions deliver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aggregation, engineering, and optimization including performance analytics in real-time. For our customers’ production operations, we provide flow measurement, surveillance, and control to deliver production optimization by integrating workflows and data for the well, surface facilities and the reservoir.</w:t>
      </w:r>
    </w:p>
    <w:p>
      <w:pPr>
        <w:spacing w:after="0" w:line="226" w:lineRule="exact"/>
        <w:rPr>
          <w:sz w:val="20"/>
          <w:szCs w:val="20"/>
          <w:color w:val="auto"/>
        </w:rPr>
      </w:pPr>
    </w:p>
    <w:p>
      <w:pPr>
        <w:jc w:val="both"/>
        <w:ind w:left="50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Sub-Sea Intervention </w:t>
      </w:r>
      <w:r>
        <w:rPr>
          <w:rFonts w:ascii="Times New Roman" w:cs="Times New Roman" w:eastAsia="Times New Roman" w:hAnsi="Times New Roman"/>
          <w:sz w:val="18"/>
          <w:szCs w:val="18"/>
          <w:color w:val="auto"/>
        </w:rPr>
        <w:t>provides electrical and hydraulic power transmission to subsea equipment in order to facilitate workovers and abandonment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and ultra-deep-water operations in select markets.</w:t>
      </w:r>
    </w:p>
    <w:p>
      <w:pPr>
        <w:spacing w:after="0" w:line="194"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 Pumping Services </w:t>
      </w:r>
      <w:r>
        <w:rPr>
          <w:rFonts w:ascii="Times New Roman" w:cs="Times New Roman" w:eastAsia="Times New Roman" w:hAnsi="Times New Roman"/>
          <w:sz w:val="18"/>
          <w:szCs w:val="18"/>
          <w:color w:val="auto"/>
        </w:rPr>
        <w:t>offers advanced chemistry-based solutions and associated pumping services for safe and effective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 In select international markets, we provide pressure pumping and reservoir stimulation services, including acidizing, fracturing, cementing, and coiled-tubing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2024 Form 10-K | 4</w:t>
      </w:r>
    </w:p>
    <w:p>
      <w:pPr>
        <w:sectPr>
          <w:pgSz w:w="11900" w:h="16838" w:orient="portrait"/>
          <w:cols w:equalWidth="0" w:num="1">
            <w:col w:w="11240"/>
          </w:cols>
          <w:pgMar w:left="320" w:top="432" w:right="33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provide our products and services worldwide and compete with a number of global and regional competitors. Our principal competitors include SLB, Halliburton, Baker Hughes and Expro Group Holdings. We also compete with various other suppliers who provide products and services within a smaller cross section of our product line portfolio either locally, regionally, or globally.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consolidations of and acquisitions by our competitors are difficult to predict and may impact our business as a result.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purchase a wide variety of raw materials, as well as parts and components. We integrate products and components produced by other parties into the products and systems we offer for sale or service. We continually evaluate and invest in our integrated supply chain in order to reduce materials constraints and impacts from inflationary pressures, while improving lead times and supporting our sustainability efforts.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9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Substantially all of our customers are engaged in the energy industry and include national oil companies, international and independent oil and natural gas companies as well as new energy companies.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Patents</w:t>
      </w:r>
    </w:p>
    <w:p>
      <w:pPr>
        <w:spacing w:after="0" w:line="283"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In addition to maintaining world-class technology and training centers throughout the world, we have research, development, and engineering teams focused on developing new technologies and improving existing products and services to meet customer demands for improved drilling performance, well integrity, and enhanced reservoir productivity, with emphasis on efficiency, reliability, safety and the environment. We also develop technologies for new energy markets, in addition to the existing oil and gas markets in which we traditionally operate. Weatherford has significant expertise, trade secrets, intellectual property and know-how with respect to the design, manufacturing, and use of our equipment and the provision of our services. As many areas of our business rely on proprietary technology, we seek to protect and defend our intellectual property through trade secrets and patent protection both inside and outside the U.S. for products and methods that we believe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Weather and natural phenomena can temporarily affect the level of demand for our products and services; however, the widespread geographical locations of our operations serve to mitigate the overall impact on our business in any particular geographic region. Spring months in Canada, summer in the Southern hemisphere, and winter months in the North Sea and Russia typically have lower demand, driving a negative impact on operations. Additionally, heavy rains, hurricanes, unusual wildfires, extreme freezes or other unpredictable or unusually harsh natural phenomena could lengthen the periods of reduced activity and have a detrimental impact on our operations. In addition, customer spending patterns for our products and services may result in higher activity in the fourth quarter of each calendar year as our customers seek to fully utilize their annual budgets.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2024 Form 10-K | 5</w:t>
      </w:r>
    </w:p>
    <w:p>
      <w:pPr>
        <w:sectPr>
          <w:pgSz w:w="11900" w:h="16838" w:orient="portrait"/>
          <w:cols w:equalWidth="0" w:num="1">
            <w:col w:w="11240"/>
          </w:cols>
          <w:pgMar w:left="320" w:top="432"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97" w:lineRule="exact"/>
        <w:rPr>
          <w:sz w:val="20"/>
          <w:szCs w:val="20"/>
          <w:color w:val="auto"/>
        </w:rPr>
      </w:pPr>
    </w:p>
    <w:p>
      <w:pPr>
        <w:jc w:val="both"/>
        <w:ind w:right="20" w:firstLine="324"/>
        <w:spacing w:after="0" w:line="305" w:lineRule="auto"/>
        <w:rPr>
          <w:sz w:val="20"/>
          <w:szCs w:val="20"/>
          <w:color w:val="auto"/>
        </w:rPr>
      </w:pPr>
      <w:r>
        <w:rPr>
          <w:rFonts w:ascii="Times New Roman" w:cs="Times New Roman" w:eastAsia="Times New Roman" w:hAnsi="Times New Roman"/>
          <w:sz w:val="18"/>
          <w:szCs w:val="18"/>
          <w:color w:val="auto"/>
        </w:rPr>
        <w:t>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19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Revenues in Russia were approximately 5% of our total revenue for the year ended December 31, 2024, and were approximately 6% of our total revenues for the year ended December 31, 2023 and 7% for the year ended December 31, 2022. As of December 31, 2024, our Russia operations included $82 million in cash, $95 million in other current assets, $56 million in property, plant and equipment and other non-current assets, and $45 million in liabilities. As of December 31, 2023, our Russia operations included $62 million in cash, $94 million in other current assets, $76 million in property, plant and equipment and other non-current assets, and $62 million in liabilities.</w:t>
      </w:r>
    </w:p>
    <w:p>
      <w:pPr>
        <w:spacing w:after="0" w:line="218"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197"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49" w:lineRule="exact"/>
        <w:rPr>
          <w:rFonts w:ascii="Times New Roman" w:cs="Times New Roman" w:eastAsia="Times New Roman" w:hAnsi="Times New Roman"/>
          <w:sz w:val="18"/>
          <w:szCs w:val="18"/>
          <w:color w:val="auto"/>
        </w:rPr>
      </w:pPr>
    </w:p>
    <w:p>
      <w:pPr>
        <w:ind w:left="1300" w:right="2160" w:hanging="644"/>
        <w:spacing w:after="0" w:line="289"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36" w:lineRule="exact"/>
        <w:rPr>
          <w:rFonts w:ascii="Times New Roman" w:cs="Times New Roman" w:eastAsia="Times New Roman" w:hAnsi="Times New Roman"/>
          <w:sz w:val="18"/>
          <w:szCs w:val="18"/>
          <w:color w:val="auto"/>
        </w:rPr>
      </w:pPr>
    </w:p>
    <w:p>
      <w:pPr>
        <w:ind w:left="1300" w:hanging="644"/>
        <w:spacing w:after="0" w:line="289"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Regulation and Environmental Matters</w:t>
      </w:r>
    </w:p>
    <w:p>
      <w:pPr>
        <w:spacing w:after="0" w:line="29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in the U.S. and globally relating to the energy industry in general and the environment in particular. Our 2024 expenditures to comply with environmental laws and regulations were not material, and we currently do not expect the cost of compliance with environmental laws and regulations for 2025 to be material. We continuously monitor and strive to maintain compliance with changes in laws and regulations that impact our business.</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a former facility in Midland, Texas where we are performing a TCEQ-approved Remedial Action Plan (“RAP”) to address contaminated ground water. The performance of the RAP and related expenses are scheduled to be performed over a twenty to thirty-year period and, may cost as much as $11 million, recorded as an undiscounted obligation and have remained unchanged on the Consolidated Balance Sheets since December 31,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Focus on People and Culture</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At Weatherford, our global team is driven to further our mission – producing energy for today and tomorrow. Pivotal to our culture and ensuring we fulfill our mission and vision is our “One Weatherford” spirit – individually, we are impressive, and together, we are unstoppable. Our One Weatherford spirit motivates our global teams to collaborate for shared success and to seek out unique perspectives, fostering a culture where everyone can grow and contribute.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2024 Form 10-K | 6</w:t>
      </w:r>
    </w:p>
    <w:p>
      <w:pPr>
        <w:sectPr>
          <w:pgSz w:w="11900" w:h="16838" w:orient="portrait"/>
          <w:cols w:equalWidth="0" w:num="1">
            <w:col w:w="11240"/>
          </w:cols>
          <w:pgMar w:left="320" w:top="432" w:right="3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7"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Our global team comprises experts in various disciplines, including engineering, oilfield services support, and multiple corporate functions. In addition to our commitment to operating sustainably with safety, quality, and integrity, we are also focused on recruiting, developing, and promoting an employee culture that revolves around the following Core Values:</w:t>
      </w:r>
    </w:p>
    <w:p>
      <w:pPr>
        <w:spacing w:after="0" w:line="224" w:lineRule="exact"/>
        <w:rPr>
          <w:sz w:val="20"/>
          <w:szCs w:val="20"/>
          <w:color w:val="auto"/>
        </w:rPr>
      </w:pPr>
    </w:p>
    <w:p>
      <w:pPr>
        <w:ind w:left="660" w:hanging="328"/>
        <w:spacing w:after="0" w:line="242"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Passion: We are energized by our work and inspired to make a positive impact in our industry, for our customers, across our Company, and in our communities;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Accountability: We operate with integrity, enable our people and teams to be successful, and aim to be true to our word;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Innovation: We are driven to deliver advancements that propel our Company, industry, and customers forward; and</w:t>
      </w:r>
    </w:p>
    <w:p>
      <w:pPr>
        <w:spacing w:after="0" w:line="22"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Value Creation: We aspire to achieving long-term value for all our stakeholders by providing compelling and unique benefits through technology differentiation and operational excellence.</w:t>
      </w:r>
    </w:p>
    <w:p>
      <w:pPr>
        <w:spacing w:after="0" w:line="234"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believe that ensuring we have the right talent in place is essential to delivering positive results for the business. We remain focused on developing our talent through training, competency, and mentoring, as well as attracting diverse and qualified individuals who will bring fresh perspectives and skill sets to the team. Through role-specific competency-based training and leadership development programs, we seek to expand our employees’ skill sets and regularly reinforce important topics that align with our Core Values and strategic priorities.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Focus on Safety</w:t>
      </w:r>
    </w:p>
    <w:p>
      <w:pPr>
        <w:spacing w:after="0" w:line="29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Weatherford is committed to the health, safety, and well-being of our employees, customers, and the communities in which we operate. We strive to be a company that is incident free, fulfills our commitments, and leaves the environment and communities we engage with in a better state than we found them. Our company values are built on the foundation of safety, and we recognize that a safe operation is also an efficient operation. To ensure we maintain this commitment, we have adopted the International Association of Oil &amp; Gas Producers’ (“IOGP”) Life-Saving Rules and Start Work Checks, which guide our proactive approach to safety. These industry-standard rules are designed to improve human performance and raise awareness of the high risk activities most likely to result in injury or fatality.</w:t>
      </w:r>
    </w:p>
    <w:p>
      <w:pPr>
        <w:spacing w:after="0" w:line="22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dedication to safety and service quality is embedded at every level of our organization. The Operational Excellence and Performance System (OEPS) is our integrated quality, health, safety, security, and environmental management system. OEPS not only meets international management system standards, such as ISO 45001, but also supports our employees in the field so that we deliver on customer commitments without compromising on quality, health, safety, security, or environmental performance. Additionally, we have safety programs aimed at educating employees on best practices, and our Stop Work Authority program empowers them to intervene if they observe or anticipate unsafe behaviors or conditions.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297"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 believe in aligning our employees’ compensation with the positive performance of our Company and returns realized for our shareholders. The goal of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compensation programs with our strategic priorities supports a cohesive drive towards value creation for all our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2024 Form 10-K | 7</w:t>
      </w:r>
    </w:p>
    <w:p>
      <w:pPr>
        <w:sectPr>
          <w:pgSz w:w="11900" w:h="16838" w:orient="portrait"/>
          <w:cols w:equalWidth="0" w:num="1">
            <w:col w:w="11240"/>
          </w:cols>
          <w:pgMar w:left="320" w:top="432"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understand the importance of operating collaboratively and inclusively across all levels of our organization, embracing the full spectrum of diversity among our employees, and recognizing the strength and competitive advantages our differences afford us as a Company. Our Diversity, Equity, and Inclusion (“DE&amp;I”) Program is a core element of our One Weatherford culture. Our DE&amp;I efforts aim to provide learning, engagement, and philanthropic opportunities to help our people and communities flourish. The executive team and frontline employees champion our commitment to embedding our DE&amp;I Program into our organization.</w:t>
      </w:r>
    </w:p>
    <w:p>
      <w:pPr>
        <w:spacing w:after="0" w:line="20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2024, we continued to advance our program and awareness throughout the organization, including conducting celebrations across the Company that foster collaboration and meaningful conversations regarding DE&amp;I. We trained our employees on unconscious bias and continued our focus on NextGen, our field engineering graduate program designed to accelerate the development of defined competencies and skillsets to prepare participants for future leadership positions, as well as our localization programs for select customers to develop local talent. In addition, we continued to expand participation in the Women of Weatherford (“WOW”), an employee resource group that seeks to engage, support, empower, and inspire women to foster professional growth and advancement across our regions and employee levels, while also promoting volunteerism and giving back to our local communities.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Community Impact and Volunteering</w:t>
      </w:r>
    </w:p>
    <w:p>
      <w:pPr>
        <w:spacing w:after="0" w:line="283"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In addition to investing in our employees, we are committed to making a positive impact in the communities in which we live and work. Across the globe, our employees give back to organizations who need support in terms of donated items, volunteered time, and financial giving. For example, our team in Canada participates in an annual radiothon to support a local hospital and provides meals to over 900 unhoused and food insecure individuals. Our teams across the Latin America and Europe and Africa regions participate in activities to raise support for breast cancer awareness. Our teams across Asia, the Middle East and North Africa regions donate time and resources to support children in need. In the United States, we continue to raise funds and awareness to find a cure for Multiple Sclerosis (“MS”) through the MS Society and through our annual Weatherford Walks event, we raised approximately $500,000 benefiting a number of local not-for-profit organizations.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Statistics</w:t>
      </w:r>
    </w:p>
    <w:p>
      <w:pPr>
        <w:spacing w:after="0" w:line="297"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As of December 31, 2024, Weatherford had approximately 19,000 employees globally. Some of our operations are subject to union contracts and these contracts cover approximately 17% of our employees.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Weatherford</w:t>
      </w:r>
    </w:p>
    <w:p>
      <w:pPr>
        <w:spacing w:after="0" w:line="297"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The following table sets forth, as of February 6, 2025,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Age</w:t>
            </w:r>
          </w:p>
        </w:tc>
        <w:tc>
          <w:tcPr>
            <w:tcW w:w="8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Position and Five-Year Business Experience</w:t>
            </w:r>
          </w:p>
        </w:tc>
        <w:tc>
          <w:tcPr>
            <w:tcW w:w="0" w:type="dxa"/>
            <w:vAlign w:val="bottom"/>
          </w:tcPr>
          <w:p>
            <w:pPr>
              <w:spacing w:after="0"/>
              <w:rPr>
                <w:sz w:val="1"/>
                <w:szCs w:val="1"/>
                <w:color w:val="auto"/>
              </w:rPr>
            </w:pPr>
          </w:p>
        </w:tc>
      </w:tr>
      <w:tr>
        <w:trPr>
          <w:trHeight w:val="21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53</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of Weatherford International plc, since October 2020</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Operating Officer of Exterran Corporation from August 2018 to September</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Arunava Mitra</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52</w:t>
            </w:r>
          </w:p>
        </w:tc>
        <w:tc>
          <w:tcPr>
            <w:tcW w:w="8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Weatherford International plc, since January 2023</w:t>
            </w: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40" w:right="80"/>
        <w:spacing w:after="0" w:line="297" w:lineRule="auto"/>
        <w:rPr>
          <w:sz w:val="20"/>
          <w:szCs w:val="20"/>
          <w:color w:val="auto"/>
        </w:rPr>
      </w:pPr>
      <w:r>
        <w:rPr>
          <w:rFonts w:ascii="Times New Roman" w:cs="Times New Roman" w:eastAsia="Times New Roman" w:hAnsi="Times New Roman"/>
          <w:sz w:val="18"/>
          <w:szCs w:val="18"/>
          <w:color w:val="auto"/>
        </w:rPr>
        <w:t>Executive Vice President and Chief Financial Officer of Mitsubishi Power Americas Inc. from October 2021 to December 2022</w:t>
      </w:r>
    </w:p>
    <w:p>
      <w:pPr>
        <w:spacing w:after="0" w:line="10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Mitsubishi Hitachi Power Systems of Americas Inc.</w:t>
      </w:r>
    </w:p>
    <w:p>
      <w:pPr>
        <w:spacing w:after="0" w:line="2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from October 2014 to October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2024 Form 10-K | 8</w:t>
      </w:r>
    </w:p>
    <w:p>
      <w:pPr>
        <w:sectPr>
          <w:pgSz w:w="11900" w:h="16838" w:orient="portrait"/>
          <w:cols w:equalWidth="0" w:num="1">
            <w:col w:w="11240"/>
          </w:cols>
          <w:pgMar w:left="320" w:top="432" w:right="339"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Scott C. Weatherholt </w:t>
      </w:r>
      <w:r>
        <w:rPr>
          <w:rFonts w:ascii="Times New Roman" w:cs="Times New Roman" w:eastAsia="Times New Roman" w:hAnsi="Times New Roman"/>
          <w:sz w:val="22"/>
          <w:szCs w:val="22"/>
          <w:color w:val="auto"/>
          <w:vertAlign w:val="superscript"/>
        </w:rPr>
        <w:t>(a)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 Ward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J. Reed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Depinder Sandhu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 Ruzicka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Desmond J. Mills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 w:hanging="530"/>
        <w:spacing w:after="0" w:line="245" w:lineRule="auto"/>
        <w:tabs>
          <w:tab w:leader="none" w:pos="5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General Counsel, and Chief Compliance Officer of Weatherford International plc, since July 2020</w:t>
      </w:r>
    </w:p>
    <w:p>
      <w:pPr>
        <w:ind w:left="5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and General Counsel of Arena Energy, L.P., from September 2019 to July 2020</w:t>
      </w:r>
    </w:p>
    <w:p>
      <w:pPr>
        <w:spacing w:after="0" w:line="23" w:lineRule="exact"/>
        <w:rPr>
          <w:sz w:val="20"/>
          <w:szCs w:val="20"/>
          <w:color w:val="auto"/>
        </w:rPr>
      </w:pPr>
    </w:p>
    <w:p>
      <w:pPr>
        <w:ind w:left="530"/>
        <w:spacing w:after="0" w:line="242" w:lineRule="auto"/>
        <w:rPr>
          <w:sz w:val="20"/>
          <w:szCs w:val="20"/>
          <w:color w:val="auto"/>
        </w:rPr>
      </w:pPr>
      <w:r>
        <w:rPr>
          <w:rFonts w:ascii="Times New Roman" w:cs="Times New Roman" w:eastAsia="Times New Roman" w:hAnsi="Times New Roman"/>
          <w:sz w:val="18"/>
          <w:szCs w:val="18"/>
          <w:color w:val="auto"/>
        </w:rPr>
        <w:t>Executive Vice President, General Counsel, and Corporate Secretary at Midstates Petroleum Company, Inc., from February 2015 to August 2019</w:t>
      </w:r>
    </w:p>
    <w:p>
      <w:pPr>
        <w:spacing w:after="0" w:line="1" w:lineRule="exact"/>
        <w:rPr>
          <w:sz w:val="20"/>
          <w:szCs w:val="20"/>
          <w:color w:val="auto"/>
        </w:rPr>
      </w:pPr>
    </w:p>
    <w:p>
      <w:pPr>
        <w:ind w:left="530" w:right="280" w:hanging="519"/>
        <w:spacing w:after="0" w:line="281" w:lineRule="auto"/>
        <w:tabs>
          <w:tab w:leader="none" w:pos="509"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7"/>
          <w:szCs w:val="17"/>
          <w:color w:val="auto"/>
        </w:rPr>
        <w:t>Executive Vice President, Global Field Operations of Weatherford International plc, since January 2024 Senior Vice President, Subsea Production Systems of Baker Hughes Co, from May 2021 to December 2022 Senior Vice President, Strategic Planning &amp; Solutions of Baker Hughes Co, from October 2019 to May 2021 Vice President, Marketing, Strategy &amp; Solutions of Baker Hughes Co, from August 2017 to October 2019</w:t>
      </w:r>
    </w:p>
    <w:p>
      <w:pPr>
        <w:spacing w:after="0" w:line="2" w:lineRule="exact"/>
        <w:rPr>
          <w:sz w:val="20"/>
          <w:szCs w:val="20"/>
          <w:color w:val="auto"/>
        </w:rPr>
      </w:pPr>
    </w:p>
    <w:p>
      <w:pPr>
        <w:ind w:left="530" w:hanging="530"/>
        <w:spacing w:after="0" w:line="250" w:lineRule="auto"/>
        <w:tabs>
          <w:tab w:leader="none" w:pos="5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and Chief Commercial Officer of Weatherford International plc, since January 2024 Senior Vice President and Chief Commercial Officer of Weatherford International plc, from August 2021 to December 2023</w:t>
      </w:r>
    </w:p>
    <w:p>
      <w:pPr>
        <w:spacing w:after="0" w:line="1" w:lineRule="exact"/>
        <w:rPr>
          <w:rFonts w:ascii="Times New Roman" w:cs="Times New Roman" w:eastAsia="Times New Roman" w:hAnsi="Times New Roman"/>
          <w:sz w:val="18"/>
          <w:szCs w:val="18"/>
          <w:color w:val="auto"/>
        </w:rPr>
      </w:pPr>
    </w:p>
    <w:p>
      <w:pPr>
        <w:ind w:left="5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of Sales, Tenaris, from July 2015 to January 2021</w:t>
      </w:r>
    </w:p>
    <w:p>
      <w:pPr>
        <w:spacing w:after="0" w:line="23" w:lineRule="exact"/>
        <w:rPr>
          <w:sz w:val="20"/>
          <w:szCs w:val="20"/>
          <w:color w:val="auto"/>
        </w:rPr>
      </w:pPr>
    </w:p>
    <w:p>
      <w:pPr>
        <w:ind w:left="530" w:hanging="530"/>
        <w:spacing w:after="0"/>
        <w:tabs>
          <w:tab w:leader="none" w:pos="5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Global Product Lines of Weatherford International plc, since January 2024</w:t>
      </w:r>
    </w:p>
    <w:p>
      <w:pPr>
        <w:spacing w:after="0" w:line="22" w:lineRule="exact"/>
        <w:rPr>
          <w:rFonts w:ascii="Times New Roman" w:cs="Times New Roman" w:eastAsia="Times New Roman" w:hAnsi="Times New Roman"/>
          <w:sz w:val="18"/>
          <w:szCs w:val="18"/>
          <w:color w:val="auto"/>
        </w:rPr>
      </w:pPr>
    </w:p>
    <w:p>
      <w:pPr>
        <w:ind w:left="53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Global Product Lines of Weatherford International plc, from December 2021 to December 2023</w:t>
      </w:r>
    </w:p>
    <w:p>
      <w:pPr>
        <w:spacing w:after="0" w:line="1" w:lineRule="exact"/>
        <w:rPr>
          <w:rFonts w:ascii="Times New Roman" w:cs="Times New Roman" w:eastAsia="Times New Roman" w:hAnsi="Times New Roman"/>
          <w:sz w:val="18"/>
          <w:szCs w:val="18"/>
          <w:color w:val="auto"/>
        </w:rPr>
      </w:pPr>
    </w:p>
    <w:p>
      <w:pPr>
        <w:ind w:left="5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Director, Corporate Strategy of Weatherford International plc, from April 2021 to November 2021</w:t>
      </w:r>
    </w:p>
    <w:p>
      <w:pPr>
        <w:spacing w:after="0" w:line="22" w:lineRule="exact"/>
        <w:rPr>
          <w:rFonts w:ascii="Times New Roman" w:cs="Times New Roman" w:eastAsia="Times New Roman" w:hAnsi="Times New Roman"/>
          <w:sz w:val="18"/>
          <w:szCs w:val="18"/>
          <w:color w:val="auto"/>
        </w:rPr>
      </w:pPr>
    </w:p>
    <w:p>
      <w:pPr>
        <w:ind w:left="53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Business Development &amp; Strategy of Weatherford International plc, from July 2020 to March 2021</w:t>
      </w:r>
    </w:p>
    <w:p>
      <w:pPr>
        <w:spacing w:after="0" w:line="1" w:lineRule="exact"/>
        <w:rPr>
          <w:rFonts w:ascii="Times New Roman" w:cs="Times New Roman" w:eastAsia="Times New Roman" w:hAnsi="Times New Roman"/>
          <w:sz w:val="18"/>
          <w:szCs w:val="18"/>
          <w:color w:val="auto"/>
        </w:rPr>
      </w:pPr>
    </w:p>
    <w:p>
      <w:pPr>
        <w:ind w:left="5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Service Delivery of Weatherford International plc, from November 2017 to May 2020</w:t>
      </w:r>
    </w:p>
    <w:p>
      <w:pPr>
        <w:spacing w:after="0" w:line="112" w:lineRule="exact"/>
        <w:rPr>
          <w:sz w:val="20"/>
          <w:szCs w:val="20"/>
          <w:color w:val="auto"/>
        </w:rPr>
      </w:pPr>
    </w:p>
    <w:p>
      <w:pPr>
        <w:ind w:left="530" w:hanging="530"/>
        <w:spacing w:after="0" w:line="250" w:lineRule="auto"/>
        <w:tabs>
          <w:tab w:leader="none" w:pos="53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Executive Vice President, Chief Human Resources Officer &amp; Sustainability at Weatherford since January 2025 Senior Vice President, Chief Human Resources Officer &amp; Sustainability at Weatherford from December 2023 to January 2025</w:t>
      </w:r>
    </w:p>
    <w:p>
      <w:pPr>
        <w:spacing w:after="0" w:line="136" w:lineRule="exact"/>
        <w:rPr>
          <w:rFonts w:ascii="Times New Roman" w:cs="Times New Roman" w:eastAsia="Times New Roman" w:hAnsi="Times New Roman"/>
          <w:sz w:val="36"/>
          <w:szCs w:val="36"/>
          <w:color w:val="auto"/>
          <w:vertAlign w:val="superscript"/>
        </w:rPr>
      </w:pPr>
    </w:p>
    <w:p>
      <w:pPr>
        <w:ind w:left="530"/>
        <w:spacing w:after="0" w:line="313"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Senior Vice President, Human Resources Operations and Sustainability at Weatherford from April 2023 to December 2023</w:t>
      </w:r>
    </w:p>
    <w:p>
      <w:pPr>
        <w:spacing w:after="0" w:line="81" w:lineRule="exact"/>
        <w:rPr>
          <w:sz w:val="20"/>
          <w:szCs w:val="20"/>
          <w:color w:val="auto"/>
        </w:rPr>
      </w:pPr>
    </w:p>
    <w:p>
      <w:pPr>
        <w:ind w:left="530"/>
        <w:spacing w:after="0" w:line="313" w:lineRule="auto"/>
        <w:rPr>
          <w:sz w:val="20"/>
          <w:szCs w:val="20"/>
          <w:color w:val="auto"/>
        </w:rPr>
      </w:pPr>
      <w:r>
        <w:rPr>
          <w:rFonts w:ascii="Times New Roman" w:cs="Times New Roman" w:eastAsia="Times New Roman" w:hAnsi="Times New Roman"/>
          <w:sz w:val="18"/>
          <w:szCs w:val="18"/>
          <w:color w:val="auto"/>
        </w:rPr>
        <w:t>Senior Vice President, Quality, Service Excellence and Sustainability at Weatherford from September 2021 to April 2023</w:t>
      </w:r>
    </w:p>
    <w:p>
      <w:pPr>
        <w:spacing w:after="0" w:line="81" w:lineRule="exact"/>
        <w:rPr>
          <w:sz w:val="20"/>
          <w:szCs w:val="20"/>
          <w:color w:val="auto"/>
        </w:rPr>
      </w:pPr>
    </w:p>
    <w:p>
      <w:pPr>
        <w:ind w:left="530" w:right="160"/>
        <w:spacing w:after="0" w:line="406" w:lineRule="auto"/>
        <w:rPr>
          <w:sz w:val="20"/>
          <w:szCs w:val="20"/>
          <w:color w:val="auto"/>
        </w:rPr>
      </w:pPr>
      <w:r>
        <w:rPr>
          <w:rFonts w:ascii="Times New Roman" w:cs="Times New Roman" w:eastAsia="Times New Roman" w:hAnsi="Times New Roman"/>
          <w:sz w:val="17"/>
          <w:szCs w:val="17"/>
          <w:color w:val="auto"/>
        </w:rPr>
        <w:t>Senior Vice President, Quality and Service Excellence at Weatherford from June 2021 to September 2021 Vice President and General Manager Reliability Services at Allied Reliability from October 2018 to June 2021</w:t>
      </w:r>
    </w:p>
    <w:p>
      <w:pPr>
        <w:spacing w:after="0" w:line="95" w:lineRule="exact"/>
        <w:rPr>
          <w:sz w:val="20"/>
          <w:szCs w:val="20"/>
          <w:color w:val="auto"/>
        </w:rPr>
      </w:pPr>
    </w:p>
    <w:p>
      <w:pPr>
        <w:ind w:left="530" w:right="1100" w:hanging="530"/>
        <w:spacing w:after="0" w:line="236" w:lineRule="auto"/>
        <w:tabs>
          <w:tab w:leader="none" w:pos="530"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Executive Vice President, Customer Delivery of Weatherford International plc since August 2024 Independent business advisor from April 2023 to July 2024</w:t>
      </w:r>
    </w:p>
    <w:p>
      <w:pPr>
        <w:spacing w:after="0" w:line="145" w:lineRule="exact"/>
        <w:rPr>
          <w:rFonts w:ascii="Times New Roman" w:cs="Times New Roman" w:eastAsia="Times New Roman" w:hAnsi="Times New Roman"/>
          <w:sz w:val="36"/>
          <w:szCs w:val="36"/>
          <w:color w:val="auto"/>
          <w:vertAlign w:val="superscript"/>
        </w:rPr>
      </w:pPr>
    </w:p>
    <w:p>
      <w:pPr>
        <w:ind w:left="53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Executive Vice President of Operations, Otis Worldwide Corporation, from April 2020 to March 2023</w:t>
      </w:r>
    </w:p>
    <w:p>
      <w:pPr>
        <w:spacing w:after="0" w:line="77" w:lineRule="exact"/>
        <w:rPr>
          <w:sz w:val="20"/>
          <w:szCs w:val="20"/>
          <w:color w:val="auto"/>
        </w:rPr>
      </w:pPr>
    </w:p>
    <w:p>
      <w:pPr>
        <w:ind w:left="530"/>
        <w:spacing w:after="0"/>
        <w:rPr>
          <w:sz w:val="20"/>
          <w:szCs w:val="20"/>
          <w:color w:val="auto"/>
        </w:rPr>
      </w:pPr>
      <w:r>
        <w:rPr>
          <w:rFonts w:ascii="Times New Roman" w:cs="Times New Roman" w:eastAsia="Times New Roman" w:hAnsi="Times New Roman"/>
          <w:sz w:val="18"/>
          <w:szCs w:val="18"/>
          <w:color w:val="auto"/>
        </w:rPr>
        <w:t>Senior Vice President of Operations, United Technology Corporation, from June 2019 to April 2020</w:t>
      </w:r>
    </w:p>
    <w:p>
      <w:pPr>
        <w:spacing w:after="0" w:line="27" w:lineRule="exact"/>
        <w:rPr>
          <w:sz w:val="20"/>
          <w:szCs w:val="20"/>
          <w:color w:val="auto"/>
        </w:rPr>
      </w:pPr>
    </w:p>
    <w:p>
      <w:pPr>
        <w:ind w:left="530" w:hanging="530"/>
        <w:spacing w:after="0" w:line="242" w:lineRule="auto"/>
        <w:tabs>
          <w:tab w:leader="none" w:pos="5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and Chief Accounting Officer of Weatherford International plc, since November 2021 (Interim Chief Financial Officer August 2022 to January 2023)</w:t>
      </w:r>
    </w:p>
    <w:p>
      <w:pPr>
        <w:spacing w:after="0" w:line="1" w:lineRule="exact"/>
        <w:rPr>
          <w:rFonts w:ascii="Times New Roman" w:cs="Times New Roman" w:eastAsia="Times New Roman" w:hAnsi="Times New Roman"/>
          <w:sz w:val="18"/>
          <w:szCs w:val="18"/>
          <w:color w:val="auto"/>
        </w:rPr>
      </w:pPr>
    </w:p>
    <w:p>
      <w:pPr>
        <w:ind w:left="53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and Chief Accounting Officer of Weatherford International plc, from March 2021 to November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30"/>
        <w:spacing w:after="0"/>
        <w:rPr>
          <w:sz w:val="20"/>
          <w:szCs w:val="20"/>
          <w:color w:val="auto"/>
        </w:rPr>
      </w:pPr>
      <w:r>
        <w:rPr>
          <w:rFonts w:ascii="Times New Roman" w:cs="Times New Roman" w:eastAsia="Times New Roman" w:hAnsi="Times New Roman"/>
          <w:sz w:val="17"/>
          <w:szCs w:val="17"/>
          <w:color w:val="auto"/>
        </w:rPr>
        <w:t>Weatherford International plc – 2024 Form 10-K | 9</w:t>
      </w:r>
    </w:p>
    <w:p>
      <w:pPr>
        <w:sectPr>
          <w:pgSz w:w="11900" w:h="16838" w:orient="portrait"/>
          <w:cols w:equalWidth="0" w:num="2">
            <w:col w:w="1730" w:space="720"/>
            <w:col w:w="8650"/>
          </w:cols>
          <w:pgMar w:left="380" w:top="432" w:right="41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09" w:lineRule="exact"/>
        <w:rPr>
          <w:sz w:val="20"/>
          <w:szCs w:val="20"/>
          <w:color w:val="auto"/>
        </w:rPr>
      </w:pPr>
    </w:p>
    <w:p>
      <w:pPr>
        <w:ind w:left="3040" w:right="80"/>
        <w:spacing w:after="0" w:line="313" w:lineRule="auto"/>
        <w:rPr>
          <w:sz w:val="20"/>
          <w:szCs w:val="20"/>
          <w:color w:val="auto"/>
        </w:rPr>
      </w:pPr>
      <w:r>
        <w:rPr>
          <w:rFonts w:ascii="Times New Roman" w:cs="Times New Roman" w:eastAsia="Times New Roman" w:hAnsi="Times New Roman"/>
          <w:sz w:val="18"/>
          <w:szCs w:val="18"/>
          <w:color w:val="auto"/>
        </w:rPr>
        <w:t>Segment Compliance Manager, Construction Industries Segment, Caterpillar Inc., from July 2020 to March 2021</w:t>
      </w:r>
    </w:p>
    <w:p>
      <w:pPr>
        <w:spacing w:after="0" w:line="81" w:lineRule="exact"/>
        <w:rPr>
          <w:sz w:val="20"/>
          <w:szCs w:val="20"/>
          <w:color w:val="auto"/>
        </w:rPr>
      </w:pPr>
    </w:p>
    <w:p>
      <w:pPr>
        <w:ind w:left="3040" w:right="80"/>
        <w:spacing w:after="0" w:line="313" w:lineRule="auto"/>
        <w:rPr>
          <w:sz w:val="20"/>
          <w:szCs w:val="20"/>
          <w:color w:val="auto"/>
        </w:rPr>
      </w:pPr>
      <w:r>
        <w:rPr>
          <w:rFonts w:ascii="Times New Roman" w:cs="Times New Roman" w:eastAsia="Times New Roman" w:hAnsi="Times New Roman"/>
          <w:sz w:val="18"/>
          <w:szCs w:val="18"/>
          <w:color w:val="auto"/>
        </w:rPr>
        <w:t>Division Chief Financial Officer, Integrated Components and Solutions Division, Caterpillar Inc., from September 2018 to July 2020</w:t>
      </w:r>
    </w:p>
    <w:p>
      <w:pPr>
        <w:spacing w:after="0" w:line="200" w:lineRule="exact"/>
        <w:rPr>
          <w:sz w:val="20"/>
          <w:szCs w:val="20"/>
          <w:color w:val="auto"/>
        </w:rPr>
      </w:pPr>
    </w:p>
    <w:p>
      <w:pPr>
        <w:spacing w:after="0" w:line="368" w:lineRule="exact"/>
        <w:rPr>
          <w:sz w:val="20"/>
          <w:szCs w:val="20"/>
          <w:color w:val="auto"/>
        </w:rPr>
      </w:pPr>
    </w:p>
    <w:p>
      <w:pPr>
        <w:ind w:left="480" w:hanging="310"/>
        <w:spacing w:after="0"/>
        <w:tabs>
          <w:tab w:leader="none" w:pos="4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joining Weatherford, Mr. Weatherholt was the General Counsel at Midstates Petroleum Company, Inc. when the company filed for bankruptcy protection on May 1,</w:t>
      </w:r>
    </w:p>
    <w:p>
      <w:pPr>
        <w:spacing w:after="0" w:line="43" w:lineRule="exact"/>
        <w:rPr>
          <w:rFonts w:ascii="Times New Roman" w:cs="Times New Roman" w:eastAsia="Times New Roman" w:hAnsi="Times New Roman"/>
          <w:sz w:val="15"/>
          <w:szCs w:val="15"/>
          <w:color w:val="auto"/>
        </w:rPr>
      </w:pPr>
    </w:p>
    <w:p>
      <w:pPr>
        <w:jc w:val="both"/>
        <w:ind w:left="500"/>
        <w:spacing w:after="0" w:line="30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Energy Services Industry Risks</w:t>
      </w:r>
    </w:p>
    <w:p>
      <w:pPr>
        <w:spacing w:after="0" w:line="279"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209"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Demand for our products and services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 in global demand for oil and natural gas, including reduced demand as a result of a pandemic, have previously led to our customers, including national oil companies and large oil and natural gas exploration and production companies, to greatly reduce planned future capital expenditures. Factors affecting the prices of oil and natural gas include, but are not limited to:</w:t>
      </w:r>
    </w:p>
    <w:p>
      <w:pPr>
        <w:spacing w:after="0" w:line="210"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and natural gas;</w:t>
      </w:r>
    </w:p>
    <w:p>
      <w:pPr>
        <w:spacing w:after="0" w:line="36"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(“OPEC”) and the expanded alliance (“OPEC+”) and other high oil exporting non-OPEC+ nations to set and maintain oil production levels;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natural gas production in the U.S. and by other non-OPEC+ countries;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capacity;</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end-customer preferences toward sustainable energy sources, fuel efficiency and the use of natural gas;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constraints associated with, producing and delivering oil and natural gas;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the policies of governments regarding the exploration for and production and</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development of their oil and natural gas reserves;</w:t>
      </w:r>
    </w:p>
    <w:p>
      <w:pPr>
        <w:spacing w:after="0" w:line="50"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unusual wildfires, natural disasters, and health or similar issues, such as pandemics or epidemics;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military, and economic conditions (including impacts from the Russia Ukraine Conflict); and</w:t>
      </w:r>
    </w:p>
    <w:p>
      <w:pPr>
        <w:spacing w:after="0" w:line="49" w:lineRule="exact"/>
        <w:rPr>
          <w:rFonts w:ascii="Times New Roman" w:cs="Times New Roman" w:eastAsia="Times New Roman" w:hAnsi="Times New Roman"/>
          <w:sz w:val="18"/>
          <w:szCs w:val="18"/>
          <w:color w:val="auto"/>
        </w:rPr>
      </w:pPr>
    </w:p>
    <w:p>
      <w:pPr>
        <w:ind w:left="740" w:right="1860" w:hanging="84"/>
        <w:spacing w:after="0" w:line="313" w:lineRule="auto"/>
        <w:tabs>
          <w:tab w:leader="none" w:pos="9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alternative energy and electric vehicles, including government initiatives to promote the use of sustainable, renewable energy sources and public sentiment around alternatives to oil and natural gas.</w:t>
      </w:r>
    </w:p>
    <w:p>
      <w:pPr>
        <w:sectPr>
          <w:pgSz w:w="11900" w:h="16838" w:orient="portrait"/>
          <w:cols w:equalWidth="0" w:num="1">
            <w:col w:w="11240"/>
          </w:cols>
          <w:pgMar w:left="320" w:top="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2024 Form 10-K | 10</w:t>
      </w:r>
    </w:p>
    <w:p>
      <w:pPr>
        <w:sectPr>
          <w:pgSz w:w="11900" w:h="16838" w:orient="portrait"/>
          <w:cols w:equalWidth="0" w:num="1">
            <w:col w:w="11240"/>
          </w:cols>
          <w:pgMar w:left="320" w:top="432" w:right="339" w:bottom="1440" w:gutter="0" w:footer="0" w:header="0"/>
          <w:type w:val="continuous"/>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Reductions in capital spending or reductions in the prices we receive for our products and services provided to our customers could have a material adverse effect on our business, financial condition and results of operations. Spending by exploration and production companies can also be impacted by conditions in the capital markets, which may be volatile at times. Limitations on the availability of capital or higher costs of capital may cause exploration and production companies to make additional reductions to their capital budgets even if oil and natural gas prices increase from current levels. In addition, the transition of the global energy sector from primarily a fossil fuel-based system to renewable energy sources could affect our customers' levels of expenditures. Any such reductions in spending could curtail drilling programs, as well as discretionary spending on well services, which may result in a reduction in the demand for certain of our products and services, the rates we can charge for and the utilization of our assets, any or all of which could have a material adverse effect on our business, financial condition and results of operations.</w:t>
      </w:r>
    </w:p>
    <w:p>
      <w:pPr>
        <w:spacing w:after="0" w:line="202"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b w:val="1"/>
          <w:bCs w:val="1"/>
          <w:color w:val="auto"/>
        </w:rPr>
        <w:t>Our fulfillment system relies on a global network of external suppliers and service providers, which may be impacted by macroeconomic conditions, changes in trade policy and geopolitical conflict and instability. Shortages, supplier capacity constraints, supplier production disruptions, supplier quality and sourcing issues or price increases could have a material adverse effect on our business, financial condition and results of operations.</w:t>
      </w:r>
    </w:p>
    <w:p>
      <w:pPr>
        <w:spacing w:after="0" w:line="211" w:lineRule="exact"/>
        <w:rPr>
          <w:sz w:val="20"/>
          <w:szCs w:val="20"/>
          <w:color w:val="auto"/>
        </w:rPr>
      </w:pPr>
    </w:p>
    <w:p>
      <w:pPr>
        <w:jc w:val="both"/>
        <w:ind w:firstLine="324"/>
        <w:spacing w:after="0" w:line="233" w:lineRule="exact"/>
        <w:rPr>
          <w:sz w:val="20"/>
          <w:szCs w:val="20"/>
          <w:color w:val="auto"/>
        </w:rPr>
      </w:pPr>
      <w:r>
        <w:rPr>
          <w:rFonts w:ascii="Times New Roman" w:cs="Times New Roman" w:eastAsia="Times New Roman" w:hAnsi="Times New Roman"/>
          <w:sz w:val="18"/>
          <w:szCs w:val="18"/>
          <w:color w:val="auto"/>
        </w:rPr>
        <w:t>We purchase a variety of raw materials, as well as parts and components made by other manufacturers and suppliers for use in our manufacturing facilities. Our global supply chain is also subject to macroeconomic conditions and political risks. Adverse macroeconomic conditions, including inflation, slower growth or recession and higher interest rates could create disruptions in our supply chain. Changes in trade policy, like the introduction of new tariffs, may negatively impact our ability to source components at prices and other terms that are acceptable to us. Similarly, geopolitical risks, including instability resulting from civil unrest, political demonstrations, strikes and armed conflict or other crises in the oil and gas producing regions, such as the Russia Ukraine Conflict and the resulting sanctions, could change the global supply chain dynamics and demand. A disruption in deliveries to or from suppliers, or decreased availability of materials at acceptable prices or at all, could have an adverse effect on our ability to meet our commitments to customers or increase our operating costs. Also, certain parts and equipment that we use in our operations may be available only from a small number of suppliers, manufacturers or service providers, or in some cases may be sourced through a single supplier, manufacturer or service provider. A disruption in the deliveries from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spacing w:after="0" w:line="253"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Climate change, environmental, social and governance (“ESG”) and other sustainability initiatives may result in regulatory or structural industry changes that could require significant operational changes and expenditures, reduce demand for our products and services and adversely affect our business, financial condition, results of operations, stock price or access to capital markets.</w:t>
      </w:r>
    </w:p>
    <w:p>
      <w:pPr>
        <w:spacing w:after="0" w:line="195"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Sustainability initiatives are a growing global movement. Continuing political and social attention to these issues has resulted in both existing and pending international agreements and national, regional and local legislation, regulatory measures, reporting obligations and policy changes.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significant equipment modifications, operational changes, taxes, or purchases of emission credits to reduce emission of greenhouse gases from our operations or those of our customers, which may result in substantial capital expenditures and compliance, operating, maintenance and remediation costs. As a result of heightened public awareness and attention to these issues as well as continued political and regulatory initiatives to reduce the reliance upon oil and natural gas, demand for hydrocarbons may be reduced, which could have an adverse effect on our business, financial condition, and results of operations. The imposition and enforcement of stringent greenhouse gas emissions reduction requirements could severely and adversely impact the oil and natural gas industry and therefore significantly reduce the value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11</w:t>
      </w:r>
    </w:p>
    <w:p>
      <w:pPr>
        <w:sectPr>
          <w:pgSz w:w="11900" w:h="16838" w:orient="portrait"/>
          <w:cols w:equalWidth="0" w:num="1">
            <w:col w:w="11240"/>
          </w:cols>
          <w:pgMar w:left="320" w:top="432" w:right="3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74"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Certain financial institutions, institutional investors and other sources of capital may limit or eliminate their investment in financing of conventional energy-related activities due to concerns about climate change, which could make it more difficult for our customers and for us to finance our respective businesses. Increasing attention to climate change, ESG and sustainability may result in governmental investigations, and public and private litigation, which could increase our costs or otherwise adversely affect our business or results of operations.</w:t>
      </w:r>
    </w:p>
    <w:p>
      <w:pPr>
        <w:spacing w:after="0" w:line="21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companies or industries, which could have a negative impact on the price of our securities and our access to and costs of capital.</w:t>
      </w:r>
    </w:p>
    <w:p>
      <w:pPr>
        <w:spacing w:after="0" w:line="200"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auto"/>
        </w:rPr>
        <w:t>Any or all of these ESG and sustainability initiatives may result in significant operational changes and expenditures, reduced demand for our products and services, and could materially adversely affect our business, financial condition, results of operations, stock price or access to capital markets.</w:t>
      </w:r>
    </w:p>
    <w:p>
      <w:pPr>
        <w:spacing w:after="0" w:line="185"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need to operate more sustainably and with a lower carbon footprint and impact could adversely affect our business, results of operations and cash flows.</w:t>
      </w:r>
    </w:p>
    <w:p>
      <w:pPr>
        <w:spacing w:after="0" w:line="18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may also consider engaging with our customers to develop solutions to decarbonize our customers’ oil and natural gas operations. We could potentially lose engagement with customers, investors and/or certain financial institutions if we fail or are perceived to fail at effectively and timely addressing the need to conduct our operations and provision of services to our customers more sustainably and with a lower carbon footprint which could materially adversely affect our business, financial condition and results of operations.</w:t>
      </w:r>
    </w:p>
    <w:p>
      <w:pPr>
        <w:spacing w:after="0" w:line="201"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energy transition could materially adversely affect our business, financial condition and results of operations.</w:t>
      </w:r>
    </w:p>
    <w:p>
      <w:pPr>
        <w:spacing w:after="0" w:line="172"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Our long-term success depends on our ability to effectively participate in the energy transition, which will require adapting our technology portfolio to potentially changing market demand for products and services and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it could materially adversely affect our business, financial condition, results of reparations and our access to capital or the market for our securities.</w:t>
      </w:r>
    </w:p>
    <w:p>
      <w:pPr>
        <w:spacing w:after="0" w:line="220"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Severe weather, including extreme weather conditions and unusual wildfires, has in the past, and could in the future, adversely affect our business and results of operations.</w:t>
      </w:r>
    </w:p>
    <w:p>
      <w:pPr>
        <w:spacing w:after="0" w:line="19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business has been, and in the future will likely be, affected by severe weather and unusual wildfires in areas where we operate, which could materially adversely affect our operations. In addition, the frequency and severity of these events may also materially affect our operations and financial results. Any such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12</w:t>
      </w:r>
    </w:p>
    <w:p>
      <w:pPr>
        <w:sectPr>
          <w:pgSz w:w="11900" w:h="16838" w:orient="portrait"/>
          <w:cols w:equalWidth="0" w:num="1">
            <w:col w:w="11240"/>
          </w:cols>
          <w:pgMar w:left="320" w:top="432"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3"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Liability claims resulting from catastrophic incidents could have a material adverse effect on our business, financial condition and results of operations.</w:t>
      </w:r>
    </w:p>
    <w:p>
      <w:pPr>
        <w:spacing w:after="0" w:line="172"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equipment failures,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279"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operations outside the U.S., which exposes us to risks inherent in doing business in each of the approximately 75 countries in which we operate.</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U.S. accounted for 15%, 16% and 20% of revenues in 2024, 2023 and 2022, respectively. The rest of our revenues were from non-U.S.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countries other than the U.S. are subject to various risks, including:</w:t>
      </w:r>
    </w:p>
    <w:p>
      <w:pPr>
        <w:spacing w:after="0" w:line="261" w:lineRule="exact"/>
        <w:rPr>
          <w:sz w:val="20"/>
          <w:szCs w:val="20"/>
          <w:color w:val="auto"/>
        </w:rPr>
      </w:pPr>
    </w:p>
    <w:p>
      <w:pPr>
        <w:jc w:val="both"/>
        <w:ind w:left="980" w:hanging="324"/>
        <w:spacing w:after="0" w:line="278"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and tariffs, weak local economic conditions and international currency fluctuations (including the Russia Ukraine Conflict and conflicts in the Middle East);</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local standards and requirements from national oil companies;</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49" w:lineRule="exact"/>
        <w:rPr>
          <w:rFonts w:ascii="Times New Roman" w:cs="Times New Roman" w:eastAsia="Times New Roman" w:hAnsi="Times New Roman"/>
          <w:sz w:val="18"/>
          <w:szCs w:val="18"/>
          <w:color w:val="auto"/>
        </w:rPr>
      </w:pPr>
    </w:p>
    <w:p>
      <w:pPr>
        <w:ind w:left="980" w:hanging="324"/>
        <w:spacing w:after="0" w:line="273"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or conflicts in the Middle East and the potential for such issues to exacerbate other risks we face;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deprivation of contract rights or other governmental actions;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political corruption;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international laws and regulations;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responses to a pandemic and related restrictions;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49" w:lineRule="exact"/>
        <w:rPr>
          <w:rFonts w:ascii="Times New Roman" w:cs="Times New Roman" w:eastAsia="Times New Roman" w:hAnsi="Times New Roman"/>
          <w:sz w:val="18"/>
          <w:szCs w:val="18"/>
          <w:color w:val="auto"/>
        </w:rPr>
      </w:pPr>
    </w:p>
    <w:p>
      <w:pPr>
        <w:ind w:left="980" w:hanging="324"/>
        <w:spacing w:after="0" w:line="289"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Kingdom, the U.S. or other countries, including in response to the Russia Ukraine Conflict;</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under the U.S. Foreign Corrupt Practices Act or similar governmental legislation in other countries;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13</w:t>
      </w:r>
    </w:p>
    <w:p>
      <w:pPr>
        <w:sectPr>
          <w:pgSz w:w="11900" w:h="16838" w:orient="portrait"/>
          <w:cols w:equalWidth="0" w:num="1">
            <w:col w:w="11240"/>
          </w:cols>
          <w:pgMar w:left="320" w:top="432" w:right="33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A concentration of our accounts receivables and revenues were related to one customer and significant changes to the demand or health of the customer could adversely impact our consolidated results of operations, financial condition and statements of cashflows.</w:t>
      </w:r>
    </w:p>
    <w:p>
      <w:pPr>
        <w:spacing w:after="0" w:line="17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Approximately 10% of our 2024 revenue and approximately 26% of our December 31, 2024 accounts receivables were related to our largest customer in Mexico. We expect the concentration risk to continue into 2025.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 Additionally, business slowdowns or other items impacting the financial health of the customer could potentially have an adverse impact on our results of operations.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by cybersecurity incidents and other technology disruptions.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rely heavily on information systems and other digital technology to conduct and protect our business. These information systems and other digital technology are subject to the risk of increasingly sophisticated cybersecurity attacks, incursions or other incidents such as unauthorized access to data and systems, loss or destruction of data (including confidential customer, supplier and employee information), computer viruses, or other malicious code, phishing and cyberattacks, and other similar events. These incidents could arise from numerous sources, including those outside our control, including fraud or malice on the part of third parties, governmental actors,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22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Given the rapidly evolving nature of cybersecurity incidents, there can be no assurance that the controls we have designed and implemented to prevent or limit the effects of cybersecurity incidents or attacks will be sufficient in preventing or limiting the effects of all such incidents or attacks or be able to avoid a material impact to our systems should such incidents or attacks occur. Recent widespread cybersecurity incidents and attacks in the U.S. and elsewhere have affected many companies. Cybersecurity incidents can result in the disclosure of confidential or proprietary customer, supplier or employee information; theft or loss of intellectual property; impairment in our ability to operate or conduct our business; damage to our reputation with our customers, suppliers, employees and the market; failure to meet customer requirements or result in customer dissatisfaction; legal and regulatory exposure, including fines or legal proceedings (including as a result of our failure to make adequate or timely disclosures to the public, government agencies or affected individuals); damage to equipment (which could cause environmental or safety issues) and other financial costs and losses, including as a result of any remediation efforts. While Weatherford imposes controls on third-party system connectivity to our systems, the risks from an attack via a third-party remain.</w:t>
      </w:r>
    </w:p>
    <w:p>
      <w:pPr>
        <w:spacing w:after="0" w:line="215"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The occurrence of a cybersecurity incident can go unnoticed for a period of time despite efforts to detect and respond in a timely manner. Any investigation of a cybersecurity incident is inherently unpredictable, and it takes time before the completion of any investigation and before there is availability of full and reliable information. Even when an attack has been detected, it is not always immediately apparent what the full nature and scope of any potential harm may be, or how best to remediate it, and certain errors or actions could be repeated or compounded before they are discovered and remediated, all or any of which further increase the risks, costs and consequences of a cybersecurity event or other technology disruption. As cybersecurity incidents and attacks continue to evolve, we may be required to expend significant additional resources and incur significant expenses to continue to modify or enhance our protective measures or to investigate, respond to or remediate any information security vulnerabilities.</w:t>
      </w:r>
    </w:p>
    <w:p>
      <w:pPr>
        <w:spacing w:after="0" w:line="210"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Depending on the nature and scope of the cybersecurity incident, it could have a material adverse effect on our business, reputation, financial condition and results of operations.</w:t>
      </w:r>
    </w:p>
    <w:p>
      <w:pPr>
        <w:spacing w:after="0" w:line="172"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b w:val="1"/>
          <w:bCs w:val="1"/>
          <w:color w:val="auto"/>
        </w:rPr>
        <w:t>A pandemic could significantly weaken demand for our products and services and have a substantial negative impact on our business, financial condition, results of operations and cash flows.</w:t>
      </w:r>
    </w:p>
    <w:p>
      <w:pPr>
        <w:spacing w:after="0" w:line="200" w:lineRule="exact"/>
        <w:rPr>
          <w:sz w:val="20"/>
          <w:szCs w:val="20"/>
          <w:color w:val="auto"/>
        </w:rPr>
      </w:pPr>
    </w:p>
    <w:p>
      <w:pPr>
        <w:spacing w:after="0" w:line="39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14</w:t>
      </w:r>
    </w:p>
    <w:p>
      <w:pPr>
        <w:sectPr>
          <w:pgSz w:w="11900" w:h="16838" w:orient="portrait"/>
          <w:cols w:equalWidth="0" w:num="1">
            <w:col w:w="11240"/>
          </w:cols>
          <w:pgMar w:left="320" w:top="432" w:right="33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324"/>
        <w:spacing w:after="0" w:line="329" w:lineRule="auto"/>
        <w:rPr>
          <w:sz w:val="20"/>
          <w:szCs w:val="20"/>
          <w:color w:val="auto"/>
        </w:rPr>
      </w:pPr>
      <w:r>
        <w:rPr>
          <w:rFonts w:ascii="Times New Roman" w:cs="Times New Roman" w:eastAsia="Times New Roman" w:hAnsi="Times New Roman"/>
          <w:sz w:val="18"/>
          <w:szCs w:val="18"/>
          <w:color w:val="auto"/>
        </w:rPr>
        <w:t>Pandemics, such as the COVID-19 pandemic, have caused and could again cause volatile regional and global economic conditions that exacerbate the potential negative impact from many of the other risks we face. We believe that a future pandemic may result in impacts including but not limited to:</w:t>
      </w:r>
    </w:p>
    <w:p>
      <w:pPr>
        <w:spacing w:after="0" w:line="202" w:lineRule="exact"/>
        <w:rPr>
          <w:sz w:val="20"/>
          <w:szCs w:val="20"/>
          <w:color w:val="auto"/>
        </w:rPr>
      </w:pPr>
    </w:p>
    <w:p>
      <w:pPr>
        <w:ind w:left="660" w:right="2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Structural shift in the global economy and its demand for oil and natural gas as a result of changes in the way people work, travel and interact, or in connection with a global or regional recession or depression;</w:t>
      </w:r>
    </w:p>
    <w:p>
      <w:pPr>
        <w:spacing w:after="0" w:line="24"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Reduction of our global workforce to adjust to market conditions, including severance payments, retention issues, and an inability to hire employees when market conditions improve;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Infections and quarantining of our employees and the personnel of our customers, suppliers and other third parties in areas in which we operate;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insurance policies may not cover losses associated with pandemics or similar global health threats;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Litigation risk and possible loss contingencies related to a pandemic and its impact, including with respect to commercial contracts, employment matters, personal injury and insurance arrangements; and</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 experience a higher rate of cybersecurity attacks, intrusions or incidents in the current environment of remote connectivity, as well as increased geopolitical conflicts and tensions.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15</w:t>
      </w:r>
    </w:p>
    <w:p>
      <w:pPr>
        <w:sectPr>
          <w:pgSz w:w="11900" w:h="16838" w:orient="portrait"/>
          <w:cols w:equalWidth="0" w:num="1">
            <w:col w:w="11240"/>
          </w:cols>
          <w:pgMar w:left="320" w:top="432" w:right="33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color w:val="auto"/>
        </w:rPr>
        <w:t>Our business is dependent upon our ability to efficiently and effectively perform and provide products and services to our customers. As such, we are subject to risks associated with cost over-runs, operating cost inflation, global supply chain disruptions, labor availability, supplier and contractor pricing and performance, and our need to continually improve and invest in our people, processes and systems. Our inability to efficiently and effectively mitigate these risks, or our inability to make timely investments could have an adverse effect on our business, financial condition and results of operations.</w:t>
      </w:r>
    </w:p>
    <w:p>
      <w:pPr>
        <w:spacing w:after="0" w:line="217"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Our customers rely on our ability to efficiently perform and execute on the delivery of our products and services, and a low success rate could adversely impact margins and our ability to obtain market share. Additionally, we continuously identify opportunities to invest in our people, processes and systems, however, we may not be able to adjust quickly enough to capitalize on market share during times of industry growth, or the returns on our investments may not outpace margin deterioration at times of slower activity.</w:t>
      </w:r>
    </w:p>
    <w:p>
      <w:pPr>
        <w:spacing w:after="0" w:line="211"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We sometimes provide integrated project management services in the form of long-term, fixed price contracts where we are both the project manager and service provider. Accordingly, under these contracts, we assume additional risks associated with engaging with certain third-party subcontractors, operating cost inflation, labor availability and productivity, global supply chain disruptions, supplier pricing and performance, and potential claims for liquidated damages. If we are unable to complete these contracts effectively and timely, it could potentially have an adverse impact on our results of operations.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operational and financial growth, in part, is dependent upon our liquidity requirements and the adequacy of our capital resources.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liquidity, including our ability to meet our ongoing operational obligations, as well as service our debt, is dependent upon, among other things: (i) our ability to maintain adequate cash on hand; (ii) our ability to generate cash flow from operations; (iii) our ability to access the capital markets; and (iv) changes in market conditions that would negatively impact our revenue or our profits.</w:t>
      </w:r>
    </w:p>
    <w:p>
      <w:pPr>
        <w:spacing w:after="0" w:line="196"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Changes in economic and/or market conditions such as the condition of capital and equity markets may impact the price of our ordinary shares and our ability to borrow. Furthermore, if our credit rating is downgraded, it could increase our cost of borrowing.</w:t>
      </w:r>
    </w:p>
    <w:p>
      <w:pPr>
        <w:spacing w:after="0" w:line="18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At times, the energy industry has faced negative sentiment in the capital markets which has impacted the ability of participants to access appropriate amounts of capital upon suitable terms. This negative sentiment has not only impacted our customers in North America, it has also affected the availability and the pricing for most credit lines and other capital resources extended to participants in the industry, including us.</w:t>
      </w:r>
    </w:p>
    <w:p>
      <w:pPr>
        <w:spacing w:after="0" w:line="192"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We may not be fully indemnified against financial losses in all circumstances where damage to or loss of property, personal injury, death or environmental harm occur.</w:t>
      </w:r>
    </w:p>
    <w:p>
      <w:pPr>
        <w:spacing w:after="0" w:line="17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spacing w:after="0" w:line="205"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16</w:t>
      </w:r>
    </w:p>
    <w:p>
      <w:pPr>
        <w:sectPr>
          <w:pgSz w:w="11900" w:h="16838" w:orient="portrait"/>
          <w:cols w:equalWidth="0" w:num="1">
            <w:col w:w="11240"/>
          </w:cols>
          <w:pgMar w:left="320" w:top="432"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21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99"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Our indebtedness and liabilities could limit cash flow available for our operations, expose us to risks that could adversely affect our business, financial condition and results of operations.</w:t>
      </w:r>
    </w:p>
    <w:p>
      <w:pPr>
        <w:spacing w:after="0" w:line="19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As of December 31, 2024, we had $17 million of short-term and $1.6 billion of long-term debt, all accruing interest. If business activity declines, or otherwise does not increase, our level of indebtedness could have negative consequences for our business, financial condition and results of operations, including:</w:t>
      </w:r>
    </w:p>
    <w:p>
      <w:pPr>
        <w:spacing w:after="0" w:line="21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refinance our existing debt, on terms that are commercially acceptable to us;</w:t>
      </w:r>
    </w:p>
    <w:p>
      <w:pPr>
        <w:spacing w:after="0" w:line="90" w:lineRule="exact"/>
        <w:rPr>
          <w:rFonts w:ascii="Times New Roman" w:cs="Times New Roman" w:eastAsia="Times New Roman" w:hAnsi="Times New Roman"/>
          <w:sz w:val="18"/>
          <w:szCs w:val="18"/>
          <w:color w:val="auto"/>
        </w:rPr>
      </w:pPr>
    </w:p>
    <w:p>
      <w:pPr>
        <w:ind w:left="660" w:hanging="328"/>
        <w:spacing w:after="0" w:line="32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thereby reducing our free cash flow and the amount of our cash flow available for other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w:t>
      </w:r>
    </w:p>
    <w:p>
      <w:pPr>
        <w:spacing w:after="0" w:line="103"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less leveraged competitors or competitors that may have better access to capital resources;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33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as a result, could adversely impact our liquidity position. Any harm to our business and operations resulting from our current or future level of indebtedness could adversely affect our ability to pay amounts due to our lenders and noteholders.</w:t>
      </w:r>
    </w:p>
    <w:p>
      <w:pPr>
        <w:spacing w:after="0" w:line="202"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98"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spacing w:after="0" w:line="175"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21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17</w:t>
      </w:r>
    </w:p>
    <w:p>
      <w:pPr>
        <w:sectPr>
          <w:pgSz w:w="11900" w:h="16838" w:orient="portrait"/>
          <w:cols w:equalWidth="0" w:num="1">
            <w:col w:w="11240"/>
          </w:cols>
          <w:pgMar w:left="320" w:top="432" w:right="33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7"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continue to obtain insurance on commercially reasonable terms. Any of these events could have an adverse impact on our business, financial condition and results of operations.</w:t>
      </w:r>
    </w:p>
    <w:p>
      <w:pPr>
        <w:spacing w:after="0" w:line="171"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The terms of our indebtedness may restrict our current and future operations, particularly our ability to respond to changes or to pursue our business strategies.</w:t>
      </w:r>
    </w:p>
    <w:p>
      <w:pPr>
        <w:spacing w:after="0" w:line="172"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The Credit Agreement and the indentures governing our 8.625% Senior Notes maturing April 30, 2030 (the “2030 Senior Notes”), contain certain restrictive or limiting covenants that may impose significant operating and financial restrictions on us and may limit our ability to engage in acts that we may believe to be in our long-term best interest, including the following:</w:t>
      </w:r>
    </w:p>
    <w:p>
      <w:pPr>
        <w:spacing w:after="0" w:line="19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additional indebtedness;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limiting payment of dividends and other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prepayment, redemption or repurchase certain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making loans and assets;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selling assets and incur liens</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minimum interest coverage ratio, maximum ratio of funded debt, and certain other financial ratios, which may apply in certain circumstances, and other restrictions. Our ability to meet the liquidity thresholds or those financial ratios could be affected by events beyond our control.</w:t>
      </w:r>
    </w:p>
    <w:p>
      <w:pPr>
        <w:spacing w:after="0" w:line="20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 breach of the covenants and other restrictions in any of our indebtedness could result in an event of default thereunder. Such a default may allow the lenders, holders or the trustee, as applicable, to accelerate the related indebtedness which may result in the acceleration of any other indebtedness or to foreclose on our assets, of which substantially all of our assets are secured by certain lenders. In addition, an event of default under the Credit Agreement would permit the lenders thereunder to terminate all commitments.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Failure to attract, retain and develop qualified personnel could impede our operations.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Our future success depends on our ability to attract, retain and develop qualified personnel to operate and to provide services and support for our business. We may experience employee turnover or labor shortages if our business requirements and/or expectations are inconsistent with the expectations of our employees or if our employees or potential employees decide to pursue employment in fields with less volatility than in the energy industry. Additionally, during periods of increased demand for products and services in our industry, competition for qualified personnel may increase and the availability of qualified personnel may be further constrained. Failure to attract, retain and develop qualified personnel could have an adverse effect on our results of operations, financial condition and cash flows.</w:t>
      </w:r>
    </w:p>
    <w:p>
      <w:pPr>
        <w:spacing w:after="0" w:line="216"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Failure to make timely investments in technology and to utilize artificial intelligence appropriately and safely could adversely affect our ability to successfully compete with other companies in our industry.</w:t>
      </w:r>
    </w:p>
    <w:p>
      <w:pPr>
        <w:spacing w:after="0" w:line="15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business in which we operate is highly competitive and rapidly evolving. Our business may be adversely affected if we fail to make timely investments in new technology and to utilize artificial intelligence in our internal-facing systems and processes, as well as in our external-facing environment, in response to changes in the market.</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There may be circumstances that adversely affect our ability to declare and pay dividends or repurchase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18</w:t>
      </w:r>
    </w:p>
    <w:p>
      <w:pPr>
        <w:sectPr>
          <w:pgSz w:w="11900" w:h="16838" w:orient="portrait"/>
          <w:cols w:equalWidth="0" w:num="1">
            <w:col w:w="11240"/>
          </w:cols>
          <w:pgMar w:left="320" w:top="432" w:right="3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2024, we announced our shareholder returns program under which we intend to pay regular quarterly cash dividends and have the authorization to repurchase up to $500 million shares over a three year period. Dividends and share repurchases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or make share repurchases at current levels or at all. Any elimination of, or downward revision in, our dividend payout or share repurchase program could have an adverse effect on the market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Our acquisitions may not result in anticipated benefits and may present risks not originally contemplated, which may have an adverse affect on our business.</w:t>
      </w:r>
    </w:p>
    <w:p>
      <w:pPr>
        <w:spacing w:after="0" w:line="172"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The acquisition of additional businesses and assets is part of our growth strategy. We may experience difficulties completing acquisitions or integrating new businesses and properties, and we may be unable to achieve the expected benefits from future acquisitions. Additionally, we cannot provide any assurance that we will be able to find complementary acquisition targets or complete such acquisitions, or achieve the desired results from such acquisitions. Any acquired businesses or assets will be subject to many of the same risks as our existing businesses and may not achieve the levels of performance that we anticipate.</w:t>
      </w:r>
    </w:p>
    <w:p>
      <w:pPr>
        <w:spacing w:after="0" w:line="20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may not realize anticipated operating advantages and cost savings. Future acquisitions may require us to structure new financing arrangements, assume additional liabilities and expenses, as well as incur subsequent write-downs of acquired assets. In addition, the integration of acquired businesses or assets involves a number of risks, including (i) the loss of key customers of the acquired business; (ii) demands on management related to the increase in our size; (iii) the diversion of management’s attention from the management of daily operations; (iv) difficulties in implementing or unanticipated costs of accounting, budgeting, reporting, internal controls and other systems; and (v) difficulties in the retention and assimilation of necessary employees. Difficulties in integration may be magnified if we make multiple acquisitions over a relatively short period of time.</w:t>
      </w:r>
    </w:p>
    <w:p>
      <w:pPr>
        <w:spacing w:after="0" w:line="20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Because of difficulties in combining and expanding operations, we may not be able to achieve the cost savings and other benefits that we hoped to achieve after these acquisitions, which could negatively impact our financial condition and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Consolidation in our industry may impact our results of operations.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There have been significant business consolidations within the oil and gas industry in recent years. These and any future consolidations may result in our reduced market share and reduced capital spending by our customers which may lead to a lower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19</w:t>
      </w:r>
    </w:p>
    <w:p>
      <w:pPr>
        <w:sectPr>
          <w:pgSz w:w="11900" w:h="16838" w:orient="portrait"/>
          <w:cols w:equalWidth="0" w:num="1">
            <w:col w:w="11240"/>
          </w:cols>
          <w:pgMar w:left="320" w:top="432" w:right="33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Legal, Tax and Regulatory Risks</w:t>
      </w:r>
    </w:p>
    <w:p>
      <w:pPr>
        <w:spacing w:after="0" w:line="293"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color w:val="auto"/>
        </w:rPr>
        <w:t>Our operations are subject to numerous current and future social and governance related legislative and regulatory measures both globally and in the specific geographic regions in which we and our customers operate, including treaties and international agreements related to “sustainability” initiatives like greenhouse gases, climate change and renewable energy sources. Our ability to comply with, and respond to current and future changes may expose us to significant liabilities, result in additional compliance costs and could reduce our business opportunities and revenues.</w:t>
      </w:r>
    </w:p>
    <w:p>
      <w:pPr>
        <w:spacing w:after="0" w:line="204"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or former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in the Gulf of Mexico and elsewhere in the world could be imposed, and those regulations could limit our business where they are imposed.</w:t>
      </w:r>
    </w:p>
    <w:p>
      <w:pPr>
        <w:spacing w:after="0" w:line="208"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natural gas wells in low-permeability reservoirs. We previously provided (and may, in the future, resume providing) fracturing services to customers. Regulators periodically investigate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restricting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commitments and disclosures may expose us to reputational risks and legal liability.</w:t>
      </w:r>
    </w:p>
    <w:p>
      <w:pPr>
        <w:spacing w:after="0" w:line="270"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Increasing focus on ESG factors has led to enhanced interest in, and review of performance results by investors and other stakeholders, and the potential for litigation and reputational risk. In 2022, we made certain public commitments to various corporate ESG initiatives, including our commitment to achieve net-zero emissions for Scope 1 and 2 by 2050 and signing on to the UN Global Compact. Any failure, or perceived failure, to achieve or accurately report on our commitments in our disclosures, including our annual Sustainability Report and our other disclosures on these matters, could harm our reputation and adversely affect our client relationships or our recruitment and retention efforts, as well as expose us to potential legal liability. In addition, positions we take or do not take on social issues may be unpopular with some of our employees, our clients or potential clients, shareholders, investors, governments or advocacy groups, which may impact our ability to attract or retain employees or the demand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20</w:t>
      </w:r>
    </w:p>
    <w:p>
      <w:pPr>
        <w:sectPr>
          <w:pgSz w:w="11900" w:h="16838" w:orient="portrait"/>
          <w:cols w:equalWidth="0" w:num="1">
            <w:col w:w="11240"/>
          </w:cols>
          <w:pgMar w:left="320" w:top="432" w:right="3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7"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Increasing focus on ESG matters has resulted in the adoption of legal and regulatory requirements designed to mitigate the effects of climate change on the environment, as well as legal and regulatory requirements requiring climate, human rights and supply chain-related disclosures. We expect these types of regulatory requirements related to ESG matters to continue to expand globally. If new laws or regulations are more stringent than current legal or regulatory requirements or involve reporting information according to differing standards and frameworks in the countries in which we operate, we may experience increased compliance burdens and costs to meet such obligations. In addition, our selection of voluntary disclosure frameworks and standards, and the interpretation or application of those frameworks and standards, may change from time to time or may not satisfy varying regulatory requirements or the expectations of investors or other stakeholders.</w:t>
      </w:r>
    </w:p>
    <w:p>
      <w:pPr>
        <w:spacing w:after="0" w:line="224"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Our ability to achieve our ESG commitments, including our goals relating to sustainability and inclusion and diversity, is subject to numerous risks, many of which are outside of our control. Examples of such risks include: (1) our ability to operate more sustainably and with a lower carbon footprint; (2) the availability and cost of low- or non-carbon-based energy sources and technologies; (3) evolving and potentially conflicting global regulatory requirements affecting ESG standards or disclosures; (4) the availability of suppliers that can meet our sustainability, diversity and other standards; and (5) our ability to recruit, develop, and retain diverse talent.</w:t>
      </w:r>
    </w:p>
    <w:p>
      <w:pPr>
        <w:spacing w:after="0" w:line="210"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 addition, standards for tracking and reporting on ESG matters, including climate change and human rights related matters, have not been harmonized and continue to evolve. Methodologies for reporting ESG data may be updated requiring that previously reported ESG data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to address obtaining information that resides in multiple internal systems and responding to multiple disparate standards for identifying, measuring, and reporting ESG metrics, including ESG-related disclosures that may be required by the SEC, European and other regulators. Such standards are currently not consistent and may change over time, which could result in significant revisions to our current goals, reported progress in achieving such goals, or ability to achieve such goals in the future.</w:t>
      </w:r>
    </w:p>
    <w:p>
      <w:pPr>
        <w:spacing w:after="0" w:line="218"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9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Changes in tax laws could significantly increase our tax expense and require us to take actions, at potential significant expense, to seek to preserve our current level of tax expense.</w:t>
      </w:r>
    </w:p>
    <w:p>
      <w:pPr>
        <w:spacing w:after="0" w:line="20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2002, we reorganized from the U.S.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21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Organization of Economic Cooperation and Development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In addition, the OECD has advanced reforms focused on global profit allocation and implementing a global minimum tax rate of at least 15% for large multinational corporations on a jurisdiction-by-jurisdiction basis, known as “Pillar Two.” On October 8, 2021, the OECD announced an accord endorsing and providing an implementation plan for Pillar Two agreed upon by 136 nations. On December 15, 2022, the European Council formally adopted a European Union directive on the implementation of the plan by January 1, 2024. Numerous countries, including Ireland have enacted legislation implementing Pillar Two effective January 1, 2024. This is not expected to materially increase the taxes we owe; however, if future legislation is enacted to implement the accord in some or all the jurisdictions in which we have operations, it could materially increase the amount of taxes we owe, thereby negatively affecting our results of operations and our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21</w:t>
      </w:r>
    </w:p>
    <w:p>
      <w:pPr>
        <w:sectPr>
          <w:pgSz w:w="11900" w:h="16838" w:orient="portrait"/>
          <w:cols w:equalWidth="0" w:num="1">
            <w:col w:w="11240"/>
          </w:cols>
          <w:pgMar w:left="320" w:top="432" w:right="3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7"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approximately 90% of our deferred tax assets.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United States could treat Weatherford International plc (our parent corporation) as a United States taxpayer under IRC Section 7874.</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Because Weatherford International plc is organized under the laws of Ireland, we would generally be classified as a foreign corporation for U.S. tax purposes under the general rule that a corporation is considered tax resident in the jurisdiction of its organization or incorporation for U.S. federal income tax purposes. However, the IRS may assert that we should be treated as a U.S. corporation (and therefore, a U.S. tax resident) for U.S. federal income tax purposes pursuant to Section 7874 of the U.S. Internal Revenue Code of 1986, as amended. In addition, a retroactive change to U.S. tax laws in this area could change this classification. If we are to be treated as a U.S. corporation for federal tax purposes, we could be subject to substantially greater U.S. tax liability than currently contemplated as a non-U.S. corporation.</w:t>
      </w:r>
    </w:p>
    <w:p>
      <w:pPr>
        <w:spacing w:after="0" w:line="201"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The rights of our shareholders are governed by Irish law; Irish law differs from the laws in effect in the United States and may afford less protection and increased obligations to holders of our securities.</w:t>
      </w:r>
    </w:p>
    <w:p>
      <w:pPr>
        <w:spacing w:after="0" w:line="172"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In addition, depending on the circumstances, the acquisition, ownership and/or disposition of our ordinary shares may subject shareholders to different or additional tax consequences under Irish law including, but not limited to, Irish stamp duty, dividend withholding taxes and capital acquisitions taxes.</w:t>
      </w:r>
    </w:p>
    <w:p>
      <w:pPr>
        <w:spacing w:after="0" w:line="218"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98"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Similarly, judgments might not be enforceable in countries other than the United States where we have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22</w:t>
      </w:r>
    </w:p>
    <w:p>
      <w:pPr>
        <w:sectPr>
          <w:pgSz w:w="11900" w:h="16838" w:orient="portrait"/>
          <w:cols w:equalWidth="0" w:num="1">
            <w:col w:w="11240"/>
          </w:cols>
          <w:pgMar w:left="320" w:top="432" w:right="3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93"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Interruptions in the proper functioning of our information systems or other issues with our enterprise resource systems could cause disruption to our operations.</w:t>
      </w:r>
    </w:p>
    <w:p>
      <w:pPr>
        <w:spacing w:after="0" w:line="198"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rely extensively on our information systems to manage our business, data, communications, supply chain, ordering, pricing, billing, inventory replenishment, accounting functions, and other processes. Our enterprise resource systems are subject to damage or interruption from various sources, including obsolescence, power outages, computer and telecommunications failures, computer viruses, cyber security breaches, vandalism, severe weather conditions, catastrophic events, terrorism, and human error, and our disaster recovery planning cannot account for all eventualities. Our disaster recovery measures may or may not address all potential contingencies. If our infrastructure becomes damaged, fail to function properly, or otherwise becomes compromised or unavailable, we may incur substantial costs to repair or replace them, and we may experience loss of critical data or interruptions or delays in our ability to perform critical functions, which could adversely affect our business, operating results, or financial condition.</w:t>
      </w:r>
    </w:p>
    <w:p>
      <w:pPr>
        <w:spacing w:after="0" w:line="22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Furthermore, certain of our infrastructure are aged and may require periodic modifications, upgrades, and replacements which may subject us to risks, including operating disruptions, substantial capital expenditures, or additional cost to implement. Any of the aforementioned interruptions, as well as the failure to properly or efficiently modify, upgrade, replace or implement our infrastructure on a timely basis could materially disrupt our operations, and have a material adverse effect on our financial results.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If our long-lived assets and other assets are impaired, we may be required to record significant non-cash charges to our earnings.</w:t>
      </w:r>
    </w:p>
    <w:p>
      <w:pPr>
        <w:spacing w:after="0" w:line="270"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operating lease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business, financial condition, and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Oversight and Governance</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is committed to protecting its information systems. These efforts are led by the Chief Information Officer (“CIO”). Our program is designed to align with international best practices used in our industry, such as the Cyber Security Framework from the National Institute of Standards and Technology (“NIST”).</w:t>
      </w:r>
    </w:p>
    <w:p>
      <w:pPr>
        <w:spacing w:after="0" w:line="21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Weatherford’s cybersecurity program has been developed by the CIO and the information security team with oversight from our Board of Directors and in coordination with key members of our finance, assurance and legal teams. The information security team is comprised of specialists with a mix of government and public-sector cybersecurity experience, combined, they have years of experience selecting, deploying and operating cybersecurity technologies and initiatives globally. Many of our professionals hold university degrees in cybersecurity, information technology, management of information systems and related fields, along with industry-recognized certifications such as CISSP, CASP+, CEH and other related certifications. The team leverages a risk-based approach in an effort to facilitate protection, detection and rapid response to threats. We seek to validate our approach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Weatherford International plc – 2024</w:t>
      </w:r>
    </w:p>
    <w:p>
      <w:pPr>
        <w:sectPr>
          <w:pgSz w:w="11900" w:h="16838" w:orient="portrait"/>
          <w:cols w:equalWidth="0" w:num="1">
            <w:col w:w="11240"/>
          </w:cols>
          <w:pgMar w:left="320" w:top="432"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color w:val="auto"/>
        </w:rPr>
        <w:t>Item 1B through Item 4 | Unresolved Staff Comments through Mine Safety</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through NIST Cyber Security Risk Assessments conducted by third parties and tested through penetration tests and tabletop exercises, as well as internal and external audits.</w:t>
      </w:r>
    </w:p>
    <w:p>
      <w:pPr>
        <w:spacing w:after="0" w:line="17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Information security is a key part of the Company’s Enterprise Risk Management (“ERM”) program, which is designed to identify and evaluate potentially material risks, the potential impact of these risks on the enterprise, as well as steps to control and mitigate those risks. The Company has established an ERM Committee that meets regularly to evaluate risks and coordinate a consistent approach to risk mitigation across the enterprise, including risks related to cybersecurity. The ERM Committee is comprised of certain members of our cross-functional executive leadership team.</w:t>
      </w:r>
    </w:p>
    <w:p>
      <w:pPr>
        <w:spacing w:after="0" w:line="20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CIO reports quarterly to senior management, including the Chief Executive Officer, Chief Financial Officer, Chief Accounting Officer and General Counsel, among others, on the status of company-wide cybersecurity initiatives, risks and other developments. The CIO or key members of the executive leadership team update the audit committee of our Board of Directors periodically on the cybersecurity landscape, the status of ongoing initiatives and any threats or other issues. The audit committee has ultimate oversight over the cybersecurity of the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Awareness and Training</w:t>
      </w:r>
    </w:p>
    <w:p>
      <w:pPr>
        <w:spacing w:after="0" w:line="270"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Weatherford offers multilingual training sessions and awareness campaigns to better equip our employees with knowledge and tools to safeguard our information systems. Cybersecurity training is an integral part of our employee development program, beginning with comprehensive onboarding sessions to establish foundational knowledge. To ensure ongoing awareness and preparedness, employees complete annual refresher courses, which reinforce best practices and address emerging cybersecurity threats. Additionally, Weatherford performs periodic phishing simulations and training to enhance employee vigilance against social engineering attacks. We also provide industry-specific cybersecurity training to relevant employees to address sector-specific risks and strengthen our organization’s overall security posture. Employees are encouraged to report on cybersecurity threats, data privacy incidents, or any other concerns.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Weatherford also provides guidance to support employees on acceptable use, remote access, encryption, cloud security, and anti-virus best practices.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has long included a safety moment at the beginning of major internal meetings, and cyber safety is an occasional topic.</w:t>
      </w:r>
    </w:p>
    <w:p>
      <w:pPr>
        <w:spacing w:after="0" w:line="26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believe our ongoing training and awareness campaigns reinforce the importance of employees in preventing cybersecurity incidents, and further the goal of continuously promoting Weatherford’s culture of safety, security and compliance.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Protection Systems</w:t>
      </w:r>
    </w:p>
    <w:p>
      <w:pPr>
        <w:spacing w:after="0" w:line="27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has made significant investments in cyber protection systems, including by engaging third party service providers to actively search and monitor information systems for vulnerabilities through penetration testing and other means. In addition, we use a comprehensive suite of cybersecurity tools and software, aligned with government and industry best practices, including multi-factor authentication, complex passwords and advanced security controls, across all major Weatherford systems in an effort to strengthen defenses and prevent unauthorized access.</w:t>
      </w:r>
    </w:p>
    <w:p>
      <w:pPr>
        <w:spacing w:after="0" w:line="20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personnel conduct risk assessments on third-party products and platforms through a structured checklist-based review and interview process that aim to validate implemented security controls and mitigate risk to our organization. This process includes evaluating security architecture, verifying certifications and reviewing results of external security assessments. Additional documentation may be requested to clarify technical measures, compliance reports or risk treatment plans. Cybersecurity approval is a key factor in approving a new third-party product or platform.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Response</w:t>
      </w:r>
    </w:p>
    <w:p>
      <w:pPr>
        <w:spacing w:after="0" w:line="27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Weatherford uses multiple internal and external resources to continuously monitor our information systems for evidence of a threat, breach or other incident.</w:t>
      </w:r>
    </w:p>
    <w:p>
      <w:pPr>
        <w:spacing w:after="0" w:line="200" w:lineRule="exact"/>
        <w:rPr>
          <w:sz w:val="20"/>
          <w:szCs w:val="20"/>
          <w:color w:val="auto"/>
        </w:rPr>
      </w:pPr>
    </w:p>
    <w:p>
      <w:pPr>
        <w:spacing w:after="0" w:line="39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24</w:t>
      </w:r>
    </w:p>
    <w:p>
      <w:pPr>
        <w:sectPr>
          <w:pgSz w:w="11900" w:h="16838" w:orient="portrait"/>
          <w:cols w:equalWidth="0" w:num="1">
            <w:col w:w="11240"/>
          </w:cols>
          <w:pgMar w:left="320" w:top="378"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color w:val="auto"/>
        </w:rPr>
        <w:t>Item 1B through Item 4 | Unresolved Staff Comments through Mine Safety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When a threat or other issue is identified, the information security team follows an incident response plan that outlines the process for investigating and addressing the issue. The incident response plan is focused on prompt interdisciplinary communication and coordination between the information security team and key members of the finance, legal, and communication teams, as well as senior management. The information security team also utilizes specific runbooks for various types of threats that are updated and expanded based on lessons learned and emerging best practices. Our incident response plan also provides for consideration of whether an incident is material, requiring disclosure to shareholders in SEC filings. Our team also has a disaster recovery plan, under which recovery testing occurs annually.</w:t>
      </w:r>
    </w:p>
    <w:p>
      <w:pPr>
        <w:spacing w:after="0" w:line="20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expects to continually invest in the improvement of cybersecurity infrastructure, as systems and needs evolve and as the threat landscape changes. Because we employ a prevention-based improvement cycle that requires the response team for each threat or incident to consider the root cause of the issue and any lessons learned throughout the response process, we strive to make corrections and improvements in our policies and procedures that are designed to safeguard against future threats.</w:t>
      </w:r>
    </w:p>
    <w:p>
      <w:pPr>
        <w:spacing w:after="0" w:line="21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While we believe our approach to cybersecurity is reasonable, given the rapidly evolving nature of cybersecurity incidents, there can be no assurance that the controls we have designed and implemented will be sufficient in preventing future incidents or attacks. To date, no cybersecurity incident or issue has had a material impact on us. See “Item 1A –Risk Factors – Our business could be negatively affected by cybersecurity incidents and other technology disruptions” for more information about cybersecurity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83"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 conduct business in approximately 75 countries and have manufacturing facilities, research and technology centers, fluids and processing centers and sales, service and distribution locations throughout the world. Our principal executive offices are in Houston, Texas, U.S. We own or lease numerous other facilities such as service centers, shops, sales and administrative offices throughout the geographic regions in which we operate. The major service centers where we support our segment operations are located in Villahermosa, Mexico; Dhahran, Saudi Arabia; Neuquen, Argentina; Abu Dhabi, United Arab Emirates; Mina Abdulla, Kuwait; Nimr, Oman; Al Khobar, Saudi Arabia; Odessa, Texas, U.S.; Aberdeen, United Kingdom and Broussard, LA, U.S. We operate research and technology centers in Houston, Texas, U.S.; Loughborough, United Kingdom; and Mumbai, India and have major manufacturing centers in JiangSu, China; Abu Dhabi, United Arab Emirates; Huntsville, Texas, U.S. and Vadodara, India.</w:t>
      </w:r>
    </w:p>
    <w:p>
      <w:pPr>
        <w:spacing w:after="0" w:line="224"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All of our material U.S., Canada and United Kingdom properties are mortgaged to the lenders under our Credit Agreement. Our remaining owned properties are unencumbered; however, the lenders could require we mortgage certain of these properties as well. We believe the facilities that we currently occupy are suitable for their intended use.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9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203" w:lineRule="exact"/>
        <w:rPr>
          <w:sz w:val="20"/>
          <w:szCs w:val="20"/>
          <w:color w:val="auto"/>
        </w:rPr>
      </w:pPr>
    </w:p>
    <w:p>
      <w:pPr>
        <w:jc w:val="both"/>
        <w:ind w:left="660" w:hanging="328"/>
        <w:spacing w:after="0" w:line="30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the subject of governmental and internal investigations related to alleged misconduct and violations of U.S. or international laws in the future, it could have a material adverse effect on our business, financial condition and results of operations. For additional information, see Item 1A. Risk Factors- Legal, Tax and Regulatory Risks.</w:t>
      </w:r>
    </w:p>
    <w:p>
      <w:pPr>
        <w:spacing w:after="0" w:line="7"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“Item 1. Business” and “Item 8. Financial Statements and Supplementary Data – Notes to Consolidated Financial Statements – Note 12 – Disputes, Litigation and Legal Contingencies.”</w:t>
      </w:r>
    </w:p>
    <w:p>
      <w:pPr>
        <w:spacing w:after="0" w:line="243"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It is possible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25</w:t>
      </w:r>
    </w:p>
    <w:p>
      <w:pPr>
        <w:sectPr>
          <w:pgSz w:w="11900" w:h="16838" w:orient="portrait"/>
          <w:cols w:equalWidth="0" w:num="1">
            <w:col w:w="11240"/>
          </w:cols>
          <w:pgMar w:left="320" w:top="378" w:right="33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8"/>
          <w:szCs w:val="18"/>
          <w:color w:val="auto"/>
        </w:rPr>
        <w:t>Item 4 &amp; 5 | Mine Safety &amp; Market for Ordinary Shares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w:t>
      </w:r>
    </w:p>
    <w:p>
      <w:pPr>
        <w:sectPr>
          <w:pgSz w:w="11900" w:h="16838" w:orient="portrait"/>
          <w:cols w:equalWidth="0" w:num="1">
            <w:col w:w="11160"/>
          </w:cols>
          <w:pgMar w:left="320" w:top="378" w:right="41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8"/>
          <w:szCs w:val="18"/>
          <w:color w:val="auto"/>
        </w:rPr>
        <w:t>Item 5 | Market for Registrants Ordinary Shares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8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In June 2021, we became subject to the reporting requirements of the Securities Exchange Act of 1934 (as amended, the “Exchange Act”). Our ordinary shares began trading on the Nasdaq Global Select Market on June 2, 2021 under the ticker symbol “WFRD.” As of February 1, 2025, we had 68 shareholders of record. The actual number of shareholders is considerably greater than the number of shareholders of record and includes shareholders who are beneficial owners but whose shares are held in street name by brokers and other nominees.</w:t>
      </w:r>
    </w:p>
    <w:p>
      <w:pPr>
        <w:spacing w:after="0" w:line="200"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On July 23, 2024, we announced our shareholder returns program, including our Board of Directors authorization of a dividend program under which we intend to pay regular quarterly cash dividends, subject to our Board’s discretion. During the twelve months ended December 31, 2024, we paid $36 million in dividends and accrued $2 million in dividend equivalent rights on share-based awards. Dividends are authorized and determined by our Board of Directors at its sole discretion and depend upon a number of factors, including our financial results, cash requirements, capital management plans, changes in applicable laws, contractual restrictions, such as financial or operating covenants, and future prospects, as well as such other factors deemed relevant by our Board of Directors. We can provide no assurance that we will pay dividends at current levels or at all. See “Note 19 – Subsequent Event” for detail regarding our latest declared dividend.</w:t>
      </w:r>
    </w:p>
    <w:p>
      <w:pPr>
        <w:spacing w:after="0" w:line="22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shareholder return on our ordinary shares, the Dow Jones U.S. Index (“DJI”), the Dow Jones U.S. Oil Equipment and Services Index (“DJUSOI”), the Philadelphia Oil Service Index (“OSX”), the VanEck Oil Services ETF (“OIH”) and the Standard &amp; Poor’s 500 Index (“S&amp;P 500”) from June 2, 2021 (date we began trading on NASDAQ) through 2024. The graph assumes $100 was invested in each of the Company’s ordinary shares, and aforementioned indices. Note that past stock price performance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27</w:t>
      </w:r>
    </w:p>
    <w:p>
      <w:pPr>
        <w:sectPr>
          <w:pgSz w:w="11900" w:h="16838" w:orient="portrait"/>
          <w:cols w:equalWidth="0" w:num="1">
            <w:col w:w="11240"/>
          </w:cols>
          <w:pgMar w:left="320" w:top="378" w:right="33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8"/>
          <w:szCs w:val="18"/>
          <w:color w:val="auto"/>
        </w:rPr>
        <w:t>Item 5 | Market for Registrants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283210</wp:posOffset>
            </wp:positionV>
            <wp:extent cx="5760720" cy="4114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06/02/21</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$398</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Jones U.S. Oil Equipment and Services Index</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Index</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 Oil Service Index</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VanEck Oil Services ETF</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 Index</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repurchases of our ordinary shares during the three months ended December 31,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Maximum Dollar Value of</w:t>
            </w: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6"/>
                <w:szCs w:val="16"/>
                <w:color w:val="auto"/>
              </w:rPr>
            </w:pPr>
          </w:p>
        </w:tc>
        <w:tc>
          <w:tcPr>
            <w:tcW w:w="24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Total Number of Shares</w:t>
            </w:r>
          </w:p>
        </w:tc>
        <w:tc>
          <w:tcPr>
            <w:tcW w:w="2340" w:type="dxa"/>
            <w:vAlign w:val="bottom"/>
          </w:tcPr>
          <w:p>
            <w:pPr>
              <w:spacing w:after="0"/>
              <w:rPr>
                <w:sz w:val="16"/>
                <w:szCs w:val="16"/>
                <w:color w:val="auto"/>
              </w:rPr>
            </w:pP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Purchased as Part of a</w:t>
            </w:r>
          </w:p>
        </w:tc>
        <w:tc>
          <w:tcPr>
            <w:tcW w:w="2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Shares that may yet be</w:t>
            </w:r>
          </w:p>
        </w:tc>
        <w:tc>
          <w:tcPr>
            <w:tcW w:w="0" w:type="dxa"/>
            <w:vAlign w:val="bottom"/>
          </w:tcPr>
          <w:p>
            <w:pPr>
              <w:spacing w:after="0"/>
              <w:rPr>
                <w:sz w:val="1"/>
                <w:szCs w:val="1"/>
                <w:color w:val="auto"/>
              </w:rPr>
            </w:pPr>
          </w:p>
        </w:tc>
      </w:tr>
      <w:tr>
        <w:trPr>
          <w:trHeight w:val="180"/>
        </w:trPr>
        <w:tc>
          <w:tcPr>
            <w:tcW w:w="194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Period</w:t>
            </w:r>
          </w:p>
        </w:tc>
        <w:tc>
          <w:tcPr>
            <w:tcW w:w="2480" w:type="dxa"/>
            <w:vAlign w:val="bottom"/>
            <w:vMerge w:val="continue"/>
          </w:tcPr>
          <w:p>
            <w:pPr>
              <w:spacing w:after="0"/>
              <w:rPr>
                <w:sz w:val="15"/>
                <w:szCs w:val="15"/>
                <w:color w:val="auto"/>
              </w:rPr>
            </w:pPr>
          </w:p>
        </w:tc>
        <w:tc>
          <w:tcPr>
            <w:tcW w:w="2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Publicly Announced Program</w:t>
            </w:r>
          </w:p>
        </w:tc>
        <w:tc>
          <w:tcPr>
            <w:tcW w:w="2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Under the Program</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vMerge w:val="continue"/>
          </w:tcPr>
          <w:p>
            <w:pPr>
              <w:spacing w:after="0"/>
              <w:rPr>
                <w:sz w:val="19"/>
                <w:szCs w:val="19"/>
                <w:color w:val="auto"/>
              </w:rPr>
            </w:pPr>
          </w:p>
        </w:tc>
        <w:tc>
          <w:tcPr>
            <w:tcW w:w="2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Purchased</w:t>
            </w:r>
          </w:p>
        </w:tc>
        <w:tc>
          <w:tcPr>
            <w:tcW w:w="234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04"/>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w:t>
            </w:r>
          </w:p>
        </w:tc>
        <w:tc>
          <w:tcPr>
            <w:tcW w:w="2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122,366</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2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122,366</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$439,200,231</w:t>
            </w:r>
          </w:p>
        </w:tc>
        <w:tc>
          <w:tcPr>
            <w:tcW w:w="0" w:type="dxa"/>
            <w:vAlign w:val="bottom"/>
          </w:tcPr>
          <w:p>
            <w:pPr>
              <w:spacing w:after="0"/>
              <w:rPr>
                <w:sz w:val="1"/>
                <w:szCs w:val="1"/>
                <w:color w:val="auto"/>
              </w:rPr>
            </w:pPr>
          </w:p>
        </w:tc>
      </w:tr>
      <w:tr>
        <w:trPr>
          <w:trHeight w:val="32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222,177</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2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222,177</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$420,533,493</w:t>
            </w:r>
          </w:p>
        </w:tc>
        <w:tc>
          <w:tcPr>
            <w:tcW w:w="0" w:type="dxa"/>
            <w:vAlign w:val="bottom"/>
          </w:tcPr>
          <w:p>
            <w:pPr>
              <w:spacing w:after="0"/>
              <w:rPr>
                <w:sz w:val="1"/>
                <w:szCs w:val="1"/>
                <w:color w:val="auto"/>
              </w:rPr>
            </w:pPr>
          </w:p>
        </w:tc>
      </w:tr>
      <w:tr>
        <w:trPr>
          <w:trHeight w:val="324"/>
        </w:trPr>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2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261,357</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2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261,357</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$400,933,372</w:t>
            </w:r>
          </w:p>
        </w:tc>
        <w:tc>
          <w:tcPr>
            <w:tcW w:w="0" w:type="dxa"/>
            <w:vAlign w:val="bottom"/>
          </w:tcPr>
          <w:p>
            <w:pPr>
              <w:spacing w:after="0"/>
              <w:rPr>
                <w:sz w:val="1"/>
                <w:szCs w:val="1"/>
                <w:color w:val="auto"/>
              </w:rPr>
            </w:pPr>
          </w:p>
        </w:tc>
      </w:tr>
      <w:tr>
        <w:trPr>
          <w:trHeight w:val="304"/>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605,900</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2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605,900</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2024 Form 10-K | 28</w:t>
      </w:r>
    </w:p>
    <w:p>
      <w:pPr>
        <w:sectPr>
          <w:pgSz w:w="11900" w:h="16838" w:orient="portrait"/>
          <w:cols w:equalWidth="0" w:num="1">
            <w:col w:w="11240"/>
          </w:cols>
          <w:pgMar w:left="320" w:top="378" w:right="339" w:bottom="1440" w:gutter="0" w:footer="0" w:header="0"/>
          <w:type w:val="continuous"/>
        </w:sectPr>
      </w:pPr>
    </w:p>
    <w:bookmarkStart w:id="31" w:name="page32"/>
    <w:bookmarkEnd w:id="31"/>
    <w:p>
      <w:pPr>
        <w:ind w:left="234"/>
        <w:spacing w:after="0"/>
        <w:rPr>
          <w:sz w:val="20"/>
          <w:szCs w:val="20"/>
          <w:color w:val="auto"/>
        </w:rPr>
      </w:pPr>
      <w:r>
        <w:rPr>
          <w:rFonts w:ascii="Times New Roman" w:cs="Times New Roman" w:eastAsia="Times New Roman" w:hAnsi="Times New Roman"/>
          <w:sz w:val="18"/>
          <w:szCs w:val="18"/>
          <w:color w:val="auto"/>
        </w:rPr>
        <w:t>Item 5 | Market for Registrants Ordinary Shares</w:t>
      </w:r>
    </w:p>
    <w:p>
      <w:pPr>
        <w:spacing w:after="0" w:line="200" w:lineRule="exact"/>
        <w:rPr>
          <w:sz w:val="20"/>
          <w:szCs w:val="20"/>
          <w:color w:val="auto"/>
        </w:rPr>
      </w:pPr>
    </w:p>
    <w:p>
      <w:pPr>
        <w:spacing w:after="0" w:line="340" w:lineRule="exact"/>
        <w:rPr>
          <w:sz w:val="20"/>
          <w:szCs w:val="20"/>
          <w:color w:val="auto"/>
        </w:rPr>
      </w:pPr>
    </w:p>
    <w:p>
      <w:pPr>
        <w:jc w:val="both"/>
        <w:ind w:left="-6" w:firstLine="6"/>
        <w:spacing w:after="0" w:line="210" w:lineRule="auto"/>
        <w:tabs>
          <w:tab w:leader="none" w:pos="193"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23, 2024, we announced a program under which we may repurchase our ordinary shares from time to time, up to $500 million through June 2027. Approximately $401 million remained authorized for repurchases as of December 31, 2024. From the inception of this program through December 31, 2024, we have repurchased approximately 1.1 million ordinary shares for $99.1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14"/>
        <w:spacing w:after="0"/>
        <w:rPr>
          <w:sz w:val="20"/>
          <w:szCs w:val="20"/>
          <w:color w:val="auto"/>
        </w:rPr>
      </w:pPr>
      <w:r>
        <w:rPr>
          <w:rFonts w:ascii="Times New Roman" w:cs="Times New Roman" w:eastAsia="Times New Roman" w:hAnsi="Times New Roman"/>
          <w:sz w:val="18"/>
          <w:szCs w:val="18"/>
          <w:color w:val="auto"/>
        </w:rPr>
        <w:t>Weatherford International plc – 2024 Form 10-K | 29</w:t>
      </w:r>
    </w:p>
    <w:p>
      <w:pPr>
        <w:sectPr>
          <w:pgSz w:w="11900" w:h="16838" w:orient="portrait"/>
          <w:cols w:equalWidth="0" w:num="1">
            <w:col w:w="11154"/>
          </w:cols>
          <w:pgMar w:left="346" w:top="378"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w:t>
      </w:r>
    </w:p>
    <w:p>
      <w:pPr>
        <w:spacing w:after="0" w:line="175"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earlier section “Item 1. Business” and our Consolidated Financial Statements and Notes thereto included later in “Item 8.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Risk Factors.” The following section generally discusses our financial condition and results of operations for fiscal year ended December 31, 2024 compared to fiscal year ended December 31, 2023. Please refer to our Annual Report on Form 10-K for the year ended December 31, 2023 filed with the SEC on February 7, 2024, for a discussion regarding our financial condition and results of operations for fiscal year ended December 31, 2023 as compared to fiscal year ended December 31,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33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64" w:lineRule="exact"/>
        <w:rPr>
          <w:sz w:val="20"/>
          <w:szCs w:val="20"/>
          <w:color w:val="auto"/>
        </w:rPr>
      </w:pPr>
    </w:p>
    <w:p>
      <w:pPr>
        <w:jc w:val="both"/>
        <w:ind w:right="160" w:firstLine="324"/>
        <w:spacing w:after="0" w:line="305"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pacing w:after="0" w:line="196"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and Brent North Sea (“Brent”) crude oil and Henry Hub (“HH”) natural gas.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30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60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0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76.55</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77.64</w:t>
            </w:r>
          </w:p>
        </w:tc>
      </w:tr>
      <w:tr>
        <w:trPr>
          <w:trHeight w:val="32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80.53</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82.47</w:t>
            </w:r>
          </w:p>
        </w:tc>
      </w:tr>
      <w:tr>
        <w:trPr>
          <w:trHeight w:val="3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Natural Gas price - HH </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2.54</w:t>
            </w:r>
          </w:p>
        </w:tc>
      </w:tr>
    </w:tbl>
    <w:p>
      <w:pPr>
        <w:spacing w:after="0" w:line="59" w:lineRule="exact"/>
        <w:rPr>
          <w:sz w:val="20"/>
          <w:szCs w:val="20"/>
          <w:color w:val="auto"/>
        </w:rPr>
      </w:pPr>
    </w:p>
    <w:p>
      <w:pPr>
        <w:ind w:left="180" w:hanging="154"/>
        <w:spacing w:after="0"/>
        <w:tabs>
          <w:tab w:leader="none" w:pos="1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Oil price measured in dollars per barrel (rounded to the nearest $0.01)</w:t>
      </w:r>
    </w:p>
    <w:p>
      <w:pPr>
        <w:spacing w:after="0" w:line="92" w:lineRule="exact"/>
        <w:rPr>
          <w:rFonts w:ascii="Times New Roman" w:cs="Times New Roman" w:eastAsia="Times New Roman" w:hAnsi="Times New Roman"/>
          <w:sz w:val="19"/>
          <w:szCs w:val="19"/>
          <w:color w:val="auto"/>
          <w:vertAlign w:val="superscript"/>
        </w:rPr>
      </w:pPr>
    </w:p>
    <w:p>
      <w:pPr>
        <w:ind w:left="180" w:hanging="154"/>
        <w:spacing w:after="0"/>
        <w:tabs>
          <w:tab w:leader="none" w:pos="1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Natural gas price measured in dollars per million British thermal units (Btu), or MMBtu</w:t>
      </w:r>
    </w:p>
    <w:p>
      <w:pPr>
        <w:spacing w:after="0" w:line="3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29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32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0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7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786</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864</w:t>
            </w:r>
          </w:p>
        </w:tc>
      </w:tr>
      <w:tr>
        <w:trPr>
          <w:trHeight w:val="324"/>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948</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948</w:t>
            </w:r>
          </w:p>
        </w:tc>
      </w:tr>
      <w:tr>
        <w:trPr>
          <w:trHeight w:val="32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1,734</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1,812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2024 Form 10-K | 30</w:t>
      </w:r>
    </w:p>
    <w:p>
      <w:pPr>
        <w:sectPr>
          <w:pgSz w:w="11900" w:h="16838" w:orient="portrait"/>
          <w:cols w:equalWidth="0" w:num="1">
            <w:col w:w="11240"/>
          </w:cols>
          <w:pgMar w:left="320" w:top="1319" w:right="339" w:bottom="1440" w:gutter="0" w:footer="0" w:header="0"/>
          <w:type w:val="continuous"/>
        </w:sectPr>
      </w:pPr>
    </w:p>
    <w:bookmarkStart w:id="33" w:name="page34"/>
    <w:bookmarkEnd w:id="33"/>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addition, there may be future impacts and effects on our industry relating to the new U.S. Presidential administration and Congress in areas relating to global trade policy and tariffs, global conflicts and resulting sanctions, environmental regulation and others. The Company continues to monitor these developments, but the impact and timing of these changes on our business is uncertain.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Income Summary</w:t>
      </w:r>
    </w:p>
    <w:p>
      <w:pPr>
        <w:spacing w:after="0" w:line="283"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Revenues totaled $5.51 billion in 2024, an increase of $378 million, or 7% compared to 2023. Year-over-year in 2024, product revenues increased 8% and service revenues increased 7%. WCC and DRE contributed to 47% and 39% of the increase in revenues, respectively, with the remainder from higher activity in integrated services and projects. This was partially offset by a decrease from PRI. Geographically, growth in 2024 was led by improvements in the Middle East/North Africa/Asia, Europe/Sub-Sahara Africa/Russia and Latin America regions which contributed to 81%, 23% and 2% of the increase, respectively, partly offset by a revenue decline in North America. Approximately 90% of our revenue increase in 2024 was due to increased customer demand including as a result of business acquisitions during the year, with the remainder primarily from pricing and market share improvements.</w:t>
      </w:r>
    </w:p>
    <w:p>
      <w:pPr>
        <w:spacing w:after="0" w:line="20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Average oil prices in 2024 decreased 1% for West Texas Intermediate crude oil and decreased 2% for Brent North Sea crude oil compared to 2023. Henry Hub natural gas prices decreased 14% compared to 2023. Global rig counts decreased 4% compared to 2023 with North America rig count decreasing by 9% and international rig count remaining flat. The year-over-year decrease in average oil and natural gas prices and the decrease in the North America rig count reflects the lower market demand and oversupply of natural gas in the region.</w:t>
      </w:r>
    </w:p>
    <w:p>
      <w:pPr>
        <w:spacing w:after="0" w:line="2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of $938 million in the twelve months ended December 31, 2024, increased 14% compared to $820 million in the twelve months ended December 31, 2023, primarily driven by improved operational efficiencies from increased resource utilization, in addition to cost reduction initiatives implemented by the Company in the second half of 2024 and the impact of lower employee incentive compensation. Cost of products and services of $3.61 billion increased $210 million, or 6%, in 2024 compared to 2023, to support the increased overall activity across our segments. Our cost of products and services as a percentage of revenues was 65% in 2024, an improvement compared to 66% in 2023.</w:t>
      </w:r>
    </w:p>
    <w:p>
      <w:pPr>
        <w:spacing w:after="0" w:line="21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$914 million decreased $2 million driven by a decrease in the cost of employee incentive programs. This was offset by an increase in research and development investment in newer technologies and an increase in overhead to support organization growth. These costs as a percentage of revenues were 17% in 2024, an improvement compared to 18% in 2023.</w:t>
      </w:r>
    </w:p>
    <w:p>
      <w:pPr>
        <w:spacing w:after="0" w:line="21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Other charges of $56 million increased $52 million in 2024 compared to 2023, primarily due to an increase in severance and restructuring costs, and fees to third-party financial institutions related to collections of certain receivables from our largest customer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31</w:t>
      </w:r>
    </w:p>
    <w:p>
      <w:pPr>
        <w:sectPr>
          <w:pgSz w:w="11900" w:h="16838" w:orient="portrait"/>
          <w:cols w:equalWidth="0" w:num="1">
            <w:col w:w="11240"/>
          </w:cols>
          <w:pgMar w:left="320" w:top="378" w:right="33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81"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Interest expense, net primarily represented for each year, the interest on our outstanding long-term debt (see “Note 8 – Borrowings and Other Debt Obligations” to our Consolidated Financial Statements for additional details) offset by interest income. Interest expense, net, of $102 million in 2024, decreased $21 million, or 17%, compared to 2023 primarily after the early and full repayment of our 6.5% Senior Secured Notes maturing September 15, 2028 in 2024.</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81"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An indirect foreign exchange mechanism known as the Blue Chip Swap (“BCS”) allows entities to remit U.S. dollars from operations in Argentina. During each of the years ended December 31, 2024 and 2023, we entered into a series of BCS securities transactions that resulted in a “Loss on Blue Chip Swap Securities” of $10 million and $57 million, respectively. See “Note 17 – Blue Chip Swap Securities - Argentina” to our Consolidated Financial Statements for additional details.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95"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Other expense, net, is primarily comprised of foreign exchange losses, letter of credit fees, other financing charges and bond redemption fees. Other expense, net, was $47 million lower in 2024 as compared to 2023, which was primarily attributable to lower foreign currency losses. Foreign currency losses totaled $56 million and $116 million in 2024 and 2023, respectively, and was primarily driven by losses on the Argentine Peso.</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8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unable to recognize tax benefit on certain losses.</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record deferred tax assets for net operating losses and temporary differences between the book and tax basis of assets and liabilities that are expected to produce tax deductions in future periods. The realizability of the deferred tax assets is dependent upon judgments and assumptions inherent in the determination of future taxable income, including factors such as future operating conditions (particularly as related to prevailing oil prices and market demand for our products and services). The Company concluded it was not able to realize the benefit of certain deferred tax assets and has established a valuation allowance. Continued performance improvement in certain jurisdictions could result in a change in our realization of deferred tax asset assessment in the near future, which would release valuation allowance.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provision and respective effective tax rate was $189 million and 26% and $57 million and 11% for 2024 and 2023, respectively.</w:t>
      </w:r>
    </w:p>
    <w:p>
      <w:pPr>
        <w:spacing w:after="0" w:line="29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income tax provisions in 2024 and 2023 are primarily driven by income in certain jurisdictions, deemed profit countries and withholding taxes on intercompany and third-party transactions that do not directly correlate to ordinary income or loss. Impairments and other charges recognized do not result in significant tax benefit as a result of being attributed to a non-income tax jurisdiction or our inability to forecast realization of the tax benefit of such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32</w:t>
      </w:r>
    </w:p>
    <w:p>
      <w:pPr>
        <w:sectPr>
          <w:pgSz w:w="11900" w:h="16838" w:orient="portrait"/>
          <w:cols w:equalWidth="0" w:num="1">
            <w:col w:w="11240"/>
          </w:cols>
          <w:pgMar w:left="320" w:top="378" w:right="33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For the year ended December 31, 2024, income tax expense was higher than 2023, primarily driven by increased activity and operating profits, profit mix in various jurisdictions that we operate, and lower valuation allowance releases. During the year ended December 31, 2023, income tax expense was lower by $115 million, due to the release of valuation allowances and the recognition of benefits from previously uncertain tax positions. Those benefits were offset by the establishment of valuation allowance of approximately $50 million against the sale of Blue Chip Swap securities and currency devaluation in Argentina (see Note 17 – Blue Chip Swap Securities - Argentina).</w:t>
      </w:r>
    </w:p>
    <w:p>
      <w:pPr>
        <w:spacing w:after="0" w:line="21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We cannot predict the timing or outcome regarding resolution of these tax examinations or if they will have a material impact on our consolidated financial statements. As of December 31, 2024, we anticipate that it is reasonably possible that the amount of our uncertain tax positions of $201 million may decrease by up to $31 million in the next twelve months due to expiration of statutes of limitations, settlements and/or conclusions of tax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33</w:t>
      </w:r>
    </w:p>
    <w:p>
      <w:pPr>
        <w:sectPr>
          <w:pgSz w:w="11900" w:h="16838" w:orient="portrait"/>
          <w:cols w:equalWidth="0" w:num="1">
            <w:col w:w="11240"/>
          </w:cols>
          <w:pgMar w:left="320" w:top="37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Item 7 | MD&amp;A</w:t>
            </w: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4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02"/>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540" w:type="dxa"/>
            <w:vAlign w:val="bottom"/>
            <w:tcBorders>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DRE</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304"/>
        </w:trPr>
        <w:tc>
          <w:tcPr>
            <w:tcW w:w="580" w:type="dxa"/>
            <w:vAlign w:val="bottom"/>
          </w:tcPr>
          <w:p>
            <w:pPr>
              <w:spacing w:after="0"/>
              <w:rPr>
                <w:sz w:val="24"/>
                <w:szCs w:val="24"/>
                <w:color w:val="auto"/>
              </w:rPr>
            </w:pPr>
          </w:p>
        </w:tc>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1,682</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1,976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1,452</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403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5,513</w:t>
            </w:r>
          </w:p>
        </w:tc>
      </w:tr>
      <w:tr>
        <w:trPr>
          <w:trHeight w:val="162"/>
        </w:trPr>
        <w:tc>
          <w:tcPr>
            <w:tcW w:w="580" w:type="dxa"/>
            <w:vAlign w:val="bottom"/>
          </w:tcPr>
          <w:p>
            <w:pPr>
              <w:spacing w:after="0"/>
              <w:rPr>
                <w:sz w:val="14"/>
                <w:szCs w:val="14"/>
                <w:color w:val="auto"/>
              </w:rPr>
            </w:pPr>
          </w:p>
        </w:tc>
        <w:tc>
          <w:tcPr>
            <w:tcW w:w="454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24"/>
        </w:trPr>
        <w:tc>
          <w:tcPr>
            <w:tcW w:w="580" w:type="dxa"/>
            <w:vAlign w:val="bottom"/>
          </w:tcPr>
          <w:p>
            <w:pPr>
              <w:spacing w:after="0"/>
              <w:rPr>
                <w:sz w:val="24"/>
                <w:szCs w:val="24"/>
                <w:color w:val="auto"/>
              </w:rPr>
            </w:pPr>
          </w:p>
        </w:tc>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4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304"/>
        </w:trPr>
        <w:tc>
          <w:tcPr>
            <w:tcW w:w="580" w:type="dxa"/>
            <w:vAlign w:val="bottom"/>
          </w:tcPr>
          <w:p>
            <w:pPr>
              <w:spacing w:after="0"/>
              <w:rPr>
                <w:sz w:val="24"/>
                <w:szCs w:val="24"/>
                <w:color w:val="auto"/>
              </w:rPr>
            </w:pPr>
          </w:p>
        </w:tc>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467</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467</w:t>
            </w:r>
          </w:p>
        </w:tc>
      </w:tr>
      <w:tr>
        <w:trPr>
          <w:trHeight w:val="324"/>
        </w:trPr>
        <w:tc>
          <w:tcPr>
            <w:tcW w:w="580" w:type="dxa"/>
            <w:vAlign w:val="bottom"/>
          </w:tcPr>
          <w:p>
            <w:pPr>
              <w:spacing w:after="0"/>
              <w:rPr>
                <w:sz w:val="24"/>
                <w:szCs w:val="24"/>
                <w:color w:val="auto"/>
              </w:rPr>
            </w:pPr>
          </w:p>
        </w:tc>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88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564</w:t>
            </w:r>
          </w:p>
        </w:tc>
      </w:tr>
      <w:tr>
        <w:trPr>
          <w:trHeight w:val="324"/>
        </w:trPr>
        <w:tc>
          <w:tcPr>
            <w:tcW w:w="580" w:type="dxa"/>
            <w:vAlign w:val="bottom"/>
          </w:tcPr>
          <w:p>
            <w:pPr>
              <w:spacing w:after="0"/>
              <w:rPr>
                <w:sz w:val="24"/>
                <w:szCs w:val="24"/>
                <w:color w:val="auto"/>
              </w:rPr>
            </w:pPr>
          </w:p>
        </w:tc>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8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319</w:t>
            </w: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319</w:t>
            </w:r>
          </w:p>
        </w:tc>
      </w:tr>
      <w:tr>
        <w:trPr>
          <w:trHeight w:val="291"/>
        </w:trPr>
        <w:tc>
          <w:tcPr>
            <w:tcW w:w="58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580" w:type="dxa"/>
            <w:vAlign w:val="bottom"/>
          </w:tcPr>
          <w:p>
            <w:pPr>
              <w:spacing w:after="0"/>
              <w:rPr>
                <w:sz w:val="24"/>
                <w:szCs w:val="24"/>
                <w:color w:val="auto"/>
              </w:rPr>
            </w:pPr>
          </w:p>
        </w:tc>
        <w:tc>
          <w:tcPr>
            <w:tcW w:w="45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58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324"/>
        </w:trPr>
        <w:tc>
          <w:tcPr>
            <w:tcW w:w="580" w:type="dxa"/>
            <w:vAlign w:val="bottom"/>
          </w:tcPr>
          <w:p>
            <w:pPr>
              <w:spacing w:after="0"/>
              <w:rPr>
                <w:sz w:val="24"/>
                <w:szCs w:val="24"/>
                <w:color w:val="auto"/>
              </w:rPr>
            </w:pPr>
          </w:p>
        </w:tc>
        <w:tc>
          <w:tcPr>
            <w:tcW w:w="45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3"/>
                <w:szCs w:val="23"/>
                <w:color w:val="auto"/>
                <w:vertAlign w:val="superscript"/>
              </w:rPr>
              <w:t>(c)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58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580" w:type="dxa"/>
            <w:vAlign w:val="bottom"/>
          </w:tcPr>
          <w:p>
            <w:pPr>
              <w:spacing w:after="0"/>
              <w:rPr>
                <w:sz w:val="24"/>
                <w:szCs w:val="24"/>
                <w:color w:val="auto"/>
              </w:rPr>
            </w:pPr>
          </w:p>
        </w:tc>
        <w:tc>
          <w:tcPr>
            <w:tcW w:w="45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938</w:t>
            </w:r>
          </w:p>
        </w:tc>
      </w:tr>
    </w:tbl>
    <w:p>
      <w:pPr>
        <w:spacing w:after="0" w:line="175" w:lineRule="exact"/>
        <w:rPr>
          <w:sz w:val="20"/>
          <w:szCs w:val="20"/>
          <w:color w:val="auto"/>
        </w:rPr>
      </w:pPr>
    </w:p>
    <w:p>
      <w:pPr>
        <w:ind w:left="880" w:hanging="242"/>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45" w:lineRule="exact"/>
        <w:rPr>
          <w:rFonts w:ascii="Times New Roman" w:cs="Times New Roman" w:eastAsia="Times New Roman" w:hAnsi="Times New Roman"/>
          <w:sz w:val="16"/>
          <w:szCs w:val="16"/>
          <w:color w:val="auto"/>
        </w:rPr>
      </w:pPr>
    </w:p>
    <w:p>
      <w:pPr>
        <w:ind w:left="880" w:hanging="242"/>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45" w:lineRule="exact"/>
        <w:rPr>
          <w:rFonts w:ascii="Times New Roman" w:cs="Times New Roman" w:eastAsia="Times New Roman" w:hAnsi="Times New Roman"/>
          <w:sz w:val="16"/>
          <w:szCs w:val="16"/>
          <w:color w:val="auto"/>
        </w:rPr>
      </w:pPr>
    </w:p>
    <w:p>
      <w:pPr>
        <w:ind w:left="880" w:hanging="242"/>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3"/>
        </w:trPr>
        <w:tc>
          <w:tcPr>
            <w:tcW w:w="4540" w:type="dxa"/>
            <w:vAlign w:val="bottom"/>
            <w:tcBorders>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4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DRE</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304"/>
        </w:trPr>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1,536</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1,800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1,472</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327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5,135</w:t>
            </w:r>
          </w:p>
        </w:tc>
      </w:tr>
      <w:tr>
        <w:trPr>
          <w:trHeight w:val="162"/>
        </w:trPr>
        <w:tc>
          <w:tcPr>
            <w:tcW w:w="454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24"/>
        </w:trPr>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324"/>
        </w:trPr>
        <w:tc>
          <w:tcPr>
            <w:tcW w:w="4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304"/>
        </w:trPr>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422</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422</w:t>
            </w:r>
          </w:p>
        </w:tc>
      </w:tr>
      <w:tr>
        <w:trPr>
          <w:trHeight w:val="324"/>
        </w:trPr>
        <w:tc>
          <w:tcPr>
            <w:tcW w:w="4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88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r>
      <w:tr>
        <w:trPr>
          <w:trHeight w:val="324"/>
        </w:trPr>
        <w:tc>
          <w:tcPr>
            <w:tcW w:w="45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8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323</w:t>
            </w: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r>
      <w:tr>
        <w:trPr>
          <w:trHeight w:val="29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45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324"/>
        </w:trPr>
        <w:tc>
          <w:tcPr>
            <w:tcW w:w="45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3"/>
                <w:szCs w:val="23"/>
                <w:color w:val="auto"/>
                <w:vertAlign w:val="superscript"/>
              </w:rPr>
              <w:t>(c)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9"/>
        </w:trPr>
        <w:tc>
          <w:tcPr>
            <w:tcW w:w="45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820</w:t>
            </w: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880" w:hanging="242"/>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45" w:lineRule="exact"/>
        <w:rPr>
          <w:rFonts w:ascii="Times New Roman" w:cs="Times New Roman" w:eastAsia="Times New Roman" w:hAnsi="Times New Roman"/>
          <w:sz w:val="16"/>
          <w:szCs w:val="16"/>
          <w:color w:val="auto"/>
        </w:rPr>
      </w:pPr>
    </w:p>
    <w:p>
      <w:pPr>
        <w:ind w:left="880" w:hanging="242"/>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45" w:lineRule="exact"/>
        <w:rPr>
          <w:rFonts w:ascii="Times New Roman" w:cs="Times New Roman" w:eastAsia="Times New Roman" w:hAnsi="Times New Roman"/>
          <w:sz w:val="16"/>
          <w:szCs w:val="16"/>
          <w:color w:val="auto"/>
        </w:rPr>
      </w:pPr>
    </w:p>
    <w:p>
      <w:pPr>
        <w:ind w:left="880" w:hanging="242"/>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ectPr>
          <w:pgSz w:w="11900" w:h="16838" w:orient="portrait"/>
          <w:cols w:equalWidth="0" w:num="1">
            <w:col w:w="10740"/>
          </w:cols>
          <w:pgMar w:left="500" w:top="37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color w:val="auto"/>
        </w:rPr>
        <w:t>Weatherford International plc – 2024 Form 10-K | 34</w:t>
      </w:r>
    </w:p>
    <w:p>
      <w:pPr>
        <w:sectPr>
          <w:pgSz w:w="11900" w:h="16838" w:orient="portrait"/>
          <w:cols w:equalWidth="0" w:num="1">
            <w:col w:w="10740"/>
          </w:cols>
          <w:pgMar w:left="500" w:top="378" w:right="6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5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7 | MD&amp;A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675"/>
        </w:trPr>
        <w:tc>
          <w:tcPr>
            <w:tcW w:w="5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23"/>
        </w:trPr>
        <w:tc>
          <w:tcPr>
            <w:tcW w:w="5140" w:type="dxa"/>
            <w:vAlign w:val="bottom"/>
            <w:tcBorders>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DRE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304"/>
        </w:trPr>
        <w:tc>
          <w:tcPr>
            <w:tcW w:w="51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1,328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1,395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87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4,331</w:t>
            </w:r>
          </w:p>
        </w:tc>
      </w:tr>
      <w:tr>
        <w:trPr>
          <w:trHeight w:val="162"/>
        </w:trPr>
        <w:tc>
          <w:tcPr>
            <w:tcW w:w="514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24"/>
        </w:trPr>
        <w:tc>
          <w:tcPr>
            <w:tcW w:w="51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324"/>
        </w:trPr>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304"/>
        </w:trPr>
        <w:tc>
          <w:tcPr>
            <w:tcW w:w="51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324</w:t>
            </w:r>
          </w:p>
        </w:tc>
      </w:tr>
      <w:tr>
        <w:trPr>
          <w:trHeight w:val="324"/>
        </w:trPr>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r>
      <w:tr>
        <w:trPr>
          <w:trHeight w:val="324"/>
        </w:trPr>
        <w:tc>
          <w:tcPr>
            <w:tcW w:w="51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261</w:t>
            </w:r>
          </w:p>
        </w:tc>
      </w:tr>
      <w:tr>
        <w:trPr>
          <w:trHeight w:val="29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5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324"/>
        </w:trPr>
        <w:tc>
          <w:tcPr>
            <w:tcW w:w="5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3"/>
                <w:szCs w:val="23"/>
                <w:color w:val="auto"/>
                <w:vertAlign w:val="superscript"/>
              </w:rPr>
              <w:t>(c)</w:t>
            </w: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9"/>
        </w:trPr>
        <w:tc>
          <w:tcPr>
            <w:tcW w:w="51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412</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060" w:hanging="242"/>
        <w:spacing w:after="0"/>
        <w:tabs>
          <w:tab w:leader="none" w:pos="10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45"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32"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35</w:t>
      </w:r>
    </w:p>
    <w:p>
      <w:pPr>
        <w:sectPr>
          <w:pgSz w:w="11900" w:h="16838" w:orient="portrait"/>
          <w:cols w:equalWidth="0" w:num="1">
            <w:col w:w="10920"/>
          </w:cols>
          <w:pgMar w:left="320" w:top="378" w:right="6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7 | MD&amp;A</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648"/>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DRE Results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99"/>
        </w:trPr>
        <w:tc>
          <w:tcPr>
            <w:tcW w:w="2780" w:type="dxa"/>
            <w:vAlign w:val="bottom"/>
          </w:tcPr>
          <w:p>
            <w:pPr>
              <w:spacing w:after="0"/>
              <w:rPr>
                <w:sz w:val="24"/>
                <w:szCs w:val="24"/>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20" w:type="dxa"/>
            <w:vAlign w:val="bottom"/>
          </w:tcPr>
          <w:p>
            <w:pPr>
              <w:spacing w:after="0"/>
              <w:rPr>
                <w:sz w:val="24"/>
                <w:szCs w:val="24"/>
                <w:color w:val="auto"/>
              </w:rPr>
            </w:pPr>
          </w:p>
        </w:tc>
        <w:tc>
          <w:tcPr>
            <w:tcW w:w="12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4"/>
                <w:szCs w:val="24"/>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4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 31, 2023</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8"/>
              </w:rPr>
              <w:t>1,682</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(1,007)</w:t>
            </w:r>
          </w:p>
        </w:tc>
        <w:tc>
          <w:tcPr>
            <w:tcW w:w="70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(208)</w:t>
            </w: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467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6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27.8  %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DRE revenues of $1.7 billion in 2024 increased by $146 million or 10% compared to 2023 with approximately 70% of the increase from wireline activity as a result of business acquisitions during the year and approximately 30% from drilling related services activity. Geographically, the Middle East/North Africa/Asia and Europe/Sub-Sahara Africa/Russia regions contributed approximately 50% and 30%, respectively, to the regions with revenue growth, offset by lower activity in the Latin America region.</w:t>
      </w:r>
    </w:p>
    <w:p>
      <w:pPr>
        <w:spacing w:after="0" w:line="19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DRE segment adjusted EBITDA of $467 million in 2024 increased by $45 million or 11% compared to 2023. DRE segment adjusted EBITDA margin was 27.8% in 2024 compared to 27.5% in 2023. The year-over-year improvement in segment adjusted EBITDA was primarily due to higher managed pressure drilling and wireline activity. This was partly offset by lower activity in Latin America. Both direct costs and other expense generally increased in line with the increase in activity. However, the rate of increase in direct costs and other expense was lower than the rate of increase in revenue, contributing to the slight increase in margin.</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2023 vs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20" w:type="dxa"/>
            <w:vAlign w:val="bottom"/>
          </w:tcPr>
          <w:p>
            <w:pPr>
              <w:spacing w:after="0"/>
              <w:rPr>
                <w:sz w:val="20"/>
                <w:szCs w:val="20"/>
                <w:color w:val="auto"/>
              </w:rPr>
            </w:pPr>
          </w:p>
        </w:tc>
        <w:tc>
          <w:tcPr>
            <w:tcW w:w="12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0"/>
                <w:szCs w:val="20"/>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4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 31, 2022</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8"/>
              </w:rPr>
              <w:t>1,536</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76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(920)</w:t>
            </w:r>
          </w:p>
        </w:tc>
        <w:tc>
          <w:tcPr>
            <w:tcW w:w="70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(194)</w:t>
            </w: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422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92"/>
        </w:trPr>
        <w:tc>
          <w:tcPr>
            <w:tcW w:w="27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Segment Adj EBITDA Margin</w:t>
            </w: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90"/>
              <w:spacing w:after="0" w:line="192" w:lineRule="exact"/>
              <w:rPr>
                <w:sz w:val="20"/>
                <w:szCs w:val="20"/>
                <w:color w:val="auto"/>
              </w:rPr>
            </w:pPr>
            <w:r>
              <w:rPr>
                <w:rFonts w:ascii="Times New Roman" w:cs="Times New Roman" w:eastAsia="Times New Roman" w:hAnsi="Times New Roman"/>
                <w:sz w:val="18"/>
                <w:szCs w:val="18"/>
                <w:color w:val="auto"/>
              </w:rPr>
              <w:t>308</w:t>
            </w:r>
          </w:p>
        </w:tc>
      </w:tr>
      <w:tr>
        <w:trPr>
          <w:trHeight w:val="261"/>
        </w:trPr>
        <w:tc>
          <w:tcPr>
            <w:tcW w:w="27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27.5  %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1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DRE revenues of $1.5 billion in 2023 increased by $208 million or 16% compared to 2022 due to higher demand and activity with approximately 70% of the increase from drilling-related services. Geographically, approximately 55% of the overall revenue growth came from Latin America and approximately 25% from the Middle East/North Africa/Asia regions.</w:t>
      </w:r>
    </w:p>
    <w:p>
      <w:pPr>
        <w:spacing w:after="0" w:line="20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DRE segment adjusted EBITDA of $422 million in 2023 increased by $98 million or 30% compared to 2022. DRE segment adjusted EBITDA margin was 27.5% in 2023 compared to 24.4% in 2022. The rate of increase in direct costs and other expense was lower than the rate of increase in revenue, contributing to the increase in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36</w:t>
      </w:r>
    </w:p>
    <w:p>
      <w:pPr>
        <w:sectPr>
          <w:pgSz w:w="11900" w:h="16838" w:orient="portrait"/>
          <w:cols w:equalWidth="0" w:num="1">
            <w:col w:w="11240"/>
          </w:cols>
          <w:pgMar w:left="320" w:top="37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7 | MD&amp;A</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648"/>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WCC Results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2780" w:type="dxa"/>
            <w:vAlign w:val="bottom"/>
          </w:tcPr>
          <w:p>
            <w:pPr>
              <w:spacing w:after="0"/>
              <w:rPr>
                <w:sz w:val="22"/>
                <w:szCs w:val="22"/>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80" w:type="dxa"/>
            <w:vAlign w:val="bottom"/>
          </w:tcPr>
          <w:p>
            <w:pPr>
              <w:spacing w:after="0"/>
              <w:rPr>
                <w:sz w:val="22"/>
                <w:szCs w:val="22"/>
                <w:color w:val="auto"/>
              </w:rPr>
            </w:pPr>
          </w:p>
        </w:tc>
        <w:tc>
          <w:tcPr>
            <w:tcW w:w="1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2"/>
                <w:szCs w:val="22"/>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4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 31, 2023</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8"/>
              </w:rPr>
              <w:t>1,976</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(1,174)</w:t>
            </w: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(238)</w:t>
            </w: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564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92"/>
        </w:trPr>
        <w:tc>
          <w:tcPr>
            <w:tcW w:w="27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Segment Adj EBITDA Margin</w:t>
            </w: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90"/>
              <w:spacing w:after="0" w:line="192" w:lineRule="exact"/>
              <w:rPr>
                <w:sz w:val="20"/>
                <w:szCs w:val="20"/>
                <w:color w:val="auto"/>
              </w:rPr>
            </w:pPr>
            <w:r>
              <w:rPr>
                <w:rFonts w:ascii="Times New Roman" w:cs="Times New Roman" w:eastAsia="Times New Roman" w:hAnsi="Times New Roman"/>
                <w:sz w:val="18"/>
                <w:szCs w:val="18"/>
                <w:color w:val="auto"/>
              </w:rPr>
              <w:t>326</w:t>
            </w:r>
          </w:p>
        </w:tc>
      </w:tr>
      <w:tr>
        <w:trPr>
          <w:trHeight w:val="261"/>
        </w:trPr>
        <w:tc>
          <w:tcPr>
            <w:tcW w:w="27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28.5  %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WCC revenues of $2.0 billion in 2024 increased by $176 million or 10% compared to 2023 due to higher demand and activity with approximately 50% of the increase from completions and approximately 30% from liner hangers, partly offset by a decrease in cementation products activity. Geographically, international regions drove revenue growth with the Middle East/North Africa/Asia region contributing approximately 80% of the international revenue growth, partly offset by a decline in North America.</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WCC segment adjusted EBITDA of $564 million in 2024 increased by $109 million or 24% compared to 2023. WCC segment adjusted EBITDA margin was 28.5% in 2024 compared to 25.3% in 2023. The year-over-year improvement in segment adjusted EBITDA was primarily due to an increase of overall activity in the Middle East/North Africa/Asia region and improved margin fall through in major product lines across all geographies. Direct costs generally increased in line with the increase in activity. However, the rate of increase in direct costs was lower than the rate of increase in revenue, contributing to the increase in margin. Other expense also contributed to the increase in margin as expenses declined year-over-year due to a reduction in selling, general and administrative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vs 2022</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513"/>
        </w:trPr>
        <w:tc>
          <w:tcPr>
            <w:tcW w:w="2780" w:type="dxa"/>
            <w:vAlign w:val="bottom"/>
          </w:tcPr>
          <w:p>
            <w:pPr>
              <w:spacing w:after="0"/>
              <w:rPr>
                <w:sz w:val="24"/>
                <w:szCs w:val="24"/>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80" w:type="dxa"/>
            <w:vAlign w:val="bottom"/>
          </w:tcPr>
          <w:p>
            <w:pPr>
              <w:spacing w:after="0"/>
              <w:rPr>
                <w:sz w:val="24"/>
                <w:szCs w:val="24"/>
                <w:color w:val="auto"/>
              </w:rPr>
            </w:pPr>
          </w:p>
        </w:tc>
        <w:tc>
          <w:tcPr>
            <w:tcW w:w="1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4"/>
                <w:szCs w:val="24"/>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4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 31, 2022</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8"/>
              </w:rPr>
              <w:t>1,800</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(1,091)</w:t>
            </w:r>
          </w:p>
        </w:tc>
        <w:tc>
          <w:tcPr>
            <w:tcW w:w="70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(254)</w:t>
            </w: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455</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83"/>
        </w:trPr>
        <w:tc>
          <w:tcPr>
            <w:tcW w:w="27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Segment Adj EBITDA Margin</w:t>
            </w: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90"/>
              <w:spacing w:after="0" w:line="183" w:lineRule="exact"/>
              <w:rPr>
                <w:sz w:val="20"/>
                <w:szCs w:val="20"/>
                <w:color w:val="auto"/>
              </w:rPr>
            </w:pPr>
            <w:r>
              <w:rPr>
                <w:rFonts w:ascii="Times New Roman" w:cs="Times New Roman" w:eastAsia="Times New Roman" w:hAnsi="Times New Roman"/>
                <w:sz w:val="18"/>
                <w:szCs w:val="18"/>
                <w:color w:val="auto"/>
              </w:rPr>
              <w:t>562</w:t>
            </w:r>
          </w:p>
        </w:tc>
      </w:tr>
      <w:tr>
        <w:trPr>
          <w:trHeight w:val="270"/>
        </w:trPr>
        <w:tc>
          <w:tcPr>
            <w:tcW w:w="27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25.3  %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0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WCC revenues of $1.8 billion in 2023 increased by $279 million or 18% compared to 2022 due to higher demand and activity with approximately 75% of the increase from completions and cementation products. Geographically, international regions contributed to approximately all of the overall revenue growth with 50% from the Middle East/North Africa/Asia. Latin America along with Europe/Sub-Sahara Africa/Russia equally contributed to the remaining overall revenue growth.</w:t>
      </w:r>
    </w:p>
    <w:p>
      <w:pPr>
        <w:spacing w:after="0" w:line="21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WCC segment adjusted EBITDA of $455 million in 2023 increased by $156 million or 52% compared to 2022. WCC segment adjusted EBITDA margin was 25.3% in 2023 compared to 19.7% in 2022. Additionally, the rate of increase in direct costs and other expense was lower than the rate of increase in revenue, contributing to the increase in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37</w:t>
      </w:r>
    </w:p>
    <w:p>
      <w:pPr>
        <w:sectPr>
          <w:pgSz w:w="11900" w:h="16838" w:orient="portrait"/>
          <w:cols w:equalWidth="0" w:num="1">
            <w:col w:w="11240"/>
          </w:cols>
          <w:pgMar w:left="320" w:top="37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7 | MD&amp;A</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648"/>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 Results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2024 vs 2023</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2780" w:type="dxa"/>
            <w:vAlign w:val="bottom"/>
          </w:tcPr>
          <w:p>
            <w:pPr>
              <w:spacing w:after="0"/>
              <w:rPr>
                <w:sz w:val="22"/>
                <w:szCs w:val="22"/>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500" w:type="dxa"/>
            <w:vAlign w:val="bottom"/>
          </w:tcPr>
          <w:p>
            <w:pPr>
              <w:spacing w:after="0"/>
              <w:rPr>
                <w:sz w:val="22"/>
                <w:szCs w:val="22"/>
                <w:color w:val="auto"/>
              </w:rPr>
            </w:pPr>
          </w:p>
        </w:tc>
        <w:tc>
          <w:tcPr>
            <w:tcW w:w="10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2"/>
                <w:szCs w:val="22"/>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4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 31, 2023</w:t>
            </w:r>
          </w:p>
        </w:tc>
        <w:tc>
          <w:tcPr>
            <w:tcW w:w="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8"/>
              </w:rPr>
              <w:t>1,452</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76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(955)</w:t>
            </w:r>
          </w:p>
        </w:tc>
        <w:tc>
          <w:tcPr>
            <w:tcW w:w="70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(178)</w:t>
            </w: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6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n/m</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 revenues of $1.5 billion in 2024 decreased by $20 million or 1% compared to 2023 due to lower demand and activity. Of the product lines with year-over-year revenue decline, approximately 65% of the decrease was from pressure pumping. This was partly offset by a revenue increase in intervention services and drilling tools due to increased activity mainly after business acquisitions during 2024. Geographically, the North America and Latin America regions had approximately 50% and 30%, respectively, of the decrease for regions with a revenue decline. This was partly offset by a revenue increase in the Europe/Sub-Sahara Africa/Russia region.</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 segment adjusted EBITDA of $319 million in 2024 decreased by $4 million or 1% compared to 2023. PRI segment adjusted EBITDA margin was 22.0% in 2024 compared to 21.9% in 2023. The year-over-year decline in segment adjusted EBITDA was primarily due to drop in international pressure pumping activity as well as lower digital solutions activity and margin fall through. This was partly offset by higher margin artificial lift activity. Direct costs were essentially flat year-over-year, while other expense declined year-over-year due to a reduction in selling, general and administrative costs. The decrease in costs partly offset the decrease in revenue, which contributed to the slight increase in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vs 2022</w:t>
            </w: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513"/>
        </w:trPr>
        <w:tc>
          <w:tcPr>
            <w:tcW w:w="2780" w:type="dxa"/>
            <w:vAlign w:val="bottom"/>
          </w:tcPr>
          <w:p>
            <w:pPr>
              <w:spacing w:after="0"/>
              <w:rPr>
                <w:sz w:val="24"/>
                <w:szCs w:val="24"/>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40" w:type="dxa"/>
            <w:vAlign w:val="bottom"/>
          </w:tcPr>
          <w:p>
            <w:pPr>
              <w:spacing w:after="0"/>
              <w:rPr>
                <w:sz w:val="24"/>
                <w:szCs w:val="24"/>
                <w:color w:val="auto"/>
              </w:rPr>
            </w:pPr>
          </w:p>
        </w:tc>
        <w:tc>
          <w:tcPr>
            <w:tcW w:w="12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4"/>
                <w:szCs w:val="24"/>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4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 31, 2022</w:t>
            </w:r>
          </w:p>
        </w:tc>
        <w:tc>
          <w:tcPr>
            <w:tcW w:w="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r>
      <w:tr>
        <w:trPr>
          <w:trHeight w:val="3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8"/>
              </w:rPr>
              <w:t>1,472</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76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(953)</w:t>
            </w:r>
          </w:p>
        </w:tc>
        <w:tc>
          <w:tcPr>
            <w:tcW w:w="700" w:type="dxa"/>
            <w:vAlign w:val="bottom"/>
          </w:tcPr>
          <w:p>
            <w:pPr>
              <w:spacing w:after="0"/>
              <w:rPr>
                <w:sz w:val="24"/>
                <w:szCs w:val="2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(196)</w:t>
            </w:r>
          </w:p>
        </w:tc>
        <w:tc>
          <w:tcPr>
            <w:tcW w:w="7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323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83"/>
        </w:trPr>
        <w:tc>
          <w:tcPr>
            <w:tcW w:w="27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Segment Adj EBITDA Margin</w:t>
            </w: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90"/>
              <w:spacing w:after="0" w:line="183" w:lineRule="exact"/>
              <w:rPr>
                <w:sz w:val="20"/>
                <w:szCs w:val="20"/>
                <w:color w:val="auto"/>
              </w:rPr>
            </w:pPr>
            <w:r>
              <w:rPr>
                <w:rFonts w:ascii="Times New Roman" w:cs="Times New Roman" w:eastAsia="Times New Roman" w:hAnsi="Times New Roman"/>
                <w:sz w:val="18"/>
                <w:szCs w:val="18"/>
                <w:color w:val="auto"/>
              </w:rPr>
              <w:t>323</w:t>
            </w:r>
          </w:p>
        </w:tc>
      </w:tr>
      <w:tr>
        <w:trPr>
          <w:trHeight w:val="270"/>
        </w:trPr>
        <w:tc>
          <w:tcPr>
            <w:tcW w:w="27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n/m</w:t>
            </w: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0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PRI revenues of $1.5 billion in 2023 increased by $77 million or 6% compared to 2022 due to higher demand and activity with approximately 75% of the increase from pressure pumping and intervention services and drilling tools. Geographically, international regions contributed approximately all of the overall revenue growth with approximately half from Latin America and half from the Middle East/North Africa/Asia. The increase was offset by a revenue decline in North America.</w:t>
      </w:r>
    </w:p>
    <w:p>
      <w:pPr>
        <w:spacing w:after="0" w:line="21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PRI segment adjusted EBITDA of $323 million in 2023 increased by $62 million or 24% compared to 2022. PRI segment adjusted EBITDA margin was 21.9% in 2023 compared to 18.7% in 2022. Direct costs were essentially flat year-over-year, however revenue more than offset the slightly higher rate of increase in other expense, contributing to the increase in margin.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81"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All other includes results from non-core business activities that do not individually meet the criteria for segment reporting, including integrated services and projects, which includes pass through services and project management services. All other revenues of $403 million, increased $76 million or 23%, in 2024 compared to 2023, primarily due to higher international integrated services and projects resulting in project efficiencies.</w:t>
      </w: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2024 Form 10-K | 38</w:t>
      </w:r>
    </w:p>
    <w:p>
      <w:pPr>
        <w:sectPr>
          <w:pgSz w:w="11900" w:h="16838" w:orient="portrait"/>
          <w:cols w:equalWidth="0" w:num="1">
            <w:col w:w="11240"/>
          </w:cols>
          <w:pgMar w:left="320" w:top="378" w:right="339" w:bottom="1440" w:gutter="0" w:footer="0" w:header="0"/>
          <w:type w:val="continuous"/>
        </w:sectPr>
      </w:pPr>
    </w:p>
    <w:bookmarkStart w:id="41" w:name="page42"/>
    <w:bookmarkEnd w:id="41"/>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was a net expense of $52 million in 2024, which was flat compared to 2023.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68"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Depreciation and amortization expense in 2024 was $343 million, an increase of $16 million compared to 2023 primarily due to a larger asset base from an increase in our capital expenditures and acquisitions. See “Note 2 – Segment Information”, “Note 5 – Property, Plant and Equipment, Net”, “Note 6 – Intangible Assets, Net” and “Note 18 – Acquisitions”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6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record share-based compensation expense in “Selling, General and Administrative” on the accompanying Consolidated Statements of Operations. We recognized $45 million in 2024 and $35 million in 2023. The increase was primarily attributable to the cost of performance share units. See “Note 13 – Share-Based Compensation”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Growth and spending in the energy services industry is highly dependent on many external factors. These include but are not limited to; the impact from geopolitical conflicts; our customers’ capital expenditures; environmental, social and governance and other sustainability policies and initiatives; world economic, political, trade, and weather conditions; the price of oil, natural gas, and alternatives; and, member-country quota compliance within the Organization of Petroleum Exporting Countries and the expanded alliance (OPEC+); non-OPEC+ investments and project timing. Imbalance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 In the short term, we see increased focus on capital discipline and efficiencies, particularly in our Latin American and North American regions, which we expect to negatively impact demand for our services and products in 2025, as our customers regulate activity timing and services spending, relative to macro-driven factors listed above. We also expect a decline in activity in Russia in 2025. However, we remain constructive on our activity profile over the next several years, as we expect positive macroeconomic conditions coupled with our focus on technology adoption and market penetration, to provide a pathway to multi-year energy demand expansion. The mix of customer spending related to regional and operating environment factors (short-cycle vs. long-cycle projects, offshore vs onshore, reservoir and well development cycles) may also influence the timing, type, and intensity of demand for products and services within our portfolio. We continue to closely monitor macroeconomic conditions, potential supply chain disruptions, inflationary factors, and other labor and logistical constraints that could impact our operations and results.</w:t>
      </w:r>
    </w:p>
    <w:p>
      <w:pPr>
        <w:spacing w:after="0" w:line="224"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 us to deliver our products and services at competitive rates. Over the long-term, we expect demand for oil and natural gas exploration and production industry as well as new energy platforms to continue to require more advanced technology from the energy service industry. Weatherford delivers innovative energy services that integrate proven technologies with advanced digitization to create sustainable offerings for maximized value and return on investment. We continue to expand our product and services offerings across the well cycle, including well construction and completions remote monitoring, and predictive analytics. Our resiliency continued to show in our performance through 2024, allowing us to also make improvements on our capital structure through debt reduction. We believe we are well positioned to satisfy our customers’ needs, but the level of improvement in our businesses in the future will continue to depend heavily on pricing, volume of work, our ability to offer cost efficient, innovative and effective technology solutions, and our success in gaining market share in new and existing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Weatherford International plc – 2024</w:t>
      </w:r>
    </w:p>
    <w:p>
      <w:pPr>
        <w:sectPr>
          <w:pgSz w:w="11900" w:h="16838" w:orient="portrait"/>
          <w:cols w:equalWidth="0" w:num="1">
            <w:col w:w="11240"/>
          </w:cols>
          <w:pgMar w:left="320" w:top="378" w:right="3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97"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At December 31, 2024, we had cash and cash equivalents of $916 million and $59 million in restricted cash, compared to $958 million of cash and cash equivalents and $105 million of restricted cash at December 31, 2023. The following table summarizes cash provided by (used in) each type of business activity in the periods presented:</w:t>
      </w:r>
    </w:p>
    <w:p>
      <w:pPr>
        <w:spacing w:after="0" w:line="2" w:lineRule="exact"/>
        <w:rPr>
          <w:sz w:val="20"/>
          <w:szCs w:val="20"/>
          <w:color w:val="auto"/>
        </w:rPr>
      </w:pPr>
    </w:p>
    <w:tbl>
      <w:tblPr>
        <w:tblLayout w:type="fixed"/>
        <w:tblInd w:w="136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31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0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0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792</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832</w:t>
            </w:r>
          </w:p>
        </w:tc>
      </w:tr>
      <w:tr>
        <w:trPr>
          <w:trHeight w:val="3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32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bl>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9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Cash provided by operating activities in 2024 was $792 million. The primary operating source of cash was from higher operating income and collections, partly offset by operating spend. The year-over-year decrease was driven by spend on payments to suppliers.</w:t>
      </w:r>
    </w:p>
    <w:p>
      <w:pPr>
        <w:spacing w:after="0" w:line="203"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Cash provided by operating activities in 2023 was $832 million. The primary source of cash was from heightened collections activity from our largest customer in Mexico.</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83"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Cash used in investing activities in 2024 was $293 million. The uses of cash in investing activities were for capital expenditures of $299 million, business acquisitions net of cash acquired of $51 million (see “Note 18 – Acquisitions”) and the purchase of Blue Chip Swap securities in Argentina for $50 million (see “Note 17 – Blue Chip Swap Securities - Argentina”). The uses of cash were offset by Blue Chip Swap proceeds of $40 million, $31 million in proceeds from the disposition of assets and $36 million of other investing activities that primarily consisted of sales of short-term investments.</w:t>
      </w:r>
    </w:p>
    <w:p>
      <w:pPr>
        <w:spacing w:after="0" w:line="200" w:lineRule="exact"/>
        <w:rPr>
          <w:sz w:val="20"/>
          <w:szCs w:val="20"/>
          <w:color w:val="auto"/>
        </w:rPr>
      </w:pPr>
    </w:p>
    <w:p>
      <w:pPr>
        <w:spacing w:after="0" w:line="26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Cash used in investing activities in 2023 was $289 million. The primary uses of cash in investing activities were for capital expenditures of $209 million, the purchase of Blue Chip Swap securities in Argentina for $110 million (see “Note 17 – Blue Chip Swap Securities - Argentina”), and $47 million of other investing activities that primarily consisted of purchases of short-term investments. The uses of cash were offset by Blue Chip Swap proceeds of $53 million and $28 million in proceeds from the disposition of assets.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Cash used in financing activities in 2024 was $511 million. The primary uses of cash in financing activities were for repayments and repurchases of long-term debt of $287 million (see “Note 8 – Borrowings and Other Debt Obligations”), $99 million for share repurchases (see “Note 14 – Shareholders’ Equity”), $36 million for dividend payments (see “Note 14 – Shareholders’ Equity”) and distributions to noncontrolling interests of $39 million. In addition, we paid $31 million in tax remittances on equity awards. The tax remittances were lower than the same period of the prior year due to a decrease in the quantity of shares vesting. The remaining financing cash uses were primarily for bond redemption premiums and contingent considerations (see “Note 18 – Acquisitions”).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40</w:t>
      </w:r>
    </w:p>
    <w:p>
      <w:pPr>
        <w:sectPr>
          <w:pgSz w:w="11900" w:h="16838" w:orient="portrait"/>
          <w:cols w:equalWidth="0" w:num="1">
            <w:col w:w="11240"/>
          </w:cols>
          <w:pgMar w:left="320" w:top="378" w:right="33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Cash used in financing activities in 2023 was $514 million. The primary uses of cash in financing activities were for repayments and repurchases of long-term debt of $386 million (see “Note 8 – Borrowings and Other Debt Obligations”) and $56 million in tax remittances on equity awards. Additionally, we paid distributions to noncontrolling interests of $52 million. The remaining financing cash uses were primarily for financing fees paid on the Credit Agreement and bond redemption premiums.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and financial obligations, both in the short-term and long-term.</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56"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shareholder returns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below under “Derivative Financial Instruments” and in “Note 10 – Derivative Financial Instruments.”</w:t>
      </w:r>
    </w:p>
    <w:p>
      <w:pPr>
        <w:spacing w:after="0" w:line="22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As of December 31, 2024, we had outstanding debt of $1.6 billion in aggregate principal amount for our 2030 Senior Notes. We expect $138 million in interest payments annually in 2025 and each year thereafter until the maturity of our 2030 Senior Notes. See “Note 8 – Borrowings and Other Debt Obligations” for additional information.</w:t>
      </w:r>
    </w:p>
    <w:p>
      <w:pPr>
        <w:spacing w:after="0" w:line="21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months rolling period and our 2025 capital spend is projected to fall within the same framework. Our payments on our operating and finance leases in 2025 are expected to be approximately $73 million and $220 million in the years thereafter. See “Note 7 – Leases” for additional information.</w:t>
      </w:r>
    </w:p>
    <w:p>
      <w:pPr>
        <w:spacing w:after="0" w:line="19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December 31, 2024 we had approximately $127 million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(see “Note 17 – Blue Chip Swap Securities - Argentina”), which may contribute to a decrease in cash and cash equivalents that cannot be immediately repatriated. As we continue to conduct business in Argentina and in other countries with cash that cannot be immediately repatriated, we may consider infrequent transactions like the BCS transaction in the future to safeguard our cash from exposure to the effects of inflation and currency devaluation.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credit ratings at December 31, 2024 were upgraded since December 31, 2023 and outlook maintained, as follows:</w:t>
      </w:r>
    </w:p>
    <w:p>
      <w:pPr>
        <w:spacing w:after="0" w:line="50" w:lineRule="exact"/>
        <w:rPr>
          <w:sz w:val="20"/>
          <w:szCs w:val="20"/>
          <w:color w:val="auto"/>
        </w:rPr>
      </w:pPr>
    </w:p>
    <w:p>
      <w:pPr>
        <w:ind w:left="660" w:right="20" w:hanging="328"/>
        <w:spacing w:after="0" w:line="31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(“S&amp;P) and Fitch Ratings (“Fitch”) upgraded our issuer credit ratings from ‘B+’ to ‘BB-’, S&amp;P maintained a positive outlook and Fitch maintained a stable outlook</w:t>
      </w:r>
    </w:p>
    <w:p>
      <w:pPr>
        <w:spacing w:after="0" w:line="200" w:lineRule="exact"/>
        <w:rPr>
          <w:sz w:val="20"/>
          <w:szCs w:val="20"/>
          <w:color w:val="auto"/>
        </w:rPr>
      </w:pPr>
    </w:p>
    <w:p>
      <w:pPr>
        <w:spacing w:after="0" w:line="39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41</w:t>
      </w:r>
    </w:p>
    <w:p>
      <w:pPr>
        <w:sectPr>
          <w:pgSz w:w="11900" w:h="16838" w:orient="portrait"/>
          <w:cols w:equalWidth="0" w:num="1">
            <w:col w:w="11240"/>
          </w:cols>
          <w:pgMar w:left="320" w:top="378" w:right="339"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41" w:lineRule="exact"/>
        <w:rPr>
          <w:sz w:val="20"/>
          <w:szCs w:val="20"/>
          <w:color w:val="auto"/>
        </w:rPr>
      </w:pPr>
    </w:p>
    <w:p>
      <w:pPr>
        <w:ind w:left="660" w:right="20" w:hanging="328"/>
        <w:spacing w:after="0" w:line="32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Moody's Investors Service (Moody's) upgraded several of our ratings including the Corporate Family Rating from B1 to Ba3; Moody’s maintained a positive outlook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9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2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of December 31, 2024, and December 31, 2023, Mexico accounted for 31% and 27% of our total net accounts receivables, respectively, of which our largest customer in the country accounted for 26% and 22%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spacing w:after="0" w:line="204"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During the twelve months ended December 31, 2024 we paid an immaterial amount of fees to third-party financial institutions related to collections of certain receivables from our largest customer in Mexico. Pursuant to such arrangements, we received $484 million during the twelve months ended December 31,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7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discounts and hold-back. During 2024 and 2023, we sold accounts receivable balances of $111 million and $210 million, respectively, and received cash proceeds of $110 million and $202 million, respectively, at the time of factoring. These proceeds are included as operating cash flows in our Consolidated Statements of Cash Flows.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enter into foreign currency forward contracts to mitigate the risk of future cash flows denominated in a foreign currency. The amounts will fluctuate, depending on exchange rate volatility, the volume of our foreign currency transactions, and our decisions to hedge. During the fourth quarters of 2024 and 2023, we entered into credit default swaps (“CDS”), further described below. The notional amounts of our foreign currency forward contracts and the CDS do not generally represent cash amounts exchanged by the parties and are calculated based on the terms of the derivative instrument. See also “Note 10 – Derivative Financial Instruments”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Weatherford International plc – 2024</w:t>
      </w:r>
    </w:p>
    <w:p>
      <w:pPr>
        <w:sectPr>
          <w:pgSz w:w="11900" w:h="16838" w:orient="portrait"/>
          <w:cols w:equalWidth="0" w:num="1">
            <w:col w:w="11240"/>
          </w:cols>
          <w:pgMar w:left="320" w:top="378" w:right="33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Default Swap</w:t>
      </w:r>
    </w:p>
    <w:p>
      <w:pPr>
        <w:spacing w:after="0" w:line="29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During the fourth quarter of 2024, we entered into a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2024. Under the CDS terms, within 5 business days upon notification of default, we could be required to pay the then outstanding notional balance net of recoveries. As of December 31, 2024 we had a notional balance of $25 million outstanding under the CDS. Management expects the total notional balance under the CDS to decrease to $14 million and nil by December 31, 2025 and December 31, 2026.</w:t>
      </w:r>
    </w:p>
    <w:p>
      <w:pPr>
        <w:spacing w:after="0" w:line="224"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A CDS was entered into during the fourth quarter of 2023 with the same parties for similar reasons as in the fourth quarter of 2024, and accordingly, in the fourth quarter of 2023 and January of 2024, we received $140 million and $142 million, respectively. As of December 31, 2023, we had a notional balance of $130 million outstanding under the CDS, which increased to $260 million in January of 2024, following the receipt of the $142 million payment. The agreement was modified in the second quarter of 2024 to reduce the notional balance, and then terminated in the third quarter of 2024, extinguishing the remaining notional balance.</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remaining principal of our 2028 Senior Secured Notes was redeemed and paid in full on May 23, 2024.</w:t>
      </w:r>
    </w:p>
    <w:p>
      <w:pPr>
        <w:spacing w:after="0" w:line="21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2030 Senior Notes were issued by Weatherford Bermuda and guaranteed by the Company and other subsidiary guarantors party thereto. On December 1, 2022, the indenture related to our 2030 Senior Notes was amended and supplemented to add Weatherford Delaware as co-issuer and co-obligor, and concurrently released the guarantee of Weatherford Delaware.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97"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20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As of December 31, 2024, we had zero borrowings outstanding under the Credit Agreement, and $382 million of letters of credit outstanding, consisting of the $291 million ($279 million for performance letters of credit and $12 million for financial letters of credit) under the Credit Agreement and another $91 million under various uncommitted bi-lateral facilities (of which there was $49 million in cash collateral held and recorded in “Restricted Cash”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43</w:t>
      </w:r>
    </w:p>
    <w:p>
      <w:pPr>
        <w:sectPr>
          <w:pgSz w:w="11900" w:h="16838" w:orient="portrait"/>
          <w:cols w:equalWidth="0" w:num="1">
            <w:col w:w="11240"/>
          </w:cols>
          <w:pgMar w:left="320" w:top="378" w:right="33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spacing w:after="0" w:line="21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December 31, 2024, we had $520 million of surety bonds outstanding. A breach of certain contractual or performance obligations under our outstanding letters of credit or surety bonds could result in beneficiaries calling such instruments, which could reduce our available liquidity if we are unable to mitigate the issue.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83"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 is based upon our Consolidated Financial Statements. We prepare these consolidated financial statements in conformity with accounting principles generally accepted in the United States of America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81"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(“PP&amp;E”), definite-lived intangibles and operating lease assets, comprise a significant amount of our assets. The carrying value of our long-lived assets at December 31, 2024 and December 31, 2023 was approximately $1.5 billion. The cost of the long-lived assets is then amortized over its expected useful life or their respective lease terms, if applicable. A change in the estimated useful lives of our long-lived assets would have an impact on our results of operations. We estimate the useful lives of our long-lived assets over their respective lease terms, if applicable, or as follows:</w:t>
      </w:r>
    </w:p>
    <w:p>
      <w:pPr>
        <w:spacing w:after="0" w:line="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30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Buildings and Leasehold </w:t>
            </w:r>
            <w:r>
              <w:rPr>
                <w:rFonts w:ascii="Times New Roman" w:cs="Times New Roman" w:eastAsia="Times New Roman" w:hAnsi="Times New Roman"/>
                <w:sz w:val="10"/>
                <w:szCs w:val="10"/>
                <w:color w:val="auto"/>
              </w:rPr>
              <w:t>I</w:t>
            </w:r>
            <w:r>
              <w:rPr>
                <w:rFonts w:ascii="Times New Roman" w:cs="Times New Roman" w:eastAsia="Times New Roman" w:hAnsi="Times New Roman"/>
                <w:sz w:val="18"/>
                <w:szCs w:val="18"/>
                <w:color w:val="auto"/>
              </w:rPr>
              <w:t>mprovements</w:t>
            </w:r>
          </w:p>
        </w:tc>
        <w:tc>
          <w:tcPr>
            <w:tcW w:w="5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 – 40 years</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 – 10 years</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5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 – 12 years</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 – 10 years</w:t>
            </w:r>
          </w:p>
        </w:tc>
      </w:tr>
    </w:tbl>
    <w:p>
      <w:pPr>
        <w:spacing w:after="0" w:line="314"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auto"/>
        </w:rPr>
        <w:t>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89"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Long-lived assets to be held and used by us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the asset group is not recoverable, and impairment is recognized to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44</w:t>
      </w:r>
    </w:p>
    <w:p>
      <w:pPr>
        <w:sectPr>
          <w:pgSz w:w="11900" w:h="16838" w:orient="portrait"/>
          <w:cols w:equalWidth="0" w:num="1">
            <w:col w:w="11240"/>
          </w:cols>
          <w:pgMar w:left="320" w:top="378" w:right="33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extent the carrying amount exceeds the estimated fair value of the asset group. A fair value assessment is performed on asset groups identified as not being recoverable using a discounted cash flow analysis or Level 3 fair value analysis, to determine if an impairment has occurred. The discounted cash flow analysis consists of estimating the future cash flows that are directly associated with, and are expected to arise from, the use and eventual disposition of the asset group over its remaining useful life. These estimated discounted cash flows are inherently subjective and includes significant assumptions, specifically the forecasted revenue, forecasted operating margins, and the discount rate assumptions and require estimates based upon historical experience and future expectations. The fair value of the asset group is measured using market prices, or in the absence of market prices, is based on an estimate of discounted cash flows. Cash flows are discounted at an interest rate commensurate with our weighted average cost of capital for a similar asset.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an impairment has occurred, the Company recognizes a loss for the difference between the carrying amount and the fair value of the asset group.</w:t>
      </w:r>
    </w:p>
    <w:p>
      <w:pPr>
        <w:spacing w:after="0" w:line="279"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group long-lived assets by product line. We have long-lived assets, such as facilities, utilized by multiple operating divisions that do not have identifiable cash flows and impairment testing for these long-lived assets is based on the consolidated entity. We did not recognize long-lived assets impairments during 2024, 2023 and 2022.</w:t>
      </w:r>
    </w:p>
    <w:p>
      <w:pPr>
        <w:spacing w:after="0" w:line="189"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Management cannot predict the occurrence of future impairment-triggering events, so we continue to assess whether indicators of impairment to long-lived assets exist due to the current business conditions in the energy services industry.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16 – Income Taxes” for detailed discussion of results.</w:t>
      </w:r>
    </w:p>
    <w:p>
      <w:pPr>
        <w:spacing w:after="0" w:line="218"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29"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7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45</w:t>
      </w:r>
    </w:p>
    <w:p>
      <w:pPr>
        <w:sectPr>
          <w:pgSz w:w="11900" w:h="16838" w:orient="portrait"/>
          <w:cols w:equalWidth="0" w:num="1">
            <w:col w:w="11240"/>
          </w:cols>
          <w:pgMar w:left="320" w:top="378" w:right="33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December 2023, Ireland enacted tax legislation that models the Organization of Economic Cooperation and Development (“OECD”) reform plans focused on global profit allocation and implementing a global minimum tax rate of at least 15% for large multinational corporations on a jurisdiction-by-jurisdiction basis, known as “Pillar Two.” This did not materially increase taxes in 2024 and is not expected to materially increase future taxes, however, as future legislation is enacted to implement the accord in other jurisdictions in which we have operations, it could materially increase the amount of taxes we owe, thereby negatively affecting our results of operations and our cash flows from operations.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Valuation Allowance for Deferred Tax Assets</w:t>
      </w:r>
    </w:p>
    <w:p>
      <w:pPr>
        <w:spacing w:after="0" w:line="281"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and various tax planning strategies.</w:t>
      </w:r>
    </w:p>
    <w:p>
      <w:pPr>
        <w:spacing w:after="0" w:line="201"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When the likelihood of the realization of existing deferred tax assets changes, adjustments to the valuation allowance are charged to our income tax provision in the period in which the determination is made. The Company concluded it was not able to realize the benefits of certain of its deferred tax assets and has established a valuation allowance. Our valuation allowance on our deferred tax assets was $1.1 billion and $1.3 billion as of December 31, 2024, and December 31,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8"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 – Item 1A. Risk Factors”, sets forth certain risks and uncertainties relating to our forward-looking statements that may cause actual results to be materially different from our present expectations or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46</w:t>
      </w:r>
    </w:p>
    <w:p>
      <w:pPr>
        <w:sectPr>
          <w:pgSz w:w="11900" w:h="16838" w:orient="portrait"/>
          <w:cols w:equalWidth="0" w:num="1">
            <w:col w:w="11240"/>
          </w:cols>
          <w:pgMar w:left="320" w:top="37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00" w:lineRule="exact"/>
        <w:rPr>
          <w:sz w:val="20"/>
          <w:szCs w:val="20"/>
          <w:color w:val="auto"/>
        </w:rPr>
      </w:pPr>
    </w:p>
    <w:p>
      <w:pPr>
        <w:spacing w:after="0" w:line="241" w:lineRule="exact"/>
        <w:rPr>
          <w:sz w:val="20"/>
          <w:szCs w:val="20"/>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and tariffs,</w:t>
      </w:r>
    </w:p>
    <w:p>
      <w:pPr>
        <w:spacing w:after="0" w:line="49" w:lineRule="exact"/>
        <w:rPr>
          <w:rFonts w:ascii="Times New Roman" w:cs="Times New Roman" w:eastAsia="Times New Roman" w:hAnsi="Times New Roman"/>
          <w:sz w:val="18"/>
          <w:szCs w:val="18"/>
          <w:color w:val="auto"/>
        </w:rPr>
      </w:pPr>
    </w:p>
    <w:p>
      <w:pPr>
        <w:ind w:left="480"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weak local economic conditions and international currency fluctuations (including the Russia Ukraine Conflict and conflicts in the Middle East);</w:t>
      </w:r>
    </w:p>
    <w:p>
      <w:pPr>
        <w:spacing w:after="0" w:line="1"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36" w:lineRule="exact"/>
        <w:rPr>
          <w:rFonts w:ascii="Times New Roman" w:cs="Times New Roman" w:eastAsia="Times New Roman" w:hAnsi="Times New Roman"/>
          <w:sz w:val="18"/>
          <w:szCs w:val="18"/>
          <w:color w:val="auto"/>
        </w:rPr>
      </w:pPr>
    </w:p>
    <w:p>
      <w:pPr>
        <w:ind w:left="480" w:right="20" w:hanging="327"/>
        <w:spacing w:after="0" w:line="289"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480" w:hanging="327"/>
        <w:spacing w:after="0" w:line="289"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1" w:lineRule="exact"/>
        <w:rPr>
          <w:rFonts w:ascii="Times New Roman" w:cs="Times New Roman" w:eastAsia="Times New Roman" w:hAnsi="Times New Roman"/>
          <w:sz w:val="18"/>
          <w:szCs w:val="18"/>
          <w:color w:val="auto"/>
        </w:rPr>
      </w:pPr>
    </w:p>
    <w:p>
      <w:pPr>
        <w:ind w:left="480" w:right="200" w:hanging="327"/>
        <w:spacing w:after="0" w:line="273"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ind w:left="480" w:hanging="327"/>
        <w:spacing w:after="0" w:line="294"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Times New Roman" w:cs="Times New Roman" w:eastAsia="Times New Roman" w:hAnsi="Times New Roman"/>
          <w:sz w:val="18"/>
          <w:szCs w:val="18"/>
          <w:color w:val="auto"/>
        </w:rPr>
      </w:pPr>
    </w:p>
    <w:p>
      <w:pPr>
        <w:ind w:left="480" w:right="20" w:hanging="327"/>
        <w:spacing w:after="0" w:line="289"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ind w:left="480" w:hanging="327"/>
        <w:spacing w:after="0" w:line="289"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w:t>
      </w:r>
    </w:p>
    <w:p>
      <w:pPr>
        <w:spacing w:after="0" w:line="1" w:lineRule="exact"/>
        <w:rPr>
          <w:rFonts w:ascii="Times New Roman" w:cs="Times New Roman" w:eastAsia="Times New Roman" w:hAnsi="Times New Roman"/>
          <w:sz w:val="18"/>
          <w:szCs w:val="18"/>
          <w:color w:val="auto"/>
        </w:rPr>
      </w:pPr>
    </w:p>
    <w:p>
      <w:pPr>
        <w:jc w:val="both"/>
        <w:ind w:left="480" w:right="20" w:hanging="327"/>
        <w:spacing w:after="0" w:line="289"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w:t>
      </w:r>
    </w:p>
    <w:p>
      <w:pPr>
        <w:spacing w:after="0" w:line="1" w:lineRule="exact"/>
        <w:rPr>
          <w:rFonts w:ascii="Times New Roman" w:cs="Times New Roman" w:eastAsia="Times New Roman" w:hAnsi="Times New Roman"/>
          <w:sz w:val="18"/>
          <w:szCs w:val="18"/>
          <w:color w:val="auto"/>
        </w:rPr>
      </w:pPr>
    </w:p>
    <w:p>
      <w:pPr>
        <w:ind w:left="4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including vaccination requirements and the associated availability of vaccines, restrictions on business operations or social distancing requirements, and the duration and efficacy of such restrictions;</w:t>
      </w:r>
    </w:p>
    <w:p>
      <w:pPr>
        <w:spacing w:after="0" w:line="1"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3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49"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3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49" w:lineRule="exact"/>
        <w:rPr>
          <w:rFonts w:ascii="Times New Roman" w:cs="Times New Roman" w:eastAsia="Times New Roman" w:hAnsi="Times New Roman"/>
          <w:sz w:val="18"/>
          <w:szCs w:val="18"/>
          <w:color w:val="auto"/>
        </w:rPr>
      </w:pPr>
    </w:p>
    <w:p>
      <w:pPr>
        <w:jc w:val="both"/>
        <w:ind w:left="480" w:hanging="327"/>
        <w:spacing w:after="0" w:line="292"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lead times, and the lack of availability of our procured products and services;</w:t>
      </w:r>
    </w:p>
    <w:p>
      <w:pPr>
        <w:spacing w:after="0" w:line="3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49"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3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capital allocation framework;</w:t>
      </w:r>
    </w:p>
    <w:p>
      <w:pPr>
        <w:spacing w:after="0" w:line="49"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3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terms that are commercially acceptable to the Company;</w:t>
      </w:r>
    </w:p>
    <w:p>
      <w:pPr>
        <w:spacing w:after="0" w:line="49" w:lineRule="exact"/>
        <w:rPr>
          <w:rFonts w:ascii="Times New Roman" w:cs="Times New Roman" w:eastAsia="Times New Roman" w:hAnsi="Times New Roman"/>
          <w:sz w:val="18"/>
          <w:szCs w:val="18"/>
          <w:color w:val="auto"/>
        </w:rPr>
      </w:pPr>
    </w:p>
    <w:p>
      <w:pPr>
        <w:ind w:left="480" w:right="420" w:hanging="327"/>
        <w:spacing w:after="0" w:line="286"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Times New Roman" w:cs="Times New Roman" w:eastAsia="Times New Roman" w:hAnsi="Times New Roman"/>
          <w:sz w:val="18"/>
          <w:szCs w:val="18"/>
          <w:color w:val="auto"/>
        </w:rPr>
      </w:pPr>
    </w:p>
    <w:p>
      <w:pPr>
        <w:ind w:left="480" w:right="320" w:hanging="327"/>
        <w:spacing w:after="0" w:line="289" w:lineRule="auto"/>
        <w:tabs>
          <w:tab w:leader="none" w:pos="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49"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36"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Weatherford International plc – 2024 Form 10-K | 47</w:t>
      </w:r>
    </w:p>
    <w:p>
      <w:pPr>
        <w:sectPr>
          <w:pgSz w:w="11900" w:h="16838" w:orient="portrait"/>
          <w:cols w:equalWidth="0" w:num="1">
            <w:col w:w="10980"/>
          </w:cols>
          <w:pgMar w:left="580" w:top="378" w:right="33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0"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97"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Information related to market risk is included earlier in Item 7. Management's Discussion and Analysis of Financial Condition and Results of Operations – “Other Expense, Net” and “Derivative Financial Instruments” and later, in the Notes to Consolidated Financial Statements under Item 8. Financial Statements and Supplementary Data, in “Note 1 – Summary of Significant Accounting Policies”, “Note 9 – Fair Value of Financial Instruments, Assets and Other Assets” and “Note 10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2024 Form 10-K | 48</w:t>
      </w:r>
    </w:p>
    <w:p>
      <w:pPr>
        <w:sectPr>
          <w:pgSz w:w="11900" w:h="16838" w:orient="portrait"/>
          <w:cols w:equalWidth="0" w:num="1">
            <w:col w:w="11240"/>
          </w:cols>
          <w:pgMar w:left="320" w:top="378" w:right="339" w:bottom="1440" w:gutter="0" w:footer="0" w:header="0"/>
        </w:sectPr>
      </w:pPr>
    </w:p>
    <w:bookmarkStart w:id="51" w:name="page52"/>
    <w:bookmarkEnd w:id="51"/>
    <w:p>
      <w:pPr>
        <w:ind w:left="260"/>
        <w:spacing w:after="0"/>
        <w:rPr>
          <w:sz w:val="20"/>
          <w:szCs w:val="20"/>
          <w:color w:val="auto"/>
        </w:rPr>
      </w:pPr>
      <w:r>
        <w:rPr>
          <w:rFonts w:ascii="Times New Roman" w:cs="Times New Roman" w:eastAsia="Times New Roman" w:hAnsi="Times New Roman"/>
          <w:sz w:val="18"/>
          <w:szCs w:val="18"/>
          <w:color w:val="auto"/>
        </w:rPr>
        <w:t>Item 8 | Financial Statements and Supplementary Data</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29"/>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04"/>
        </w:trPr>
        <w:tc>
          <w:tcPr>
            <w:tcW w:w="20" w:type="dxa"/>
            <w:vAlign w:val="bottom"/>
            <w:shd w:val="clear" w:color="auto" w:fill="CCEEFF"/>
          </w:tcPr>
          <w:p>
            <w:pPr>
              <w:spacing w:after="0"/>
              <w:rPr>
                <w:sz w:val="24"/>
                <w:szCs w:val="24"/>
                <w:color w:val="auto"/>
              </w:rPr>
            </w:pPr>
          </w:p>
        </w:tc>
        <w:tc>
          <w:tcPr>
            <w:tcW w:w="9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(KPMG LLP, Houston, TX Firm ID 185)</w:t>
            </w:r>
          </w:p>
        </w:tc>
        <w:tc>
          <w:tcPr>
            <w:tcW w:w="192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43</w:t>
            </w:r>
          </w:p>
        </w:tc>
      </w:tr>
      <w:tr>
        <w:trPr>
          <w:trHeight w:val="270"/>
        </w:trPr>
        <w:tc>
          <w:tcPr>
            <w:tcW w:w="20" w:type="dxa"/>
            <w:vAlign w:val="bottom"/>
            <w:tcBorders>
              <w:top w:val="single" w:sz="8" w:color="CCEEFF"/>
            </w:tcBorders>
          </w:tcPr>
          <w:p>
            <w:pPr>
              <w:spacing w:after="0"/>
              <w:rPr>
                <w:sz w:val="23"/>
                <w:szCs w:val="23"/>
                <w:color w:val="auto"/>
              </w:rPr>
            </w:pPr>
          </w:p>
        </w:tc>
        <w:tc>
          <w:tcPr>
            <w:tcW w:w="3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304"/>
        </w:trPr>
        <w:tc>
          <w:tcPr>
            <w:tcW w:w="20" w:type="dxa"/>
            <w:vAlign w:val="bottom"/>
            <w:shd w:val="clear" w:color="auto" w:fill="CCEEFF"/>
          </w:tcPr>
          <w:p>
            <w:pPr>
              <w:spacing w:after="0"/>
              <w:rPr>
                <w:sz w:val="24"/>
                <w:szCs w:val="24"/>
                <w:color w:val="auto"/>
              </w:rPr>
            </w:pPr>
          </w:p>
        </w:tc>
        <w:tc>
          <w:tcPr>
            <w:tcW w:w="9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2023 and 2022</w:t>
            </w:r>
          </w:p>
        </w:tc>
        <w:tc>
          <w:tcPr>
            <w:tcW w:w="192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46</w:t>
            </w:r>
          </w:p>
        </w:tc>
      </w:tr>
      <w:tr>
        <w:trPr>
          <w:trHeight w:val="270"/>
        </w:trPr>
        <w:tc>
          <w:tcPr>
            <w:tcW w:w="20" w:type="dxa"/>
            <w:vAlign w:val="bottom"/>
            <w:tcBorders>
              <w:top w:val="single" w:sz="8" w:color="CCEEFF"/>
            </w:tcBorders>
          </w:tcPr>
          <w:p>
            <w:pPr>
              <w:spacing w:after="0"/>
              <w:rPr>
                <w:sz w:val="23"/>
                <w:szCs w:val="23"/>
                <w:color w:val="auto"/>
              </w:rPr>
            </w:pPr>
          </w:p>
        </w:tc>
        <w:tc>
          <w:tcPr>
            <w:tcW w:w="3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304"/>
        </w:trPr>
        <w:tc>
          <w:tcPr>
            <w:tcW w:w="20" w:type="dxa"/>
            <w:vAlign w:val="bottom"/>
            <w:shd w:val="clear" w:color="auto" w:fill="CCEEFF"/>
          </w:tcPr>
          <w:p>
            <w:pPr>
              <w:spacing w:after="0"/>
              <w:rPr>
                <w:sz w:val="24"/>
                <w:szCs w:val="24"/>
                <w:color w:val="auto"/>
              </w:rPr>
            </w:pPr>
          </w:p>
        </w:tc>
        <w:tc>
          <w:tcPr>
            <w:tcW w:w="9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tc>
        <w:tc>
          <w:tcPr>
            <w:tcW w:w="192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70"/>
        </w:trPr>
        <w:tc>
          <w:tcPr>
            <w:tcW w:w="20" w:type="dxa"/>
            <w:vAlign w:val="bottom"/>
            <w:tcBorders>
              <w:top w:val="single" w:sz="8" w:color="CCEEFF"/>
            </w:tcBorders>
          </w:tcPr>
          <w:p>
            <w:pPr>
              <w:spacing w:after="0"/>
              <w:rPr>
                <w:sz w:val="23"/>
                <w:szCs w:val="23"/>
                <w:color w:val="auto"/>
              </w:rPr>
            </w:pPr>
          </w:p>
        </w:tc>
        <w:tc>
          <w:tcPr>
            <w:tcW w:w="3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304"/>
        </w:trPr>
        <w:tc>
          <w:tcPr>
            <w:tcW w:w="20" w:type="dxa"/>
            <w:vAlign w:val="bottom"/>
            <w:shd w:val="clear" w:color="auto" w:fill="CCEEFF"/>
          </w:tcPr>
          <w:p>
            <w:pPr>
              <w:spacing w:after="0"/>
              <w:rPr>
                <w:sz w:val="24"/>
                <w:szCs w:val="24"/>
                <w:color w:val="auto"/>
              </w:rPr>
            </w:pPr>
          </w:p>
        </w:tc>
        <w:tc>
          <w:tcPr>
            <w:tcW w:w="9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192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48</w:t>
            </w:r>
          </w:p>
        </w:tc>
      </w:tr>
      <w:tr>
        <w:trPr>
          <w:trHeight w:val="270"/>
        </w:trPr>
        <w:tc>
          <w:tcPr>
            <w:tcW w:w="20" w:type="dxa"/>
            <w:vAlign w:val="bottom"/>
            <w:tcBorders>
              <w:top w:val="single" w:sz="8" w:color="CCEEFF"/>
            </w:tcBorders>
          </w:tcPr>
          <w:p>
            <w:pPr>
              <w:spacing w:after="0"/>
              <w:rPr>
                <w:sz w:val="23"/>
                <w:szCs w:val="23"/>
                <w:color w:val="auto"/>
              </w:rPr>
            </w:pPr>
          </w:p>
        </w:tc>
        <w:tc>
          <w:tcPr>
            <w:tcW w:w="3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304"/>
        </w:trPr>
        <w:tc>
          <w:tcPr>
            <w:tcW w:w="20" w:type="dxa"/>
            <w:vAlign w:val="bottom"/>
            <w:shd w:val="clear" w:color="auto" w:fill="CCEEFF"/>
          </w:tcPr>
          <w:p>
            <w:pPr>
              <w:spacing w:after="0"/>
              <w:rPr>
                <w:sz w:val="24"/>
                <w:szCs w:val="24"/>
                <w:color w:val="auto"/>
              </w:rPr>
            </w:pPr>
          </w:p>
        </w:tc>
        <w:tc>
          <w:tcPr>
            <w:tcW w:w="9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2024, 2023 and 2022</w:t>
            </w:r>
          </w:p>
        </w:tc>
        <w:tc>
          <w:tcPr>
            <w:tcW w:w="192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70"/>
        </w:trPr>
        <w:tc>
          <w:tcPr>
            <w:tcW w:w="20" w:type="dxa"/>
            <w:vAlign w:val="bottom"/>
            <w:tcBorders>
              <w:top w:val="single" w:sz="8" w:color="CCEEFF"/>
            </w:tcBorders>
          </w:tcPr>
          <w:p>
            <w:pPr>
              <w:spacing w:after="0"/>
              <w:rPr>
                <w:sz w:val="23"/>
                <w:szCs w:val="23"/>
                <w:color w:val="auto"/>
              </w:rPr>
            </w:pPr>
          </w:p>
        </w:tc>
        <w:tc>
          <w:tcPr>
            <w:tcW w:w="3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304"/>
        </w:trPr>
        <w:tc>
          <w:tcPr>
            <w:tcW w:w="20" w:type="dxa"/>
            <w:vAlign w:val="bottom"/>
            <w:shd w:val="clear" w:color="auto" w:fill="CCEEFF"/>
          </w:tcPr>
          <w:p>
            <w:pPr>
              <w:spacing w:after="0"/>
              <w:rPr>
                <w:sz w:val="24"/>
                <w:szCs w:val="24"/>
                <w:color w:val="auto"/>
              </w:rPr>
            </w:pPr>
          </w:p>
        </w:tc>
        <w:tc>
          <w:tcPr>
            <w:tcW w:w="9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192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70"/>
        </w:trPr>
        <w:tc>
          <w:tcPr>
            <w:tcW w:w="20" w:type="dxa"/>
            <w:vAlign w:val="bottom"/>
            <w:tcBorders>
              <w:top w:val="single" w:sz="8" w:color="CCEEFF"/>
            </w:tcBorders>
          </w:tcPr>
          <w:p>
            <w:pPr>
              <w:spacing w:after="0"/>
              <w:rPr>
                <w:sz w:val="23"/>
                <w:szCs w:val="23"/>
                <w:color w:val="auto"/>
              </w:rPr>
            </w:pPr>
          </w:p>
        </w:tc>
        <w:tc>
          <w:tcPr>
            <w:tcW w:w="3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r>
      <w:tr>
        <w:trPr>
          <w:trHeight w:val="256"/>
        </w:trPr>
        <w:tc>
          <w:tcPr>
            <w:tcW w:w="20" w:type="dxa"/>
            <w:vAlign w:val="bottom"/>
            <w:shd w:val="clear" w:color="auto" w:fill="CCEEFF"/>
          </w:tcPr>
          <w:p>
            <w:pPr>
              <w:spacing w:after="0"/>
              <w:rPr>
                <w:sz w:val="22"/>
                <w:szCs w:val="22"/>
                <w:color w:val="auto"/>
              </w:rPr>
            </w:pPr>
          </w:p>
        </w:tc>
        <w:tc>
          <w:tcPr>
            <w:tcW w:w="90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920" w:type="dxa"/>
            <w:vAlign w:val="bottom"/>
            <w:gridSpan w:val="3"/>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52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auto"/>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49</w:t>
      </w:r>
    </w:p>
    <w:p>
      <w:pPr>
        <w:sectPr>
          <w:pgSz w:w="11900" w:h="16838" w:orient="portrait"/>
          <w:cols w:equalWidth="0" w:num="1">
            <w:col w:w="11160"/>
          </w:cols>
          <w:pgMar w:left="320" w:top="432" w:right="4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Weatherford International plc and subsidiaries (the Company) as of December 31, 2024 and 2023, the related consolidated statements of operations, comprehensive income, shareholders’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6, 2025 expressed an unqualified opinion on the effectiveness of the Company’s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Assessment of impairment triggering events related to long-lived assets</w:t>
      </w:r>
    </w:p>
    <w:p>
      <w:pPr>
        <w:spacing w:after="0" w:line="295"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evaluates long-lived assets, consisting of property, plant and equipment, operating lease right-of use assets, and definite-lived intangible assets, for impairment to determine whether any events or changes in circumstances, known as triggering events, indicate that the carrying amount of an asset group may not be recoverable. The triggering events evaluated by the Company include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2024 was $1.5 billion.</w:t>
      </w:r>
    </w:p>
    <w:p>
      <w:pPr>
        <w:spacing w:after="0" w:line="29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Weatherford International plc – 2024 Form 10-K | 50</w:t>
      </w:r>
    </w:p>
    <w:p>
      <w:pPr>
        <w:sectPr>
          <w:pgSz w:w="11900" w:h="16838" w:orient="portrait"/>
          <w:cols w:equalWidth="0" w:num="1">
            <w:col w:w="11240"/>
          </w:cols>
          <w:pgMar w:left="320" w:top="860" w:right="339" w:bottom="1440" w:gutter="0" w:footer="0" w:header="0"/>
        </w:sectPr>
      </w:pPr>
    </w:p>
    <w:bookmarkStart w:id="53" w:name="page54"/>
    <w:bookmarkEnd w:id="53"/>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We identified the assessment of impairment triggering events related to long-lived asset groups as a critical audit matter. The assessment of whether (i) reduced or expected sustained decreases in cash flows generated by an asset group and (ii) negative changes in industry conditions represented a triggering event required a higher degree of subjective auditor judgment.</w:t>
      </w:r>
    </w:p>
    <w:p>
      <w:pPr>
        <w:spacing w:after="0" w:line="196"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group may not be recoverable. We evaluated the Company’s identification of triggering events related to the evaluation of cash flow trends for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E1F"/>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37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Weatherford International plc – 2024 Form 10-K | 51</w:t>
      </w:r>
    </w:p>
    <w:p>
      <w:pPr>
        <w:sectPr>
          <w:pgSz w:w="11900" w:h="16838" w:orient="portrait"/>
          <w:cols w:equalWidth="0" w:num="1">
            <w:col w:w="11240"/>
          </w:cols>
          <w:pgMar w:left="320" w:top="110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We have audited Weatherford International plc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shareholders’ equity, and cash flows for each of the years in the three-year period ended December 31, 2024, and the related notes (collectively, the consolidated financial statements), and our report dated February 6, 2025 expressed an unqualified opinion on those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Weatherford International plc – 2024 Form 10-K | 52</w:t>
      </w:r>
    </w:p>
    <w:p>
      <w:pPr>
        <w:sectPr>
          <w:pgSz w:w="11900" w:h="16838" w:orient="portrait"/>
          <w:cols w:equalWidth="0" w:num="1">
            <w:col w:w="11240"/>
          </w:cols>
          <w:pgMar w:left="320" w:top="860" w:right="339" w:bottom="1440" w:gutter="0" w:footer="0" w:header="0"/>
        </w:sectPr>
      </w:pPr>
    </w:p>
    <w:bookmarkStart w:id="55" w:name="page56"/>
    <w:bookmarkEnd w:id="55"/>
    <w:p>
      <w:pPr>
        <w:jc w:val="center"/>
        <w:ind w:right="-259"/>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53</w:t>
      </w:r>
    </w:p>
    <w:p>
      <w:pPr>
        <w:sectPr>
          <w:pgSz w:w="11900" w:h="16838" w:orient="portrait"/>
          <w:cols w:equalWidth="0" w:num="1">
            <w:col w:w="11000"/>
          </w:cols>
          <w:pgMar w:left="320" w:top="864" w:right="579" w:bottom="1440" w:gutter="0" w:footer="0" w:header="0"/>
        </w:sectPr>
      </w:pPr>
    </w:p>
    <w:bookmarkStart w:id="56" w:name="page57"/>
    <w:bookmarkEnd w:id="56"/>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2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 except per share amounts)</w:t>
            </w:r>
          </w:p>
        </w:tc>
        <w:tc>
          <w:tcPr>
            <w:tcW w:w="17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3,393</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3,179</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2,698</w:t>
            </w:r>
          </w:p>
        </w:tc>
      </w:tr>
      <w:tr>
        <w:trPr>
          <w:trHeight w:val="229"/>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2,120</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1,956</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1,633</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5,513</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5,135</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4,331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2,048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1,965</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1,688</w:t>
            </w:r>
          </w:p>
        </w:tc>
      </w:tr>
      <w:tr>
        <w:trPr>
          <w:trHeight w:val="22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Products</w:t>
            </w:r>
          </w:p>
        </w:tc>
        <w:tc>
          <w:tcPr>
            <w:tcW w:w="9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8"/>
              </w:rPr>
              <w:t>1,557</w:t>
            </w:r>
          </w:p>
        </w:tc>
        <w:tc>
          <w:tcPr>
            <w:tcW w:w="4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8"/>
              </w:rPr>
              <w:t>1,430</w:t>
            </w:r>
          </w:p>
        </w:tc>
        <w:tc>
          <w:tcPr>
            <w:tcW w:w="36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1,332</w:t>
            </w:r>
          </w:p>
        </w:tc>
      </w:tr>
      <w:tr>
        <w:trPr>
          <w:trHeight w:val="23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791</w:t>
            </w:r>
          </w:p>
        </w:tc>
        <w:tc>
          <w:tcPr>
            <w:tcW w:w="4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804</w:t>
            </w:r>
          </w:p>
        </w:tc>
        <w:tc>
          <w:tcPr>
            <w:tcW w:w="36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5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Charges</w:t>
            </w:r>
          </w:p>
        </w:tc>
        <w:tc>
          <w:tcPr>
            <w:tcW w:w="9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4,575</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4,315</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3,919</w:t>
            </w:r>
          </w:p>
        </w:tc>
      </w:tr>
      <w:tr>
        <w:trPr>
          <w:trHeight w:val="309"/>
        </w:trPr>
        <w:tc>
          <w:tcPr>
            <w:tcW w:w="5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938</w:t>
            </w: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820</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412</w:t>
            </w:r>
          </w:p>
        </w:tc>
      </w:tr>
      <w:tr>
        <w:trPr>
          <w:trHeight w:val="236"/>
        </w:trPr>
        <w:tc>
          <w:tcPr>
            <w:tcW w:w="5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$56, $59 and $31</w:t>
            </w:r>
          </w:p>
        </w:tc>
        <w:tc>
          <w:tcPr>
            <w:tcW w:w="96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4"/>
        </w:trPr>
        <w:tc>
          <w:tcPr>
            <w:tcW w:w="5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739</w:t>
            </w: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506</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84"/>
        </w:trPr>
        <w:tc>
          <w:tcPr>
            <w:tcW w:w="5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r>
      <w:tr>
        <w:trPr>
          <w:trHeight w:val="329"/>
        </w:trPr>
        <w:tc>
          <w:tcPr>
            <w:tcW w:w="5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26</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7"/>
        </w:trPr>
        <w:tc>
          <w:tcPr>
            <w:tcW w:w="5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32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 Attributable to Weatherford</w:t>
            </w:r>
          </w:p>
        </w:tc>
        <w:tc>
          <w:tcPr>
            <w:tcW w:w="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6.93</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5.79</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0.37</w:t>
            </w:r>
          </w:p>
        </w:tc>
      </w:tr>
      <w:tr>
        <w:trPr>
          <w:trHeight w:val="32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9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73.0</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71.9</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70.5</w:t>
            </w:r>
          </w:p>
        </w:tc>
      </w:tr>
      <w:tr>
        <w:trPr>
          <w:trHeight w:val="270"/>
        </w:trPr>
        <w:tc>
          <w:tcPr>
            <w:tcW w:w="5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2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Per Share Attributable to Weatherford</w:t>
            </w: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6.75</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0.36</w:t>
            </w:r>
          </w:p>
        </w:tc>
      </w:tr>
      <w:tr>
        <w:trPr>
          <w:trHeight w:val="32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96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74.9</w:t>
            </w:r>
          </w:p>
        </w:tc>
        <w:tc>
          <w:tcPr>
            <w:tcW w:w="400" w:type="dxa"/>
            <w:vAlign w:val="bottom"/>
          </w:tcPr>
          <w:p>
            <w:pPr>
              <w:spacing w:after="0"/>
              <w:rPr>
                <w:sz w:val="24"/>
                <w:szCs w:val="24"/>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73.6</w:t>
            </w:r>
          </w:p>
        </w:tc>
        <w:tc>
          <w:tcPr>
            <w:tcW w:w="36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71.6</w:t>
            </w:r>
          </w:p>
        </w:tc>
      </w:tr>
    </w:tbl>
    <w:p>
      <w:pPr>
        <w:spacing w:after="0" w:line="200" w:lineRule="exact"/>
        <w:rPr>
          <w:sz w:val="20"/>
          <w:szCs w:val="20"/>
          <w:color w:val="auto"/>
        </w:rPr>
      </w:pPr>
    </w:p>
    <w:p>
      <w:pPr>
        <w:sectPr>
          <w:pgSz w:w="11900" w:h="16838" w:orient="portrait"/>
          <w:cols w:equalWidth="0" w:num="1">
            <w:col w:w="10560"/>
          </w:cols>
          <w:pgMar w:left="100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Weatherford International plc – 2024 Form 10-K | 54</w:t>
      </w:r>
    </w:p>
    <w:p>
      <w:pPr>
        <w:sectPr>
          <w:pgSz w:w="11900" w:h="16838" w:orient="portrait"/>
          <w:cols w:equalWidth="0" w:num="1">
            <w:col w:w="10560"/>
          </w:cols>
          <w:pgMar w:left="1000" w:top="968" w:right="339" w:bottom="1440" w:gutter="0" w:footer="0" w:header="0"/>
          <w:type w:val="continuous"/>
        </w:sectPr>
      </w:pPr>
    </w:p>
    <w:bookmarkStart w:id="57" w:name="page58"/>
    <w:bookmarkEnd w:id="57"/>
    <w:p>
      <w:pPr>
        <w:ind w:left="13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55</w:t>
      </w:r>
    </w:p>
    <w:p>
      <w:pPr>
        <w:sectPr>
          <w:pgSz w:w="11900" w:h="16838" w:orient="portrait"/>
          <w:cols w:equalWidth="0" w:num="1">
            <w:col w:w="10120"/>
          </w:cols>
          <w:pgMar w:left="1440" w:top="1053" w:right="339" w:bottom="1440" w:gutter="0" w:footer="0" w:header="0"/>
        </w:sectPr>
      </w:pPr>
    </w:p>
    <w:bookmarkStart w:id="58" w:name="page59"/>
    <w:bookmarkEnd w:id="58"/>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550</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449</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8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(113)</w:t>
            </w:r>
          </w:p>
        </w:tc>
        <w:tc>
          <w:tcPr>
            <w:tcW w:w="60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Pension</w:t>
            </w:r>
          </w:p>
        </w:tc>
        <w:tc>
          <w:tcPr>
            <w:tcW w:w="1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(122)</w:t>
            </w: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428</w:t>
            </w: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443</w:t>
            </w: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384</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411</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90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Weatherford International plc – 2024 Form 10-K | 56</w:t>
      </w:r>
    </w:p>
    <w:p>
      <w:pPr>
        <w:sectPr>
          <w:pgSz w:w="11900" w:h="16838" w:orient="portrait"/>
          <w:cols w:equalWidth="0" w:num="1">
            <w:col w:w="10660"/>
          </w:cols>
          <w:pgMar w:left="900" w:top="1211" w:right="339" w:bottom="1440"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57</w:t>
      </w:r>
    </w:p>
    <w:p>
      <w:pPr>
        <w:sectPr>
          <w:pgSz w:w="11900" w:h="16838" w:orient="portrait"/>
          <w:cols w:equalWidth="0" w:num="1">
            <w:col w:w="10120"/>
          </w:cols>
          <w:pgMar w:left="1440" w:top="144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and shares in millions, except par value)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 w:lineRule="exact"/>
        <w:rPr>
          <w:sz w:val="20"/>
          <w:szCs w:val="20"/>
          <w:color w:val="auto"/>
        </w:rPr>
      </w:pPr>
    </w:p>
    <w:p>
      <w:pPr>
        <w:ind w:left="100" w:right="140"/>
        <w:spacing w:after="0" w:line="242" w:lineRule="auto"/>
        <w:rPr>
          <w:sz w:val="20"/>
          <w:szCs w:val="20"/>
          <w:color w:val="auto"/>
        </w:rPr>
      </w:pPr>
      <w:r>
        <w:rPr>
          <w:rFonts w:ascii="Times New Roman" w:cs="Times New Roman" w:eastAsia="Times New Roman" w:hAnsi="Times New Roman"/>
          <w:sz w:val="18"/>
          <w:szCs w:val="18"/>
          <w:color w:val="auto"/>
        </w:rPr>
        <w:t>Accounts Receivable, Net of Allowance for Credit Losses of $8 at December 31, 2024 and $16 at December 31, 2023</w:t>
      </w:r>
    </w:p>
    <w:p>
      <w:pPr>
        <w:spacing w:after="0" w:line="20" w:lineRule="exact"/>
        <w:rPr>
          <w:sz w:val="20"/>
          <w:szCs w:val="20"/>
          <w:color w:val="auto"/>
        </w:rPr>
      </w:pPr>
      <w:r>
        <w:rPr>
          <w:sz w:val="20"/>
          <w:szCs w:val="20"/>
          <w:color w:val="auto"/>
        </w:rPr>
        <w:br w:type="column"/>
      </w:r>
    </w:p>
    <w:p>
      <w:pPr>
        <w:spacing w:after="0"/>
        <w:tabs>
          <w:tab w:leader="none" w:pos="240" w:val="left"/>
          <w:tab w:leader="none" w:pos="1440" w:val="left"/>
          <w:tab w:leader="none" w:pos="1720" w:val="left"/>
        </w:tabs>
        <w:rPr>
          <w:sz w:val="20"/>
          <w:szCs w:val="20"/>
          <w:color w:val="auto"/>
        </w:rPr>
      </w:pPr>
      <w:r>
        <w:rPr>
          <w:rFonts w:ascii="Times New Roman" w:cs="Times New Roman" w:eastAsia="Times New Roman" w:hAnsi="Times New Roman"/>
          <w:sz w:val="18"/>
          <w:szCs w:val="18"/>
          <w:color w:val="auto"/>
        </w:rPr>
        <w:t>$</w:t>
        <w:tab/>
        <w:t>916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958</w:t>
      </w:r>
    </w:p>
    <w:p>
      <w:pPr>
        <w:spacing w:after="0" w:line="14" w:lineRule="exact"/>
        <w:rPr>
          <w:sz w:val="20"/>
          <w:szCs w:val="20"/>
          <w:color w:val="auto"/>
        </w:rPr>
      </w:pPr>
    </w:p>
    <w:p>
      <w:pPr>
        <w:ind w:left="1740" w:hanging="1389"/>
        <w:spacing w:after="0"/>
        <w:tabs>
          <w:tab w:leader="none" w:pos="17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w:t>
      </w:r>
    </w:p>
    <w:p>
      <w:pPr>
        <w:spacing w:after="0" w:line="123"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1,261</w:t>
      </w:r>
      <w:r>
        <w:rPr>
          <w:rFonts w:ascii="Times New Roman" w:cs="Times New Roman" w:eastAsia="Times New Roman" w:hAnsi="Times New Roman"/>
          <w:sz w:val="17"/>
          <w:szCs w:val="17"/>
          <w:color w:val="auto"/>
        </w:rPr>
        <w:t>1,216</w:t>
      </w:r>
    </w:p>
    <w:p>
      <w:pPr>
        <w:spacing w:after="0" w:line="121" w:lineRule="exact"/>
        <w:rPr>
          <w:sz w:val="20"/>
          <w:szCs w:val="20"/>
          <w:color w:val="auto"/>
        </w:rPr>
      </w:pPr>
    </w:p>
    <w:p>
      <w:pPr>
        <w:sectPr>
          <w:pgSz w:w="11900" w:h="16838" w:orient="portrait"/>
          <w:cols w:equalWidth="0" w:num="2">
            <w:col w:w="8320" w:space="720"/>
            <w:col w:w="2200"/>
          </w:cols>
          <w:pgMar w:left="320" w:top="968"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6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880</w:t>
            </w:r>
          </w:p>
        </w:tc>
        <w:tc>
          <w:tcPr>
            <w:tcW w:w="5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286</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3,402</w:t>
            </w: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3,345</w:t>
            </w:r>
          </w:p>
        </w:tc>
        <w:tc>
          <w:tcPr>
            <w:tcW w:w="0" w:type="dxa"/>
            <w:vAlign w:val="bottom"/>
          </w:tcPr>
          <w:p>
            <w:pPr>
              <w:spacing w:after="0"/>
              <w:rPr>
                <w:sz w:val="1"/>
                <w:szCs w:val="1"/>
                <w:color w:val="auto"/>
              </w:rPr>
            </w:pPr>
          </w:p>
        </w:tc>
      </w:tr>
      <w:tr>
        <w:trPr>
          <w:trHeight w:val="142"/>
        </w:trPr>
        <w:tc>
          <w:tcPr>
            <w:tcW w:w="8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4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$940 at December 31, 2024 and $883 at</w:t>
            </w:r>
          </w:p>
        </w:tc>
        <w:tc>
          <w:tcPr>
            <w:tcW w:w="640" w:type="dxa"/>
            <w:vAlign w:val="bottom"/>
          </w:tcPr>
          <w:p>
            <w:pPr>
              <w:spacing w:after="0"/>
              <w:rPr>
                <w:sz w:val="16"/>
                <w:szCs w:val="16"/>
                <w:color w:val="auto"/>
              </w:rPr>
            </w:pPr>
          </w:p>
        </w:tc>
        <w:tc>
          <w:tcPr>
            <w:tcW w:w="10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1,061</w:t>
            </w:r>
          </w:p>
        </w:tc>
        <w:tc>
          <w:tcPr>
            <w:tcW w:w="560" w:type="dxa"/>
            <w:vAlign w:val="bottom"/>
          </w:tcPr>
          <w:p>
            <w:pPr>
              <w:spacing w:after="0"/>
              <w:rPr>
                <w:sz w:val="16"/>
                <w:szCs w:val="16"/>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140"/>
        </w:trPr>
        <w:tc>
          <w:tcPr>
            <w:tcW w:w="8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6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4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84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Intangible Assets, Net of Accumulated Amortization of $793 at December 31, 2024 and</w:t>
            </w:r>
          </w:p>
        </w:tc>
        <w:tc>
          <w:tcPr>
            <w:tcW w:w="6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325</w:t>
            </w:r>
          </w:p>
        </w:tc>
        <w:tc>
          <w:tcPr>
            <w:tcW w:w="5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40"/>
        </w:trPr>
        <w:tc>
          <w:tcPr>
            <w:tcW w:w="84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$639 at December 31, 2023</w:t>
            </w:r>
          </w:p>
        </w:tc>
        <w:tc>
          <w:tcPr>
            <w:tcW w:w="64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42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6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247</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5,159</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5,068</w:t>
            </w: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  17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792</w:t>
            </w:r>
          </w:p>
        </w:tc>
        <w:tc>
          <w:tcPr>
            <w:tcW w:w="5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302</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6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412</w:t>
            </w: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1,696</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1,866</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1,617</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1,715</w:t>
            </w:r>
          </w:p>
        </w:tc>
        <w:tc>
          <w:tcPr>
            <w:tcW w:w="0" w:type="dxa"/>
            <w:vAlign w:val="bottom"/>
          </w:tcPr>
          <w:p>
            <w:pPr>
              <w:spacing w:after="0"/>
              <w:rPr>
                <w:sz w:val="1"/>
                <w:szCs w:val="1"/>
                <w:color w:val="auto"/>
              </w:rPr>
            </w:pPr>
          </w:p>
        </w:tc>
      </w:tr>
      <w:tr>
        <w:trPr>
          <w:trHeight w:val="230"/>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Taxes Payable</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3,876</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4,146</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4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Ordinary Shares - Par value $0.001; Authorized 1,356, Issued and</w:t>
            </w:r>
          </w:p>
        </w:tc>
        <w:tc>
          <w:tcPr>
            <w:tcW w:w="640" w:type="dxa"/>
            <w:vAlign w:val="bottom"/>
          </w:tcPr>
          <w:p>
            <w:pPr>
              <w:spacing w:after="0"/>
              <w:rPr>
                <w:sz w:val="16"/>
                <w:szCs w:val="16"/>
                <w:color w:val="auto"/>
              </w:rPr>
            </w:pPr>
          </w:p>
        </w:tc>
        <w:tc>
          <w:tcPr>
            <w:tcW w:w="10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6"/>
                <w:szCs w:val="16"/>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8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Outstanding 72.1 at December 31, 2024 and 72.1 at December 31, 2023</w:t>
            </w:r>
          </w:p>
        </w:tc>
        <w:tc>
          <w:tcPr>
            <w:tcW w:w="6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4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2,921</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2,906</w:t>
            </w:r>
          </w:p>
        </w:tc>
        <w:tc>
          <w:tcPr>
            <w:tcW w:w="0" w:type="dxa"/>
            <w:vAlign w:val="bottom"/>
          </w:tcPr>
          <w:p>
            <w:pPr>
              <w:spacing w:after="0"/>
              <w:rPr>
                <w:sz w:val="1"/>
                <w:szCs w:val="1"/>
                <w:color w:val="auto"/>
              </w:rPr>
            </w:pPr>
          </w:p>
        </w:tc>
      </w:tr>
      <w:tr>
        <w:trPr>
          <w:trHeight w:val="230"/>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Deficit</w:t>
            </w:r>
          </w:p>
        </w:tc>
        <w:tc>
          <w:tcPr>
            <w:tcW w:w="64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(1,486)</w:t>
            </w: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1,285</w:t>
            </w:r>
          </w:p>
        </w:tc>
        <w:tc>
          <w:tcPr>
            <w:tcW w:w="5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1,283</w:t>
            </w: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5,159</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5,068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58</w:t>
      </w:r>
    </w:p>
    <w:p>
      <w:pPr>
        <w:sectPr>
          <w:pgSz w:w="11900" w:h="16838" w:orient="portrait"/>
          <w:cols w:equalWidth="0" w:num="1">
            <w:col w:w="11240"/>
          </w:cols>
          <w:pgMar w:left="320" w:top="968"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114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10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40" w:type="dxa"/>
            <w:vAlign w:val="bottom"/>
          </w:tcPr>
          <w:p>
            <w:pPr>
              <w:spacing w:after="0"/>
              <w:rPr>
                <w:sz w:val="16"/>
                <w:szCs w:val="16"/>
                <w:color w:val="auto"/>
              </w:rPr>
            </w:pPr>
          </w:p>
        </w:tc>
        <w:tc>
          <w:tcPr>
            <w:tcW w:w="7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Non-</w:t>
            </w:r>
          </w:p>
        </w:tc>
        <w:tc>
          <w:tcPr>
            <w:tcW w:w="48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w:t>
            </w:r>
          </w:p>
        </w:tc>
        <w:tc>
          <w:tcPr>
            <w:tcW w:w="98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420" w:type="dxa"/>
            <w:vAlign w:val="bottom"/>
            <w:gridSpan w:val="2"/>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Excess of Par</w:t>
            </w:r>
          </w:p>
        </w:tc>
        <w:tc>
          <w:tcPr>
            <w:tcW w:w="1140" w:type="dxa"/>
            <w:vAlign w:val="bottom"/>
            <w:gridSpan w:val="2"/>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640" w:type="dxa"/>
            <w:vAlign w:val="bottom"/>
            <w:gridSpan w:val="2"/>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20" w:type="dxa"/>
            <w:vAlign w:val="bottom"/>
            <w:gridSpan w:val="2"/>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214"/>
        </w:trPr>
        <w:tc>
          <w:tcPr>
            <w:tcW w:w="25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Borders>
              <w:bottom w:val="single" w:sz="8" w:color="auto"/>
            </w:tcBorders>
            <w:gridSpan w:val="2"/>
            <w:vMerge w:val="continue"/>
          </w:tcPr>
          <w:p>
            <w:pPr>
              <w:spacing w:after="0"/>
              <w:rPr>
                <w:sz w:val="18"/>
                <w:szCs w:val="18"/>
                <w:color w:val="auto"/>
              </w:rPr>
            </w:pPr>
          </w:p>
        </w:tc>
        <w:tc>
          <w:tcPr>
            <w:tcW w:w="14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140" w:type="dxa"/>
            <w:vAlign w:val="bottom"/>
            <w:tcBorders>
              <w:bottom w:val="single" w:sz="8" w:color="auto"/>
            </w:tcBorders>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0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89"/>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2,904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(2,397)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740" w:type="dxa"/>
            <w:vAlign w:val="bottom"/>
            <w:tcBorders>
              <w:bottom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7"/>
              </w:rPr>
              <w:t>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91"/>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26</w:t>
            </w:r>
          </w:p>
        </w:tc>
        <w:tc>
          <w:tcPr>
            <w:tcW w:w="1100" w:type="dxa"/>
            <w:vAlign w:val="bottom"/>
          </w:tcPr>
          <w:p>
            <w:pPr>
              <w:spacing w:after="0"/>
              <w:rPr>
                <w:sz w:val="24"/>
                <w:szCs w:val="24"/>
                <w:color w:val="auto"/>
              </w:rPr>
            </w:pP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87"/>
              </w:rPr>
              <w:t>25</w:t>
            </w:r>
          </w:p>
        </w:tc>
        <w:tc>
          <w:tcPr>
            <w:tcW w:w="74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4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24"/>
                <w:szCs w:val="24"/>
                <w:color w:val="auto"/>
              </w:rPr>
            </w:pP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w:t>
            </w:r>
          </w:p>
        </w:tc>
        <w:tc>
          <w:tcPr>
            <w:tcW w:w="740" w:type="dxa"/>
            <w:vAlign w:val="bottom"/>
          </w:tcPr>
          <w:p>
            <w:pPr>
              <w:spacing w:after="0"/>
              <w:rPr>
                <w:sz w:val="24"/>
                <w:szCs w:val="24"/>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8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7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91"/>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2,928</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(2,371)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740" w:type="dxa"/>
            <w:vAlign w:val="bottom"/>
            <w:tcBorders>
              <w:bottom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7"/>
              </w:rPr>
              <w:t>16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91"/>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417</w:t>
            </w:r>
          </w:p>
        </w:tc>
        <w:tc>
          <w:tcPr>
            <w:tcW w:w="1100" w:type="dxa"/>
            <w:vAlign w:val="bottom"/>
          </w:tcPr>
          <w:p>
            <w:pPr>
              <w:spacing w:after="0"/>
              <w:rPr>
                <w:sz w:val="24"/>
                <w:szCs w:val="24"/>
                <w:color w:val="auto"/>
              </w:rPr>
            </w:pP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87"/>
              </w:rPr>
              <w:t>32</w:t>
            </w:r>
          </w:p>
        </w:tc>
        <w:tc>
          <w:tcPr>
            <w:tcW w:w="74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24"/>
                <w:szCs w:val="24"/>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tcPr>
          <w:p>
            <w:pPr>
              <w:spacing w:after="0"/>
              <w:rPr>
                <w:sz w:val="24"/>
                <w:szCs w:val="24"/>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8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w:t>
            </w:r>
          </w:p>
        </w:tc>
        <w:tc>
          <w:tcPr>
            <w:tcW w:w="7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91"/>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2,906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(1,954)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90"/>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506</w:t>
            </w:r>
          </w:p>
        </w:tc>
        <w:tc>
          <w:tcPr>
            <w:tcW w:w="1100" w:type="dxa"/>
            <w:vAlign w:val="bottom"/>
          </w:tcPr>
          <w:p>
            <w:pPr>
              <w:spacing w:after="0"/>
              <w:rPr>
                <w:sz w:val="24"/>
                <w:szCs w:val="24"/>
                <w:color w:val="auto"/>
              </w:rPr>
            </w:pP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87"/>
              </w:rPr>
              <w:t>44</w:t>
            </w:r>
          </w:p>
        </w:tc>
        <w:tc>
          <w:tcPr>
            <w:tcW w:w="74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4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 Issued for Acquisitions</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c>
          <w:tcPr>
            <w:tcW w:w="4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79</w:t>
            </w:r>
          </w:p>
        </w:tc>
        <w:tc>
          <w:tcPr>
            <w:tcW w:w="400" w:type="dxa"/>
            <w:vAlign w:val="bottom"/>
          </w:tcPr>
          <w:p>
            <w:pPr>
              <w:spacing w:after="0"/>
              <w:rPr>
                <w:sz w:val="24"/>
                <w:szCs w:val="2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24"/>
                <w:szCs w:val="24"/>
                <w:color w:val="auto"/>
              </w:rPr>
            </w:pP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13"/>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4"/>
                <w:szCs w:val="24"/>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c>
          <w:tcPr>
            <w:tcW w:w="7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311"/>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1"/>
                <w:szCs w:val="21"/>
                <w:color w:val="auto"/>
                <w:vertAlign w:val="superscript"/>
              </w:rPr>
              <w:t>(1)</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(100)</w:t>
            </w:r>
          </w:p>
        </w:tc>
        <w:tc>
          <w:tcPr>
            <w:tcW w:w="400" w:type="dxa"/>
            <w:vAlign w:val="bottom"/>
          </w:tcPr>
          <w:p>
            <w:pPr>
              <w:spacing w:after="0"/>
              <w:rPr>
                <w:sz w:val="24"/>
                <w:szCs w:val="2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24"/>
                <w:szCs w:val="24"/>
                <w:color w:val="auto"/>
              </w:rPr>
            </w:pP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Declared ($0.25 per</w:t>
            </w:r>
          </w:p>
        </w:tc>
        <w:tc>
          <w:tcPr>
            <w:tcW w:w="98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w:t>
            </w:r>
          </w:p>
        </w:tc>
        <w:tc>
          <w:tcPr>
            <w:tcW w:w="110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9"/>
                <w:szCs w:val="19"/>
                <w:color w:val="auto"/>
              </w:rPr>
            </w:pPr>
          </w:p>
        </w:tc>
        <w:tc>
          <w:tcPr>
            <w:tcW w:w="48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7"/>
              </w:rPr>
              <w:t>—</w:t>
            </w:r>
          </w:p>
        </w:tc>
        <w:tc>
          <w:tcPr>
            <w:tcW w:w="74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w:t>
            </w:r>
            <w:r>
              <w:rPr>
                <w:rFonts w:ascii="Times New Roman" w:cs="Times New Roman" w:eastAsia="Times New Roman" w:hAnsi="Times New Roman"/>
                <w:sz w:val="21"/>
                <w:szCs w:val="21"/>
                <w:color w:val="auto"/>
                <w:vertAlign w:val="superscript"/>
              </w:rPr>
              <w:t>(2)</w:t>
            </w:r>
          </w:p>
        </w:tc>
        <w:tc>
          <w:tcPr>
            <w:tcW w:w="98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4"/>
                <w:szCs w:val="14"/>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4"/>
                <w:szCs w:val="14"/>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4"/>
                <w:szCs w:val="14"/>
                <w:color w:val="auto"/>
              </w:rPr>
            </w:pPr>
          </w:p>
        </w:tc>
        <w:tc>
          <w:tcPr>
            <w:tcW w:w="5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4"/>
                <w:szCs w:val="14"/>
                <w:color w:val="auto"/>
              </w:rPr>
            </w:pPr>
          </w:p>
        </w:tc>
        <w:tc>
          <w:tcPr>
            <w:tcW w:w="4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(39)</w:t>
            </w:r>
          </w:p>
        </w:tc>
        <w:tc>
          <w:tcPr>
            <w:tcW w:w="7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90"/>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2,921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(1,486)</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1,283</w:t>
            </w:r>
          </w:p>
        </w:tc>
        <w:tc>
          <w:tcPr>
            <w:tcW w:w="0" w:type="dxa"/>
            <w:vAlign w:val="bottom"/>
          </w:tcPr>
          <w:p>
            <w:pPr>
              <w:spacing w:after="0"/>
              <w:rPr>
                <w:sz w:val="1"/>
                <w:szCs w:val="1"/>
                <w:color w:val="auto"/>
              </w:rPr>
            </w:pPr>
          </w:p>
        </w:tc>
      </w:tr>
      <w:tr>
        <w:trPr>
          <w:trHeight w:val="24"/>
        </w:trPr>
        <w:tc>
          <w:tcPr>
            <w:tcW w:w="2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80" w:hanging="154"/>
        <w:spacing w:after="0"/>
        <w:tabs>
          <w:tab w:leader="none" w:pos="18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repurchased shares pending settlement.</w:t>
      </w:r>
    </w:p>
    <w:p>
      <w:pPr>
        <w:spacing w:after="0" w:line="92" w:lineRule="exact"/>
        <w:rPr>
          <w:rFonts w:ascii="Times New Roman" w:cs="Times New Roman" w:eastAsia="Times New Roman" w:hAnsi="Times New Roman"/>
          <w:sz w:val="19"/>
          <w:szCs w:val="19"/>
          <w:color w:val="auto"/>
          <w:vertAlign w:val="superscript"/>
        </w:rPr>
      </w:pPr>
    </w:p>
    <w:p>
      <w:pPr>
        <w:ind w:left="180" w:hanging="154"/>
        <w:spacing w:after="0"/>
        <w:tabs>
          <w:tab w:leader="none" w:pos="18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59</w:t>
      </w:r>
    </w:p>
    <w:p>
      <w:pPr>
        <w:sectPr>
          <w:pgSz w:w="11900" w:h="16838" w:orient="portrait"/>
          <w:cols w:equalWidth="0" w:num="1">
            <w:col w:w="11240"/>
          </w:cols>
          <w:pgMar w:left="320" w:top="1211" w:right="339" w:bottom="1440" w:gutter="0" w:footer="0" w:header="0"/>
          <w:type w:val="continuous"/>
        </w:sectPr>
      </w:pPr>
    </w:p>
    <w:bookmarkStart w:id="62" w:name="page63"/>
    <w:bookmarkEnd w:id="62"/>
    <w:p>
      <w:pPr>
        <w:ind w:left="13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60</w:t>
      </w:r>
    </w:p>
    <w:p>
      <w:pPr>
        <w:sectPr>
          <w:pgSz w:w="11900" w:h="16838" w:orient="portrait"/>
          <w:cols w:equalWidth="0" w:num="1">
            <w:col w:w="10120"/>
          </w:cols>
          <w:pgMar w:left="1440" w:top="1242" w:right="339" w:bottom="1440" w:gutter="0" w:footer="0" w:header="0"/>
        </w:sectPr>
      </w:pPr>
    </w:p>
    <w:bookmarkStart w:id="63" w:name="page64"/>
    <w:bookmarkEnd w:id="63"/>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WEATHERFORD INTERNATIONAL PLC AND SUBSIDIARIES</w:t>
      </w:r>
    </w:p>
    <w:p>
      <w:pPr>
        <w:spacing w:after="0" w:line="3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700" w:type="dxa"/>
            <w:vAlign w:val="bottom"/>
            <w:tcBorders>
              <w:bottom w:val="single" w:sz="8" w:color="auto"/>
            </w:tcBorders>
          </w:tcPr>
          <w:p>
            <w:pPr>
              <w:jc w:val="center"/>
              <w:ind w:left="218"/>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18"/>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3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Pr>
          <w:p>
            <w:pPr>
              <w:jc w:val="center"/>
              <w:ind w:left="21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550</w:t>
            </w:r>
          </w:p>
        </w:tc>
        <w:tc>
          <w:tcPr>
            <w:tcW w:w="60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449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308"/>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343</w:t>
            </w:r>
          </w:p>
        </w:tc>
        <w:tc>
          <w:tcPr>
            <w:tcW w:w="60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327</w:t>
            </w:r>
          </w:p>
        </w:tc>
        <w:tc>
          <w:tcPr>
            <w:tcW w:w="620" w:type="dxa"/>
            <w:vAlign w:val="bottom"/>
          </w:tcPr>
          <w:p>
            <w:pPr>
              <w:spacing w:after="0"/>
              <w:rPr>
                <w:sz w:val="24"/>
                <w:szCs w:val="24"/>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349</w:t>
            </w:r>
          </w:p>
        </w:tc>
      </w:tr>
      <w:tr>
        <w:trPr>
          <w:trHeight w:val="3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Losses</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56</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116</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71</w:t>
            </w:r>
          </w:p>
        </w:tc>
      </w:tr>
      <w:tr>
        <w:trPr>
          <w:trHeight w:val="308"/>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70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57</w:t>
            </w:r>
          </w:p>
        </w:tc>
        <w:tc>
          <w:tcPr>
            <w:tcW w:w="620" w:type="dxa"/>
            <w:vAlign w:val="bottom"/>
          </w:tcPr>
          <w:p>
            <w:pPr>
              <w:spacing w:after="0"/>
              <w:rPr>
                <w:sz w:val="24"/>
                <w:szCs w:val="24"/>
                <w:color w:val="auto"/>
              </w:rPr>
            </w:pP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3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08"/>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70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w:t>
            </w:r>
          </w:p>
        </w:tc>
        <w:tc>
          <w:tcPr>
            <w:tcW w:w="620" w:type="dxa"/>
            <w:vAlign w:val="bottom"/>
          </w:tcPr>
          <w:p>
            <w:pPr>
              <w:spacing w:after="0"/>
              <w:rPr>
                <w:sz w:val="24"/>
                <w:szCs w:val="24"/>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r>
      <w:tr>
        <w:trPr>
          <w:trHeight w:val="3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45</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w:t>
            </w:r>
          </w:p>
        </w:tc>
      </w:tr>
      <w:tr>
        <w:trPr>
          <w:trHeight w:val="162"/>
        </w:trPr>
        <w:tc>
          <w:tcPr>
            <w:tcW w:w="5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Benefits:</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13"/>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(221)</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308"/>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7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(112)</w:t>
            </w:r>
          </w:p>
        </w:tc>
        <w:tc>
          <w:tcPr>
            <w:tcW w:w="6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(114)</w:t>
            </w:r>
          </w:p>
        </w:tc>
        <w:tc>
          <w:tcPr>
            <w:tcW w:w="6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13"/>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97</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231</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84</w:t>
            </w:r>
          </w:p>
        </w:tc>
      </w:tr>
      <w:tr>
        <w:trPr>
          <w:trHeight w:val="308"/>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7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(74)</w:t>
            </w:r>
          </w:p>
        </w:tc>
        <w:tc>
          <w:tcPr>
            <w:tcW w:w="60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w:t>
            </w:r>
          </w:p>
        </w:tc>
        <w:tc>
          <w:tcPr>
            <w:tcW w:w="620" w:type="dxa"/>
            <w:vAlign w:val="bottom"/>
          </w:tcPr>
          <w:p>
            <w:pPr>
              <w:spacing w:after="0"/>
              <w:rPr>
                <w:sz w:val="24"/>
                <w:szCs w:val="24"/>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w:t>
            </w:r>
          </w:p>
        </w:tc>
      </w:tr>
      <w:tr>
        <w:trPr>
          <w:trHeight w:val="310"/>
        </w:trPr>
        <w:tc>
          <w:tcPr>
            <w:tcW w:w="58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Changes, Net</w:t>
            </w:r>
          </w:p>
        </w:tc>
        <w:tc>
          <w:tcPr>
            <w:tcW w:w="7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w:t>
            </w:r>
          </w:p>
        </w:tc>
        <w:tc>
          <w:tcPr>
            <w:tcW w:w="6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29</w:t>
            </w:r>
          </w:p>
        </w:tc>
        <w:tc>
          <w:tcPr>
            <w:tcW w:w="6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w:t>
            </w:r>
          </w:p>
        </w:tc>
      </w:tr>
      <w:tr>
        <w:trPr>
          <w:trHeight w:val="211"/>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700" w:type="dxa"/>
            <w:vAlign w:val="bottom"/>
            <w:tcBorders>
              <w:bottom w:val="single" w:sz="8" w:color="auto"/>
            </w:tcBorders>
          </w:tcPr>
          <w:p>
            <w:pPr>
              <w:jc w:val="center"/>
              <w:ind w:left="21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792</w:t>
            </w:r>
          </w:p>
        </w:tc>
        <w:tc>
          <w:tcPr>
            <w:tcW w:w="60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832</w:t>
            </w:r>
          </w:p>
        </w:tc>
        <w:tc>
          <w:tcPr>
            <w:tcW w:w="6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349</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308"/>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313"/>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31</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28</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82</w:t>
            </w:r>
          </w:p>
        </w:tc>
      </w:tr>
      <w:tr>
        <w:trPr>
          <w:trHeight w:val="308"/>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7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(50)</w:t>
            </w:r>
          </w:p>
        </w:tc>
        <w:tc>
          <w:tcPr>
            <w:tcW w:w="6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w:t>
            </w:r>
          </w:p>
        </w:tc>
        <w:tc>
          <w:tcPr>
            <w:tcW w:w="620" w:type="dxa"/>
            <w:vAlign w:val="bottom"/>
          </w:tcPr>
          <w:p>
            <w:pPr>
              <w:spacing w:after="0"/>
              <w:rPr>
                <w:sz w:val="24"/>
                <w:szCs w:val="24"/>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40</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53</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7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(51)</w:t>
            </w:r>
          </w:p>
        </w:tc>
        <w:tc>
          <w:tcPr>
            <w:tcW w:w="6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w:t>
            </w:r>
          </w:p>
        </w:tc>
        <w:tc>
          <w:tcPr>
            <w:tcW w:w="620" w:type="dxa"/>
            <w:vAlign w:val="bottom"/>
          </w:tcPr>
          <w:p>
            <w:pPr>
              <w:spacing w:after="0"/>
              <w:rPr>
                <w:sz w:val="18"/>
                <w:szCs w:val="18"/>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8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7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36</w:t>
            </w:r>
          </w:p>
        </w:tc>
        <w:tc>
          <w:tcPr>
            <w:tcW w:w="6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(47)</w:t>
            </w:r>
          </w:p>
        </w:tc>
        <w:tc>
          <w:tcPr>
            <w:tcW w:w="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(293)</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(289)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308"/>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313"/>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(39)</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08"/>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w:t>
            </w:r>
          </w:p>
        </w:tc>
        <w:tc>
          <w:tcPr>
            <w:tcW w:w="7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w:t>
            </w:r>
          </w:p>
        </w:tc>
        <w:tc>
          <w:tcPr>
            <w:tcW w:w="6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(56)</w:t>
            </w:r>
          </w:p>
        </w:tc>
        <w:tc>
          <w:tcPr>
            <w:tcW w:w="6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13"/>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7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(99)</w:t>
            </w:r>
          </w:p>
        </w:tc>
        <w:tc>
          <w:tcPr>
            <w:tcW w:w="6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308"/>
        </w:trPr>
        <w:tc>
          <w:tcPr>
            <w:tcW w:w="5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700" w:type="dxa"/>
            <w:vAlign w:val="bottom"/>
          </w:tcPr>
          <w:p>
            <w:pPr>
              <w:spacing w:after="0"/>
              <w:rPr>
                <w:sz w:val="24"/>
                <w:szCs w:val="24"/>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w:t>
            </w:r>
          </w:p>
        </w:tc>
        <w:tc>
          <w:tcPr>
            <w:tcW w:w="600" w:type="dxa"/>
            <w:vAlign w:val="bottom"/>
          </w:tcPr>
          <w:p>
            <w:pPr>
              <w:spacing w:after="0"/>
              <w:rPr>
                <w:sz w:val="24"/>
                <w:szCs w:val="2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311"/>
        </w:trPr>
        <w:tc>
          <w:tcPr>
            <w:tcW w:w="58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7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w:t>
            </w:r>
          </w:p>
        </w:tc>
        <w:tc>
          <w:tcPr>
            <w:tcW w:w="6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w:t>
            </w:r>
          </w:p>
        </w:tc>
        <w:tc>
          <w:tcPr>
            <w:tcW w:w="6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1"/>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(511)</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(514)</w:t>
            </w:r>
          </w:p>
        </w:tc>
        <w:tc>
          <w:tcPr>
            <w:tcW w:w="6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(78)</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7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6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5"/>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360" w:type="dxa"/>
            <w:vAlign w:val="bottom"/>
            <w:tcBorders>
              <w:bottom w:val="single" w:sz="8" w:color="auto"/>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1,063</w:t>
            </w:r>
          </w:p>
        </w:tc>
        <w:tc>
          <w:tcPr>
            <w:tcW w:w="1260" w:type="dxa"/>
            <w:vAlign w:val="bottom"/>
            <w:tcBorders>
              <w:bottom w:val="single" w:sz="8" w:color="auto"/>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1,112</w:t>
            </w:r>
          </w:p>
        </w:tc>
        <w:tc>
          <w:tcPr>
            <w:tcW w:w="106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1,113</w:t>
            </w:r>
          </w:p>
        </w:tc>
      </w:tr>
      <w:tr>
        <w:trPr>
          <w:trHeight w:val="209"/>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700" w:type="dxa"/>
            <w:vAlign w:val="bottom"/>
            <w:tcBorders>
              <w:bottom w:val="single" w:sz="8" w:color="auto"/>
            </w:tcBorders>
          </w:tcPr>
          <w:p>
            <w:pPr>
              <w:jc w:val="center"/>
              <w:ind w:left="21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975</w:t>
            </w:r>
          </w:p>
        </w:tc>
        <w:tc>
          <w:tcPr>
            <w:tcW w:w="126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  1,063</w:t>
            </w:r>
          </w:p>
        </w:tc>
        <w:tc>
          <w:tcPr>
            <w:tcW w:w="10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  1,112</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700" w:type="dxa"/>
            <w:vAlign w:val="bottom"/>
          </w:tcPr>
          <w:p>
            <w:pPr>
              <w:jc w:val="center"/>
              <w:ind w:left="21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153</w:t>
            </w:r>
          </w:p>
        </w:tc>
        <w:tc>
          <w:tcPr>
            <w:tcW w:w="60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181</w:t>
            </w:r>
          </w:p>
        </w:tc>
        <w:tc>
          <w:tcPr>
            <w:tcW w:w="6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220</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700" w:type="dxa"/>
            <w:vAlign w:val="bottom"/>
            <w:shd w:val="clear" w:color="auto" w:fill="CCEEFF"/>
          </w:tcPr>
          <w:p>
            <w:pPr>
              <w:jc w:val="center"/>
              <w:ind w:left="21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168</w:t>
            </w:r>
          </w:p>
        </w:tc>
        <w:tc>
          <w:tcPr>
            <w:tcW w:w="60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132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86</w:t>
            </w:r>
          </w:p>
        </w:tc>
      </w:tr>
      <w:tr>
        <w:trPr>
          <w:trHeight w:val="214"/>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895,119 Ordinary Shares Issued for Acquisitions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0540"/>
          </w:cols>
          <w:pgMar w:left="860" w:top="1082" w:right="499" w:bottom="11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color w:val="auto"/>
        </w:rPr>
        <w:t>Weatherford International plc – 2024 Form 10-K | 61</w:t>
      </w:r>
    </w:p>
    <w:p>
      <w:pPr>
        <w:sectPr>
          <w:pgSz w:w="11900" w:h="16838" w:orient="portrait"/>
          <w:cols w:equalWidth="0" w:num="1">
            <w:col w:w="10540"/>
          </w:cols>
          <w:pgMar w:left="860" w:top="1082" w:right="499" w:bottom="1134" w:gutter="0" w:footer="0" w:header="0"/>
          <w:type w:val="continuous"/>
        </w:sectPr>
      </w:pPr>
    </w:p>
    <w:bookmarkStart w:id="64" w:name="page65"/>
    <w:bookmarkEnd w:id="64"/>
    <w:p>
      <w:pPr>
        <w:ind w:left="17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62</w:t>
      </w:r>
    </w:p>
    <w:p>
      <w:pPr>
        <w:sectPr>
          <w:pgSz w:w="11900" w:h="16838" w:orient="portrait"/>
          <w:cols w:equalWidth="0" w:num="1">
            <w:col w:w="9960"/>
          </w:cols>
          <w:pgMar w:left="1440" w:top="814" w:right="49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Summary of Significant Accounting Policies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97"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conduct business in approximately 75 countries and have service and sales locations in oil and natural gas producing regions globally.</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of America (“U.S. GAAP”) and pursuant to the rules and regulations of the Exchange Act for annual financial information. We consolidate all wholly owned subsidiaries and controlled joint ventures and eliminate intercompany balances in consolidation.</w:t>
      </w:r>
    </w:p>
    <w:p>
      <w:pPr>
        <w:spacing w:after="0" w:line="210"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Certain reclassifications have been made to the financial statements and accompanying footnotes to conform to the Company’s current period presentation.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83"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valuation of derivative financial instruments,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to be cash equivalents.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Our restricted cash balance of $59 million at December 31, 2024 and $105 million at December 31, 2023 primarily includes cash collateral for certain of our letters of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63</w:t>
      </w:r>
    </w:p>
    <w:p>
      <w:pPr>
        <w:sectPr>
          <w:pgSz w:w="11900" w:h="16838" w:orient="portrait"/>
          <w:cols w:equalWidth="0" w:num="1">
            <w:col w:w="11240"/>
          </w:cols>
          <w:pgMar w:left="320" w:top="378" w:right="339" w:bottom="1440" w:gutter="0" w:footer="0" w:header="0"/>
        </w:sectPr>
      </w:pPr>
    </w:p>
    <w:bookmarkStart w:id="66" w:name="page67"/>
    <w:bookmarkEnd w:id="66"/>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and Allowance for Credit Losses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Substantially all of our customers are in fossil fuel-related industries and thus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w:t>
      </w:r>
    </w:p>
    <w:p>
      <w:pPr>
        <w:spacing w:after="0" w:line="19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establish an allowance for credit losses based on various factors,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Risk profiles can vary between larger and smaller independent customers as well as between state-owned customers. Account balances are charged against the allowance after all means of collection have been exhausted and the potential for recovery is considered remote.</w:t>
      </w:r>
    </w:p>
    <w:p>
      <w:pPr>
        <w:spacing w:after="0" w:line="21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of December 31, 2024 and December 31, 2023, Mexico accounted for 31% and 27% of our total net outstanding accounts receivables, respectively, of which our largest customer in the country accounted for 26% and 22% of our total net outstanding accounts receivables, respectively.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future results of the Company.</w:t>
      </w:r>
    </w:p>
    <w:p>
      <w:pPr>
        <w:spacing w:after="0" w:line="204"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During the twelve months ended December 31, 2024, we paid an immaterial amount of fees to third-party financial institutions related to collections of certain receivables from our largest customer in Mexico. Pursuant to such arrangements, we received $484 million during the twelve months ended December 31, 2024.</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December 31, 2023, the U.S. accounted for less than 10% and 11% of our total net accounts receivables,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country or individual customer accounted for more than 10% of our total net outstanding accounts receivables.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83"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We state our inventories at the lower of cost or net realizable value using either the first-in, first-out (“FIFO”) or average cost method. Cost represents third-party invoice or production cost. Production cost includes material, labor and manufacturing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periodically recognize additional charges for inventory in which we determine there is no forecasted demand.</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(“PP&amp;E”)</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PP&amp;E is both owned and under finance leases. Owned PP&amp;E are initially stated at cost and finance leases are initially stated at the present value of lease payments. Both are depreciated on straight-line basis over its estimated useful life. Subsequently, PP&amp;E is measured at cost less accumulated depreciation and adjusted for impairment, when applicable. The carrying values are based on our estimates and judgments relative to capitalized costs, useful lives and salvage value, where applicable. We expense maintenance and repairs as incurred and capitalize expenditures for improvements as well as renewals and replacements that extend the useful life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64</w:t>
      </w:r>
    </w:p>
    <w:p>
      <w:pPr>
        <w:sectPr>
          <w:pgSz w:w="11900" w:h="16838" w:orient="portrait"/>
          <w:cols w:equalWidth="0" w:num="1">
            <w:col w:w="11240"/>
          </w:cols>
          <w:pgMar w:left="320" w:top="378" w:right="339" w:bottom="1440" w:gutter="0" w:footer="0" w:header="0"/>
        </w:sectPr>
      </w:pPr>
    </w:p>
    <w:bookmarkStart w:id="67" w:name="page68"/>
    <w:bookmarkEnd w:id="67"/>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the useful lives of our PP&amp;E over their respective lease terms, if applicable, or as follows:</w:t>
      </w:r>
    </w:p>
    <w:p>
      <w:pPr>
        <w:spacing w:after="0" w:line="73"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2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3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10 – 40 years</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3 – 10 years</w:t>
            </w: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other</w:t>
            </w:r>
          </w:p>
        </w:tc>
        <w:tc>
          <w:tcPr>
            <w:tcW w:w="53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2 – 12 years</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identifiable intangible assets include developed and acquired technologies and our trade names, amortized on a straight-line basis over their estimated economic lives, generally ranging from 5 years (developed and acquired technologies) to 10 years (trade names).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7"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Leases with an initial term of 12 months or less (“short-term leases”) are not recorded on the balance sheet; we recognize lease expense for these leases on a straight-line basis over the lease term.</w:t>
      </w:r>
    </w:p>
    <w:p>
      <w:pPr>
        <w:spacing w:after="0" w:line="20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recognized based on the present value of lease payments over the lease term at commencement date and include related options to extend or terminate lease terms that are reasonably certain of being exercised. We determine if an arrangement is classified as a lease at its inception. As most of our leases do not provide an implicit rate of return, on a quarterly basis, we use our incremental borrowing rate, together with the lease term information available at commencement date of the lease, in determining the present value of lease payments.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Impairment</w:t>
      </w:r>
    </w:p>
    <w:p>
      <w:pPr>
        <w:spacing w:after="0" w:line="29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Long-lived assets, consisting of PP&amp;E, operating lease assets and intangible assets, to be held and used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impairment is recognized to the extent the carrying amount exceeds the estimated fair value of the asset group, as determined by a discounted cash flow analysis.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Expenditures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expenditures are expensed as incurred.</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primarily enter into foreign currency forward contracts to mitigate the volatility of foreign exchange related gains and losses on the income statement and the risk of future cash flows denominated in a foreign currency. The amounts will fluctuate, depending on exchange rate volatility, the volume of our foreign currency transactions, and our decisions to hedge. During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65</w:t>
      </w:r>
    </w:p>
    <w:p>
      <w:pPr>
        <w:sectPr>
          <w:pgSz w:w="11900" w:h="16838" w:orient="portrait"/>
          <w:cols w:equalWidth="0" w:num="1">
            <w:col w:w="11240"/>
          </w:cols>
          <w:pgMar w:left="320" w:top="378" w:right="3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2024 and 2023 we entered into CDSs. The notional amounts of our foreign currency forward contracts and the CDSs do not generally represent cash amounts exchanged by the parties and are calculated based on the terms of the derivative instrument.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foreign currency forward contracts and the CDS are undesignated hedging instruments under Accounting Standards Codification “ASC” 815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We record these derivative instruments on the balance sheet at their fair value as either assets or liabilities. See “Note 10 –</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Financial Instruments” for additional information.</w:t>
      </w:r>
    </w:p>
    <w:p>
      <w:pPr>
        <w:spacing w:after="0" w:line="293"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fair values of our outstanding derivative instruments are determined using models with either Level 2 or Level 3 inputs. See “Note 9 – Fair Value of Financial Instruments, Assets and Other Assets” for additional information.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83" w:lineRule="exact"/>
        <w:rPr>
          <w:sz w:val="20"/>
          <w:szCs w:val="20"/>
          <w:color w:val="auto"/>
        </w:rPr>
      </w:pPr>
    </w:p>
    <w:p>
      <w:pPr>
        <w:jc w:val="both"/>
        <w:ind w:firstLine="243"/>
        <w:spacing w:after="0" w:line="313" w:lineRule="auto"/>
        <w:rPr>
          <w:sz w:val="20"/>
          <w:szCs w:val="20"/>
          <w:color w:val="auto"/>
        </w:rPr>
      </w:pPr>
      <w:r>
        <w:rPr>
          <w:rFonts w:ascii="Times New Roman" w:cs="Times New Roman" w:eastAsia="Times New Roman" w:hAnsi="Times New Roman"/>
          <w:sz w:val="18"/>
          <w:szCs w:val="18"/>
          <w:color w:val="auto"/>
        </w:rPr>
        <w:t>Results of operations for our foreign subsidiaries with functional currencies other than the U.S. dollar are translated using average exchange rates during the period. Assets and liabilities translated using the exchange rates in effect at the balance sheet dates are included in “Accumulated Other Comprehensive Loss” on the accompanying Consolidated Statements of Shareholders' Equity.</w:t>
      </w:r>
    </w:p>
    <w:p>
      <w:pPr>
        <w:spacing w:after="0" w:line="189"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For our subsidiaries with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Remeasurement gains and losses are recognized during the period incurred and recognized in “Other Expense, Net” on the accompanying Consolidated Statements of Operations.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9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account for share-based payment awards by recognizing the grant date fair value as an expense, net of forfeitures, over the service period, which is usually the vesting period. The fair value and associated expense is adjusted when the published price of our stock changes for share-based awards we intend to settle in cash. We record share-based compensation in “Selling, General and Administrative” on the accompanying Consolidated Statements of Operations.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Disputes, Litigation and Contingencies</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66</w:t>
      </w:r>
    </w:p>
    <w:p>
      <w:pPr>
        <w:sectPr>
          <w:pgSz w:w="11900" w:h="16838" w:orient="portrait"/>
          <w:cols w:equalWidth="0" w:num="1">
            <w:col w:w="11240"/>
          </w:cols>
          <w:pgMar w:left="320" w:top="378" w:right="33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95"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color w:val="auto"/>
        </w:rPr>
        <w:t xml:space="preserve">We account for revenue in accordance with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02"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If the terms of a service contract give us the right to invoice the customer for an amount that corresponds directly with the value of our performance completed to date, revenues are recognized at the amount to which we have the right to invoice.</w:t>
      </w:r>
    </w:p>
    <w:p>
      <w:pPr>
        <w:spacing w:after="0" w:line="17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For certain long-term contracts, our revenue is recognized for services over time as the services are rendered and we utilize an output method such as time elapsed or footage drilled, which coincides with how customers receive the benefit.</w:t>
      </w:r>
    </w:p>
    <w:p>
      <w:pPr>
        <w:spacing w:after="0" w:line="18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are recognized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are recorded within “Services Revenue” on the accompanying Consolidated Statements of Operations.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(included in “Accounts Receivable, Net”), contract assets (included in “Other Current Assets” and “Other Non-Current Assets”), and contract liabilities (included in “Other Current Liabilities” and “Other Non-current Liabilities”) on our Consolidated Balance Sheets. We recognize receivables for work completed on service contracts but not billed in which the rights to consideration are conditional as contract assets. We recognize contract liabilities when consideration is received in advance of the recognition of revenue.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w:t>
      </w:r>
    </w:p>
    <w:p>
      <w:pPr>
        <w:spacing w:after="0" w:line="175"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We generally bill our sales of products and services upon completion of the performance obligation. Product sales and services are billed and recognized when control passes to the customer. Our products are produced in a standard manufacturing operation, even if produced to our customer’s specifications.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20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Revenue is occasionally generated from contracts that include multiple performance obligations, such as product sales with related installation and/or maintenance services. The consideration in the contract is allocated between separate products and services based on their standalone selling prices (determined based on the prices at which we separately sell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67</w:t>
      </w:r>
    </w:p>
    <w:p>
      <w:pPr>
        <w:sectPr>
          <w:pgSz w:w="11900" w:h="16838" w:orient="portrait"/>
          <w:cols w:equalWidth="0" w:num="1">
            <w:col w:w="11240"/>
          </w:cols>
          <w:pgMar w:left="320" w:top="378" w:right="339" w:bottom="1440" w:gutter="0" w:footer="0" w:header="0"/>
        </w:sectPr>
      </w:pPr>
    </w:p>
    <w:bookmarkStart w:id="70" w:name="page71"/>
    <w:bookmarkEnd w:id="70"/>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per Share</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the weighted average shares outstanding during the period including participating securities. Diluted income per share is computed by dividing net income by our weighted average shares outstanding during the period including participating securities and any potential dilutive shares, when applicable.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Newly Adopted</w:t>
      </w:r>
    </w:p>
    <w:p>
      <w:pPr>
        <w:spacing w:after="0" w:line="295"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 xml:space="preserve">The Company has adopted ASU 2023-07, </w:t>
      </w:r>
      <w:r>
        <w:rPr>
          <w:rFonts w:ascii="Times New Roman" w:cs="Times New Roman" w:eastAsia="Times New Roman" w:hAnsi="Times New Roman"/>
          <w:sz w:val="18"/>
          <w:szCs w:val="18"/>
          <w:i w:val="1"/>
          <w:iCs w:val="1"/>
          <w:color w:val="auto"/>
        </w:rPr>
        <w:t>Segment Reporting (Topic 280)-Improvements to Reportable Segment Disclosures</w:t>
      </w:r>
      <w:r>
        <w:rPr>
          <w:rFonts w:ascii="Times New Roman" w:cs="Times New Roman" w:eastAsia="Times New Roman" w:hAnsi="Times New Roman"/>
          <w:sz w:val="18"/>
          <w:szCs w:val="18"/>
          <w:color w:val="auto"/>
        </w:rPr>
        <w:t xml:space="preserve"> as issued by the Financial Accounting Standards Board (“FASB”) in November 2023, which is an update that improves reportable segment disclosure requirements. Other than providing additional disclosures related to our segments, the adoption did not materially impact our financial statements. See “Note 2 – Segment Information” in our Notes to Consolidated Financial Statements.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95"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an update that improves income statement expense disclosure requirements. Under ASU 2024-03 issuers will be required to incorporate new tabular disclosures disaggregating prescribed expense categories within relevant income statement captions in the notes to their financial statements. These categories include purchases of inventory, employee compensation, depreciation and intangible asset amortization. The amendments are effective for fiscal years beginning after December 15, 2026 and should be applied prospectively. We expect to adopt ASU 2024-03 in our 2027 Form 10-K. The adoption of ASU 2024-03 will require us to provide additional disclosures related to certain income statement expenses, but otherwise will not materially impact our financial statements.</w:t>
      </w:r>
    </w:p>
    <w:p>
      <w:pPr>
        <w:spacing w:after="0" w:line="220"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an update that improves income tax disclosure requirements. Under ASU 2023-09, issuers must annually (1) disclose specific categories in the rate reconciliation and (2) provide additional information for reconciling items that meet a quantitative threshold. The amendments are effective for fiscal years beginning after December 15, 2024 and should be applied prospectively. We expect to adopt ASU 2023-09 in our 2025 Form 10-K. The adoption of ASU 2023-09 will require us to provide additional disclosures related to our income taxes, but otherwise will not materially impact our financial statements.</w:t>
      </w:r>
    </w:p>
    <w:p>
      <w:pPr>
        <w:spacing w:after="0" w:line="202" w:lineRule="exact"/>
        <w:rPr>
          <w:sz w:val="20"/>
          <w:szCs w:val="20"/>
          <w:color w:val="auto"/>
        </w:rPr>
      </w:pPr>
    </w:p>
    <w:p>
      <w:pPr>
        <w:ind w:right="140" w:firstLine="324"/>
        <w:spacing w:after="0" w:line="329"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68</w:t>
      </w:r>
    </w:p>
    <w:p>
      <w:pPr>
        <w:sectPr>
          <w:pgSz w:w="11900" w:h="16838" w:orient="portrait"/>
          <w:cols w:equalWidth="0" w:num="1">
            <w:col w:w="11240"/>
          </w:cols>
          <w:pgMar w:left="320" w:top="378" w:right="339" w:bottom="1440" w:gutter="0" w:footer="0" w:header="0"/>
        </w:sectPr>
      </w:pPr>
    </w:p>
    <w:bookmarkStart w:id="71" w:name="page72"/>
    <w:bookmarkEnd w:id="71"/>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Company's chief operating decision maker (“CODM”), our chief executive officer, regularly reviews information to make operating decisions, allocate resources and assess performance of the business. The CODM regularly reviews information aligned with how we offer our services and technologies in relation to the well life cycle as reflected in our reportable segments. All of our segments are enabled by a suite of digital monitoring, control and optimization solutions using advanced analytics to provide safe, reliable and efficient solutions throughout the well life cycle, including responsible abandonment. We have three reportable segments: (1) Drilling and Evaluation (2) Well Construction and Completions, and (3) Production and Intervention.</w:t>
      </w:r>
    </w:p>
    <w:p>
      <w:pPr>
        <w:spacing w:after="0" w:line="201"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84"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05"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in conventional and unconventional wells, deep water, and aging reservoirs. The primary offerings are intervention services &amp; drilling tools, artificial lift, digital solutions, sub-sea intervention and pressure pumping services in select markets.</w:t>
      </w:r>
    </w:p>
    <w:p>
      <w:pPr>
        <w:spacing w:after="0" w:line="19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Total revenues are from external customers and segment revenues are specific to our three reportable segments and all other revenues are specific to our non-operating segment revenues. Revenues are further described in “Note 3 – Revenue.”</w:t>
      </w:r>
    </w:p>
    <w:p>
      <w:pPr>
        <w:spacing w:after="0" w:line="17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CODM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69</w:t>
      </w:r>
    </w:p>
    <w:p>
      <w:pPr>
        <w:sectPr>
          <w:pgSz w:w="11900" w:h="16838" w:orient="portrait"/>
          <w:cols w:equalWidth="0" w:num="1">
            <w:col w:w="11240"/>
          </w:cols>
          <w:pgMar w:left="320" w:top="37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75"/>
        </w:trPr>
        <w:tc>
          <w:tcPr>
            <w:tcW w:w="56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23"/>
        </w:trPr>
        <w:tc>
          <w:tcPr>
            <w:tcW w:w="5640" w:type="dxa"/>
            <w:vAlign w:val="bottom"/>
            <w:tcBorders>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DRE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0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1,682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403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5,513</w:t>
            </w:r>
          </w:p>
        </w:tc>
      </w:tr>
      <w:tr>
        <w:trPr>
          <w:trHeight w:val="162"/>
        </w:trPr>
        <w:tc>
          <w:tcPr>
            <w:tcW w:w="564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2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324"/>
        </w:trPr>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30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467</w:t>
            </w:r>
          </w:p>
        </w:tc>
      </w:tr>
      <w:tr>
        <w:trPr>
          <w:trHeight w:val="324"/>
        </w:trPr>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564</w:t>
            </w:r>
          </w:p>
        </w:tc>
      </w:tr>
      <w:tr>
        <w:trPr>
          <w:trHeight w:val="32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9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319</w:t>
            </w:r>
          </w:p>
        </w:tc>
      </w:tr>
      <w:tr>
        <w:trPr>
          <w:trHeight w:val="291"/>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56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324"/>
        </w:trPr>
        <w:tc>
          <w:tcPr>
            <w:tcW w:w="56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(c)</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9"/>
        </w:trPr>
        <w:tc>
          <w:tcPr>
            <w:tcW w:w="56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938</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060" w:hanging="242"/>
        <w:spacing w:after="0"/>
        <w:tabs>
          <w:tab w:leader="none" w:pos="10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45"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32"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23"/>
        </w:trPr>
        <w:tc>
          <w:tcPr>
            <w:tcW w:w="5640" w:type="dxa"/>
            <w:vAlign w:val="bottom"/>
            <w:tcBorders>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DRE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0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1,536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1,472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327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5,135</w:t>
            </w:r>
          </w:p>
        </w:tc>
      </w:tr>
      <w:tr>
        <w:trPr>
          <w:trHeight w:val="162"/>
        </w:trPr>
        <w:tc>
          <w:tcPr>
            <w:tcW w:w="564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2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324"/>
        </w:trPr>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30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422</w:t>
            </w:r>
          </w:p>
        </w:tc>
      </w:tr>
      <w:tr>
        <w:trPr>
          <w:trHeight w:val="324"/>
        </w:trPr>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r>
      <w:tr>
        <w:trPr>
          <w:trHeight w:val="32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9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w:t>
            </w: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r>
      <w:tr>
        <w:trPr>
          <w:trHeight w:val="29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56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324"/>
        </w:trPr>
        <w:tc>
          <w:tcPr>
            <w:tcW w:w="56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(c)</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9"/>
        </w:trPr>
        <w:tc>
          <w:tcPr>
            <w:tcW w:w="56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820</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060" w:hanging="242"/>
        <w:spacing w:after="0"/>
        <w:tabs>
          <w:tab w:leader="none" w:pos="10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32"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45"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70</w:t>
      </w:r>
    </w:p>
    <w:p>
      <w:pPr>
        <w:sectPr>
          <w:pgSz w:w="11900" w:h="16838" w:orient="portrait"/>
          <w:cols w:equalWidth="0" w:num="1">
            <w:col w:w="11240"/>
          </w:cols>
          <w:pgMar w:left="320" w:top="378"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75"/>
        </w:trPr>
        <w:tc>
          <w:tcPr>
            <w:tcW w:w="56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23"/>
        </w:trPr>
        <w:tc>
          <w:tcPr>
            <w:tcW w:w="5640" w:type="dxa"/>
            <w:vAlign w:val="bottom"/>
            <w:tcBorders>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DRE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WCC</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0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1,328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1,395</w:t>
            </w:r>
          </w:p>
        </w:tc>
        <w:tc>
          <w:tcPr>
            <w:tcW w:w="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  87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4,331</w:t>
            </w:r>
          </w:p>
        </w:tc>
      </w:tr>
      <w:tr>
        <w:trPr>
          <w:trHeight w:val="162"/>
        </w:trPr>
        <w:tc>
          <w:tcPr>
            <w:tcW w:w="564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2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324"/>
        </w:trPr>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30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auto"/>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324</w:t>
            </w:r>
          </w:p>
        </w:tc>
      </w:tr>
      <w:tr>
        <w:trPr>
          <w:trHeight w:val="324"/>
        </w:trPr>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r>
      <w:tr>
        <w:trPr>
          <w:trHeight w:val="324"/>
        </w:trPr>
        <w:tc>
          <w:tcPr>
            <w:tcW w:w="56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9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261</w:t>
            </w:r>
          </w:p>
        </w:tc>
      </w:tr>
      <w:tr>
        <w:trPr>
          <w:trHeight w:val="291"/>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56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324"/>
        </w:trPr>
        <w:tc>
          <w:tcPr>
            <w:tcW w:w="56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(c)</w:t>
            </w: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9"/>
        </w:trPr>
        <w:tc>
          <w:tcPr>
            <w:tcW w:w="56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412</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060" w:hanging="242"/>
        <w:spacing w:after="0"/>
        <w:tabs>
          <w:tab w:leader="none" w:pos="10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45"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32" w:lineRule="exact"/>
        <w:rPr>
          <w:rFonts w:ascii="Times New Roman" w:cs="Times New Roman" w:eastAsia="Times New Roman" w:hAnsi="Times New Roman"/>
          <w:sz w:val="16"/>
          <w:szCs w:val="16"/>
          <w:color w:val="auto"/>
        </w:rPr>
      </w:pPr>
    </w:p>
    <w:p>
      <w:pPr>
        <w:ind w:left="1060" w:hanging="242"/>
        <w:spacing w:after="0"/>
        <w:tabs>
          <w:tab w:leader="none" w:pos="10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 Share-Based Compensation” for additional information.</w:t>
      </w:r>
    </w:p>
    <w:p>
      <w:pPr>
        <w:spacing w:after="0" w:line="200" w:lineRule="exact"/>
        <w:rPr>
          <w:sz w:val="20"/>
          <w:szCs w:val="20"/>
          <w:color w:val="auto"/>
        </w:rPr>
      </w:pPr>
    </w:p>
    <w:p>
      <w:pPr>
        <w:spacing w:after="0" w:line="35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p>
      <w:pPr>
        <w:ind w:left="560"/>
        <w:spacing w:after="0"/>
        <w:tabs>
          <w:tab w:leader="none" w:pos="6560" w:val="left"/>
          <w:tab w:leader="none" w:pos="7840" w:val="left"/>
          <w:tab w:leader="none" w:pos="9140" w:val="left"/>
        </w:tabs>
        <w:rPr>
          <w:sz w:val="20"/>
          <w:szCs w:val="20"/>
          <w:color w:val="auto"/>
        </w:rPr>
      </w:pPr>
      <w:r>
        <w:rPr>
          <w:rFonts w:ascii="Times New Roman" w:cs="Times New Roman" w:eastAsia="Times New Roman" w:hAnsi="Times New Roman"/>
          <w:sz w:val="18"/>
          <w:szCs w:val="18"/>
          <w:b w:val="1"/>
          <w:bCs w:val="1"/>
          <w:i w:val="1"/>
          <w:iCs w:val="1"/>
          <w:color w:val="auto"/>
        </w:rPr>
        <w:t>(Dollars in millions)</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00900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9005" cy="15430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94"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9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93</w:t>
            </w:r>
          </w:p>
        </w:tc>
        <w:tc>
          <w:tcPr>
            <w:tcW w:w="5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c>
          <w:tcPr>
            <w:tcW w:w="6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900" w:type="dxa"/>
            <w:vAlign w:val="bottom"/>
          </w:tcPr>
          <w:p>
            <w:pPr>
              <w:spacing w:after="0"/>
              <w:rPr>
                <w:sz w:val="24"/>
                <w:szCs w:val="24"/>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24"/>
                <w:szCs w:val="24"/>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r>
      <w:tr>
        <w:trPr>
          <w:trHeight w:val="30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343</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327</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04"/>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900" w:type="dxa"/>
            <w:vAlign w:val="bottom"/>
          </w:tcPr>
          <w:p>
            <w:pPr>
              <w:spacing w:after="0"/>
              <w:rPr>
                <w:sz w:val="24"/>
                <w:szCs w:val="24"/>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tcPr>
          <w:p>
            <w:pPr>
              <w:spacing w:after="0"/>
              <w:rPr>
                <w:sz w:val="24"/>
                <w:szCs w:val="24"/>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9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77</w:t>
            </w:r>
          </w:p>
        </w:tc>
        <w:tc>
          <w:tcPr>
            <w:tcW w:w="5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329"/>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299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209</w:t>
            </w: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44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71</w:t>
      </w:r>
    </w:p>
    <w:p>
      <w:pPr>
        <w:sectPr>
          <w:pgSz w:w="11900" w:h="16838" w:orient="portrait"/>
          <w:cols w:equalWidth="0" w:num="1">
            <w:col w:w="11240"/>
          </w:cols>
          <w:pgMar w:left="320" w:top="378" w:right="339" w:bottom="1440" w:gutter="0" w:footer="0" w:header="0"/>
        </w:sectPr>
      </w:pPr>
    </w:p>
    <w:bookmarkStart w:id="74" w:name="page75"/>
    <w:bookmarkEnd w:id="74"/>
    <w:tbl>
      <w:tblPr>
        <w:tblLayout w:type="fixed"/>
        <w:tblInd w:w="18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75"/>
        </w:trPr>
        <w:tc>
          <w:tcPr>
            <w:tcW w:w="4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9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324"/>
        </w:trPr>
        <w:tc>
          <w:tcPr>
            <w:tcW w:w="420" w:type="dxa"/>
            <w:vAlign w:val="bottom"/>
          </w:tcPr>
          <w:p>
            <w:pPr>
              <w:spacing w:after="0"/>
              <w:rPr>
                <w:sz w:val="24"/>
                <w:szCs w:val="24"/>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766</w:t>
            </w:r>
          </w:p>
        </w:tc>
      </w:tr>
      <w:tr>
        <w:trPr>
          <w:trHeight w:val="324"/>
        </w:trPr>
        <w:tc>
          <w:tcPr>
            <w:tcW w:w="420" w:type="dxa"/>
            <w:vAlign w:val="bottom"/>
          </w:tcPr>
          <w:p>
            <w:pPr>
              <w:spacing w:after="0"/>
              <w:rPr>
                <w:sz w:val="24"/>
                <w:szCs w:val="24"/>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7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1,040</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1,066</w:t>
            </w:r>
          </w:p>
        </w:tc>
      </w:tr>
      <w:tr>
        <w:trPr>
          <w:trHeight w:val="324"/>
        </w:trPr>
        <w:tc>
          <w:tcPr>
            <w:tcW w:w="420" w:type="dxa"/>
            <w:vAlign w:val="bottom"/>
          </w:tcPr>
          <w:p>
            <w:pPr>
              <w:spacing w:after="0"/>
              <w:rPr>
                <w:sz w:val="24"/>
                <w:szCs w:val="24"/>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740" w:type="dxa"/>
            <w:vAlign w:val="bottom"/>
          </w:tcPr>
          <w:p>
            <w:pPr>
              <w:spacing w:after="0"/>
              <w:rPr>
                <w:sz w:val="24"/>
                <w:szCs w:val="24"/>
                <w:color w:val="auto"/>
              </w:rPr>
            </w:pP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702</w:t>
            </w:r>
          </w:p>
        </w:tc>
      </w:tr>
      <w:tr>
        <w:trPr>
          <w:trHeight w:val="324"/>
        </w:trPr>
        <w:tc>
          <w:tcPr>
            <w:tcW w:w="420" w:type="dxa"/>
            <w:vAlign w:val="bottom"/>
          </w:tcPr>
          <w:p>
            <w:pPr>
              <w:spacing w:after="0"/>
              <w:rPr>
                <w:sz w:val="24"/>
                <w:szCs w:val="24"/>
                <w:color w:val="auto"/>
              </w:rPr>
            </w:pPr>
          </w:p>
        </w:tc>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(a)</w:t>
            </w:r>
          </w:p>
        </w:tc>
        <w:tc>
          <w:tcPr>
            <w:tcW w:w="7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2,405</w:t>
            </w: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2,534</w:t>
            </w:r>
          </w:p>
        </w:tc>
      </w:tr>
      <w:tr>
        <w:trPr>
          <w:trHeight w:val="223"/>
        </w:trPr>
        <w:tc>
          <w:tcPr>
            <w:tcW w:w="420" w:type="dxa"/>
            <w:vAlign w:val="bottom"/>
          </w:tcPr>
          <w:p>
            <w:pPr>
              <w:spacing w:after="0"/>
              <w:rPr>
                <w:sz w:val="19"/>
                <w:szCs w:val="19"/>
                <w:color w:val="auto"/>
              </w:rPr>
            </w:pPr>
          </w:p>
        </w:tc>
        <w:tc>
          <w:tcPr>
            <w:tcW w:w="6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98"/>
              </w:rPr>
              <w:t>5,159</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5,068</w:t>
            </w:r>
          </w:p>
        </w:tc>
      </w:tr>
      <w:tr>
        <w:trPr>
          <w:trHeight w:val="21"/>
        </w:trPr>
        <w:tc>
          <w:tcPr>
            <w:tcW w:w="4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780" w:right="1460" w:hanging="166"/>
        <w:spacing w:after="0" w:line="215" w:lineRule="auto"/>
        <w:tabs>
          <w:tab w:leader="none" w:pos="792"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 total assets primarily include cash and cash equivalents, certain intangible assets, and centrally managed or shared facilities.</w:t>
      </w:r>
    </w:p>
    <w:p>
      <w:pPr>
        <w:spacing w:after="0" w:line="3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70" w:lineRule="exact"/>
        <w:rPr>
          <w:sz w:val="20"/>
          <w:szCs w:val="20"/>
          <w:color w:val="auto"/>
        </w:rPr>
      </w:pPr>
    </w:p>
    <w:p>
      <w:pPr>
        <w:jc w:val="both"/>
        <w:ind w:firstLine="243"/>
        <w:spacing w:after="0" w:line="271" w:lineRule="auto"/>
        <w:rPr>
          <w:sz w:val="20"/>
          <w:szCs w:val="20"/>
          <w:color w:val="auto"/>
        </w:rPr>
      </w:pPr>
      <w:r>
        <w:rPr>
          <w:rFonts w:ascii="Times New Roman" w:cs="Times New Roman" w:eastAsia="Times New Roman" w:hAnsi="Times New Roman"/>
          <w:sz w:val="18"/>
          <w:szCs w:val="18"/>
          <w:color w:val="auto"/>
        </w:rPr>
        <w:t>As of December 31, 2024, and 2023 the U.S. accounted for 22% and 23%, respectively, and the Kingdom of Saudi Arabia accounted for 11% and 10%, respectively, of our PP&amp;E, Net and operating lease assets identifiable by geography. No other country accounted for more than 10% of our PP&amp;E, Net and operating lease assets identifiable by geography as of December 31, 2024 and 2023. We had no PP&amp;E, Net and operating lease assets in our country of domicile (Ireland) as of December 31, 2024, and 2023.</w:t>
      </w:r>
    </w:p>
    <w:p>
      <w:pPr>
        <w:spacing w:after="0" w:line="87"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220" w:type="dxa"/>
            <w:vAlign w:val="bottom"/>
            <w:tcBorders>
              <w:bottom w:val="single" w:sz="8" w:color="auto"/>
            </w:tcBorders>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r>
      <w:tr>
        <w:trPr>
          <w:trHeight w:val="304"/>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293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280</w:t>
            </w:r>
          </w:p>
        </w:tc>
      </w:tr>
      <w:tr>
        <w:trPr>
          <w:trHeight w:val="324"/>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920" w:type="dxa"/>
            <w:vAlign w:val="bottom"/>
          </w:tcPr>
          <w:p>
            <w:pPr>
              <w:spacing w:after="0"/>
              <w:rPr>
                <w:sz w:val="24"/>
                <w:szCs w:val="24"/>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195</w:t>
            </w:r>
          </w:p>
        </w:tc>
        <w:tc>
          <w:tcPr>
            <w:tcW w:w="44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r>
      <w:tr>
        <w:trPr>
          <w:trHeight w:val="324"/>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9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443</w:t>
            </w:r>
          </w:p>
        </w:tc>
        <w:tc>
          <w:tcPr>
            <w:tcW w:w="4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393</w:t>
            </w:r>
          </w:p>
        </w:tc>
      </w:tr>
      <w:tr>
        <w:trPr>
          <w:trHeight w:val="324"/>
        </w:trPr>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219</w:t>
            </w: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r>
      <w:tr>
        <w:trPr>
          <w:trHeight w:val="329"/>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3"/>
                <w:szCs w:val="23"/>
                <w:color w:val="auto"/>
                <w:vertAlign w:val="superscript"/>
              </w:rPr>
              <w:t>(b)</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1,150</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1,061</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ind w:left="1160" w:hanging="175"/>
        <w:spacing w:after="0" w:line="220" w:lineRule="auto"/>
        <w:tabs>
          <w:tab w:leader="none" w:pos="116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82" w:lineRule="exact"/>
        <w:rPr>
          <w:rFonts w:ascii="Times New Roman" w:cs="Times New Roman" w:eastAsia="Times New Roman" w:hAnsi="Times New Roman"/>
          <w:sz w:val="23"/>
          <w:szCs w:val="23"/>
          <w:color w:val="auto"/>
          <w:vertAlign w:val="superscript"/>
        </w:rPr>
      </w:pPr>
    </w:p>
    <w:p>
      <w:pPr>
        <w:ind w:left="1160" w:hanging="175"/>
        <w:spacing w:after="0" w:line="229" w:lineRule="auto"/>
        <w:tabs>
          <w:tab w:leader="none" w:pos="116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assets not allocated by geography are excluded from this total.</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additional details on our revenue recognition policies see “Note 1 – Summary of Significant Accounting Policies.”</w:t>
      </w:r>
    </w:p>
    <w:p>
      <w:pPr>
        <w:spacing w:after="0" w:line="279" w:lineRule="exact"/>
        <w:rPr>
          <w:sz w:val="20"/>
          <w:szCs w:val="20"/>
          <w:color w:val="auto"/>
        </w:rPr>
      </w:pPr>
    </w:p>
    <w:p>
      <w:pPr>
        <w:jc w:val="both"/>
        <w:ind w:firstLine="243"/>
        <w:spacing w:after="0" w:line="329" w:lineRule="auto"/>
        <w:rPr>
          <w:sz w:val="20"/>
          <w:szCs w:val="20"/>
          <w:color w:val="auto"/>
        </w:rPr>
      </w:pPr>
      <w:r>
        <w:rPr>
          <w:rFonts w:ascii="Times New Roman" w:cs="Times New Roman" w:eastAsia="Times New Roman" w:hAnsi="Times New Roman"/>
          <w:sz w:val="18"/>
          <w:szCs w:val="18"/>
          <w:color w:val="auto"/>
        </w:rPr>
        <w:t>The following tables disaggregate our revenue from contracts with customers by geographic region and includes equipment rental revenue. Equipment rental revenue were $151 million, $142 million and $146 million in 2024, 2023 and 2022, respectively.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and 2023, Mexico accounted for 12% and 13% of total revenue, respectively, driven by our largest customer, which accounted for 10% of our total revenue in each year, respectively. During 2024, 2023 and 2022, the U.S. accounted for 15%, 16% and 20% of total revenue, respectively. During 2024, the Kingdom of Saudi Arabia accounted for 10% of total revenue. No other country or individual customer accounted for more than 10% of our total revenue in 2024, 2023 and 2022. We had no revenue in our country of domicile (Ireland) in 2024, 2023 and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72</w:t>
      </w:r>
    </w:p>
    <w:p>
      <w:pPr>
        <w:sectPr>
          <w:pgSz w:w="11900" w:h="16838" w:orient="portrait"/>
          <w:cols w:equalWidth="0" w:num="1">
            <w:col w:w="11240"/>
          </w:cols>
          <w:pgMar w:left="320" w:top="378" w:right="339" w:bottom="1440" w:gutter="0" w:footer="0" w:header="0"/>
        </w:sectPr>
      </w:pPr>
    </w:p>
    <w:bookmarkStart w:id="75" w:name="page76"/>
    <w:bookmarkEnd w:id="75"/>
    <w:tbl>
      <w:tblPr>
        <w:tblLayout w:type="fixed"/>
        <w:tblInd w:w="18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666"/>
        </w:trPr>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7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4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324"/>
        </w:trPr>
        <w:tc>
          <w:tcPr>
            <w:tcW w:w="700" w:type="dxa"/>
            <w:vAlign w:val="bottom"/>
          </w:tcPr>
          <w:p>
            <w:pPr>
              <w:spacing w:after="0"/>
              <w:rPr>
                <w:sz w:val="24"/>
                <w:szCs w:val="24"/>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1,046</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1,068</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1,104</w:t>
            </w:r>
          </w:p>
        </w:tc>
      </w:tr>
      <w:tr>
        <w:trPr>
          <w:trHeight w:val="270"/>
        </w:trPr>
        <w:tc>
          <w:tcPr>
            <w:tcW w:w="700" w:type="dxa"/>
            <w:vAlign w:val="bottom"/>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324"/>
        </w:trPr>
        <w:tc>
          <w:tcPr>
            <w:tcW w:w="700" w:type="dxa"/>
            <w:vAlign w:val="bottom"/>
          </w:tcPr>
          <w:p>
            <w:pPr>
              <w:spacing w:after="0"/>
              <w:rPr>
                <w:sz w:val="24"/>
                <w:szCs w:val="24"/>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80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4,467</w:t>
            </w:r>
          </w:p>
        </w:tc>
        <w:tc>
          <w:tcPr>
            <w:tcW w:w="64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4,067</w:t>
            </w:r>
          </w:p>
        </w:tc>
        <w:tc>
          <w:tcPr>
            <w:tcW w:w="42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3,227</w:t>
            </w:r>
          </w:p>
        </w:tc>
      </w:tr>
      <w:tr>
        <w:trPr>
          <w:trHeight w:val="324"/>
        </w:trPr>
        <w:tc>
          <w:tcPr>
            <w:tcW w:w="700" w:type="dxa"/>
            <w:vAlign w:val="bottom"/>
          </w:tcPr>
          <w:p>
            <w:pPr>
              <w:spacing w:after="0"/>
              <w:rPr>
                <w:sz w:val="24"/>
                <w:szCs w:val="24"/>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Latin America</w:t>
            </w:r>
          </w:p>
        </w:tc>
        <w:tc>
          <w:tcPr>
            <w:tcW w:w="8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1,393</w:t>
            </w: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1,387</w:t>
            </w: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1,062</w:t>
            </w:r>
          </w:p>
        </w:tc>
      </w:tr>
      <w:tr>
        <w:trPr>
          <w:trHeight w:val="324"/>
        </w:trPr>
        <w:tc>
          <w:tcPr>
            <w:tcW w:w="70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80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951</w:t>
            </w:r>
          </w:p>
        </w:tc>
        <w:tc>
          <w:tcPr>
            <w:tcW w:w="64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865</w:t>
            </w:r>
          </w:p>
        </w:tc>
        <w:tc>
          <w:tcPr>
            <w:tcW w:w="42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764</w:t>
            </w:r>
          </w:p>
        </w:tc>
      </w:tr>
      <w:tr>
        <w:trPr>
          <w:trHeight w:val="324"/>
        </w:trPr>
        <w:tc>
          <w:tcPr>
            <w:tcW w:w="700" w:type="dxa"/>
            <w:vAlign w:val="bottom"/>
          </w:tcPr>
          <w:p>
            <w:pPr>
              <w:spacing w:after="0"/>
              <w:rPr>
                <w:sz w:val="24"/>
                <w:szCs w:val="24"/>
                <w:color w:val="auto"/>
              </w:rPr>
            </w:pPr>
          </w:p>
        </w:tc>
        <w:tc>
          <w:tcPr>
            <w:tcW w:w="3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8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2,123</w:t>
            </w:r>
          </w:p>
        </w:tc>
        <w:tc>
          <w:tcPr>
            <w:tcW w:w="6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1,815</w:t>
            </w:r>
          </w:p>
        </w:tc>
        <w:tc>
          <w:tcPr>
            <w:tcW w:w="4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1,401</w:t>
            </w:r>
          </w:p>
        </w:tc>
      </w:tr>
      <w:tr>
        <w:trPr>
          <w:trHeight w:val="304"/>
        </w:trPr>
        <w:tc>
          <w:tcPr>
            <w:tcW w:w="700" w:type="dxa"/>
            <w:vAlign w:val="bottom"/>
          </w:tcPr>
          <w:p>
            <w:pPr>
              <w:spacing w:after="0"/>
              <w:rPr>
                <w:sz w:val="24"/>
                <w:szCs w:val="24"/>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5,513</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5,135</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4,331</w:t>
            </w:r>
          </w:p>
        </w:tc>
      </w:tr>
      <w:tr>
        <w:trPr>
          <w:trHeight w:val="20"/>
        </w:trPr>
        <w:tc>
          <w:tcPr>
            <w:tcW w:w="70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840" w:hanging="184"/>
        <w:spacing w:after="0"/>
        <w:tabs>
          <w:tab w:leader="none" w:pos="84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97" w:lineRule="exact"/>
        <w:rPr>
          <w:sz w:val="20"/>
          <w:szCs w:val="20"/>
          <w:color w:val="auto"/>
        </w:rPr>
      </w:pPr>
    </w:p>
    <w:p>
      <w:pPr>
        <w:ind w:firstLine="243"/>
        <w:spacing w:after="0" w:line="313"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 in the recording of accounts receivable, contract assets, and contract liabilities. The following table summarizes these balances as of December 31, 2024, and December 31,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324"/>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$8 at December 31, 2024 and $16 at December</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8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31, 2023</w:t>
            </w:r>
          </w:p>
        </w:tc>
        <w:tc>
          <w:tcPr>
            <w:tcW w:w="860" w:type="dxa"/>
            <w:vAlign w:val="bottom"/>
            <w:tcBorders>
              <w:bottom w:val="single" w:sz="8" w:color="CCEEFF"/>
            </w:tcBorders>
            <w:vMerge w:val="continue"/>
            <w:shd w:val="clear" w:color="auto" w:fill="CCEEFF"/>
          </w:tcPr>
          <w:p>
            <w:pPr>
              <w:spacing w:after="0"/>
              <w:rPr>
                <w:sz w:val="24"/>
                <w:szCs w:val="24"/>
                <w:color w:val="auto"/>
              </w:rPr>
            </w:pPr>
          </w:p>
        </w:tc>
        <w:tc>
          <w:tcPr>
            <w:tcW w:w="1280" w:type="dxa"/>
            <w:vAlign w:val="bottom"/>
            <w:tcBorders>
              <w:bottom w:val="single" w:sz="8" w:color="CCEEFF"/>
            </w:tcBorders>
            <w:gridSpan w:val="2"/>
            <w:vMerge w:val="continue"/>
            <w:shd w:val="clear" w:color="auto" w:fill="CCEEFF"/>
          </w:tcPr>
          <w:p>
            <w:pPr>
              <w:spacing w:after="0"/>
              <w:rPr>
                <w:sz w:val="24"/>
                <w:szCs w:val="24"/>
                <w:color w:val="auto"/>
              </w:rPr>
            </w:pPr>
          </w:p>
        </w:tc>
        <w:tc>
          <w:tcPr>
            <w:tcW w:w="280" w:type="dxa"/>
            <w:vAlign w:val="bottom"/>
            <w:tcBorders>
              <w:bottom w:val="single" w:sz="8" w:color="CCEEFF"/>
            </w:tcBorders>
            <w:vMerge w:val="continue"/>
            <w:shd w:val="clear" w:color="auto" w:fill="CCEEFF"/>
          </w:tcPr>
          <w:p>
            <w:pPr>
              <w:spacing w:after="0"/>
              <w:rPr>
                <w:sz w:val="24"/>
                <w:szCs w:val="24"/>
                <w:color w:val="auto"/>
              </w:rPr>
            </w:pPr>
          </w:p>
        </w:tc>
        <w:tc>
          <w:tcPr>
            <w:tcW w:w="720" w:type="dxa"/>
            <w:vAlign w:val="bottom"/>
            <w:tcBorders>
              <w:bottom w:val="single" w:sz="8" w:color="CCEEFF"/>
            </w:tcBorders>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8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2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860" w:type="dxa"/>
            <w:vAlign w:val="bottom"/>
          </w:tcPr>
          <w:p>
            <w:pPr>
              <w:spacing w:after="0"/>
              <w:rPr>
                <w:sz w:val="24"/>
                <w:szCs w:val="24"/>
                <w:color w:val="auto"/>
              </w:rPr>
            </w:pP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4"/>
                <w:szCs w:val="24"/>
                <w:color w:val="auto"/>
              </w:rPr>
            </w:pP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2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8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73</w:t>
      </w:r>
    </w:p>
    <w:p>
      <w:pPr>
        <w:sectPr>
          <w:pgSz w:w="11900" w:h="16838" w:orient="portrait"/>
          <w:cols w:equalWidth="0" w:num="1">
            <w:col w:w="11240"/>
          </w:cols>
          <w:pgMar w:left="320" w:top="378" w:right="339" w:bottom="1440" w:gutter="0" w:footer="0" w:header="0"/>
        </w:sectPr>
      </w:pPr>
    </w:p>
    <w:bookmarkStart w:id="76" w:name="page77"/>
    <w:bookmarkEnd w:id="76"/>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Inventories, Net</w:t>
      </w:r>
    </w:p>
    <w:p>
      <w:pPr>
        <w:spacing w:after="0" w:line="297"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Inventories, net of reserves of $115 million and $121 million as of December 31, 2024 and December 31, 2023, respectively, by category were as follows:</w:t>
      </w:r>
    </w:p>
    <w:p>
      <w:pPr>
        <w:spacing w:after="0" w:line="6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30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778</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688</w:t>
            </w:r>
          </w:p>
        </w:tc>
      </w:tr>
      <w:tr>
        <w:trPr>
          <w:trHeight w:val="324"/>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329"/>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880</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788</w:t>
            </w:r>
          </w:p>
        </w:tc>
      </w:tr>
      <w:tr>
        <w:trPr>
          <w:trHeight w:val="20"/>
        </w:trPr>
        <w:tc>
          <w:tcPr>
            <w:tcW w:w="7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charges are primarily recorded in “Cost of Products” on our Consolidated Statements of Operations in the amount of $32 million, $19 million and $36 million, in 2024, 2023 and 2022,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 Property, Plant and Equipment, Net</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6"/>
        </w:trPr>
        <w:tc>
          <w:tcPr>
            <w:tcW w:w="220" w:type="dxa"/>
            <w:vAlign w:val="bottom"/>
          </w:tcPr>
          <w:p>
            <w:pPr>
              <w:spacing w:after="0"/>
              <w:rPr>
                <w:sz w:val="24"/>
                <w:szCs w:val="24"/>
                <w:color w:val="auto"/>
              </w:rPr>
            </w:pP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 was composed of the following:</w:t>
            </w: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4"/>
        </w:trPr>
        <w:tc>
          <w:tcPr>
            <w:tcW w:w="2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23"/>
        </w:trPr>
        <w:tc>
          <w:tcPr>
            <w:tcW w:w="220" w:type="dxa"/>
            <w:vAlign w:val="bottom"/>
          </w:tcPr>
          <w:p>
            <w:pPr>
              <w:spacing w:after="0"/>
              <w:rPr>
                <w:sz w:val="19"/>
                <w:szCs w:val="19"/>
                <w:color w:val="auto"/>
              </w:rPr>
            </w:pPr>
          </w:p>
        </w:tc>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04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04"/>
        </w:trPr>
        <w:tc>
          <w:tcPr>
            <w:tcW w:w="220" w:type="dxa"/>
            <w:vAlign w:val="bottom"/>
          </w:tcPr>
          <w:p>
            <w:pPr>
              <w:spacing w:after="0"/>
              <w:rPr>
                <w:sz w:val="24"/>
                <w:szCs w:val="24"/>
                <w:color w:val="auto"/>
              </w:rPr>
            </w:pPr>
          </w:p>
        </w:tc>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w:t>
            </w:r>
          </w:p>
        </w:tc>
      </w:tr>
      <w:tr>
        <w:trPr>
          <w:trHeight w:val="324"/>
        </w:trPr>
        <w:tc>
          <w:tcPr>
            <w:tcW w:w="220" w:type="dxa"/>
            <w:vAlign w:val="bottom"/>
          </w:tcPr>
          <w:p>
            <w:pPr>
              <w:spacing w:after="0"/>
              <w:rPr>
                <w:sz w:val="24"/>
                <w:szCs w:val="24"/>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920" w:type="dxa"/>
            <w:vAlign w:val="bottom"/>
          </w:tcPr>
          <w:p>
            <w:pPr>
              <w:spacing w:after="0"/>
              <w:rPr>
                <w:sz w:val="24"/>
                <w:szCs w:val="24"/>
                <w:color w:val="auto"/>
              </w:rPr>
            </w:pPr>
          </w:p>
        </w:tc>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8"/>
              </w:rPr>
              <w:t>1,213</w:t>
            </w:r>
          </w:p>
        </w:tc>
        <w:tc>
          <w:tcPr>
            <w:tcW w:w="30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1,092</w:t>
            </w:r>
          </w:p>
        </w:tc>
      </w:tr>
      <w:tr>
        <w:trPr>
          <w:trHeight w:val="324"/>
        </w:trPr>
        <w:tc>
          <w:tcPr>
            <w:tcW w:w="220" w:type="dxa"/>
            <w:vAlign w:val="bottom"/>
          </w:tcPr>
          <w:p>
            <w:pPr>
              <w:spacing w:after="0"/>
              <w:rPr>
                <w:sz w:val="24"/>
                <w:szCs w:val="24"/>
                <w:color w:val="auto"/>
              </w:rPr>
            </w:pPr>
          </w:p>
        </w:tc>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9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r>
      <w:tr>
        <w:trPr>
          <w:trHeight w:val="304"/>
        </w:trPr>
        <w:tc>
          <w:tcPr>
            <w:tcW w:w="220" w:type="dxa"/>
            <w:vAlign w:val="bottom"/>
          </w:tcPr>
          <w:p>
            <w:pPr>
              <w:spacing w:after="0"/>
              <w:rPr>
                <w:sz w:val="24"/>
                <w:szCs w:val="24"/>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920" w:type="dxa"/>
            <w:vAlign w:val="bottom"/>
          </w:tcPr>
          <w:p>
            <w:pPr>
              <w:spacing w:after="0"/>
              <w:rPr>
                <w:sz w:val="24"/>
                <w:szCs w:val="24"/>
                <w:color w:val="auto"/>
              </w:rPr>
            </w:pPr>
          </w:p>
        </w:tc>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8"/>
              </w:rPr>
              <w:t>2,001</w:t>
            </w:r>
          </w:p>
        </w:tc>
        <w:tc>
          <w:tcPr>
            <w:tcW w:w="30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1,840</w:t>
            </w:r>
          </w:p>
        </w:tc>
      </w:tr>
      <w:tr>
        <w:trPr>
          <w:trHeight w:val="324"/>
        </w:trPr>
        <w:tc>
          <w:tcPr>
            <w:tcW w:w="220" w:type="dxa"/>
            <w:vAlign w:val="bottom"/>
          </w:tcPr>
          <w:p>
            <w:pPr>
              <w:spacing w:after="0"/>
              <w:rPr>
                <w:sz w:val="24"/>
                <w:szCs w:val="24"/>
                <w:color w:val="auto"/>
              </w:rPr>
            </w:pPr>
          </w:p>
        </w:tc>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940</w:t>
            </w:r>
          </w:p>
        </w:tc>
        <w:tc>
          <w:tcPr>
            <w:tcW w:w="3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883</w:t>
            </w:r>
          </w:p>
        </w:tc>
      </w:tr>
      <w:tr>
        <w:trPr>
          <w:trHeight w:val="304"/>
        </w:trPr>
        <w:tc>
          <w:tcPr>
            <w:tcW w:w="220" w:type="dxa"/>
            <w:vAlign w:val="bottom"/>
          </w:tcPr>
          <w:p>
            <w:pPr>
              <w:spacing w:after="0"/>
              <w:rPr>
                <w:sz w:val="24"/>
                <w:szCs w:val="24"/>
                <w:color w:val="auto"/>
              </w:rPr>
            </w:pPr>
          </w:p>
        </w:tc>
        <w:tc>
          <w:tcPr>
            <w:tcW w:w="7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98"/>
              </w:rPr>
              <w:t>1,061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957</w:t>
            </w:r>
          </w:p>
        </w:tc>
      </w:tr>
      <w:tr>
        <w:trPr>
          <w:trHeight w:val="20"/>
        </w:trPr>
        <w:tc>
          <w:tcPr>
            <w:tcW w:w="220" w:type="dxa"/>
            <w:vAlign w:val="bottom"/>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$185 million, $171 million and $194 million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74</w:t>
      </w:r>
    </w:p>
    <w:p>
      <w:pPr>
        <w:sectPr>
          <w:pgSz w:w="11900" w:h="16838" w:orient="portrait"/>
          <w:cols w:equalWidth="0" w:num="1">
            <w:col w:w="11240"/>
          </w:cols>
          <w:pgMar w:left="320" w:top="37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 Intangible Assets, Net</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99"/>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63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r>
      <w:tr>
        <w:trPr>
          <w:trHeight w:val="214"/>
        </w:trPr>
        <w:tc>
          <w:tcPr>
            <w:tcW w:w="63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500" w:type="dxa"/>
            <w:vAlign w:val="bottom"/>
          </w:tcPr>
          <w:p>
            <w:pPr>
              <w:spacing w:after="0"/>
              <w:rPr>
                <w:sz w:val="18"/>
                <w:szCs w:val="18"/>
                <w:color w:val="auto"/>
              </w:rPr>
            </w:pPr>
          </w:p>
        </w:tc>
      </w:tr>
      <w:tr>
        <w:trPr>
          <w:trHeight w:val="229"/>
        </w:trPr>
        <w:tc>
          <w:tcPr>
            <w:tcW w:w="63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Intangible</w:t>
            </w:r>
          </w:p>
        </w:tc>
      </w:tr>
      <w:tr>
        <w:trPr>
          <w:trHeight w:val="238"/>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00" w:type="dxa"/>
            <w:vAlign w:val="bottom"/>
            <w:tcBorders>
              <w:bottom w:val="single" w:sz="8" w:color="auto"/>
            </w:tcBorders>
          </w:tcPr>
          <w:p>
            <w:pPr>
              <w:spacing w:after="0"/>
              <w:rPr>
                <w:sz w:val="20"/>
                <w:szCs w:val="20"/>
                <w:color w:val="auto"/>
              </w:rPr>
            </w:pPr>
          </w:p>
        </w:tc>
      </w:tr>
      <w:tr>
        <w:trPr>
          <w:trHeight w:val="30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(592)</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199</w:t>
            </w:r>
          </w:p>
        </w:tc>
      </w:tr>
      <w:tr>
        <w:trPr>
          <w:trHeight w:val="329"/>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1,118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(793)</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325</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6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14"/>
        </w:trPr>
        <w:tc>
          <w:tcPr>
            <w:tcW w:w="63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500" w:type="dxa"/>
            <w:vAlign w:val="bottom"/>
          </w:tcPr>
          <w:p>
            <w:pPr>
              <w:spacing w:after="0"/>
              <w:rPr>
                <w:sz w:val="18"/>
                <w:szCs w:val="18"/>
                <w:color w:val="auto"/>
              </w:rPr>
            </w:pPr>
          </w:p>
        </w:tc>
      </w:tr>
      <w:tr>
        <w:trPr>
          <w:trHeight w:val="230"/>
        </w:trPr>
        <w:tc>
          <w:tcPr>
            <w:tcW w:w="63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Intangible</w:t>
            </w:r>
          </w:p>
        </w:tc>
      </w:tr>
      <w:tr>
        <w:trPr>
          <w:trHeight w:val="238"/>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00" w:type="dxa"/>
            <w:vAlign w:val="bottom"/>
            <w:tcBorders>
              <w:bottom w:val="single" w:sz="8" w:color="auto"/>
            </w:tcBorders>
          </w:tcPr>
          <w:p>
            <w:pPr>
              <w:spacing w:after="0"/>
              <w:rPr>
                <w:sz w:val="20"/>
                <w:szCs w:val="20"/>
                <w:color w:val="auto"/>
              </w:rPr>
            </w:pPr>
          </w:p>
        </w:tc>
      </w:tr>
      <w:tr>
        <w:trPr>
          <w:trHeight w:val="30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(479)</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235</w:t>
            </w:r>
          </w:p>
        </w:tc>
      </w:tr>
      <w:tr>
        <w:trPr>
          <w:trHeight w:val="329"/>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1,009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(639)</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Amortization expense was $158 million, $156 million and $155 million in 2024, 2023, and 2022, respectively. Based on the carrying value of intangible assets at December 31, 2024, amortization expense for the subsequent five years is estimated as follows (dollars in millions):</w:t>
      </w:r>
    </w:p>
    <w:p>
      <w:pPr>
        <w:spacing w:after="0" w:line="64"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30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58</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75</w:t>
      </w:r>
    </w:p>
    <w:p>
      <w:pPr>
        <w:sectPr>
          <w:pgSz w:w="11900" w:h="16838" w:orient="portrait"/>
          <w:cols w:equalWidth="0" w:num="1">
            <w:col w:w="11240"/>
          </w:cols>
          <w:pgMar w:left="320" w:top="43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5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 Leases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0" w:type="dxa"/>
            <w:vAlign w:val="bottom"/>
          </w:tcPr>
          <w:p>
            <w:pPr>
              <w:spacing w:after="0"/>
              <w:rPr>
                <w:sz w:val="24"/>
                <w:szCs w:val="24"/>
                <w:color w:val="auto"/>
              </w:rPr>
            </w:pPr>
          </w:p>
        </w:tc>
        <w:tc>
          <w:tcPr>
            <w:tcW w:w="5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following table presents our lease expense components: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4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400" w:type="dxa"/>
            <w:vAlign w:val="bottom"/>
            <w:tcBorders>
              <w:bottom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 Components:</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57</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2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500" w:type="dxa"/>
            <w:vAlign w:val="bottom"/>
            <w:tcBorders>
              <w:bottom w:val="single" w:sz="8" w:color="CCEEFF"/>
            </w:tcBorders>
            <w:vMerge w:val="continue"/>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vMerge w:val="continue"/>
            <w:shd w:val="clear" w:color="auto" w:fill="CCEEFF"/>
          </w:tcPr>
          <w:p>
            <w:pPr>
              <w:spacing w:after="0"/>
              <w:rPr>
                <w:sz w:val="6"/>
                <w:szCs w:val="6"/>
                <w:color w:val="auto"/>
              </w:rPr>
            </w:pPr>
          </w:p>
        </w:tc>
        <w:tc>
          <w:tcPr>
            <w:tcW w:w="40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700" w:type="dxa"/>
            <w:vAlign w:val="bottom"/>
          </w:tcPr>
          <w:p>
            <w:pPr>
              <w:spacing w:after="0"/>
              <w:rPr>
                <w:sz w:val="20"/>
                <w:szCs w:val="20"/>
                <w:color w:val="auto"/>
              </w:rPr>
            </w:pPr>
          </w:p>
        </w:tc>
        <w:tc>
          <w:tcPr>
            <w:tcW w:w="7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205</w:t>
            </w:r>
          </w:p>
        </w:tc>
        <w:tc>
          <w:tcPr>
            <w:tcW w:w="500" w:type="dxa"/>
            <w:vAlign w:val="bottom"/>
          </w:tcPr>
          <w:p>
            <w:pPr>
              <w:spacing w:after="0"/>
              <w:rPr>
                <w:sz w:val="20"/>
                <w:szCs w:val="20"/>
                <w:color w:val="auto"/>
              </w:rPr>
            </w:pPr>
          </w:p>
        </w:tc>
        <w:tc>
          <w:tcPr>
            <w:tcW w:w="9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9"/>
              </w:rPr>
              <w:t>90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 of Operating Lease Expense</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262</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Finance Lease Expense: Amortization of Assets and Interest</w:t>
            </w:r>
          </w:p>
        </w:tc>
        <w:tc>
          <w:tcPr>
            <w:tcW w:w="700" w:type="dxa"/>
            <w:vAlign w:val="bottom"/>
          </w:tcPr>
          <w:p>
            <w:pPr>
              <w:spacing w:after="0"/>
              <w:rPr>
                <w:sz w:val="14"/>
                <w:szCs w:val="14"/>
                <w:color w:val="auto"/>
              </w:rPr>
            </w:pPr>
          </w:p>
        </w:tc>
        <w:tc>
          <w:tcPr>
            <w:tcW w:w="7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4"/>
                <w:szCs w:val="14"/>
                <w:color w:val="auto"/>
              </w:rPr>
            </w:pPr>
          </w:p>
        </w:tc>
        <w:tc>
          <w:tcPr>
            <w:tcW w:w="9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9"/>
              </w:rPr>
              <w:t>18</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Lease Liabilities</w:t>
            </w:r>
          </w:p>
        </w:tc>
        <w:tc>
          <w:tcPr>
            <w:tcW w:w="7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7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Lease Expense</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284</w:t>
            </w: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60" w:type="dxa"/>
            <w:vAlign w:val="bottom"/>
          </w:tcPr>
          <w:p>
            <w:pPr>
              <w:spacing w:after="0"/>
              <w:rPr>
                <w:sz w:val="24"/>
                <w:szCs w:val="24"/>
                <w:color w:val="auto"/>
              </w:rPr>
            </w:pPr>
          </w:p>
        </w:tc>
        <w:tc>
          <w:tcPr>
            <w:tcW w:w="5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Future commitments under operating and finance leases are as follows: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5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Maturity of Lease Liabilities as of December 31, 2024:</w:t>
            </w: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260" w:type="dxa"/>
            <w:vAlign w:val="bottom"/>
            <w:vMerge w:val="restart"/>
          </w:tcPr>
          <w:p>
            <w:pPr>
              <w:spacing w:after="0"/>
              <w:rPr>
                <w:sz w:val="3"/>
                <w:szCs w:val="3"/>
                <w:color w:val="auto"/>
              </w:rPr>
            </w:pPr>
          </w:p>
        </w:tc>
        <w:tc>
          <w:tcPr>
            <w:tcW w:w="680" w:type="dxa"/>
            <w:vAlign w:val="bottom"/>
          </w:tcPr>
          <w:p>
            <w:pPr>
              <w:spacing w:after="0"/>
              <w:rPr>
                <w:sz w:val="3"/>
                <w:szCs w:val="3"/>
                <w:color w:val="auto"/>
              </w:rPr>
            </w:pPr>
          </w:p>
        </w:tc>
        <w:tc>
          <w:tcPr>
            <w:tcW w:w="4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60" w:type="dxa"/>
            <w:vAlign w:val="bottom"/>
            <w:vMerge w:val="continue"/>
          </w:tcPr>
          <w:p>
            <w:pPr>
              <w:spacing w:after="0"/>
              <w:rPr>
                <w:sz w:val="20"/>
                <w:szCs w:val="20"/>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80" w:type="dxa"/>
            <w:vAlign w:val="bottom"/>
            <w:gridSpan w:val="2"/>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20</w:t>
            </w: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462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gridSpan w:val="2"/>
            <w:vMerge w:val="continue"/>
            <w:shd w:val="clear" w:color="auto" w:fill="CCEEFF"/>
          </w:tcPr>
          <w:p>
            <w:pPr>
              <w:spacing w:after="0"/>
              <w:rPr>
                <w:sz w:val="6"/>
                <w:szCs w:val="6"/>
                <w:color w:val="auto"/>
              </w:rPr>
            </w:pPr>
          </w:p>
        </w:tc>
        <w:tc>
          <w:tcPr>
            <w:tcW w:w="260" w:type="dxa"/>
            <w:vAlign w:val="bottom"/>
            <w:tcBorders>
              <w:bottom w:val="single" w:sz="8" w:color="CCEEFF"/>
            </w:tcBorders>
            <w:vMerge w:val="continue"/>
            <w:shd w:val="clear" w:color="auto" w:fill="CCEEFF"/>
          </w:tcPr>
          <w:p>
            <w:pPr>
              <w:spacing w:after="0"/>
              <w:rPr>
                <w:sz w:val="6"/>
                <w:szCs w:val="6"/>
                <w:color w:val="auto"/>
              </w:rPr>
            </w:pPr>
          </w:p>
        </w:tc>
        <w:tc>
          <w:tcPr>
            <w:tcW w:w="1880" w:type="dxa"/>
            <w:vAlign w:val="bottom"/>
            <w:tcBorders>
              <w:bottom w:val="single" w:sz="8" w:color="CCEEFF"/>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2028</w:t>
            </w:r>
          </w:p>
        </w:tc>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-7620</wp:posOffset>
            </wp:positionV>
            <wp:extent cx="660082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0825" cy="205740"/>
                    </a:xfrm>
                    <a:prstGeom prst="rect">
                      <a:avLst/>
                    </a:prstGeom>
                    <a:noFill/>
                  </pic:spPr>
                </pic:pic>
              </a:graphicData>
            </a:graphic>
          </wp:anchor>
        </w:drawing>
      </w:r>
    </w:p>
    <w:p>
      <w:pPr>
        <w:spacing w:after="0" w:line="16"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240</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9"/>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  153</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48</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40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76</w:t>
      </w:r>
    </w:p>
    <w:p>
      <w:pPr>
        <w:sectPr>
          <w:pgSz w:w="11900" w:h="16838" w:orient="portrait"/>
          <w:cols w:equalWidth="0" w:num="1">
            <w:col w:w="11240"/>
          </w:cols>
          <w:pgMar w:left="320" w:top="432"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21"/>
        </w:trPr>
        <w:tc>
          <w:tcPr>
            <w:tcW w:w="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 except years and percentages)</w:t>
            </w:r>
          </w:p>
        </w:tc>
        <w:tc>
          <w:tcPr>
            <w:tcW w:w="13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3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2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12/31/2022</w:t>
            </w:r>
          </w:p>
        </w:tc>
      </w:tr>
      <w:tr>
        <w:trPr>
          <w:trHeight w:val="223"/>
        </w:trPr>
        <w:tc>
          <w:tcPr>
            <w:tcW w:w="5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4"/>
        </w:trPr>
        <w:tc>
          <w:tcPr>
            <w:tcW w:w="520" w:type="dxa"/>
            <w:vAlign w:val="bottom"/>
          </w:tcPr>
          <w:p>
            <w:pPr>
              <w:spacing w:after="0"/>
              <w:rPr>
                <w:sz w:val="16"/>
                <w:szCs w:val="16"/>
                <w:color w:val="auto"/>
              </w:rPr>
            </w:pPr>
          </w:p>
        </w:tc>
        <w:tc>
          <w:tcPr>
            <w:tcW w:w="5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34"/>
        </w:trPr>
        <w:tc>
          <w:tcPr>
            <w:tcW w:w="520" w:type="dxa"/>
            <w:vAlign w:val="bottom"/>
          </w:tcPr>
          <w:p>
            <w:pPr>
              <w:spacing w:after="0"/>
              <w:rPr>
                <w:sz w:val="20"/>
                <w:szCs w:val="20"/>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324"/>
        </w:trPr>
        <w:tc>
          <w:tcPr>
            <w:tcW w:w="52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520" w:type="dxa"/>
            <w:vAlign w:val="bottom"/>
          </w:tcPr>
          <w:p>
            <w:pPr>
              <w:spacing w:after="0"/>
              <w:rPr>
                <w:sz w:val="24"/>
                <w:szCs w:val="24"/>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52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r>
      <w:tr>
        <w:trPr>
          <w:trHeight w:val="162"/>
        </w:trPr>
        <w:tc>
          <w:tcPr>
            <w:tcW w:w="520" w:type="dxa"/>
            <w:vAlign w:val="bottom"/>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bl>
    <w:p>
      <w:pPr>
        <w:spacing w:after="0" w:line="76" w:lineRule="exact"/>
        <w:rPr>
          <w:sz w:val="20"/>
          <w:szCs w:val="20"/>
          <w:color w:val="auto"/>
        </w:rPr>
      </w:pPr>
    </w:p>
    <w:p>
      <w:pPr>
        <w:sectPr>
          <w:pgSz w:w="11900" w:h="16838" w:orient="portrait"/>
          <w:cols w:equalWidth="0" w:num="1">
            <w:col w:w="11060"/>
          </w:cols>
          <w:pgMar w:left="500" w:top="432" w:right="339" w:bottom="1440" w:gutter="0" w:footer="0" w:header="0"/>
        </w:sectPr>
      </w:pPr>
    </w:p>
    <w:p>
      <w:pPr>
        <w:ind w:left="540"/>
        <w:spacing w:after="0"/>
        <w:rPr>
          <w:sz w:val="20"/>
          <w:szCs w:val="20"/>
          <w:color w:val="auto"/>
        </w:rPr>
      </w:pPr>
      <w:r>
        <w:rPr>
          <w:rFonts w:ascii="Times New Roman" w:cs="Times New Roman" w:eastAsia="Times New Roman" w:hAnsi="Times New Roman"/>
          <w:sz w:val="18"/>
          <w:szCs w:val="18"/>
          <w:color w:val="auto"/>
        </w:rPr>
        <w:t>Assets obtained in exchange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60325</wp:posOffset>
            </wp:positionV>
            <wp:extent cx="5666105"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205740"/>
                    </a:xfrm>
                    <a:prstGeom prst="rect">
                      <a:avLst/>
                    </a:prstGeom>
                    <a:noFill/>
                  </pic:spPr>
                </pic:pic>
              </a:graphicData>
            </a:graphic>
          </wp:anchor>
        </w:drawing>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17145</wp:posOffset>
            </wp:positionV>
            <wp:extent cx="566610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10287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Weighted-average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17145</wp:posOffset>
            </wp:positionV>
            <wp:extent cx="566610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14605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14605</wp:posOffset>
            </wp:positionV>
            <wp:extent cx="566610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10287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Weighted-average discount rate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17145</wp:posOffset>
            </wp:positionV>
            <wp:extent cx="566610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20574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64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688"/>
        </w:trPr>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5460" w:space="720"/>
            <w:col w:w="4880"/>
          </w:cols>
          <w:pgMar w:left="500" w:top="4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Weatherford International plc – 2024 Form 10-K | 77</w:t>
      </w:r>
    </w:p>
    <w:p>
      <w:pPr>
        <w:sectPr>
          <w:pgSz w:w="11900" w:h="16838" w:orient="portrait"/>
          <w:cols w:equalWidth="0" w:num="1">
            <w:col w:w="11060"/>
          </w:cols>
          <w:pgMar w:left="500" w:top="432" w:right="339" w:bottom="1440" w:gutter="0" w:footer="0" w:header="0"/>
          <w:type w:val="continuous"/>
        </w:sectPr>
      </w:pPr>
    </w:p>
    <w:bookmarkStart w:id="80" w:name="page81"/>
    <w:bookmarkEnd w:id="80"/>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Borrowings and Other Debt Obligations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debt carrying values consisted of the following:</w:t>
      </w:r>
    </w:p>
    <w:p>
      <w:pPr>
        <w:spacing w:after="0" w:line="14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02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19"/>
                <w:szCs w:val="19"/>
                <w:color w:val="auto"/>
              </w:rPr>
            </w:pPr>
          </w:p>
        </w:tc>
      </w:tr>
      <w:tr>
        <w:trPr>
          <w:trHeight w:val="284"/>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6.5% Senior Secured Notes due 2028 “2028 Senior Secured Notes”</w:t>
            </w: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r>
      <w:tr>
        <w:trPr>
          <w:trHeight w:val="324"/>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Lease Current Portion</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329"/>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7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04"/>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1020" w:type="dxa"/>
            <w:vAlign w:val="bottom"/>
            <w:tcBorders>
              <w:bottom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1,586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1,587</w:t>
            </w:r>
          </w:p>
        </w:tc>
      </w:tr>
      <w:tr>
        <w:trPr>
          <w:trHeight w:val="36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 “2028 Senior Secured Notes”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7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324"/>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Long-term Portion</w:t>
            </w:r>
          </w:p>
        </w:tc>
        <w:tc>
          <w:tcPr>
            <w:tcW w:w="10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1,617</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1,715</w:t>
            </w: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2028 Senior Secured Notes and the related guarantees were secured by substantially all of the assets and properties of the Company and the other guarantors (on an effectively first-priority basis with respect to the priority collateral for the 2028 Senior Secured Notes, and on an effectively second-priority basis with respect to the priority collateral for the senior secured letter of credit agreement (now the “Credit Agreement”), in each case, subject to permitted liens).</w:t>
      </w:r>
    </w:p>
    <w:p>
      <w:pPr>
        <w:spacing w:after="0" w:line="22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Exit Notes</w:t>
      </w:r>
    </w:p>
    <w:p>
      <w:pPr>
        <w:spacing w:after="0" w:line="26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On December 13, 2019, we issued unsecured 11.00% Exit Notes due in 2024 for an aggregate principal amount of $2.1 billion. Interest accrued at the rate of 11.00% per annum and was payable semiannually on June 1 and December 1. Proceeds from the issuance were reduced by debt issuance costs. In 2023, we fully redeemed the remaining $125 million principal amount.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81" w:lineRule="exact"/>
        <w:rPr>
          <w:sz w:val="20"/>
          <w:szCs w:val="20"/>
          <w:color w:val="auto"/>
        </w:rPr>
      </w:pPr>
    </w:p>
    <w:p>
      <w:pPr>
        <w:jc w:val="both"/>
        <w:ind w:right="20" w:firstLine="324"/>
        <w:spacing w:after="0" w:line="305" w:lineRule="auto"/>
        <w:rPr>
          <w:sz w:val="20"/>
          <w:szCs w:val="20"/>
          <w:color w:val="auto"/>
        </w:rPr>
      </w:pPr>
      <w:r>
        <w:rPr>
          <w:rFonts w:ascii="Times New Roman" w:cs="Times New Roman" w:eastAsia="Times New Roman" w:hAnsi="Times New Roman"/>
          <w:sz w:val="18"/>
          <w:szCs w:val="18"/>
          <w:color w:val="auto"/>
        </w:rPr>
        <w:t>On September 30, 2021, we issued 6.5% Senior Secured Notes in aggregate principal amount of $500 million maturing September 15, 2028 (the “2028 Senior Secured Notes”). Interest accrued at the rate of 6.5% per annum and was payable semiannually on September 15 and March 15. Proceeds from the issuance were reduced by debt issuance costs. In 2024, we fully redeemed the remaining $248 million principal amount.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9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On October 27, 2021, we issued 8.625% Senior Notes in aggregate principal amount of $1.6 billion maturing April 30, 2030 (the “2030 Senior Notes”). Interest accrues at the rate of 8.625% per annum and is payable semiannually on June 1 and December 1 of each year, and commenced June 1, 2022. On December 1, 2022, we modified our 2030 Senior Notes, as described earlier. In the fourth quarter of 2024 we repurchased $4 million in principal of our 2030 Senior Notes. At December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78</w:t>
      </w:r>
    </w:p>
    <w:p>
      <w:pPr>
        <w:sectPr>
          <w:pgSz w:w="11900" w:h="16838" w:orient="portrait"/>
          <w:cols w:equalWidth="0" w:num="1">
            <w:col w:w="11240"/>
          </w:cols>
          <w:pgMar w:left="320" w:top="432" w:right="3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31, 2024 and December 31, 2023, the carrying value represents the remaining unpaid principal of $1.6 billion at each date, offset by unamortized deferred issuance cost of $11 million and $13 million, respectively.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95"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20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As of December 31, 2024, we had zero borrowings outstanding under the Credit Agreement, and $382 million of letters of credit outstanding, consisting of the $291 million ($279 million for performance letters of credit and $12 million for financial letters of credit) under the Credit Agreement and another $91 million under various uncommitted bi-lateral facilities (of which there was $49 million in cash collateral held and recorded in “Restricted Cash” on the Consolidated Balance Sheets).</w:t>
      </w:r>
    </w:p>
    <w:p>
      <w:pPr>
        <w:spacing w:after="0" w:line="214"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Covenants for the 2030 Senior Notes and Credit Agreement</w:t>
      </w:r>
    </w:p>
    <w:p>
      <w:pPr>
        <w:spacing w:after="0" w:line="28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The indentures governing the 2030 Senior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79</w:t>
      </w:r>
    </w:p>
    <w:p>
      <w:pPr>
        <w:sectPr>
          <w:pgSz w:w="11900" w:h="16838" w:orient="portrait"/>
          <w:cols w:equalWidth="0" w:num="1">
            <w:col w:w="11240"/>
          </w:cols>
          <w:pgMar w:left="320" w:top="432" w:right="339" w:bottom="1440" w:gutter="0" w:footer="0" w:header="0"/>
        </w:sectPr>
      </w:pPr>
    </w:p>
    <w:bookmarkStart w:id="82" w:name="page83"/>
    <w:bookmarkEnd w:id="82"/>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scheduled debt maturities by year:</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1,597</w:t>
            </w:r>
          </w:p>
        </w:tc>
      </w:tr>
      <w:tr>
        <w:trPr>
          <w:trHeight w:val="22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Maturities</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1,645</w:t>
            </w:r>
          </w:p>
        </w:tc>
      </w:tr>
      <w:tr>
        <w:trPr>
          <w:trHeight w:val="22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Unamortized Debt Issuance and Discount</w:t>
            </w:r>
          </w:p>
        </w:tc>
        <w:tc>
          <w:tcPr>
            <w:tcW w:w="2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1,634</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Fair Value of Financial Instruments, Assets and Other Assets</w:t>
      </w:r>
    </w:p>
    <w:p>
      <w:pPr>
        <w:spacing w:after="0" w:line="29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The fair values of our foreign currency forward contracts (see “Note 10 – Derivative Financial Instruments”), warrants (before their expiration, see “Note 15 – Income per Share”), and plan assets of defined benefit pension plans (see “Note 11 – Employee Benefit Plans”) are all Level 2 valuations and the fair value of the credit default swap is a Level 3 valuation (see “Note 10 – Derivative Financial Instruments”).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other financial instruments include cash and cash equivalents, accounts receivable, accounts payable, short-term borrowings and long-term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these financial instruments (excluding long-term debt) approximate their fair value due to their short maturities.</w:t>
      </w:r>
    </w:p>
    <w:p>
      <w:pPr>
        <w:spacing w:after="0" w:line="29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current market interest rate is greater than the interest rate at which the debt was originally issued. The fair value of our long-term debt (excluding Finance Leases) in the following table is classified as Level 2 in the fair value hierarchy and is established based on observable inputs in less active markets.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1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32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8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w:t>
            </w:r>
          </w:p>
        </w:tc>
        <w:tc>
          <w:tcPr>
            <w:tcW w:w="16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243</w:t>
            </w: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r>
      <w:tr>
        <w:trPr>
          <w:trHeight w:val="29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1,586</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1,650</w:t>
            </w: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1,587</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1,673</w:t>
            </w:r>
          </w:p>
        </w:tc>
      </w:tr>
      <w:tr>
        <w:trPr>
          <w:trHeight w:val="27"/>
        </w:trPr>
        <w:tc>
          <w:tcPr>
            <w:tcW w:w="4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29"/>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1,586</w:t>
            </w: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1,650</w:t>
            </w:r>
          </w:p>
        </w:tc>
        <w:tc>
          <w:tcPr>
            <w:tcW w:w="17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1,830</w:t>
            </w: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1,931</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80</w:t>
      </w:r>
    </w:p>
    <w:p>
      <w:pPr>
        <w:sectPr>
          <w:pgSz w:w="11900" w:h="16838" w:orient="portrait"/>
          <w:cols w:equalWidth="0" w:num="1">
            <w:col w:w="11240"/>
          </w:cols>
          <w:pgMar w:left="320" w:top="432" w:right="3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Derivative Financial Instruments</w:t>
      </w:r>
    </w:p>
    <w:p>
      <w:pPr>
        <w:spacing w:after="0" w:line="295"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color w:val="auto"/>
        </w:rPr>
        <w:t xml:space="preserve">Both our foreign currency forward contracts and the credit default swap are undesignated hedging instruments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8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enter into foreign currency forward contracts to economically hedge our exposure to currency fluctuations in various foreign currencies. At December 31, 2024 and December 31, 2023, we had outstanding foreign currency forward contracts with notional amounts aggregating to $543 million and $448 million, respectively. The fair values of these derivatives were not material as of December 31, 2024 and December 31, 2023.</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Default Swap</w:t>
      </w:r>
    </w:p>
    <w:p>
      <w:pPr>
        <w:spacing w:after="0" w:line="281"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During the fourth quarter of 2024, we entered into a credit default swap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The fair value of the derivative was not material as of December 31, 2024. Under the CDS terms, within five business days upon notification of default, we could be required to pay the then outstanding notional balance net of recoveries. As of December 31, 2024 we had a notional balance of $25 million outstanding under the CDS. Management expects the total notional balance under the CDS to decrease to $14 million and nil by December 31, 2025 and December 31, 2026.</w:t>
      </w:r>
    </w:p>
    <w:p>
      <w:pPr>
        <w:spacing w:after="0" w:line="20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A CDS was entered into during the fourth quarter of 2023 with the same parties for similar reasons as in the fourth quarter of 2024, and accordingly, in the fourth quarter of 2023 and January of 2024, we received $140 million and $142 million, respectively. As of December 31, 2023, we had a notional balance of $130 million outstanding under the CDS, which increased to $260 million in January of 2024, following the receipt of the $142 million payment. The agreement was terminated in the third quarter of 2024, extinguishing the remaining notional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81</w:t>
      </w:r>
    </w:p>
    <w:p>
      <w:pPr>
        <w:sectPr>
          <w:pgSz w:w="11900" w:h="16838" w:orient="portrait"/>
          <w:cols w:equalWidth="0" w:num="1">
            <w:col w:w="11240"/>
          </w:cols>
          <w:pgMar w:left="320" w:top="432" w:right="339" w:bottom="1440" w:gutter="0" w:footer="0" w:header="0"/>
        </w:sectPr>
      </w:pPr>
    </w:p>
    <w:bookmarkStart w:id="84" w:name="page85"/>
    <w:bookmarkEnd w:id="84"/>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Employee Benefit Plans</w:t>
      </w:r>
    </w:p>
    <w:p>
      <w:pPr>
        <w:spacing w:after="0" w:line="297"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We have defined contribution plans covering certain employees. Contribution expenses related to these plans totaled $20 million, $18 million and $18 million for the years ended December 31, 2024, 2023 and 2022, respectively.</w:t>
      </w:r>
    </w:p>
    <w:p>
      <w:pPr>
        <w:spacing w:after="0" w:line="175"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8"/>
          <w:szCs w:val="18"/>
          <w:color w:val="auto"/>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$3 million, $3 million, and $4 million for the years ended December 31, 2024, 2023 and 2022, respectively. The projected benefit obligations on a consolidated basis were $126 million and $130 million as of December 31, 2024 and December 31, 2023, respectively. The fair values of plan assets on a consolidated basis were $100 million and $106 million as of December 31, 2024 and December 31, 2023, respectively. The decrease in both the projected benefit obligation and the plans assets year over year is due primarily to benefit obligations paid from plan assets, deferral of actuarial losses to accumulated other comprehensive income, as well as the strengthening of the U.S. Dollar for our non-U.S. plans, As of December 31, 2024, the net underfunded obligation consisted of $17 million of funded obligations recorded to “Other Non-current Assets” and $43 million of underfunded obligations substantially all recorded to “Other Non-current Liabilities” on our Consolidated Balance Sheets. As of December 31, 2023, the net underfunded obligation consisted of $18 million of funded obligations recorded to “Other Non-current Assets” and $42 million of underfunded obligations substantially all recorded to “Other Non-current Liabilities” on our Consolidated Balance Sheets. Additionally, the consolidated pre-tax amount in accumulated other comprehensive income as of December 31, 2024 and December 31, 2023, that has not yet been recognized as a component of net periodic benefit cost was a net gain of $6 million and $15 million, respectively. The decrease is due to the the deferral of actuarial losses for 2024, the strengthening of the U.S. Dollar for our non-U.S. plans offset by the recognition of prior actuarial gains in net periodic benefit costs.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weighted average assumption rates used for benefit obligations were as follows:</w:t>
            </w: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8"/>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1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0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24"/>
        </w:trPr>
        <w:tc>
          <w:tcPr>
            <w:tcW w:w="400" w:type="dxa"/>
            <w:vAlign w:val="bottom"/>
          </w:tcPr>
          <w:p>
            <w:pPr>
              <w:spacing w:after="0"/>
              <w:rPr>
                <w:sz w:val="24"/>
                <w:szCs w:val="24"/>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 Plans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 - 5.00%</w:t>
            </w:r>
          </w:p>
        </w:tc>
      </w:tr>
      <w:tr>
        <w:trPr>
          <w:trHeight w:val="324"/>
        </w:trPr>
        <w:tc>
          <w:tcPr>
            <w:tcW w:w="400" w:type="dxa"/>
            <w:vAlign w:val="bottom"/>
          </w:tcPr>
          <w:p>
            <w:pPr>
              <w:spacing w:after="0"/>
              <w:rPr>
                <w:sz w:val="24"/>
                <w:szCs w:val="24"/>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 Plans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 - 10.60%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2.90% - 11.38%</w:t>
            </w:r>
          </w:p>
        </w:tc>
      </w:tr>
      <w:tr>
        <w:trPr>
          <w:trHeight w:val="230"/>
        </w:trPr>
        <w:tc>
          <w:tcPr>
            <w:tcW w:w="40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5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Plans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24"/>
        </w:trPr>
        <w:tc>
          <w:tcPr>
            <w:tcW w:w="400" w:type="dxa"/>
            <w:vAlign w:val="bottom"/>
          </w:tcPr>
          <w:p>
            <w:pPr>
              <w:spacing w:after="0"/>
              <w:rPr>
                <w:sz w:val="24"/>
                <w:szCs w:val="24"/>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Plans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- 3.00%</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- 3.00%</w:t>
            </w:r>
          </w:p>
        </w:tc>
      </w:tr>
    </w:tbl>
    <w:p>
      <w:pPr>
        <w:spacing w:after="0" w:line="319" w:lineRule="exact"/>
        <w:rPr>
          <w:sz w:val="20"/>
          <w:szCs w:val="20"/>
          <w:color w:val="auto"/>
        </w:rPr>
      </w:pPr>
    </w:p>
    <w:p>
      <w:pPr>
        <w:jc w:val="both"/>
        <w:ind w:right="20" w:firstLine="324"/>
        <w:spacing w:after="0" w:line="305" w:lineRule="auto"/>
        <w:rPr>
          <w:sz w:val="20"/>
          <w:szCs w:val="20"/>
          <w:color w:val="auto"/>
        </w:rPr>
      </w:pPr>
      <w:r>
        <w:rPr>
          <w:rFonts w:ascii="Times New Roman" w:cs="Times New Roman" w:eastAsia="Times New Roman" w:hAnsi="Times New Roman"/>
          <w:sz w:val="18"/>
          <w:szCs w:val="18"/>
          <w:color w:val="auto"/>
        </w:rPr>
        <w:t>During the years ended December 31, 2024, 2023 and 2022, we made contributions and paid direct benefits of $4 million, $5 million and $5 million, respectively, in connection with our defined benefit pension and other post-retirement benefit plans. In 2025, we expect to fund approximately $2 million related to those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Disputes, Litigation and Legal Contingencies</w:t>
      </w:r>
    </w:p>
    <w:p>
      <w:pPr>
        <w:spacing w:after="0" w:line="283"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82</w:t>
      </w:r>
    </w:p>
    <w:p>
      <w:pPr>
        <w:sectPr>
          <w:pgSz w:w="11900" w:h="16838" w:orient="portrait"/>
          <w:cols w:equalWidth="0" w:num="1">
            <w:col w:w="11240"/>
          </w:cols>
          <w:pgMar w:left="320" w:top="432" w:right="339" w:bottom="1440" w:gutter="0" w:footer="0" w:header="0"/>
        </w:sectPr>
      </w:pPr>
    </w:p>
    <w:bookmarkStart w:id="85" w:name="page86"/>
    <w:bookmarkEnd w:id="85"/>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Share-Based Compensation</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Plan</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Weatherford International plc Third Amended and Restated 2019 Equity Incentive Plan, (“2019 Equity Plan”) authorizes the issuance of 8.6 million shares of ordinary shares by the Board of Directors in the form of options, share appreciation rights, restricted share awards, restricted share units (“RSUs”), performance-based restricted share units (“PSUs”) and other share-based and performance-based awards to any employee, consultant, or non-employee director (“Grantees”). The provisions of each award vary based on the type of award granted. Awards made under the 2019 Equity Plan vest and settle in shares of newly issued ordinary shares or cash. As of December 31, 2024, there were 2.0 million shares available for future grants.</w:t>
      </w:r>
    </w:p>
    <w:p>
      <w:pPr>
        <w:spacing w:after="0" w:line="21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granted RSUs and PSUs under the 2019 Equity Plan during 2024, 2023 and 2022. All awards generally require continued employment and vest over one to three years. The Grantees do not have the rights of a shareholder under these awards until such date as the shares are issued. Dividend equivalent rights are accrued during the vesting period and paid upon distribution of the shares.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Share-based compensation expense was $45 million, $35 million and $25 million for the year ended December 31, 2024, December 31, 2023 and December 31, 2022, respectively. As of December 31, 2024, there was $43 million of unrecognized compensation cost, which is expected to be recognized over a weighted-average period of less than two years.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RSUs</w:t>
      </w:r>
    </w:p>
    <w:p>
      <w:pPr>
        <w:spacing w:after="0" w:line="29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RSUs generally vest based on continued employment. The fair value of RSUs are determined based on the closing price of our shares on the date of grant. The total fair value, less forfeitures, is expensed over the vesting period. The weighted-average grant date fair value per unit (“WAGD FV”) of RSUs granted during 2024, 2023 and 2022 was $93.98, $54.85 and $30.90, respectively. The fair value of RSUs vested during 2024, 2023 and 2022 was $28 million, $34 million and $20 million, respectively. RSUs were primarily settled in shares, with cash settlements totaling less than $1 million in both 2024 and 2023, and $2 million in 2022.</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PSUs</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PSUs generally vest based on continued employment and the achievement of an established target. The actual number of PSUs earned may range from</w:t>
      </w:r>
    </w:p>
    <w:p>
      <w:pPr>
        <w:spacing w:after="0" w:line="5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0% to 200%. The fair value of PSUs depends on whether the established target is a performance condition defined solely by reference to our own operations (“operational performance”) or the market performance of our shares (“market condition”). The total fair value, less forfeitures, is expensed over the vesting period. The WAGD FV per unit of PSUs granted during 2024, 2023 and 2022 was $120.13, $70.91 and $23.14, respectively. The fair value of PSUs vested during 2023 was $118 million and nil, for 2022 and 2024.</w:t>
      </w:r>
    </w:p>
    <w:p>
      <w:pPr>
        <w:spacing w:after="0" w:line="21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fair value of PSUs subject to operational performance conditions is determined based on the closing price of our shares on the date of grant. The units are adjusted periodically based on the metric’s expected performance goal multiplier.</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83</w:t>
      </w:r>
    </w:p>
    <w:p>
      <w:pPr>
        <w:sectPr>
          <w:pgSz w:w="11900" w:h="16838" w:orient="portrait"/>
          <w:cols w:equalWidth="0" w:num="1">
            <w:col w:w="11240"/>
          </w:cols>
          <w:pgMar w:left="320" w:top="432" w:right="339" w:bottom="1440" w:gutter="0" w:footer="0" w:header="0"/>
        </w:sectPr>
      </w:pPr>
    </w:p>
    <w:bookmarkStart w:id="86" w:name="page87"/>
    <w:bookmarkEnd w:id="86"/>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firstLine="324"/>
        <w:spacing w:after="0" w:line="301" w:lineRule="auto"/>
        <w:rPr>
          <w:sz w:val="20"/>
          <w:szCs w:val="20"/>
          <w:color w:val="auto"/>
        </w:rPr>
      </w:pPr>
      <w:r>
        <w:rPr>
          <w:rFonts w:ascii="Times New Roman" w:cs="Times New Roman" w:eastAsia="Times New Roman" w:hAnsi="Times New Roman"/>
          <w:sz w:val="18"/>
          <w:szCs w:val="18"/>
          <w:color w:val="auto"/>
        </w:rPr>
        <w:t>The fair value of PSUs subject to market conditions is determined by utilizing an advanced option-pricing model. Compensation cost is fully recognized if the employment condition is met, even if the market condition is not achieved, as the likelihood of achieving the market condition is incorporated into the fair value of the award. The weighted average of assumptions used in the models were as follows:</w:t>
      </w:r>
    </w:p>
    <w:tbl>
      <w:tblPr>
        <w:tblLayout w:type="fixed"/>
        <w:tblInd w:w="16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8"/>
        </w:trPr>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r>
      <w:tr>
        <w:trPr>
          <w:trHeight w:val="30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3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1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risk-free rate is obtained as of the grant date with terms matching the performance period. The dividend yield is based on historical dividend payments and expectations of management. For the year ended December 31, 2024, expected volatility was based on our NASDAQ trading history, and for the year ended December 31, 2023, also incorporated the volatility of our constituents. For the year ended December 31, 2022, the expected volatility was based on comparable companies’ volatility due to our NASDAQ trading history being shorter than the performance period. The expected life in years is based on the performance measurement period.</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Awards Activity</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activity for non-vested RSUs, and PSUs at target and their respective WAGD FV during 2024 is presented below.</w:t>
      </w:r>
    </w:p>
    <w:p>
      <w:pPr>
        <w:spacing w:after="0" w:line="140"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96"/>
              </w:rPr>
              <w:t>WAGD</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99"/>
              </w:rPr>
              <w:t>WAGD</w:t>
            </w:r>
          </w:p>
        </w:tc>
      </w:tr>
      <w:tr>
        <w:trPr>
          <w:trHeight w:val="29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(Units in thousands, except dollars)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RSU</w:t>
            </w:r>
          </w:p>
        </w:tc>
        <w:tc>
          <w:tcPr>
            <w:tcW w:w="380" w:type="dxa"/>
            <w:vAlign w:val="bottom"/>
          </w:tcPr>
          <w:p>
            <w:pPr>
              <w:spacing w:after="0"/>
              <w:rPr>
                <w:sz w:val="24"/>
                <w:szCs w:val="24"/>
                <w:color w:val="auto"/>
              </w:rPr>
            </w:pPr>
          </w:p>
        </w:tc>
        <w:tc>
          <w:tcPr>
            <w:tcW w:w="760" w:type="dxa"/>
            <w:vAlign w:val="bottom"/>
          </w:tcPr>
          <w:p>
            <w:pPr>
              <w:jc w:val="right"/>
              <w:ind w:right="175"/>
              <w:spacing w:after="0" w:line="294" w:lineRule="exact"/>
              <w:rPr>
                <w:sz w:val="20"/>
                <w:szCs w:val="20"/>
                <w:color w:val="auto"/>
              </w:rPr>
            </w:pPr>
            <w:r>
              <w:rPr>
                <w:rFonts w:ascii="Times New Roman" w:cs="Times New Roman" w:eastAsia="Times New Roman" w:hAnsi="Times New Roman"/>
                <w:sz w:val="34"/>
                <w:szCs w:val="34"/>
                <w:b w:val="1"/>
                <w:bCs w:val="1"/>
                <w:color w:val="auto"/>
                <w:vertAlign w:val="subscript"/>
              </w:rPr>
              <w:t>FV</w:t>
            </w:r>
            <w:r>
              <w:rPr>
                <w:rFonts w:ascii="Times New Roman" w:cs="Times New Roman" w:eastAsia="Times New Roman" w:hAnsi="Times New Roman"/>
                <w:sz w:val="12"/>
                <w:szCs w:val="12"/>
                <w:b w:val="1"/>
                <w:bCs w:val="1"/>
                <w:color w:val="auto"/>
              </w:rPr>
              <w:t>(1)</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23"/>
                <w:szCs w:val="23"/>
                <w:b w:val="1"/>
                <w:bCs w:val="1"/>
                <w:color w:val="auto"/>
                <w:vertAlign w:val="superscript"/>
              </w:rPr>
              <w:t>(2)</w:t>
            </w:r>
          </w:p>
        </w:tc>
        <w:tc>
          <w:tcPr>
            <w:tcW w:w="380" w:type="dxa"/>
            <w:vAlign w:val="bottom"/>
          </w:tcPr>
          <w:p>
            <w:pPr>
              <w:spacing w:after="0"/>
              <w:rPr>
                <w:sz w:val="24"/>
                <w:szCs w:val="24"/>
                <w:color w:val="auto"/>
              </w:rPr>
            </w:pPr>
          </w:p>
        </w:tc>
        <w:tc>
          <w:tcPr>
            <w:tcW w:w="760" w:type="dxa"/>
            <w:vAlign w:val="bottom"/>
          </w:tcPr>
          <w:p>
            <w:pPr>
              <w:jc w:val="right"/>
              <w:ind w:right="175"/>
              <w:spacing w:after="0" w:line="294" w:lineRule="exact"/>
              <w:rPr>
                <w:sz w:val="20"/>
                <w:szCs w:val="20"/>
                <w:color w:val="auto"/>
              </w:rPr>
            </w:pPr>
            <w:r>
              <w:rPr>
                <w:rFonts w:ascii="Times New Roman" w:cs="Times New Roman" w:eastAsia="Times New Roman" w:hAnsi="Times New Roman"/>
                <w:sz w:val="34"/>
                <w:szCs w:val="34"/>
                <w:b w:val="1"/>
                <w:bCs w:val="1"/>
                <w:color w:val="auto"/>
                <w:vertAlign w:val="subscript"/>
              </w:rPr>
              <w:t>FV</w:t>
            </w:r>
            <w:r>
              <w:rPr>
                <w:rFonts w:ascii="Times New Roman" w:cs="Times New Roman" w:eastAsia="Times New Roman" w:hAnsi="Times New Roman"/>
                <w:sz w:val="12"/>
                <w:szCs w:val="12"/>
                <w:b w:val="1"/>
                <w:bCs w:val="1"/>
                <w:color w:val="auto"/>
              </w:rPr>
              <w:t>(1)</w:t>
            </w:r>
          </w:p>
        </w:tc>
      </w:tr>
      <w:tr>
        <w:trPr>
          <w:trHeight w:val="358"/>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43.34</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31.00</w:t>
            </w:r>
          </w:p>
        </w:tc>
      </w:tr>
      <w:tr>
        <w:trPr>
          <w:trHeight w:val="378"/>
        </w:trPr>
        <w:tc>
          <w:tcPr>
            <w:tcW w:w="3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spacing w:after="0"/>
              <w:rPr>
                <w:sz w:val="24"/>
                <w:szCs w:val="24"/>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120.13</w:t>
            </w:r>
          </w:p>
        </w:tc>
      </w:tr>
      <w:tr>
        <w:trPr>
          <w:trHeight w:val="358"/>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42.03</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3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Cancelled or 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ind w:right="115"/>
              <w:spacing w:after="0"/>
              <w:rPr>
                <w:sz w:val="20"/>
                <w:szCs w:val="20"/>
                <w:color w:val="auto"/>
              </w:rPr>
            </w:pPr>
            <w:r>
              <w:rPr>
                <w:rFonts w:ascii="Times New Roman" w:cs="Times New Roman" w:eastAsia="Times New Roman" w:hAnsi="Times New Roman"/>
                <w:sz w:val="18"/>
                <w:szCs w:val="18"/>
                <w:color w:val="auto"/>
              </w:rPr>
              <w:t>44.34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376"/>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66.91</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39.21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6" w:lineRule="exact"/>
        <w:rPr>
          <w:sz w:val="20"/>
          <w:szCs w:val="20"/>
          <w:color w:val="auto"/>
        </w:rPr>
      </w:pPr>
    </w:p>
    <w:p>
      <w:pPr>
        <w:ind w:left="1300" w:right="3180" w:hanging="158"/>
        <w:spacing w:after="0" w:line="281" w:lineRule="auto"/>
        <w:tabs>
          <w:tab w:leader="none" w:pos="1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WAGD FV for granted awards has been adjusted on a net basis for RSUs and PSUs that require remeasurement to fair value at each balance sheet date.</w:t>
      </w:r>
    </w:p>
    <w:p>
      <w:pPr>
        <w:ind w:left="1140" w:right="3260" w:firstLine="2"/>
        <w:spacing w:after="0" w:line="284" w:lineRule="auto"/>
        <w:tabs>
          <w:tab w:leader="none" w:pos="1322"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maximum of 2,353 PSUs are eligible to vest,which includes 1,751 PSUs at the target performance level, an additional 219 PSUs expected to vest based on actual performance exceeding target by year-end and 383 PSUs eligible to earn a 200% performance goal multiplier.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84</w:t>
      </w:r>
    </w:p>
    <w:p>
      <w:pPr>
        <w:sectPr>
          <w:pgSz w:w="11900" w:h="16838" w:orient="portrait"/>
          <w:cols w:equalWidth="0" w:num="1">
            <w:col w:w="11240"/>
          </w:cols>
          <w:pgMar w:left="320" w:top="432" w:right="339" w:bottom="1440" w:gutter="0" w:footer="0" w:header="0"/>
        </w:sectPr>
      </w:pPr>
    </w:p>
    <w:bookmarkStart w:id="87" w:name="page88"/>
    <w:bookmarkEnd w:id="87"/>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Shareholders’ Equity</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Our ordinary shares outstanding balance remained consistent at 72.1 million as of both December 31, 2024 and December 31, 2023. During the twelve months ended December 31, 2024 we issued of 0.9 million of our ordinary shares related to acquisitions and 0.2 million of our ordinary shares for equity awards vested and delivered, net of shares withheld for taxes, offset by the cancellation of 1.1 million of our ordinary shares repurchased for $100 million (which includes repurchased shares pending settlement of approximately $1 million), under a $500 million share repurchase program announced on July 23, 2024. Ordinary shares for the years ended December 31, 2023 and 2022 primarily increased upon the vesting and settlement of awards made under the 2019 Equity Plan.</w:t>
      </w:r>
    </w:p>
    <w:p>
      <w:pPr>
        <w:spacing w:after="0" w:line="22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On July 23, 2024, we announced our Board authorization of a dividend program under which we intend to pay regular quarterly cash dividends, subject to our Board’s discretion and continuing determination that it is in the best interest of the Company and complies with applicable legal requirements. The announcement included a cash dividend declaration of $0.25 per share of the Company’s ordinary shares. During the twelve months ended December 31, 2024, we declared and paid $36 million in dividends and accrued $2 million in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85</w:t>
      </w:r>
    </w:p>
    <w:p>
      <w:pPr>
        <w:sectPr>
          <w:pgSz w:w="11900" w:h="16838" w:orient="portrait"/>
          <w:cols w:equalWidth="0" w:num="1">
            <w:col w:w="11240"/>
          </w:cols>
          <w:pgMar w:left="320" w:top="432" w:right="339" w:bottom="1440" w:gutter="0" w:footer="0" w:header="0"/>
        </w:sectPr>
      </w:pPr>
    </w:p>
    <w:bookmarkStart w:id="88" w:name="page89"/>
    <w:bookmarkEnd w:id="88"/>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Income per Share</w:t>
      </w:r>
    </w:p>
    <w:p>
      <w:pPr>
        <w:spacing w:after="0" w:line="297" w:lineRule="exact"/>
        <w:rPr>
          <w:sz w:val="20"/>
          <w:szCs w:val="20"/>
          <w:color w:val="auto"/>
        </w:rPr>
      </w:pPr>
    </w:p>
    <w:p>
      <w:pPr>
        <w:ind w:right="160" w:firstLine="324"/>
        <w:spacing w:after="0" w:line="297" w:lineRule="auto"/>
        <w:rPr>
          <w:sz w:val="20"/>
          <w:szCs w:val="20"/>
          <w:color w:val="auto"/>
        </w:rPr>
      </w:pPr>
      <w:r>
        <w:rPr>
          <w:rFonts w:ascii="Times New Roman" w:cs="Times New Roman" w:eastAsia="Times New Roman" w:hAnsi="Times New Roman"/>
          <w:sz w:val="18"/>
          <w:szCs w:val="18"/>
          <w:color w:val="auto"/>
        </w:rPr>
        <w:t>A reconciliation of the number of weighted average shares used for the basic and diluted income (loss) per share calculation for the periods presented was as follows:</w:t>
      </w:r>
    </w:p>
    <w:p>
      <w:pPr>
        <w:spacing w:after="0" w:line="7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(Shares in millions)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0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56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32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7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73.0</w:t>
            </w: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71.9</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70.5</w:t>
            </w:r>
          </w:p>
        </w:tc>
      </w:tr>
      <w:tr>
        <w:trPr>
          <w:trHeight w:val="324"/>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Plans</w:t>
            </w:r>
          </w:p>
        </w:tc>
        <w:tc>
          <w:tcPr>
            <w:tcW w:w="1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329"/>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7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74.9</w:t>
            </w:r>
          </w:p>
        </w:tc>
        <w:tc>
          <w:tcPr>
            <w:tcW w:w="5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73.6</w:t>
            </w:r>
          </w:p>
        </w:tc>
        <w:tc>
          <w:tcPr>
            <w:tcW w:w="6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71.6</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2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 Attributable to Weatherford</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6.93</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5.79</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0.37</w:t>
            </w:r>
          </w:p>
        </w:tc>
      </w:tr>
      <w:tr>
        <w:trPr>
          <w:trHeight w:val="32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 Attributable to Weatherford</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6.75</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0.36</w:t>
            </w:r>
          </w:p>
        </w:tc>
      </w:tr>
      <w:tr>
        <w:trPr>
          <w:trHeight w:val="270"/>
        </w:trPr>
        <w:tc>
          <w:tcPr>
            <w:tcW w:w="56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29"/>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4"/>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7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5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1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0.7</w:t>
            </w: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329"/>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17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w:t>
            </w:r>
          </w:p>
        </w:tc>
        <w:tc>
          <w:tcPr>
            <w:tcW w:w="6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our weighted average shares outstanding during the period. Diluted income per share is computed by dividing net income available to shareholders by our weighted average shares outstanding during the period including potential dilutive ordinary shares. Antidilutive shares represent securities that could dilute income per share in the future, and are excluded from the computation of income per share.</w:t>
      </w:r>
    </w:p>
    <w:p>
      <w:pPr>
        <w:spacing w:after="0" w:line="20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Warrants to purchase 7.8 million ordinary shares at $99.96 per share were issued on December 13, 2019 and expired on December 13, 2023. For the years ended December 31, 2023 and December 31, 2022 the warrants were excluded from the diluted weighted average shares outstanding as the exercise price of the warrants was greater than the average market price of the Company’s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86</w:t>
      </w:r>
    </w:p>
    <w:p>
      <w:pPr>
        <w:sectPr>
          <w:pgSz w:w="11900" w:h="16838" w:orient="portrait"/>
          <w:cols w:equalWidth="0" w:num="1">
            <w:col w:w="11240"/>
          </w:cols>
          <w:pgMar w:left="320" w:top="432" w:right="339" w:bottom="1440" w:gutter="0" w:footer="0" w:header="0"/>
        </w:sectPr>
      </w:pPr>
    </w:p>
    <w:bookmarkStart w:id="89" w:name="page90"/>
    <w:bookmarkEnd w:id="89"/>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 Income Taxes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tax provision consisted of the following:</w:t>
      </w:r>
    </w:p>
    <w:p>
      <w:pPr>
        <w:spacing w:after="0" w:line="154"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r>
      <w:tr>
        <w:trPr>
          <w:trHeight w:val="22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(181)</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(143)</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86</w:t>
            </w: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difference between the Irish income tax provision and the consolidated income tax provision is analyzed below:</w:t>
      </w:r>
    </w:p>
    <w:p>
      <w:pPr>
        <w:spacing w:after="0" w:line="154"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6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Irish Income Tax Provision Tax Rate of 25%</w:t>
            </w:r>
          </w:p>
        </w:tc>
        <w:tc>
          <w:tcPr>
            <w:tcW w:w="6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(185)</w:t>
            </w:r>
          </w:p>
        </w:tc>
        <w:tc>
          <w:tcPr>
            <w:tcW w:w="640" w:type="dxa"/>
            <w:vAlign w:val="bottom"/>
            <w:tcBorders>
              <w:bottom w:val="single" w:sz="8" w:color="CCEEFF"/>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5"/>
        </w:trPr>
        <w:tc>
          <w:tcPr>
            <w:tcW w:w="5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Provision on Operating Earnings/Losses Subject to Rates</w:t>
            </w:r>
          </w:p>
        </w:tc>
        <w:tc>
          <w:tcPr>
            <w:tcW w:w="680" w:type="dxa"/>
            <w:vAlign w:val="bottom"/>
          </w:tcPr>
          <w:p>
            <w:pPr>
              <w:spacing w:after="0"/>
              <w:rPr>
                <w:sz w:val="15"/>
                <w:szCs w:val="15"/>
                <w:color w:val="auto"/>
              </w:rPr>
            </w:pP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spacing w:after="0"/>
              <w:rPr>
                <w:sz w:val="15"/>
                <w:szCs w:val="15"/>
                <w:color w:val="auto"/>
              </w:rPr>
            </w:pPr>
          </w:p>
        </w:tc>
        <w:tc>
          <w:tcPr>
            <w:tcW w:w="8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Different than the Irish Income Tax Rate</w:t>
            </w:r>
          </w:p>
        </w:tc>
        <w:tc>
          <w:tcPr>
            <w:tcW w:w="6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Tax (Provision) Benefit on Swiss Loss from internal liquidation of</w:t>
            </w:r>
          </w:p>
        </w:tc>
        <w:tc>
          <w:tcPr>
            <w:tcW w:w="6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 and internal restructuring</w:t>
            </w:r>
          </w:p>
        </w:tc>
        <w:tc>
          <w:tcPr>
            <w:tcW w:w="6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 (Increase) in Valuation Allowance attributed to Swiss</w:t>
            </w:r>
          </w:p>
        </w:tc>
        <w:tc>
          <w:tcPr>
            <w:tcW w:w="680" w:type="dxa"/>
            <w:vAlign w:val="bottom"/>
          </w:tcPr>
          <w:p>
            <w:pPr>
              <w:spacing w:after="0"/>
              <w:rPr>
                <w:sz w:val="15"/>
                <w:szCs w:val="15"/>
                <w:color w:val="auto"/>
              </w:rPr>
            </w:pPr>
          </w:p>
        </w:tc>
        <w:tc>
          <w:tcPr>
            <w:tcW w:w="6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5"/>
                <w:szCs w:val="15"/>
                <w:color w:val="auto"/>
              </w:rPr>
            </w:pPr>
          </w:p>
        </w:tc>
        <w:tc>
          <w:tcPr>
            <w:tcW w:w="8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5"/>
                <w:szCs w:val="15"/>
                <w:color w:val="auto"/>
              </w:rPr>
            </w:pPr>
          </w:p>
        </w:tc>
        <w:tc>
          <w:tcPr>
            <w:tcW w:w="4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141</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and internal restructuring</w:t>
            </w:r>
          </w:p>
        </w:tc>
        <w:tc>
          <w:tcPr>
            <w:tcW w:w="6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Decrease (Increase) in Valuation Allowance on Operating</w:t>
            </w:r>
          </w:p>
        </w:tc>
        <w:tc>
          <w:tcPr>
            <w:tcW w:w="6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81</w:t>
            </w:r>
          </w:p>
        </w:tc>
        <w:tc>
          <w:tcPr>
            <w:tcW w:w="6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Earnings/Losses</w:t>
            </w:r>
          </w:p>
        </w:tc>
        <w:tc>
          <w:tcPr>
            <w:tcW w:w="6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9"/>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68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income tax provisions generally do not correlate to our consolidated income (loss) before tax. Our income tax provisions are primarily driven by profits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w:t>
      </w:r>
    </w:p>
    <w:p>
      <w:pPr>
        <w:spacing w:after="0" w:line="20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2024, income tax expense was higher than 2023, primarily driven by increased activity and operating profits, profit mix in various jurisdictions that we operate and lower valuation allowance releases. During the year ended December 31, 2023, income tax expense includes a one-time benefit of $115 million, due to the release of valuation allowances and the recognition of benefits from previously uncertain tax positions. Those benefits were offset by the establishment of valuation allowance of approximately $50 million against the sale of Blue Chip Swap securities and currency devaluation in Argentina (see Note 17 – Blue Chip Swap Securities - Argentina). During the year ended December 31, 2022, income tax expense was lower by $35 million, due to the release of valuation allowances and $27 million, due to the recognition of a benefit from previously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87</w:t>
      </w:r>
    </w:p>
    <w:p>
      <w:pPr>
        <w:sectPr>
          <w:pgSz w:w="11900" w:h="16838" w:orient="portrait"/>
          <w:cols w:equalWidth="0" w:num="1">
            <w:col w:w="11240"/>
          </w:cols>
          <w:pgMar w:left="320" w:top="432" w:right="339" w:bottom="1440" w:gutter="0" w:footer="0" w:header="0"/>
        </w:sectPr>
      </w:pPr>
    </w:p>
    <w:bookmarkStart w:id="90" w:name="page91"/>
    <w:bookmarkEnd w:id="90"/>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 were as follows:</w:t>
            </w: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56"/>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0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Pr>
          <w:p>
            <w:pPr>
              <w:spacing w:after="0"/>
              <w:rPr>
                <w:sz w:val="20"/>
                <w:szCs w:val="20"/>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600" w:type="dxa"/>
            <w:vAlign w:val="bottom"/>
            <w:tcBorders>
              <w:bottom w:val="single" w:sz="8" w:color="auto"/>
            </w:tcBorders>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192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585</w:t>
            </w:r>
          </w:p>
        </w:tc>
        <w:tc>
          <w:tcPr>
            <w:tcW w:w="7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715</w:t>
            </w:r>
          </w:p>
        </w:tc>
      </w:tr>
      <w:tr>
        <w:trPr>
          <w:trHeight w:val="324"/>
        </w:trPr>
        <w:tc>
          <w:tcPr>
            <w:tcW w:w="220" w:type="dxa"/>
            <w:vAlign w:val="bottom"/>
          </w:tcPr>
          <w:p>
            <w:pPr>
              <w:spacing w:after="0"/>
              <w:rPr>
                <w:sz w:val="24"/>
                <w:szCs w:val="24"/>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Unused Recognized Built in Losses</w:t>
            </w:r>
          </w:p>
        </w:tc>
        <w:tc>
          <w:tcPr>
            <w:tcW w:w="19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47</w:t>
            </w: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2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92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w:t>
            </w:r>
          </w:p>
        </w:tc>
        <w:tc>
          <w:tcPr>
            <w:tcW w:w="70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191</w:t>
            </w:r>
          </w:p>
        </w:tc>
      </w:tr>
      <w:tr>
        <w:trPr>
          <w:trHeight w:val="324"/>
        </w:trPr>
        <w:tc>
          <w:tcPr>
            <w:tcW w:w="220" w:type="dxa"/>
            <w:vAlign w:val="bottom"/>
          </w:tcPr>
          <w:p>
            <w:pPr>
              <w:spacing w:after="0"/>
              <w:rPr>
                <w:sz w:val="24"/>
                <w:szCs w:val="24"/>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9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92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70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220" w:type="dxa"/>
            <w:vAlign w:val="bottom"/>
          </w:tcPr>
          <w:p>
            <w:pPr>
              <w:spacing w:after="0"/>
              <w:rPr>
                <w:sz w:val="24"/>
                <w:szCs w:val="24"/>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2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92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220" w:type="dxa"/>
            <w:vAlign w:val="bottom"/>
          </w:tcPr>
          <w:p>
            <w:pPr>
              <w:spacing w:after="0"/>
              <w:rPr>
                <w:sz w:val="24"/>
                <w:szCs w:val="24"/>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Interest Deferral</w:t>
            </w:r>
          </w:p>
        </w:tc>
        <w:tc>
          <w:tcPr>
            <w:tcW w:w="19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2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Base Adjustment</w:t>
            </w:r>
          </w:p>
        </w:tc>
        <w:tc>
          <w:tcPr>
            <w:tcW w:w="192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220" w:type="dxa"/>
            <w:vAlign w:val="bottom"/>
          </w:tcPr>
          <w:p>
            <w:pPr>
              <w:spacing w:after="0"/>
              <w:rPr>
                <w:sz w:val="24"/>
                <w:szCs w:val="24"/>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Deferred</w:t>
            </w:r>
          </w:p>
        </w:tc>
        <w:tc>
          <w:tcPr>
            <w:tcW w:w="19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2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92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142</w:t>
            </w:r>
          </w:p>
        </w:tc>
        <w:tc>
          <w:tcPr>
            <w:tcW w:w="70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220" w:type="dxa"/>
            <w:vAlign w:val="bottom"/>
          </w:tcPr>
          <w:p>
            <w:pPr>
              <w:spacing w:after="0"/>
              <w:rPr>
                <w:sz w:val="24"/>
                <w:szCs w:val="24"/>
                <w:color w:val="auto"/>
              </w:rPr>
            </w:pPr>
          </w:p>
        </w:tc>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9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w:t>
            </w:r>
          </w:p>
        </w:tc>
        <w:tc>
          <w:tcPr>
            <w:tcW w:w="7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304"/>
        </w:trPr>
        <w:tc>
          <w:tcPr>
            <w:tcW w:w="220" w:type="dxa"/>
            <w:vAlign w:val="bottom"/>
          </w:tcPr>
          <w:p>
            <w:pPr>
              <w:spacing w:after="0"/>
              <w:rPr>
                <w:sz w:val="24"/>
                <w:szCs w:val="24"/>
                <w:color w:val="auto"/>
              </w:rPr>
            </w:pPr>
          </w:p>
        </w:tc>
        <w:tc>
          <w:tcPr>
            <w:tcW w:w="5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143</w:t>
            </w: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324"/>
        </w:trPr>
        <w:tc>
          <w:tcPr>
            <w:tcW w:w="220" w:type="dxa"/>
            <w:vAlign w:val="bottom"/>
          </w:tcPr>
          <w:p>
            <w:pPr>
              <w:spacing w:after="0"/>
              <w:rPr>
                <w:sz w:val="24"/>
                <w:szCs w:val="24"/>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92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220" w:type="dxa"/>
            <w:vAlign w:val="bottom"/>
          </w:tcPr>
          <w:p>
            <w:pPr>
              <w:spacing w:after="0"/>
              <w:rPr>
                <w:sz w:val="24"/>
                <w:szCs w:val="24"/>
                <w:color w:val="auto"/>
              </w:rPr>
            </w:pPr>
          </w:p>
        </w:tc>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9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20" w:type="dxa"/>
            <w:vAlign w:val="bottom"/>
          </w:tcPr>
          <w:p>
            <w:pPr>
              <w:spacing w:after="0"/>
              <w:rPr>
                <w:sz w:val="24"/>
                <w:szCs w:val="24"/>
                <w:color w:val="auto"/>
              </w:rPr>
            </w:pPr>
          </w:p>
        </w:tc>
        <w:tc>
          <w:tcPr>
            <w:tcW w:w="5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9"/>
        </w:trPr>
        <w:tc>
          <w:tcPr>
            <w:tcW w:w="220" w:type="dxa"/>
            <w:vAlign w:val="bottom"/>
          </w:tcPr>
          <w:p>
            <w:pPr>
              <w:spacing w:after="0"/>
              <w:rPr>
                <w:sz w:val="24"/>
                <w:szCs w:val="24"/>
                <w:color w:val="auto"/>
              </w:rPr>
            </w:pPr>
          </w:p>
        </w:tc>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1920" w:type="dxa"/>
            <w:vAlign w:val="bottom"/>
            <w:tcBorders>
              <w:bottom w:val="single" w:sz="8" w:color="auto"/>
            </w:tcBorders>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220" w:type="dxa"/>
            <w:vAlign w:val="bottom"/>
          </w:tcPr>
          <w:p>
            <w:pPr>
              <w:spacing w:after="0" w:line="20" w:lineRule="exact"/>
              <w:rPr>
                <w:sz w:val="1"/>
                <w:szCs w:val="1"/>
                <w:color w:val="auto"/>
              </w:rPr>
            </w:pPr>
          </w:p>
        </w:tc>
        <w:tc>
          <w:tcPr>
            <w:tcW w:w="55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in the appropriate tax jurisdiction during the periods in which those deferred tax assets would be deductible. The Company assesses the realizability of its deferred tax assets each period by considering whether it is more likely than not that all or a portion of the deferred tax assets will not be realized. The</w:t>
      </w:r>
    </w:p>
    <w:p>
      <w:pPr>
        <w:spacing w:after="0" w:line="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Company considers all available evidence (both positive and negative) when determining whether a valuation allowance is required, with emphasis on our past operating results, the existence of cumulative losses in the most recent years and our forecast of near- 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w:t>
      </w:r>
    </w:p>
    <w:p>
      <w:pPr>
        <w:spacing w:after="0" w:line="21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valuation allowance decreased by $194 million in 2024. The majority of the decrease is in conjunction with a remeasurement of net deferred tax assets of approximately $113 million, $47 million due to the release of valuation allowances where deferred tax assets are now considered more likely than not to be realized in the future, and the utilization of net operating losses previously not expected to be realized against operating earnings. The remaining movement in the valuation allowance was attributable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88</w:t>
      </w:r>
    </w:p>
    <w:p>
      <w:pPr>
        <w:sectPr>
          <w:pgSz w:w="11900" w:h="16838" w:orient="portrait"/>
          <w:cols w:equalWidth="0" w:num="1">
            <w:col w:w="11240"/>
          </w:cols>
          <w:pgMar w:left="320" w:top="432" w:right="339" w:bottom="1440" w:gutter="0" w:footer="0" w:header="0"/>
        </w:sectPr>
      </w:pPr>
    </w:p>
    <w:bookmarkStart w:id="91" w:name="page92"/>
    <w:bookmarkEnd w:id="91"/>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2024, the pool of positive undistributed earnings of our non-Irish subsidiaries that are considered indefinitely reinvested and may be subject to tax, if distributed, amounts to approximately $444 million. The amount is reduced from the prior period due to the favorable impact of the enactment of dividend participation exemption in Ireland effective January 1, 2025. Due to complexities in the tax laws and the manner of repatriation, it is not practicable to estimate the unrecognized amount of deferred income taxes and the related dividend withholding taxes associated with these undistributed earnings.</w:t>
      </w:r>
    </w:p>
    <w:p>
      <w:pPr>
        <w:spacing w:after="0" w:line="22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At December 31, 2024, we had approximately $3.0 billion of net operating losses (“NOLs”) in various jurisdictions. Our non-indefinite loss carryforwards, if not utilized, will mostly expire for U.S. subsidiaries from 2030 through 2037 and at various dates from 2024 through 2043 for non-U.S. subsidiaries.</w:t>
      </w:r>
    </w:p>
    <w:p>
      <w:pPr>
        <w:spacing w:after="0" w:line="210"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Upon emergence from bankruptcy in December 2019, our U.S. subsidiaries experienced an ownership change as the Company’s emergence was considered an “ownership change” for purposes of Internal Revenue Code section 382. The Internal Revenue Code sections 382 and 383 impose limitations on the ability of a company to utilize tax attributes after experiencing an “ownership change.” As a result, we estimated our annual limitation is approximately $23 million against the utilization of our U.S. loss carryforwards and other tax attributes, including unused recognized built-in losses and U.S. interest deferral. Upon emergence, we estimated that the maximum U.S. NOLs available for utilization in the future was $713 million as of December 31, 2019.</w:t>
      </w:r>
    </w:p>
    <w:p>
      <w:pPr>
        <w:spacing w:after="0" w:line="224"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 2021, we executed a liquidation transaction of one of our Swiss holding companies which resulted in the forfeiture of impairment losses of $1.3 billion generated in 2020. In addition, the liquidation transaction resulted in approximately $5.6 billion of tax losses (NOLs) in Switzerland of which $3.4 billion was deemed worthless and excluded from the deferred tax table, and $2.2 billion was recorded as an NOL and included in the table as management expects to utilize those NOLs on our future tax returns. However, in addition to recording a deferred tax asset of $303 million related to the $2.2 billion tax losses, we recorded a valuation allowance against the full $303 million because it will offset future income that is otherwise exempt from tax. In 2023, the deferred tax asset was reduced by $141 million attributed to utilization with a corresponding valuation allowance release. In 2023, we recognized a deferred tax asset of $59 million relating to a final agreement with the taxing authorities in relation to an adjustment in tax base beginning of 2021, and we recorded a $57 million valuation allowance against the deferred tax asset as it is more likely than not that a majority of it will not be realized.</w:t>
      </w:r>
    </w:p>
    <w:p>
      <w:pPr>
        <w:spacing w:after="0" w:line="20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tabular reconciliation of the total amounts of uncertain tax positions at the beginning and end of the period is as follows:</w:t>
      </w:r>
    </w:p>
    <w:p>
      <w:pPr>
        <w:spacing w:after="0" w:line="7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r>
      <w:tr>
        <w:trPr>
          <w:trHeight w:val="30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6"/>
              </w:rPr>
              <w:t>203</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191</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235</w:t>
            </w:r>
          </w:p>
        </w:tc>
      </w:tr>
      <w:tr>
        <w:trPr>
          <w:trHeight w:val="32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as a Result of Tax Positions Taken During a Prior Period</w:t>
            </w:r>
          </w:p>
        </w:tc>
        <w:tc>
          <w:tcPr>
            <w:tcW w:w="1240" w:type="dxa"/>
            <w:vAlign w:val="bottom"/>
          </w:tcPr>
          <w:p>
            <w:pPr>
              <w:spacing w:after="0"/>
              <w:rPr>
                <w:sz w:val="24"/>
                <w:szCs w:val="24"/>
                <w:color w:val="auto"/>
              </w:rPr>
            </w:pP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24"/>
                <w:szCs w:val="24"/>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24"/>
                <w:szCs w:val="24"/>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as a Result of Tax Positions Taken During a Prior Period</w:t>
            </w: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as a Result of Tax Positions Taken During the Current Period</w:t>
            </w:r>
          </w:p>
        </w:tc>
        <w:tc>
          <w:tcPr>
            <w:tcW w:w="1240" w:type="dxa"/>
            <w:vAlign w:val="bottom"/>
          </w:tcPr>
          <w:p>
            <w:pPr>
              <w:spacing w:after="0"/>
              <w:rPr>
                <w:sz w:val="24"/>
                <w:szCs w:val="24"/>
                <w:color w:val="auto"/>
              </w:rPr>
            </w:pP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spacing w:after="0"/>
              <w:rPr>
                <w:sz w:val="24"/>
                <w:szCs w:val="24"/>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Pr>
          <w:p>
            <w:pPr>
              <w:spacing w:after="0"/>
              <w:rPr>
                <w:sz w:val="24"/>
                <w:szCs w:val="24"/>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Relating to Settlements with Taxing Authorities</w:t>
            </w: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as a Result of a Lapse of the Applicable Statute of Limitations</w:t>
            </w:r>
          </w:p>
        </w:tc>
        <w:tc>
          <w:tcPr>
            <w:tcW w:w="1240" w:type="dxa"/>
            <w:vAlign w:val="bottom"/>
          </w:tcPr>
          <w:p>
            <w:pPr>
              <w:spacing w:after="0"/>
              <w:rPr>
                <w:sz w:val="24"/>
                <w:szCs w:val="24"/>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Effects</w:t>
            </w:r>
          </w:p>
        </w:tc>
        <w:tc>
          <w:tcPr>
            <w:tcW w:w="12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201</w:t>
            </w: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6"/>
              </w:rPr>
              <w:t>203</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6"/>
              </w:rPr>
              <w:t>191</w:t>
            </w: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Substantially all of the uncertain tax positions, if released in future periods, would impact our effective tax rate. Within the total balance is $48 million and $37 million as of December 31, 2024, and 2023, respectively, that would be offset by net operating losses and other tax attributes if settled. Our income tax provision includes penalties and interest expense (benefit) on uncertain tax positions of $1 million, $12 million and $(2) million for years ended December 31, 2024, 2023, and 2022, respectively. The expense of $1 million in 2024 includes $(16) million of interest and penalty release related to benefit from</w:t>
      </w:r>
    </w:p>
    <w:p>
      <w:pPr>
        <w:sectPr>
          <w:pgSz w:w="11900" w:h="16838" w:orient="portrait"/>
          <w:cols w:equalWidth="0" w:num="1">
            <w:col w:w="11240"/>
          </w:cols>
          <w:pgMar w:left="320" w:top="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89</w:t>
      </w:r>
    </w:p>
    <w:p>
      <w:pPr>
        <w:sectPr>
          <w:pgSz w:w="11900" w:h="16838" w:orient="portrait"/>
          <w:cols w:equalWidth="0" w:num="1">
            <w:col w:w="11240"/>
          </w:cols>
          <w:pgMar w:left="320" w:top="432" w:right="339" w:bottom="1440" w:gutter="0" w:footer="0" w:header="0"/>
          <w:type w:val="continuous"/>
        </w:sectPr>
      </w:pPr>
    </w:p>
    <w:bookmarkStart w:id="92" w:name="page93"/>
    <w:bookmarkEnd w:id="92"/>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previously uncertain tax positions. The amounts in the table above exclude cumulative accrued interest and penalties of $112 million and $115 million at December 31, 2024 and 2023, respectively, which are included in other non-current liabilities.</w:t>
      </w:r>
    </w:p>
    <w:p>
      <w:pPr>
        <w:spacing w:after="0" w:line="17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We are subject to income tax in many of the approximately 75 countries where we operate. As of December 31, 2024, the following table summarizes the tax years that remain subject to examination for the major jurisdictions in which we operate: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Tax Jurisdiction</w:t>
            </w:r>
          </w:p>
        </w:tc>
        <w:tc>
          <w:tcPr>
            <w:tcW w:w="5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Tax Years under Examination</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2016 - 2024</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2016 - 2024</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2014 - 2024</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5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2021 - 2024</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2005 - 2024</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5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bl>
    <w:p>
      <w:pPr>
        <w:spacing w:after="0" w:line="328"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and cannot predict the timing or outcome regarding the resolutions or if they will have a material impact on our financial statements. As of December 31, 2024, we anticipate that it is reasonably possible that the amount of uncertain tax positions may decrease by up to $31 million in the next twelve months due to expiration of statutes of limitations, settlements and/or conclusions of tax examinations.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 Blue Chip Swap Securities - Argentina</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w:t>
      </w:r>
    </w:p>
    <w:p>
      <w:pPr>
        <w:spacing w:after="0" w:line="19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An indirect foreign exchange mechanism known as a Blue Chip Swap (“BCS”) allows entities to remit U.S. dollars from Argentina through the purchase and sale of BCS securities. During each of the years ended December 31, 2024 and 2023, we completed a series of BCS transactions at implied exchange rates (“BCS rates”) that were approximately 26% and 106% higher, respectively, than the official exchange rate, resulting in a loss of $10 million and $57 million, respectively. We continue to use the official exchange rate for remeasurement of our Argentine peso-denominated net monetary assets under U.S. GAAP as the BCS rates do not meet the criteria for remeasurement under U.S. GAAP.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 Acquisitions</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 xml:space="preserve">During the year ended December 31, 2024, we closed on acquisitions with total consideration of $160 million, which includes $51 million in cash net of cash acquired and 0.9 million of our ordinary shares valued at $79 million on the closing dates. The purchases were accounted for using the acquisition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purchase price was allocated to the assets acquired and liabilities assumed based on their estimated fair values measured in accordance with the guidance under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The fair value measurements of the intangible assets were based on inputs not observable in the market and therefore represent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The fair value of intangible assets acquired was $99 million and the goodwill and contingent considerations were each immaterial. Acquisition-related costs incurred by the Company are expensed as incurred. The operating results of the acquired businesses were included in the Company’s results of operations from the dates of acquisition. See also “Note 6 – Intangible Assets, Net” and “Note 14 – Shareholders’ Equity” in our Notes to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 Subsequent Event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90</w:t>
      </w:r>
    </w:p>
    <w:p>
      <w:pPr>
        <w:sectPr>
          <w:pgSz w:w="11900" w:h="16838" w:orient="portrait"/>
          <w:cols w:equalWidth="0" w:num="1">
            <w:col w:w="11240"/>
          </w:cols>
          <w:pgMar w:left="320" w:top="432" w:right="339" w:bottom="1440" w:gutter="0" w:footer="0" w:header="0"/>
        </w:sectPr>
      </w:pPr>
    </w:p>
    <w:bookmarkStart w:id="93" w:name="page94"/>
    <w:bookmarkEnd w:id="93"/>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firstLine="324"/>
        <w:spacing w:after="0" w:line="329" w:lineRule="auto"/>
        <w:rPr>
          <w:sz w:val="20"/>
          <w:szCs w:val="20"/>
          <w:color w:val="auto"/>
        </w:rPr>
      </w:pPr>
      <w:r>
        <w:rPr>
          <w:rFonts w:ascii="Times New Roman" w:cs="Times New Roman" w:eastAsia="Times New Roman" w:hAnsi="Times New Roman"/>
          <w:sz w:val="18"/>
          <w:szCs w:val="18"/>
          <w:color w:val="auto"/>
        </w:rPr>
        <w:t>On January 29, 2025, our Board of Directors declared a cash dividend of $0.25 per share of the Company’s ordinary shares, payable on March 19, 2025 to shareholders of record as of February 21, 2025.</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w:t>
      </w:r>
    </w:p>
    <w:p>
      <w:pPr>
        <w:sectPr>
          <w:pgSz w:w="11900" w:h="16838" w:orient="portrait"/>
          <w:cols w:equalWidth="0" w:num="1">
            <w:col w:w="11240"/>
          </w:cols>
          <w:pgMar w:left="320" w:top="432" w:right="339" w:bottom="1440" w:gutter="0" w:footer="0" w:header="0"/>
        </w:sectPr>
      </w:pPr>
    </w:p>
    <w:bookmarkStart w:id="94" w:name="page95"/>
    <w:bookmarkEnd w:id="94"/>
    <w:p>
      <w:pPr>
        <w:ind w:left="180"/>
        <w:spacing w:after="0"/>
        <w:rPr>
          <w:sz w:val="20"/>
          <w:szCs w:val="20"/>
          <w:color w:val="auto"/>
        </w:rPr>
      </w:pPr>
      <w:r>
        <w:rPr>
          <w:rFonts w:ascii="Times New Roman" w:cs="Times New Roman" w:eastAsia="Times New Roman" w:hAnsi="Times New Roman"/>
          <w:sz w:val="18"/>
          <w:szCs w:val="18"/>
          <w:color w:val="auto"/>
        </w:rPr>
        <w:t>Item 9 | Changes in and Disagreement with Accountants on Accounting and Financial Disclosure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92</w:t>
      </w:r>
    </w:p>
    <w:p>
      <w:pPr>
        <w:sectPr>
          <w:pgSz w:w="11900" w:h="16838" w:orient="portrait"/>
          <w:cols w:equalWidth="0" w:num="1">
            <w:col w:w="11240"/>
          </w:cols>
          <w:pgMar w:left="320" w:top="48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2024. Based on that evaluation, our CEO and CFO concluded that our disclosure controls and procedures were effective as of December 31,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83"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89"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2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using the criteria set forth by the Committee of Sponsoring Organizations of the Treadway Commission in Internal Control – An Integrated Framework (2013). As a result of this assessment, management concluded that as of December 31, 2024, our internal control over financial reporting was effective based on these criteria.</w:t>
      </w:r>
    </w:p>
    <w:p>
      <w:pPr>
        <w:spacing w:after="0" w:line="196"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auto"/>
        </w:rPr>
        <w:t>KPMG LLP has issued an attestation report dated February 6, 2025, on our internal control over financial reporting, which is contained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ended December 31, 2024,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97" w:lineRule="exact"/>
        <w:rPr>
          <w:sz w:val="20"/>
          <w:szCs w:val="20"/>
          <w:color w:val="auto"/>
        </w:rPr>
      </w:pPr>
    </w:p>
    <w:p>
      <w:pPr>
        <w:ind w:right="360" w:firstLine="324"/>
        <w:spacing w:after="0" w:line="297"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executive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w:t>
      </w:r>
    </w:p>
    <w:p>
      <w:pPr>
        <w:sectPr>
          <w:pgSz w:w="11900" w:h="16838" w:orient="portrait"/>
          <w:cols w:equalWidth="0" w:num="1">
            <w:col w:w="11240"/>
          </w:cols>
          <w:pgMar w:left="320" w:top="1022" w:right="339" w:bottom="1440" w:gutter="0" w:footer="0" w:header="0"/>
        </w:sectPr>
      </w:pPr>
    </w:p>
    <w:bookmarkStart w:id="96" w:name="page97"/>
    <w:bookmarkEnd w:id="96"/>
    <w:p>
      <w:pPr>
        <w:ind w:left="540"/>
        <w:spacing w:after="0"/>
        <w:rPr>
          <w:sz w:val="20"/>
          <w:szCs w:val="20"/>
          <w:color w:val="auto"/>
        </w:rPr>
      </w:pPr>
      <w:r>
        <w:rPr>
          <w:rFonts w:ascii="Times New Roman" w:cs="Times New Roman" w:eastAsia="Times New Roman" w:hAnsi="Times New Roman"/>
          <w:sz w:val="18"/>
          <w:szCs w:val="18"/>
          <w:color w:val="auto"/>
        </w:rPr>
        <w:t>Item 10 | Directors, Executive Officers and Corporate Governance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 See also “Item 1. Business.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of Weatherford” of this report.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have adopted a code of ethics entitled “Weatherford Code of Business Conduct English,” which applies to all our employees, officers and directors.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these codes can also be found at www.weatherford.com.</w:t>
      </w:r>
    </w:p>
    <w:p>
      <w:pPr>
        <w:spacing w:after="0" w:line="29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Weatherford Code of Business Conduct and any waiver from any provision to it by posting such information on our website at www.weatherford.com.</w:t>
      </w:r>
    </w:p>
    <w:p>
      <w:pPr>
        <w:spacing w:after="0" w:line="17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Weatherford’s securities that applies to all personnel of Weatherford and its subsidiaries, including directors, officers, employees and other covered persons. Weatherford believes that its insider trading policy is reasonably designed to promote compliance with insider trading laws, rules and regulations, as well as applicable listing standards. A copy of Weatherford’s insider trading policy is filed as Exhibit 19 to this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94</w:t>
      </w:r>
    </w:p>
    <w:p>
      <w:pPr>
        <w:sectPr>
          <w:pgSz w:w="11900" w:h="16838" w:orient="portrait"/>
          <w:cols w:equalWidth="0" w:num="1">
            <w:col w:w="11240"/>
          </w:cols>
          <w:pgMar w:left="320" w:top="378" w:right="339" w:bottom="1440" w:gutter="0" w:footer="0" w:header="0"/>
        </w:sectPr>
      </w:pPr>
    </w:p>
    <w:bookmarkStart w:id="97" w:name="page98"/>
    <w:bookmarkEnd w:id="97"/>
    <w:p>
      <w:pPr>
        <w:ind w:left="180"/>
        <w:spacing w:after="0"/>
        <w:rPr>
          <w:sz w:val="20"/>
          <w:szCs w:val="20"/>
          <w:color w:val="auto"/>
        </w:rPr>
      </w:pPr>
      <w:r>
        <w:rPr>
          <w:rFonts w:ascii="Times New Roman" w:cs="Times New Roman" w:eastAsia="Times New Roman" w:hAnsi="Times New Roman"/>
          <w:sz w:val="18"/>
          <w:szCs w:val="18"/>
          <w:color w:val="auto"/>
        </w:rPr>
        <w:t>Item 15 | Exhibits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2025 Annual General Meeting of Shareholders.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0" w:lineRule="exact"/>
        <w:rPr>
          <w:sz w:val="20"/>
          <w:szCs w:val="20"/>
          <w:color w:val="auto"/>
        </w:rPr>
      </w:pPr>
    </w:p>
    <w:p>
      <w:pPr>
        <w:spacing w:after="0" w:line="218"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documents are filed as part of this report or incorporated by reference:</w:t>
      </w:r>
    </w:p>
    <w:p>
      <w:pPr>
        <w:spacing w:after="0" w:line="90"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listed on page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of this report.</w:t>
      </w:r>
    </w:p>
    <w:p>
      <w:pPr>
        <w:spacing w:after="0" w:line="36"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listed in Rule 5-04 of Regulation S-X (17 CFR 210.5-04) have been omitted because they are not applicable or the required information is shown in the consolidated financial statements or notes thereto.</w:t>
      </w:r>
    </w:p>
    <w:p>
      <w:pPr>
        <w:spacing w:after="0" w:line="26" w:lineRule="exact"/>
        <w:rPr>
          <w:rFonts w:ascii="Times New Roman" w:cs="Times New Roman" w:eastAsia="Times New Roman" w:hAnsi="Times New Roman"/>
          <w:sz w:val="18"/>
          <w:szCs w:val="18"/>
          <w:color w:val="auto"/>
        </w:rPr>
      </w:pPr>
    </w:p>
    <w:p>
      <w:pPr>
        <w:ind w:left="340" w:right="500" w:hanging="332"/>
        <w:spacing w:after="0" w:line="313"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of the Company listed below under Item 15(b); all exhibits are incorporated herein by reference to a prior filing as indicated, unless designated by a dagger (†) or double dagger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Exhibits:</w:t>
            </w:r>
          </w:p>
        </w:tc>
        <w:tc>
          <w:tcPr>
            <w:tcW w:w="2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820" w:type="dxa"/>
            <w:vAlign w:val="bottom"/>
            <w:tcBorders>
              <w:bottom w:val="single" w:sz="8" w:color="auto"/>
            </w:tcBorders>
            <w:gridSpan w:val="4"/>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Original Filed Exhibit</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237"/>
        </w:trPr>
        <w:tc>
          <w:tcPr>
            <w:tcW w:w="14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3.1</w:t>
            </w:r>
          </w:p>
        </w:tc>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Memorandum and Articles of</w:t>
            </w:r>
          </w:p>
        </w:tc>
        <w:tc>
          <w:tcPr>
            <w:tcW w:w="28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 of the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80" w:type="dxa"/>
            <w:vAlign w:val="bottom"/>
            <w:vMerge w:val="restart"/>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Company’s Current</w:t>
            </w: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shd w:val="clear" w:color="auto" w:fill="CCEEFF"/>
          </w:tcPr>
          <w:p>
            <w:pPr>
              <w:spacing w:after="0"/>
              <w:rPr>
                <w:sz w:val="13"/>
                <w:szCs w:val="13"/>
                <w:color w:val="auto"/>
              </w:rPr>
            </w:pPr>
          </w:p>
        </w:tc>
        <w:tc>
          <w:tcPr>
            <w:tcW w:w="482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Association of Weatherford International public limited company</w:t>
            </w:r>
          </w:p>
        </w:tc>
        <w:tc>
          <w:tcPr>
            <w:tcW w:w="2880" w:type="dxa"/>
            <w:vAlign w:val="bottom"/>
            <w:vMerge w:val="continue"/>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jc w:val="center"/>
              <w:ind w:right="50"/>
              <w:spacing w:after="0" w:line="156"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filed December 18, 2019</w:t>
            </w: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7"/>
              </w:rPr>
              <w:t>4.1</w:t>
            </w:r>
          </w:p>
        </w:tc>
        <w:tc>
          <w:tcPr>
            <w:tcW w:w="4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Description of the Securities</w:t>
            </w:r>
          </w:p>
        </w:tc>
        <w:tc>
          <w:tcPr>
            <w:tcW w:w="288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rPr>
              <w:t>Exhibit 4.1 of the Company’s</w:t>
            </w:r>
          </w:p>
        </w:tc>
        <w:tc>
          <w:tcPr>
            <w:tcW w:w="1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72"/>
        </w:trPr>
        <w:tc>
          <w:tcPr>
            <w:tcW w:w="1460" w:type="dxa"/>
            <w:vAlign w:val="bottom"/>
          </w:tcPr>
          <w:p>
            <w:pPr>
              <w:spacing w:after="0"/>
              <w:rPr>
                <w:sz w:val="6"/>
                <w:szCs w:val="6"/>
                <w:color w:val="auto"/>
              </w:rPr>
            </w:pPr>
          </w:p>
        </w:tc>
        <w:tc>
          <w:tcPr>
            <w:tcW w:w="4820" w:type="dxa"/>
            <w:vAlign w:val="bottom"/>
            <w:gridSpan w:val="4"/>
            <w:vMerge w:val="continue"/>
          </w:tcPr>
          <w:p>
            <w:pPr>
              <w:spacing w:after="0"/>
              <w:rPr>
                <w:sz w:val="6"/>
                <w:szCs w:val="6"/>
                <w:color w:val="auto"/>
              </w:rPr>
            </w:pPr>
          </w:p>
        </w:tc>
        <w:tc>
          <w:tcPr>
            <w:tcW w:w="2880" w:type="dxa"/>
            <w:vAlign w:val="bottom"/>
            <w:vMerge w:val="restart"/>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Annual Report on Form 10-K filed</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2060" w:type="dxa"/>
            <w:vAlign w:val="bottom"/>
            <w:tcBorders>
              <w:top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February 17, 2022</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92658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48640"/>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tbl>
      <w:tblPr>
        <w:tblLayout w:type="fixed"/>
        <w:tblInd w:w="540" w:type="dxa"/>
        <w:tblCellMar>
          <w:top w:w="0" w:type="dxa"/>
          <w:left w:w="0" w:type="dxa"/>
          <w:bottom w:w="0" w:type="dxa"/>
          <w:right w:w="0" w:type="dxa"/>
        </w:tblCellMar>
      </w:tblPr>
      <w:tr>
        <w:trPr>
          <w:trHeight w:val="252"/>
        </w:trPr>
        <w:tc>
          <w:tcPr>
            <w:tcW w:w="9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4.2</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Indenture, dated October 27, 2021, by and among Weatherford</w:t>
            </w:r>
          </w:p>
        </w:tc>
      </w:tr>
      <w:tr>
        <w:trPr>
          <w:trHeight w:val="169"/>
        </w:trPr>
        <w:tc>
          <w:tcPr>
            <w:tcW w:w="920" w:type="dxa"/>
            <w:vAlign w:val="bottom"/>
          </w:tcPr>
          <w:p>
            <w:pPr>
              <w:spacing w:after="0"/>
              <w:rPr>
                <w:sz w:val="14"/>
                <w:szCs w:val="14"/>
                <w:color w:val="auto"/>
              </w:rPr>
            </w:pPr>
          </w:p>
        </w:tc>
        <w:tc>
          <w:tcPr>
            <w:tcW w:w="452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International Ltd., as issuer, the guarantors party thereto and</w:t>
            </w:r>
          </w:p>
        </w:tc>
        <w:tc>
          <w:tcPr>
            <w:tcW w:w="20" w:type="dxa"/>
            <w:vAlign w:val="bottom"/>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37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99"/>
              </w:rPr>
              <w:t>Deutsche Bank Trust Company Americas, as trustee</w:t>
            </w:r>
          </w:p>
        </w:tc>
        <w:tc>
          <w:tcPr>
            <w:tcW w:w="580" w:type="dxa"/>
            <w:vAlign w:val="bottom"/>
            <w:tcBorders>
              <w:top w:val="single" w:sz="8" w:color="auto"/>
            </w:tcBorders>
          </w:tcPr>
          <w:p>
            <w:pPr>
              <w:spacing w:after="0"/>
              <w:rPr>
                <w:sz w:val="13"/>
                <w:szCs w:val="13"/>
                <w:color w:val="auto"/>
              </w:rPr>
            </w:pPr>
          </w:p>
        </w:tc>
        <w:tc>
          <w:tcPr>
            <w:tcW w:w="20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7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Exhibit 4.1 of the Company’s</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85"/>
        </w:trPr>
        <w:tc>
          <w:tcPr>
            <w:tcW w:w="27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October 27, 2021</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2">
            <w:col w:w="5980" w:space="440"/>
            <w:col w:w="4820"/>
          </w:cols>
          <w:pgMar w:left="320" w:top="378" w:right="339" w:bottom="1440" w:gutter="0" w:footer="0" w:header="0"/>
          <w:type w:val="continuous"/>
        </w:sectPr>
      </w:pPr>
    </w:p>
    <w:tbl>
      <w:tblPr>
        <w:tblLayout w:type="fixed"/>
        <w:tblInd w:w="500" w:type="dxa"/>
        <w:tblCellMar>
          <w:top w:w="0" w:type="dxa"/>
          <w:left w:w="0" w:type="dxa"/>
          <w:bottom w:w="0" w:type="dxa"/>
          <w:right w:w="0" w:type="dxa"/>
        </w:tblCellMar>
      </w:tblPr>
      <w:tr>
        <w:trPr>
          <w:trHeight w:val="234"/>
        </w:trPr>
        <w:tc>
          <w:tcPr>
            <w:tcW w:w="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4.3</w:t>
            </w:r>
          </w:p>
        </w:tc>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Form of Note (included in Exhibit 4.9)</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Included in Exhibit 4.1 of the</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2800" w:type="dxa"/>
            <w:vAlign w:val="bottom"/>
            <w:tcBorders>
              <w:bottom w:val="single" w:sz="8" w:color="auto"/>
            </w:tcBorders>
            <w:vMerge w:val="continue"/>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vMerge w:val="continue"/>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Company’s Current Report on Form</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 filed October 27, 2021</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5"/>
              </w:rPr>
              <w:t>4.40</w:t>
            </w:r>
          </w:p>
        </w:tc>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Supplemental Indenture, dated as of December 1, 2022, by 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Exhibit 4.2 of the Company’s</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4540" w:type="dxa"/>
            <w:vAlign w:val="bottom"/>
            <w:tcBorders>
              <w:bottom w:val="single" w:sz="8" w:color="auto"/>
            </w:tcBorders>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vMerge w:val="continue"/>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62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among Weatherford International, LLC, Weatherford</w:t>
            </w: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Pr>
          <w:p>
            <w:pPr>
              <w:spacing w:after="0"/>
              <w:rPr>
                <w:sz w:val="8"/>
                <w:szCs w:val="8"/>
                <w:color w:val="auto"/>
              </w:rPr>
            </w:pPr>
          </w:p>
        </w:tc>
        <w:tc>
          <w:tcPr>
            <w:tcW w:w="4620" w:type="dxa"/>
            <w:vAlign w:val="bottom"/>
            <w:gridSpan w:val="5"/>
            <w:vMerge w:val="restart"/>
          </w:tcPr>
          <w:p>
            <w:pPr>
              <w:spacing w:after="0" w:line="156" w:lineRule="exact"/>
              <w:rPr>
                <w:sz w:val="20"/>
                <w:szCs w:val="20"/>
                <w:color w:val="auto"/>
              </w:rPr>
            </w:pPr>
            <w:r>
              <w:rPr>
                <w:rFonts w:ascii="Times New Roman" w:cs="Times New Roman" w:eastAsia="Times New Roman" w:hAnsi="Times New Roman"/>
                <w:sz w:val="18"/>
                <w:szCs w:val="18"/>
                <w:color w:val="auto"/>
                <w:w w:val="99"/>
              </w:rPr>
              <w:t>International plc, as parent guarantor, Weatherford International</w:t>
            </w:r>
          </w:p>
        </w:tc>
        <w:tc>
          <w:tcPr>
            <w:tcW w:w="310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4620" w:type="dxa"/>
            <w:vAlign w:val="bottom"/>
            <w:gridSpan w:val="5"/>
            <w:vMerge w:val="continue"/>
          </w:tcPr>
          <w:p>
            <w:pPr>
              <w:spacing w:after="0"/>
              <w:rPr>
                <w:sz w:val="4"/>
                <w:szCs w:val="4"/>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5, 2022</w:t>
            </w: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600" w:type="dxa"/>
            <w:vAlign w:val="bottom"/>
            <w:tcBorders>
              <w:top w:val="single" w:sz="8" w:color="auto"/>
              <w:bottom w:val="single" w:sz="8" w:color="auto"/>
            </w:tcBorders>
            <w:gridSpan w:val="4"/>
          </w:tcPr>
          <w:p>
            <w:pPr>
              <w:spacing w:after="0" w:line="156" w:lineRule="exact"/>
              <w:rPr>
                <w:sz w:val="20"/>
                <w:szCs w:val="20"/>
                <w:color w:val="auto"/>
              </w:rPr>
            </w:pPr>
            <w:r>
              <w:rPr>
                <w:rFonts w:ascii="Times New Roman" w:cs="Times New Roman" w:eastAsia="Times New Roman" w:hAnsi="Times New Roman"/>
                <w:sz w:val="18"/>
                <w:szCs w:val="18"/>
                <w:color w:val="auto"/>
                <w:w w:val="98"/>
              </w:rPr>
              <w:t>Ltd., as issuer, and Deutsche Bank Trust Company Americas, as</w:t>
            </w:r>
          </w:p>
        </w:tc>
        <w:tc>
          <w:tcPr>
            <w:tcW w:w="20" w:type="dxa"/>
            <w:vAlign w:val="bottom"/>
            <w:tcBorders>
              <w:bottom w:val="single" w:sz="8" w:color="auto"/>
            </w:tcBorders>
          </w:tcPr>
          <w:p>
            <w:pPr>
              <w:spacing w:after="0"/>
              <w:rPr>
                <w:sz w:val="13"/>
                <w:szCs w:val="13"/>
                <w:color w:val="auto"/>
              </w:rPr>
            </w:pPr>
          </w:p>
        </w:tc>
        <w:tc>
          <w:tcPr>
            <w:tcW w:w="310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692658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6865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8"/>
          <w:szCs w:val="18"/>
          <w:u w:val="single" w:color="auto"/>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95</w:t>
      </w:r>
    </w:p>
    <w:p>
      <w:pPr>
        <w:sectPr>
          <w:pgSz w:w="11900" w:h="16838" w:orient="portrait"/>
          <w:cols w:equalWidth="0" w:num="1">
            <w:col w:w="11240"/>
          </w:cols>
          <w:pgMar w:left="320" w:top="378"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Original Filed Exhibit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250"/>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*10.1</w:t>
            </w:r>
          </w:p>
        </w:tc>
        <w:tc>
          <w:tcPr>
            <w:tcW w:w="4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Deed of Indemnity of Weatherford International plc</w:t>
            </w:r>
          </w:p>
        </w:tc>
        <w:tc>
          <w:tcPr>
            <w:tcW w:w="2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10.11 of the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vMerge w:val="restart"/>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Company’s Current</w:t>
            </w: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488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auto"/>
              </w:rPr>
              <w:t>entered into by each director of Weatherford International plc</w:t>
            </w:r>
          </w:p>
        </w:tc>
        <w:tc>
          <w:tcPr>
            <w:tcW w:w="274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4340" w:type="dxa"/>
            <w:vAlign w:val="bottom"/>
            <w:tcBorders>
              <w:top w:val="single" w:sz="8" w:color="auto"/>
              <w:bottom w:val="single" w:sz="8" w:color="auto"/>
            </w:tcBorders>
            <w:gridSpan w:val="4"/>
          </w:tcPr>
          <w:p>
            <w:pPr>
              <w:spacing w:after="0" w:line="156" w:lineRule="exact"/>
              <w:rPr>
                <w:sz w:val="20"/>
                <w:szCs w:val="20"/>
                <w:color w:val="auto"/>
              </w:rPr>
            </w:pPr>
            <w:r>
              <w:rPr>
                <w:rFonts w:ascii="Times New Roman" w:cs="Times New Roman" w:eastAsia="Times New Roman" w:hAnsi="Times New Roman"/>
                <w:sz w:val="18"/>
                <w:szCs w:val="18"/>
                <w:color w:val="auto"/>
                <w:w w:val="99"/>
              </w:rPr>
              <w:t>and each of the following executive officers of Weatherford</w:t>
            </w:r>
          </w:p>
        </w:tc>
        <w:tc>
          <w:tcPr>
            <w:tcW w:w="80" w:type="dxa"/>
            <w:vAlign w:val="bottom"/>
            <w:tcBorders>
              <w:top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tcPr>
          <w:p>
            <w:pPr>
              <w:jc w:val="center"/>
              <w:ind w:right="30"/>
              <w:spacing w:after="0" w:line="156" w:lineRule="exact"/>
              <w:rPr>
                <w:sz w:val="20"/>
                <w:szCs w:val="20"/>
                <w:color w:val="auto"/>
              </w:rPr>
            </w:pPr>
            <w:r>
              <w:rPr>
                <w:rFonts w:ascii="Times New Roman" w:cs="Times New Roman" w:eastAsia="Times New Roman" w:hAnsi="Times New Roman"/>
                <w:sz w:val="18"/>
                <w:szCs w:val="18"/>
                <w:color w:val="auto"/>
              </w:rPr>
              <w:t>Report on Form 8-K12B</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88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auto"/>
              </w:rPr>
              <w:t>International plc: Scott C. Weatherholt (July 23, 2020), Girish K.</w:t>
            </w:r>
          </w:p>
        </w:tc>
        <w:tc>
          <w:tcPr>
            <w:tcW w:w="2740" w:type="dxa"/>
            <w:vAlign w:val="bottom"/>
          </w:tcPr>
          <w:p>
            <w:pPr>
              <w:jc w:val="center"/>
              <w:ind w:right="30"/>
              <w:spacing w:after="0" w:line="156" w:lineRule="exact"/>
              <w:rPr>
                <w:sz w:val="20"/>
                <w:szCs w:val="20"/>
                <w:color w:val="auto"/>
              </w:rPr>
            </w:pPr>
            <w:r>
              <w:rPr>
                <w:rFonts w:ascii="Times New Roman" w:cs="Times New Roman" w:eastAsia="Times New Roman" w:hAnsi="Times New Roman"/>
                <w:sz w:val="18"/>
                <w:szCs w:val="18"/>
                <w:color w:val="auto"/>
                <w:w w:val="99"/>
              </w:rPr>
              <w:t>filed June 17, 2014</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4680" w:type="dxa"/>
            <w:vAlign w:val="bottom"/>
            <w:tcBorders>
              <w:top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auto"/>
              </w:rPr>
              <w:t>Saligram (October 12, 2020), Desmond J. Mills (November 2,</w:t>
            </w:r>
          </w:p>
        </w:tc>
        <w:tc>
          <w:tcPr>
            <w:tcW w:w="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920" w:type="dxa"/>
            <w:vAlign w:val="bottom"/>
            <w:tcBorders>
              <w:top w:val="single" w:sz="8" w:color="auto"/>
              <w:bottom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9"/>
              </w:rPr>
              <w:t>2022)</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 xml:space="preserve"> Arunava Mitra (January 13, 2023), David Reed</w:t>
            </w:r>
          </w:p>
        </w:tc>
        <w:tc>
          <w:tcPr>
            <w:tcW w:w="560" w:type="dxa"/>
            <w:vAlign w:val="bottom"/>
            <w:tcBorders>
              <w:top w:val="single" w:sz="8" w:color="auto"/>
            </w:tcBorders>
            <w:gridSpan w:val="5"/>
          </w:tcPr>
          <w:p>
            <w:pPr>
              <w:spacing w:after="0"/>
              <w:rPr>
                <w:sz w:val="13"/>
                <w:szCs w:val="13"/>
                <w:color w:val="auto"/>
              </w:rPr>
            </w:pPr>
          </w:p>
        </w:tc>
        <w:tc>
          <w:tcPr>
            <w:tcW w:w="400" w:type="dxa"/>
            <w:vAlign w:val="bottom"/>
            <w:gridSpan w:val="2"/>
          </w:tcPr>
          <w:p>
            <w:pPr>
              <w:spacing w:after="0"/>
              <w:rPr>
                <w:sz w:val="13"/>
                <w:szCs w:val="13"/>
                <w:color w:val="auto"/>
              </w:rPr>
            </w:pPr>
          </w:p>
        </w:tc>
        <w:tc>
          <w:tcPr>
            <w:tcW w:w="2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488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auto"/>
              </w:rPr>
              <w:t>(December 8, 2022), Depinder Sandhu (October 11, 2022),</w:t>
            </w:r>
          </w:p>
        </w:tc>
        <w:tc>
          <w:tcPr>
            <w:tcW w:w="2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42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w w:val="99"/>
              </w:rPr>
              <w:t>Richard Ward (January 8, 2024) and Todd Glance (August</w:t>
            </w:r>
          </w:p>
        </w:tc>
        <w:tc>
          <w:tcPr>
            <w:tcW w:w="640" w:type="dxa"/>
            <w:vAlign w:val="bottom"/>
            <w:gridSpan w:val="6"/>
          </w:tcPr>
          <w:p>
            <w:pPr>
              <w:jc w:val="right"/>
              <w:ind w:right="400"/>
              <w:spacing w:after="0" w:line="169" w:lineRule="exact"/>
              <w:rPr>
                <w:sz w:val="20"/>
                <w:szCs w:val="20"/>
                <w:color w:val="auto"/>
              </w:rPr>
            </w:pPr>
            <w:r>
              <w:rPr>
                <w:rFonts w:ascii="Times New Roman" w:cs="Times New Roman" w:eastAsia="Times New Roman" w:hAnsi="Times New Roman"/>
                <w:sz w:val="18"/>
                <w:szCs w:val="18"/>
                <w:color w:val="auto"/>
                <w:w w:val="97"/>
              </w:rPr>
              <w:t>15,</w:t>
            </w:r>
          </w:p>
        </w:tc>
        <w:tc>
          <w:tcPr>
            <w:tcW w:w="2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92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w:t>
            </w:r>
          </w:p>
        </w:tc>
        <w:tc>
          <w:tcPr>
            <w:tcW w:w="48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Deed of Indemnity of Weatherford International Ltd</w:t>
            </w:r>
          </w:p>
        </w:tc>
        <w:tc>
          <w:tcPr>
            <w:tcW w:w="2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10.12 of the</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69"/>
        </w:trPr>
        <w:tc>
          <w:tcPr>
            <w:tcW w:w="1460" w:type="dxa"/>
            <w:vAlign w:val="bottom"/>
            <w:tcBorders>
              <w:top w:val="single" w:sz="8" w:color="CCEEFF"/>
            </w:tcBorders>
            <w:shd w:val="clear" w:color="auto" w:fill="CCEEFF"/>
          </w:tcPr>
          <w:p>
            <w:pPr>
              <w:spacing w:after="0"/>
              <w:rPr>
                <w:sz w:val="14"/>
                <w:szCs w:val="14"/>
                <w:color w:val="auto"/>
              </w:rPr>
            </w:pPr>
          </w:p>
        </w:tc>
        <w:tc>
          <w:tcPr>
            <w:tcW w:w="4380" w:type="dxa"/>
            <w:vAlign w:val="bottom"/>
            <w:tcBorders>
              <w:top w:val="single" w:sz="8" w:color="auto"/>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8"/>
              </w:rPr>
              <w:t>entered into by each director of Weatherford International plc</w:t>
            </w:r>
          </w:p>
        </w:tc>
        <w:tc>
          <w:tcPr>
            <w:tcW w:w="500" w:type="dxa"/>
            <w:vAlign w:val="bottom"/>
            <w:tcBorders>
              <w:top w:val="single" w:sz="8" w:color="CCEEFF"/>
            </w:tcBorders>
            <w:gridSpan w:val="4"/>
            <w:shd w:val="clear" w:color="auto" w:fill="CCEEFF"/>
          </w:tcPr>
          <w:p>
            <w:pPr>
              <w:spacing w:after="0"/>
              <w:rPr>
                <w:sz w:val="14"/>
                <w:szCs w:val="14"/>
                <w:color w:val="auto"/>
              </w:rPr>
            </w:pPr>
          </w:p>
        </w:tc>
        <w:tc>
          <w:tcPr>
            <w:tcW w:w="2740" w:type="dxa"/>
            <w:vAlign w:val="bottom"/>
            <w:tcBorders>
              <w:top w:val="single" w:sz="8" w:color="CCEEFF"/>
            </w:tcBorders>
            <w:shd w:val="clear" w:color="auto" w:fill="CCEEFF"/>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Company’s Current</w:t>
            </w:r>
          </w:p>
        </w:tc>
        <w:tc>
          <w:tcPr>
            <w:tcW w:w="1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4340" w:type="dxa"/>
            <w:vAlign w:val="bottom"/>
            <w:tcBorders>
              <w:top w:val="single" w:sz="8" w:color="auto"/>
              <w:bottom w:val="single" w:sz="8" w:color="auto"/>
              <w:right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and each of the following executive officers of Weatherford</w:t>
            </w:r>
          </w:p>
        </w:tc>
        <w:tc>
          <w:tcPr>
            <w:tcW w:w="80" w:type="dxa"/>
            <w:vAlign w:val="bottom"/>
            <w:tcBorders>
              <w:top w:val="single" w:sz="8" w:color="auto"/>
              <w:bottom w:val="single" w:sz="8" w:color="CCEEFF"/>
            </w:tcBorders>
            <w:gridSpan w:val="2"/>
            <w:shd w:val="clear" w:color="auto" w:fill="CCEEFF"/>
          </w:tcPr>
          <w:p>
            <w:pPr>
              <w:spacing w:after="0"/>
              <w:rPr>
                <w:sz w:val="13"/>
                <w:szCs w:val="13"/>
                <w:color w:val="auto"/>
              </w:rPr>
            </w:pPr>
          </w:p>
        </w:tc>
        <w:tc>
          <w:tcPr>
            <w:tcW w:w="4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740" w:type="dxa"/>
            <w:vAlign w:val="bottom"/>
            <w:tcBorders>
              <w:top w:val="single" w:sz="8" w:color="CCEEFF"/>
              <w:bottom w:val="single" w:sz="8" w:color="CCEEFF"/>
            </w:tcBorders>
            <w:shd w:val="clear" w:color="auto" w:fill="CCEEFF"/>
          </w:tcPr>
          <w:p>
            <w:pPr>
              <w:jc w:val="center"/>
              <w:ind w:right="30"/>
              <w:spacing w:after="0" w:line="156" w:lineRule="exact"/>
              <w:rPr>
                <w:sz w:val="20"/>
                <w:szCs w:val="20"/>
                <w:color w:val="auto"/>
              </w:rPr>
            </w:pPr>
            <w:r>
              <w:rPr>
                <w:rFonts w:ascii="Times New Roman" w:cs="Times New Roman" w:eastAsia="Times New Roman" w:hAnsi="Times New Roman"/>
                <w:sz w:val="18"/>
                <w:szCs w:val="18"/>
                <w:color w:val="auto"/>
              </w:rPr>
              <w:t>Report on Form 8-K12B</w:t>
            </w: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CEEFF"/>
          </w:tcPr>
          <w:p>
            <w:pPr>
              <w:spacing w:after="0"/>
              <w:rPr>
                <w:sz w:val="13"/>
                <w:szCs w:val="13"/>
                <w:color w:val="auto"/>
              </w:rPr>
            </w:pPr>
          </w:p>
        </w:tc>
        <w:tc>
          <w:tcPr>
            <w:tcW w:w="4880" w:type="dxa"/>
            <w:vAlign w:val="bottom"/>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International plc: Scott C. Weatherholt (July 23, 2020), Girish K.</w:t>
            </w:r>
          </w:p>
        </w:tc>
        <w:tc>
          <w:tcPr>
            <w:tcW w:w="2740" w:type="dxa"/>
            <w:vAlign w:val="bottom"/>
            <w:shd w:val="clear" w:color="auto" w:fill="CCEEFF"/>
          </w:tcPr>
          <w:p>
            <w:pPr>
              <w:jc w:val="center"/>
              <w:ind w:right="30"/>
              <w:spacing w:after="0" w:line="156" w:lineRule="exact"/>
              <w:rPr>
                <w:sz w:val="20"/>
                <w:szCs w:val="20"/>
                <w:color w:val="auto"/>
              </w:rPr>
            </w:pPr>
            <w:r>
              <w:rPr>
                <w:rFonts w:ascii="Times New Roman" w:cs="Times New Roman" w:eastAsia="Times New Roman" w:hAnsi="Times New Roman"/>
                <w:sz w:val="18"/>
                <w:szCs w:val="18"/>
                <w:color w:val="auto"/>
                <w:w w:val="99"/>
              </w:rPr>
              <w:t>filed June 17, 2014</w:t>
            </w: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tcBorders>
              <w:top w:val="single" w:sz="8" w:color="CCEEFF"/>
            </w:tcBorders>
            <w:shd w:val="clear" w:color="auto" w:fill="CCEEFF"/>
          </w:tcPr>
          <w:p>
            <w:pPr>
              <w:spacing w:after="0"/>
              <w:rPr>
                <w:sz w:val="14"/>
                <w:szCs w:val="14"/>
                <w:color w:val="auto"/>
              </w:rPr>
            </w:pPr>
          </w:p>
        </w:tc>
        <w:tc>
          <w:tcPr>
            <w:tcW w:w="4680" w:type="dxa"/>
            <w:vAlign w:val="bottom"/>
            <w:tcBorders>
              <w:top w:val="single" w:sz="8" w:color="auto"/>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Saligram (October 12, 2020), Desmond J. Mills (November 2,</w:t>
            </w:r>
          </w:p>
        </w:tc>
        <w:tc>
          <w:tcPr>
            <w:tcW w:w="20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3920" w:type="dxa"/>
            <w:vAlign w:val="bottom"/>
            <w:tcBorders>
              <w:top w:val="single" w:sz="8" w:color="auto"/>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2022), Arunava Mitra (January 13, 2023), David Reed</w:t>
            </w:r>
          </w:p>
        </w:tc>
        <w:tc>
          <w:tcPr>
            <w:tcW w:w="560" w:type="dxa"/>
            <w:vAlign w:val="bottom"/>
            <w:tcBorders>
              <w:top w:val="single" w:sz="8" w:color="auto"/>
              <w:bottom w:val="single" w:sz="8" w:color="CCEEFF"/>
            </w:tcBorders>
            <w:gridSpan w:val="5"/>
            <w:shd w:val="clear" w:color="auto" w:fill="CCEEFF"/>
          </w:tcPr>
          <w:p>
            <w:pPr>
              <w:spacing w:after="0"/>
              <w:rPr>
                <w:sz w:val="13"/>
                <w:szCs w:val="13"/>
                <w:color w:val="auto"/>
              </w:rPr>
            </w:pPr>
          </w:p>
        </w:tc>
        <w:tc>
          <w:tcPr>
            <w:tcW w:w="4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74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CCEEFF"/>
          </w:tcPr>
          <w:p>
            <w:pPr>
              <w:spacing w:after="0"/>
              <w:rPr>
                <w:sz w:val="13"/>
                <w:szCs w:val="13"/>
                <w:color w:val="auto"/>
              </w:rPr>
            </w:pPr>
          </w:p>
        </w:tc>
        <w:tc>
          <w:tcPr>
            <w:tcW w:w="4880" w:type="dxa"/>
            <w:vAlign w:val="bottom"/>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(December 8, 2022), Depinder Sandhu (October 11, 2022),</w:t>
            </w:r>
          </w:p>
        </w:tc>
        <w:tc>
          <w:tcPr>
            <w:tcW w:w="27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Richard Ward (January 8, 2024) and Todd Glance (August</w:t>
            </w:r>
          </w:p>
        </w:tc>
        <w:tc>
          <w:tcPr>
            <w:tcW w:w="640" w:type="dxa"/>
            <w:vAlign w:val="bottom"/>
            <w:tcBorders>
              <w:top w:val="single" w:sz="8" w:color="CCEEFF"/>
            </w:tcBorders>
            <w:gridSpan w:val="6"/>
            <w:shd w:val="clear" w:color="auto" w:fill="CCEEFF"/>
          </w:tcPr>
          <w:p>
            <w:pPr>
              <w:jc w:val="right"/>
              <w:ind w:right="400"/>
              <w:spacing w:after="0" w:line="169" w:lineRule="exact"/>
              <w:rPr>
                <w:sz w:val="20"/>
                <w:szCs w:val="20"/>
                <w:color w:val="auto"/>
              </w:rPr>
            </w:pPr>
            <w:r>
              <w:rPr>
                <w:rFonts w:ascii="Times New Roman" w:cs="Times New Roman" w:eastAsia="Times New Roman" w:hAnsi="Times New Roman"/>
                <w:sz w:val="18"/>
                <w:szCs w:val="18"/>
                <w:color w:val="auto"/>
                <w:w w:val="97"/>
              </w:rPr>
              <w:t>15,</w:t>
            </w:r>
          </w:p>
        </w:tc>
        <w:tc>
          <w:tcPr>
            <w:tcW w:w="274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2024)</w:t>
            </w:r>
          </w:p>
        </w:tc>
        <w:tc>
          <w:tcPr>
            <w:tcW w:w="35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74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*10.3</w:t>
            </w:r>
          </w:p>
        </w:tc>
        <w:tc>
          <w:tcPr>
            <w:tcW w:w="488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auto"/>
              </w:rPr>
              <w:t>Third Amended and Restated Weatherford International PLC</w:t>
            </w:r>
          </w:p>
        </w:tc>
        <w:tc>
          <w:tcPr>
            <w:tcW w:w="2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10.1 of the Company’s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460" w:type="dxa"/>
        <w:tblCellMar>
          <w:top w:w="0" w:type="dxa"/>
          <w:left w:w="0" w:type="dxa"/>
          <w:bottom w:w="0" w:type="dxa"/>
          <w:right w:w="0" w:type="dxa"/>
        </w:tblCellMar>
      </w:tblPr>
      <w:tr>
        <w:trPr>
          <w:trHeight w:val="52"/>
        </w:trPr>
        <w:tc>
          <w:tcPr>
            <w:tcW w:w="24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040" w:type="dxa"/>
            <w:vAlign w:val="bottom"/>
            <w:vMerge w:val="restart"/>
          </w:tcPr>
          <w:p>
            <w:pPr>
              <w:jc w:val="center"/>
              <w:ind w:left="490"/>
              <w:spacing w:after="0" w:line="160" w:lineRule="exact"/>
              <w:rPr>
                <w:sz w:val="20"/>
                <w:szCs w:val="20"/>
                <w:color w:val="auto"/>
              </w:rPr>
            </w:pPr>
            <w:r>
              <w:rPr>
                <w:rFonts w:ascii="Times New Roman" w:cs="Times New Roman" w:eastAsia="Times New Roman" w:hAnsi="Times New Roman"/>
                <w:sz w:val="18"/>
                <w:szCs w:val="18"/>
                <w:color w:val="auto"/>
              </w:rPr>
              <w:t>Current Report on Form 8-K filed</w:t>
            </w:r>
          </w:p>
        </w:tc>
        <w:tc>
          <w:tcPr>
            <w:tcW w:w="0" w:type="dxa"/>
            <w:vAlign w:val="bottom"/>
          </w:tcPr>
          <w:p>
            <w:pPr>
              <w:spacing w:after="0"/>
              <w:rPr>
                <w:sz w:val="1"/>
                <w:szCs w:val="1"/>
                <w:color w:val="auto"/>
              </w:rPr>
            </w:pPr>
          </w:p>
        </w:tc>
      </w:tr>
      <w:tr>
        <w:trPr>
          <w:trHeight w:val="88"/>
        </w:trPr>
        <w:tc>
          <w:tcPr>
            <w:tcW w:w="4380" w:type="dxa"/>
            <w:vAlign w:val="bottom"/>
            <w:gridSpan w:val="2"/>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Change in Control Severance Plan</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380" w:type="dxa"/>
            <w:vAlign w:val="bottom"/>
            <w:gridSpan w:val="2"/>
            <w:vMerge w:val="continue"/>
          </w:tcPr>
          <w:p>
            <w:pPr>
              <w:spacing w:after="0"/>
              <w:rPr>
                <w:sz w:val="7"/>
                <w:szCs w:val="7"/>
                <w:color w:val="auto"/>
              </w:rPr>
            </w:pPr>
          </w:p>
        </w:tc>
        <w:tc>
          <w:tcPr>
            <w:tcW w:w="3040" w:type="dxa"/>
            <w:vAlign w:val="bottom"/>
            <w:vMerge w:val="restart"/>
          </w:tcPr>
          <w:p>
            <w:pPr>
              <w:jc w:val="center"/>
              <w:ind w:left="490"/>
              <w:spacing w:after="0"/>
              <w:rPr>
                <w:sz w:val="20"/>
                <w:szCs w:val="20"/>
                <w:color w:val="auto"/>
              </w:rPr>
            </w:pPr>
            <w:r>
              <w:rPr>
                <w:rFonts w:ascii="Times New Roman" w:cs="Times New Roman" w:eastAsia="Times New Roman" w:hAnsi="Times New Roman"/>
                <w:sz w:val="18"/>
                <w:szCs w:val="18"/>
                <w:color w:val="auto"/>
                <w:w w:val="99"/>
              </w:rPr>
              <w:t>on January 23, 2023</w:t>
            </w:r>
          </w:p>
        </w:tc>
        <w:tc>
          <w:tcPr>
            <w:tcW w:w="0" w:type="dxa"/>
            <w:vAlign w:val="bottom"/>
          </w:tcPr>
          <w:p>
            <w:pPr>
              <w:spacing w:after="0"/>
              <w:rPr>
                <w:sz w:val="1"/>
                <w:szCs w:val="1"/>
                <w:color w:val="auto"/>
              </w:rPr>
            </w:pPr>
          </w:p>
        </w:tc>
      </w:tr>
      <w:tr>
        <w:trPr>
          <w:trHeight w:val="133"/>
        </w:trPr>
        <w:tc>
          <w:tcPr>
            <w:tcW w:w="2480" w:type="dxa"/>
            <w:vAlign w:val="bottom"/>
            <w:tcBorders>
              <w:top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92658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48831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tbl>
      <w:tblPr>
        <w:tblLayout w:type="fixed"/>
        <w:tblInd w:w="460" w:type="dxa"/>
        <w:tblCellMar>
          <w:top w:w="0" w:type="dxa"/>
          <w:left w:w="0" w:type="dxa"/>
          <w:bottom w:w="0" w:type="dxa"/>
          <w:right w:w="0" w:type="dxa"/>
        </w:tblCellMar>
      </w:tblPr>
      <w:tr>
        <w:trPr>
          <w:trHeight w:val="252"/>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*10.4</w:t>
            </w: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Amended and Restated Weatherford International plc Executive</w:t>
            </w:r>
          </w:p>
        </w:tc>
      </w:tr>
      <w:tr>
        <w:trPr>
          <w:trHeight w:val="169"/>
        </w:trPr>
        <w:tc>
          <w:tcPr>
            <w:tcW w:w="1000" w:type="dxa"/>
            <w:vAlign w:val="bottom"/>
          </w:tcPr>
          <w:p>
            <w:pPr>
              <w:spacing w:after="0"/>
              <w:rPr>
                <w:sz w:val="14"/>
                <w:szCs w:val="14"/>
                <w:color w:val="auto"/>
              </w:rPr>
            </w:pPr>
          </w:p>
        </w:tc>
        <w:tc>
          <w:tcPr>
            <w:tcW w:w="46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Severance Plan</w:t>
            </w: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20"/>
        <w:spacing w:after="0" w:line="231" w:lineRule="auto"/>
        <w:tabs>
          <w:tab w:leader="none" w:pos="3020" w:val="left"/>
        </w:tabs>
        <w:rPr>
          <w:sz w:val="20"/>
          <w:szCs w:val="20"/>
          <w:color w:val="auto"/>
        </w:rPr>
      </w:pPr>
      <w:r>
        <w:rPr>
          <w:rFonts w:ascii="Times New Roman" w:cs="Times New Roman" w:eastAsia="Times New Roman" w:hAnsi="Times New Roman"/>
          <w:sz w:val="18"/>
          <w:szCs w:val="18"/>
          <w:color w:val="auto"/>
        </w:rPr>
        <w:t>Exhibit 10.10 of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20"/>
        <w:spacing w:after="0" w:line="203" w:lineRule="auto"/>
        <w:rPr>
          <w:sz w:val="20"/>
          <w:szCs w:val="20"/>
          <w:color w:val="auto"/>
        </w:rPr>
      </w:pPr>
      <w:r>
        <w:rPr>
          <w:rFonts w:ascii="Times New Roman" w:cs="Times New Roman" w:eastAsia="Times New Roman" w:hAnsi="Times New Roman"/>
          <w:sz w:val="18"/>
          <w:szCs w:val="18"/>
          <w:color w:val="auto"/>
        </w:rPr>
        <w:t>Annual Report on Form 10-K for</w:t>
      </w:r>
    </w:p>
    <w:p>
      <w:pPr>
        <w:jc w:val="center"/>
        <w:ind w:right="2320"/>
        <w:spacing w:after="0" w:line="216" w:lineRule="auto"/>
        <w:rPr>
          <w:sz w:val="20"/>
          <w:szCs w:val="20"/>
          <w:color w:val="auto"/>
        </w:rPr>
      </w:pPr>
      <w:r>
        <w:rPr>
          <w:rFonts w:ascii="Times New Roman" w:cs="Times New Roman" w:eastAsia="Times New Roman" w:hAnsi="Times New Roman"/>
          <w:sz w:val="17"/>
          <w:szCs w:val="17"/>
          <w:color w:val="auto"/>
        </w:rPr>
        <w:t>the year ended December 31, 2022,</w:t>
      </w:r>
    </w:p>
    <w:p>
      <w:pPr>
        <w:jc w:val="center"/>
        <w:ind w:right="2320"/>
        <w:spacing w:after="0"/>
        <w:rPr>
          <w:sz w:val="20"/>
          <w:szCs w:val="20"/>
          <w:color w:val="auto"/>
        </w:rPr>
      </w:pPr>
      <w:r>
        <w:rPr>
          <w:rFonts w:ascii="Times New Roman" w:cs="Times New Roman" w:eastAsia="Times New Roman" w:hAnsi="Times New Roman"/>
          <w:sz w:val="18"/>
          <w:szCs w:val="18"/>
          <w:color w:val="auto"/>
        </w:rPr>
        <w:t>filed February 8, 2023</w:t>
      </w:r>
    </w:p>
    <w:p>
      <w:pPr>
        <w:spacing w:after="0" w:line="5" w:lineRule="exact"/>
        <w:rPr>
          <w:sz w:val="20"/>
          <w:szCs w:val="20"/>
          <w:color w:val="auto"/>
        </w:rPr>
      </w:pPr>
    </w:p>
    <w:p>
      <w:pPr>
        <w:sectPr>
          <w:pgSz w:w="11900" w:h="16838" w:orient="portrait"/>
          <w:cols w:equalWidth="0" w:num="2">
            <w:col w:w="6060" w:space="320"/>
            <w:col w:w="4860"/>
          </w:cols>
          <w:pgMar w:left="320" w:top="1049" w:right="339" w:bottom="1440" w:gutter="0" w:footer="0" w:header="0"/>
          <w:type w:val="continuous"/>
        </w:sectPr>
      </w:pP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*10.5</w:t>
            </w: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Amended and Restated Weatherford International plc</w:t>
            </w:r>
          </w:p>
        </w:tc>
      </w:tr>
      <w:tr>
        <w:trPr>
          <w:trHeight w:val="169"/>
        </w:trPr>
        <w:tc>
          <w:tcPr>
            <w:tcW w:w="1000" w:type="dxa"/>
            <w:vAlign w:val="bottom"/>
          </w:tcPr>
          <w:p>
            <w:pPr>
              <w:spacing w:after="0"/>
              <w:rPr>
                <w:sz w:val="14"/>
                <w:szCs w:val="14"/>
                <w:color w:val="auto"/>
              </w:rPr>
            </w:pPr>
          </w:p>
        </w:tc>
        <w:tc>
          <w:tcPr>
            <w:tcW w:w="38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Nonqualified Deferred Compensation Plan</w:t>
            </w: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2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10.11 of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20"/>
        <w:spacing w:after="0" w:line="203" w:lineRule="auto"/>
        <w:rPr>
          <w:sz w:val="20"/>
          <w:szCs w:val="20"/>
          <w:color w:val="auto"/>
        </w:rPr>
      </w:pPr>
      <w:r>
        <w:rPr>
          <w:rFonts w:ascii="Times New Roman" w:cs="Times New Roman" w:eastAsia="Times New Roman" w:hAnsi="Times New Roman"/>
          <w:sz w:val="18"/>
          <w:szCs w:val="18"/>
          <w:color w:val="auto"/>
        </w:rPr>
        <w:t>Annual Report on Form 10-K for</w:t>
      </w:r>
    </w:p>
    <w:p>
      <w:pPr>
        <w:jc w:val="center"/>
        <w:ind w:right="2320"/>
        <w:spacing w:after="0" w:line="215" w:lineRule="auto"/>
        <w:rPr>
          <w:sz w:val="20"/>
          <w:szCs w:val="20"/>
          <w:color w:val="auto"/>
        </w:rPr>
      </w:pPr>
      <w:r>
        <w:rPr>
          <w:rFonts w:ascii="Times New Roman" w:cs="Times New Roman" w:eastAsia="Times New Roman" w:hAnsi="Times New Roman"/>
          <w:sz w:val="17"/>
          <w:szCs w:val="17"/>
          <w:color w:val="auto"/>
        </w:rPr>
        <w:t>the year ended December 31, 2022,</w:t>
      </w:r>
    </w:p>
    <w:p>
      <w:pPr>
        <w:spacing w:after="0" w:line="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filed February 8, 2023</w:t>
      </w:r>
    </w:p>
    <w:p>
      <w:pPr>
        <w:spacing w:after="0" w:line="25" w:lineRule="exact"/>
        <w:rPr>
          <w:sz w:val="20"/>
          <w:szCs w:val="20"/>
          <w:color w:val="auto"/>
        </w:rPr>
      </w:pPr>
    </w:p>
    <w:p>
      <w:pPr>
        <w:sectPr>
          <w:pgSz w:w="11900" w:h="16838" w:orient="portrait"/>
          <w:cols w:equalWidth="0" w:num="2">
            <w:col w:w="5660" w:space="720"/>
            <w:col w:w="486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14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*10.6</w:t>
            </w:r>
          </w:p>
        </w:tc>
        <w:tc>
          <w:tcPr>
            <w:tcW w:w="4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Non-Equity Incentive Compensation Plan (as</w:t>
            </w:r>
          </w:p>
        </w:tc>
        <w:tc>
          <w:tcPr>
            <w:tcW w:w="2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Exhibit 10.2 of the</w:t>
            </w:r>
          </w:p>
        </w:tc>
        <w:tc>
          <w:tcPr>
            <w:tcW w:w="1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w:t>
            </w:r>
          </w:p>
        </w:tc>
        <w:tc>
          <w:tcPr>
            <w:tcW w:w="740" w:type="dxa"/>
            <w:vAlign w:val="bottom"/>
            <w:tcBorders>
              <w:top w:val="single" w:sz="8" w:color="CCEEFF"/>
            </w:tcBorders>
            <w:gridSpan w:val="3"/>
            <w:shd w:val="clear" w:color="auto" w:fill="CCEEFF"/>
          </w:tcPr>
          <w:p>
            <w:pPr>
              <w:spacing w:after="0"/>
              <w:rPr>
                <w:sz w:val="19"/>
                <w:szCs w:val="19"/>
                <w:color w:val="auto"/>
              </w:rPr>
            </w:pPr>
          </w:p>
        </w:tc>
        <w:tc>
          <w:tcPr>
            <w:tcW w:w="2760" w:type="dxa"/>
            <w:vAlign w:val="bottom"/>
            <w:tcBorders>
              <w:top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Company’s Current</w:t>
            </w:r>
          </w:p>
        </w:tc>
        <w:tc>
          <w:tcPr>
            <w:tcW w:w="19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46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2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Report on Form 8-K</w:t>
            </w:r>
          </w:p>
        </w:tc>
        <w:tc>
          <w:tcPr>
            <w:tcW w:w="19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filed April 15, 2020</w:t>
            </w: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76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*10.7</w:t>
            </w:r>
          </w:p>
        </w:tc>
        <w:tc>
          <w:tcPr>
            <w:tcW w:w="47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Weatherford International plc 2019 Equity Incentive Plan</w:t>
            </w:r>
          </w:p>
        </w:tc>
        <w:tc>
          <w:tcPr>
            <w:tcW w:w="27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Exhibit 10.8 of the</w:t>
            </w:r>
          </w:p>
        </w:tc>
        <w:tc>
          <w:tcPr>
            <w:tcW w:w="1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4760" w:type="dxa"/>
            <w:vAlign w:val="bottom"/>
            <w:gridSpan w:val="6"/>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6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Company’s Current</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Report on Form 8-K</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filed December 18, 2019</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*10.8</w:t>
            </w:r>
          </w:p>
        </w:tc>
        <w:tc>
          <w:tcPr>
            <w:tcW w:w="424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Weatherford International plc Amended and Restated 2019</w:t>
            </w:r>
          </w:p>
        </w:tc>
        <w:tc>
          <w:tcPr>
            <w:tcW w:w="520" w:type="dxa"/>
            <w:vAlign w:val="bottom"/>
            <w:vMerge w:val="restart"/>
            <w:shd w:val="clear" w:color="auto" w:fill="CCEEFF"/>
          </w:tcPr>
          <w:p>
            <w:pPr>
              <w:spacing w:after="0"/>
              <w:rPr>
                <w:sz w:val="20"/>
                <w:szCs w:val="20"/>
                <w:color w:val="auto"/>
              </w:rPr>
            </w:pPr>
          </w:p>
        </w:tc>
        <w:tc>
          <w:tcPr>
            <w:tcW w:w="276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Exhibit 10.1 of the</w:t>
            </w:r>
          </w:p>
        </w:tc>
        <w:tc>
          <w:tcPr>
            <w:tcW w:w="1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Borders>
              <w:bottom w:val="single" w:sz="8" w:color="CCEEFF"/>
            </w:tcBorders>
            <w:shd w:val="clear" w:color="auto" w:fill="CCEEFF"/>
          </w:tcPr>
          <w:p>
            <w:pPr>
              <w:spacing w:after="0"/>
              <w:rPr>
                <w:sz w:val="4"/>
                <w:szCs w:val="4"/>
                <w:color w:val="auto"/>
              </w:rPr>
            </w:pPr>
          </w:p>
        </w:tc>
        <w:tc>
          <w:tcPr>
            <w:tcW w:w="4240" w:type="dxa"/>
            <w:vAlign w:val="bottom"/>
            <w:tcBorders>
              <w:bottom w:val="single" w:sz="8" w:color="auto"/>
            </w:tcBorders>
            <w:gridSpan w:val="5"/>
            <w:vMerge w:val="continue"/>
            <w:shd w:val="clear" w:color="auto" w:fill="CCEEFF"/>
          </w:tcPr>
          <w:p>
            <w:pPr>
              <w:spacing w:after="0"/>
              <w:rPr>
                <w:sz w:val="4"/>
                <w:szCs w:val="4"/>
                <w:color w:val="auto"/>
              </w:rPr>
            </w:pPr>
          </w:p>
        </w:tc>
        <w:tc>
          <w:tcPr>
            <w:tcW w:w="520" w:type="dxa"/>
            <w:vAlign w:val="bottom"/>
            <w:tcBorders>
              <w:bottom w:val="single" w:sz="8" w:color="CCEEFF"/>
            </w:tcBorders>
            <w:vMerge w:val="continue"/>
            <w:shd w:val="clear" w:color="auto" w:fill="CCEEFF"/>
          </w:tcPr>
          <w:p>
            <w:pPr>
              <w:spacing w:after="0"/>
              <w:rPr>
                <w:sz w:val="4"/>
                <w:szCs w:val="4"/>
                <w:color w:val="auto"/>
              </w:rPr>
            </w:pPr>
          </w:p>
        </w:tc>
        <w:tc>
          <w:tcPr>
            <w:tcW w:w="2760" w:type="dxa"/>
            <w:vAlign w:val="bottom"/>
            <w:tcBorders>
              <w:bottom w:val="single" w:sz="8" w:color="CCEEFF"/>
            </w:tcBorders>
            <w:vMerge w:val="continue"/>
            <w:shd w:val="clear" w:color="auto" w:fill="CCEEFF"/>
          </w:tcPr>
          <w:p>
            <w:pPr>
              <w:spacing w:after="0"/>
              <w:rPr>
                <w:sz w:val="4"/>
                <w:szCs w:val="4"/>
                <w:color w:val="auto"/>
              </w:rPr>
            </w:pPr>
          </w:p>
        </w:tc>
        <w:tc>
          <w:tcPr>
            <w:tcW w:w="19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spacing w:after="0"/>
              <w:rPr>
                <w:sz w:val="19"/>
                <w:szCs w:val="19"/>
                <w:color w:val="auto"/>
              </w:rPr>
            </w:pPr>
          </w:p>
        </w:tc>
        <w:tc>
          <w:tcPr>
            <w:tcW w:w="4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2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Company’s Quarterly</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46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Report on Form 10-Q</w:t>
            </w:r>
          </w:p>
        </w:tc>
        <w:tc>
          <w:tcPr>
            <w:tcW w:w="19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for the period ending</w:t>
            </w: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June 30, 2020 filed</w:t>
            </w: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August 14, 2020</w:t>
            </w: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60" w:type="dxa"/>
            <w:vAlign w:val="bottom"/>
            <w:shd w:val="clear" w:color="auto" w:fill="CCEEFF"/>
          </w:tcPr>
          <w:p>
            <w:pPr>
              <w:spacing w:after="0"/>
              <w:rPr>
                <w:sz w:val="4"/>
                <w:szCs w:val="4"/>
                <w:color w:val="auto"/>
              </w:rPr>
            </w:pPr>
          </w:p>
        </w:tc>
        <w:tc>
          <w:tcPr>
            <w:tcW w:w="15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96</w:t>
      </w:r>
    </w:p>
    <w:p>
      <w:pPr>
        <w:sectPr>
          <w:pgSz w:w="11900" w:h="16838" w:orient="portrait"/>
          <w:cols w:equalWidth="0" w:num="1">
            <w:col w:w="11240"/>
          </w:cols>
          <w:pgMar w:left="320" w:top="1049"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Original Filed Exhibit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228"/>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*10.9</w:t>
            </w:r>
          </w:p>
        </w:tc>
        <w:tc>
          <w:tcPr>
            <w:tcW w:w="48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Weatherford International plc Second Amended and Restated</w:t>
            </w:r>
          </w:p>
        </w:tc>
        <w:tc>
          <w:tcPr>
            <w:tcW w:w="2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10.6 of the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4800" w:type="dxa"/>
            <w:vAlign w:val="bottom"/>
            <w:gridSpan w:val="8"/>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4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2019 Equity Incentive Plan</w:t>
            </w:r>
          </w:p>
        </w:tc>
        <w:tc>
          <w:tcPr>
            <w:tcW w:w="400" w:type="dxa"/>
            <w:vAlign w:val="bottom"/>
            <w:gridSpan w:val="2"/>
          </w:tcPr>
          <w:p>
            <w:pPr>
              <w:spacing w:after="0"/>
              <w:rPr>
                <w:sz w:val="19"/>
                <w:szCs w:val="19"/>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Company’s Quarterly</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46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Report on Form 10-Q</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for the period ending</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 2020 filed</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November 4, 2020</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*10.10</w:t>
            </w:r>
          </w:p>
        </w:tc>
        <w:tc>
          <w:tcPr>
            <w:tcW w:w="4800" w:type="dxa"/>
            <w:vAlign w:val="bottom"/>
            <w:gridSpan w:val="8"/>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International plc Third Amended and Restated 2019</w:t>
            </w:r>
          </w:p>
        </w:tc>
        <w:tc>
          <w:tcPr>
            <w:tcW w:w="29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 of the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shd w:val="clear" w:color="auto" w:fill="CCEEFF"/>
          </w:tcPr>
          <w:p>
            <w:pPr>
              <w:spacing w:after="0"/>
              <w:rPr>
                <w:sz w:val="4"/>
                <w:szCs w:val="4"/>
                <w:color w:val="auto"/>
              </w:rPr>
            </w:pPr>
          </w:p>
        </w:tc>
        <w:tc>
          <w:tcPr>
            <w:tcW w:w="4800" w:type="dxa"/>
            <w:vAlign w:val="bottom"/>
            <w:gridSpan w:val="8"/>
            <w:vMerge w:val="continue"/>
            <w:shd w:val="clear" w:color="auto" w:fill="CCEEFF"/>
          </w:tcPr>
          <w:p>
            <w:pPr>
              <w:spacing w:after="0"/>
              <w:rPr>
                <w:sz w:val="4"/>
                <w:szCs w:val="4"/>
                <w:color w:val="auto"/>
              </w:rPr>
            </w:pPr>
          </w:p>
        </w:tc>
        <w:tc>
          <w:tcPr>
            <w:tcW w:w="2920" w:type="dxa"/>
            <w:vAlign w:val="bottom"/>
            <w:vMerge w:val="continue"/>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Company’s Current</w:t>
            </w:r>
          </w:p>
        </w:tc>
        <w:tc>
          <w:tcPr>
            <w:tcW w:w="17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46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920" w:type="dxa"/>
            <w:vAlign w:val="bottom"/>
            <w:tcBorders>
              <w:top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Report on Form 8-K filed January</w:t>
            </w:r>
          </w:p>
        </w:tc>
        <w:tc>
          <w:tcPr>
            <w:tcW w:w="17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23, 2023</w:t>
            </w:r>
          </w:p>
        </w:tc>
        <w:tc>
          <w:tcPr>
            <w:tcW w:w="1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*10.11</w:t>
            </w:r>
          </w:p>
        </w:tc>
        <w:tc>
          <w:tcPr>
            <w:tcW w:w="48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Form of Performance Share Unit Award Agreement</w:t>
            </w:r>
          </w:p>
        </w:tc>
        <w:tc>
          <w:tcPr>
            <w:tcW w:w="2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10.8 of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4800" w:type="dxa"/>
            <w:vAlign w:val="bottom"/>
            <w:gridSpan w:val="8"/>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Quarterly Report on Form 10-Q for</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the period ending September 30.</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2021 filed November 2, 2021</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*10.12</w:t>
            </w:r>
          </w:p>
        </w:tc>
        <w:tc>
          <w:tcPr>
            <w:tcW w:w="48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Amended and Restated Weatherford International plc Short-</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10.26 of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9"/>
        </w:trPr>
        <w:tc>
          <w:tcPr>
            <w:tcW w:w="1460" w:type="dxa"/>
            <w:vAlign w:val="bottom"/>
          </w:tcPr>
          <w:p>
            <w:pPr>
              <w:spacing w:after="0"/>
              <w:rPr>
                <w:sz w:val="8"/>
                <w:szCs w:val="8"/>
                <w:color w:val="auto"/>
              </w:rPr>
            </w:pPr>
          </w:p>
        </w:tc>
        <w:tc>
          <w:tcPr>
            <w:tcW w:w="4800" w:type="dxa"/>
            <w:vAlign w:val="bottom"/>
            <w:gridSpan w:val="8"/>
            <w:vMerge w:val="continue"/>
          </w:tcPr>
          <w:p>
            <w:pPr>
              <w:spacing w:after="0"/>
              <w:rPr>
                <w:sz w:val="8"/>
                <w:szCs w:val="8"/>
                <w:color w:val="auto"/>
              </w:rPr>
            </w:pPr>
          </w:p>
        </w:tc>
        <w:tc>
          <w:tcPr>
            <w:tcW w:w="2920" w:type="dxa"/>
            <w:vAlign w:val="bottom"/>
            <w:vMerge w:val="restart"/>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Annual Report on Form 10-K for</w:t>
            </w: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60" w:type="dxa"/>
            <w:vAlign w:val="bottom"/>
          </w:tcPr>
          <w:p>
            <w:pPr>
              <w:spacing w:after="0"/>
              <w:rPr>
                <w:sz w:val="5"/>
                <w:szCs w:val="5"/>
                <w:color w:val="auto"/>
              </w:rPr>
            </w:pPr>
          </w:p>
        </w:tc>
        <w:tc>
          <w:tcPr>
            <w:tcW w:w="1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7"/>
              </w:rPr>
              <w:t>Term Incentive Plan</w:t>
            </w: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7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340" w:type="dxa"/>
            <w:vAlign w:val="bottom"/>
            <w:gridSpan w:val="7"/>
          </w:tcPr>
          <w:p>
            <w:pPr>
              <w:spacing w:after="0"/>
              <w:rPr>
                <w:sz w:val="14"/>
                <w:szCs w:val="14"/>
                <w:color w:val="auto"/>
              </w:rPr>
            </w:pPr>
          </w:p>
        </w:tc>
        <w:tc>
          <w:tcPr>
            <w:tcW w:w="292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color w:val="auto"/>
                <w:w w:val="99"/>
              </w:rPr>
              <w:t>the year ended December 31, 2022.</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692658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488315"/>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auto"/>
        </w:rPr>
        <w:t>filed February 8, 2023</w:t>
      </w:r>
    </w:p>
    <w:p>
      <w:pPr>
        <w:sectPr>
          <w:pgSz w:w="11900" w:h="16838" w:orient="portrait"/>
          <w:cols w:equalWidth="0" w:num="1">
            <w:col w:w="11240"/>
          </w:cols>
          <w:pgMar w:left="320" w:top="1049" w:right="339" w:bottom="1440" w:gutter="0" w:footer="0" w:header="0"/>
        </w:sectPr>
      </w:pP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6"/>
              </w:rPr>
              <w:t>*10.13</w:t>
            </w: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Second Amended and Restated Weatherford International plc</w:t>
            </w:r>
          </w:p>
        </w:tc>
        <w:tc>
          <w:tcPr>
            <w:tcW w:w="0" w:type="dxa"/>
            <w:vAlign w:val="bottom"/>
          </w:tcPr>
          <w:p>
            <w:pPr>
              <w:spacing w:after="0"/>
              <w:rPr>
                <w:sz w:val="1"/>
                <w:szCs w:val="1"/>
                <w:color w:val="auto"/>
              </w:rPr>
            </w:pPr>
          </w:p>
        </w:tc>
      </w:tr>
      <w:tr>
        <w:trPr>
          <w:trHeight w:val="54"/>
        </w:trPr>
        <w:tc>
          <w:tcPr>
            <w:tcW w:w="1060" w:type="dxa"/>
            <w:vAlign w:val="bottom"/>
          </w:tcPr>
          <w:p>
            <w:pPr>
              <w:spacing w:after="0"/>
              <w:rPr>
                <w:sz w:val="4"/>
                <w:szCs w:val="4"/>
                <w:color w:val="auto"/>
              </w:rPr>
            </w:pPr>
          </w:p>
        </w:tc>
        <w:tc>
          <w:tcPr>
            <w:tcW w:w="440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Incentive Plan</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6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10.4 of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20"/>
        <w:spacing w:after="0" w:line="203" w:lineRule="auto"/>
        <w:rPr>
          <w:sz w:val="20"/>
          <w:szCs w:val="20"/>
          <w:color w:val="auto"/>
        </w:rPr>
      </w:pPr>
      <w:r>
        <w:rPr>
          <w:rFonts w:ascii="Times New Roman" w:cs="Times New Roman" w:eastAsia="Times New Roman" w:hAnsi="Times New Roman"/>
          <w:sz w:val="18"/>
          <w:szCs w:val="18"/>
          <w:color w:val="auto"/>
        </w:rPr>
        <w:t>Quarterly Report for the period</w:t>
      </w:r>
    </w:p>
    <w:p>
      <w:pPr>
        <w:jc w:val="center"/>
        <w:ind w:right="2320"/>
        <w:spacing w:after="0" w:line="203" w:lineRule="auto"/>
        <w:rPr>
          <w:sz w:val="20"/>
          <w:szCs w:val="20"/>
          <w:color w:val="auto"/>
        </w:rPr>
      </w:pPr>
      <w:r>
        <w:rPr>
          <w:rFonts w:ascii="Times New Roman" w:cs="Times New Roman" w:eastAsia="Times New Roman" w:hAnsi="Times New Roman"/>
          <w:sz w:val="18"/>
          <w:szCs w:val="18"/>
          <w:color w:val="auto"/>
        </w:rPr>
        <w:t>ending June 30, 2024 filed July 24,</w:t>
      </w:r>
    </w:p>
    <w:p>
      <w:pPr>
        <w:spacing w:after="0" w:line="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2024</w:t>
      </w:r>
    </w:p>
    <w:p>
      <w:pPr>
        <w:spacing w:after="0" w:line="27" w:lineRule="exact"/>
        <w:rPr>
          <w:sz w:val="20"/>
          <w:szCs w:val="20"/>
          <w:color w:val="auto"/>
        </w:rPr>
      </w:pPr>
    </w:p>
    <w:p>
      <w:pPr>
        <w:sectPr>
          <w:pgSz w:w="11900" w:h="16838" w:orient="portrait"/>
          <w:cols w:equalWidth="0" w:num="2">
            <w:col w:w="5860" w:space="520"/>
            <w:col w:w="486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*10.14</w:t>
            </w:r>
          </w:p>
        </w:tc>
        <w:tc>
          <w:tcPr>
            <w:tcW w:w="40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Form of Executive Officer Restricted Share Unit Award</w:t>
            </w:r>
          </w:p>
        </w:tc>
        <w:tc>
          <w:tcPr>
            <w:tcW w:w="560" w:type="dxa"/>
            <w:vAlign w:val="bottom"/>
            <w:tcBorders>
              <w:bottom w:val="single" w:sz="8" w:color="CCEEFF"/>
            </w:tcBorders>
            <w:gridSpan w:val="2"/>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Exhibit 10.1 of the Company’s</w:t>
            </w:r>
          </w:p>
        </w:tc>
        <w:tc>
          <w:tcPr>
            <w:tcW w:w="1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spacing w:after="0"/>
              <w:rPr>
                <w:sz w:val="19"/>
                <w:szCs w:val="19"/>
                <w:color w:val="auto"/>
              </w:rPr>
            </w:pPr>
          </w:p>
        </w:tc>
        <w:tc>
          <w:tcPr>
            <w:tcW w:w="4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3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46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spacing w:after="0"/>
              <w:rPr>
                <w:sz w:val="24"/>
                <w:szCs w:val="24"/>
                <w:color w:val="auto"/>
              </w:rPr>
            </w:pPr>
          </w:p>
        </w:tc>
        <w:tc>
          <w:tcPr>
            <w:tcW w:w="1900" w:type="dxa"/>
            <w:vAlign w:val="bottom"/>
            <w:tcBorders>
              <w:top w:val="single" w:sz="8" w:color="CCEEFF"/>
              <w:bottom w:val="single" w:sz="8" w:color="CCEEFF"/>
            </w:tcBorders>
            <w:shd w:val="clear" w:color="auto" w:fill="CCEEFF"/>
          </w:tcPr>
          <w:p>
            <w:pPr>
              <w:spacing w:after="0"/>
              <w:rPr>
                <w:sz w:val="24"/>
                <w:szCs w:val="24"/>
                <w:color w:val="auto"/>
              </w:rPr>
            </w:pPr>
          </w:p>
        </w:tc>
        <w:tc>
          <w:tcPr>
            <w:tcW w:w="13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3100" w:type="dxa"/>
            <w:vAlign w:val="bottom"/>
            <w:tcBorders>
              <w:top w:val="single" w:sz="8" w:color="CCEEFF"/>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8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*10.15</w:t>
            </w:r>
          </w:p>
        </w:tc>
        <w:tc>
          <w:tcPr>
            <w:tcW w:w="45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Form of Executive Officer Performance Share Unit Award</w:t>
            </w:r>
          </w:p>
        </w:tc>
        <w:tc>
          <w:tcPr>
            <w:tcW w:w="31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Exhibit 10.2 of the Company’s</w:t>
            </w:r>
          </w:p>
        </w:tc>
        <w:tc>
          <w:tcPr>
            <w:tcW w:w="1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4580" w:type="dxa"/>
            <w:vAlign w:val="bottom"/>
            <w:gridSpan w:val="5"/>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Agreement</w:t>
            </w:r>
          </w:p>
        </w:tc>
        <w:tc>
          <w:tcPr>
            <w:tcW w:w="380" w:type="dxa"/>
            <w:vAlign w:val="bottom"/>
          </w:tcPr>
          <w:p>
            <w:pPr>
              <w:spacing w:after="0"/>
              <w:rPr>
                <w:sz w:val="19"/>
                <w:szCs w:val="19"/>
                <w:color w:val="auto"/>
              </w:rPr>
            </w:pPr>
          </w:p>
        </w:tc>
        <w:tc>
          <w:tcPr>
            <w:tcW w:w="3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January 20, 2022</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*10.16</w:t>
            </w:r>
          </w:p>
        </w:tc>
        <w:tc>
          <w:tcPr>
            <w:tcW w:w="40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Form of Executive Officer Restricted Share Unit Award</w:t>
            </w:r>
          </w:p>
        </w:tc>
        <w:tc>
          <w:tcPr>
            <w:tcW w:w="560" w:type="dxa"/>
            <w:vAlign w:val="bottom"/>
            <w:gridSpan w:val="2"/>
            <w:vMerge w:val="restart"/>
            <w:shd w:val="clear" w:color="auto" w:fill="CCEEFF"/>
          </w:tcPr>
          <w:p>
            <w:pPr>
              <w:spacing w:after="0"/>
              <w:rPr>
                <w:sz w:val="20"/>
                <w:szCs w:val="20"/>
                <w:color w:val="auto"/>
              </w:rPr>
            </w:pPr>
          </w:p>
        </w:tc>
        <w:tc>
          <w:tcPr>
            <w:tcW w:w="310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Exhibit 10.3 of the Company’s</w:t>
            </w:r>
          </w:p>
        </w:tc>
        <w:tc>
          <w:tcPr>
            <w:tcW w:w="1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Borders>
              <w:bottom w:val="single" w:sz="8" w:color="CCEEFF"/>
            </w:tcBorders>
            <w:shd w:val="clear" w:color="auto" w:fill="CCEEFF"/>
          </w:tcPr>
          <w:p>
            <w:pPr>
              <w:spacing w:after="0"/>
              <w:rPr>
                <w:sz w:val="4"/>
                <w:szCs w:val="4"/>
                <w:color w:val="auto"/>
              </w:rPr>
            </w:pPr>
          </w:p>
        </w:tc>
        <w:tc>
          <w:tcPr>
            <w:tcW w:w="4020" w:type="dxa"/>
            <w:vAlign w:val="bottom"/>
            <w:tcBorders>
              <w:bottom w:val="single" w:sz="8" w:color="auto"/>
            </w:tcBorders>
            <w:gridSpan w:val="3"/>
            <w:vMerge w:val="continue"/>
            <w:shd w:val="clear" w:color="auto" w:fill="CCEEFF"/>
          </w:tcPr>
          <w:p>
            <w:pPr>
              <w:spacing w:after="0"/>
              <w:rPr>
                <w:sz w:val="4"/>
                <w:szCs w:val="4"/>
                <w:color w:val="auto"/>
              </w:rPr>
            </w:pPr>
          </w:p>
        </w:tc>
        <w:tc>
          <w:tcPr>
            <w:tcW w:w="560" w:type="dxa"/>
            <w:vAlign w:val="bottom"/>
            <w:tcBorders>
              <w:bottom w:val="single" w:sz="8" w:color="CCEEFF"/>
            </w:tcBorders>
            <w:gridSpan w:val="2"/>
            <w:vMerge w:val="continue"/>
            <w:shd w:val="clear" w:color="auto" w:fill="CCEEFF"/>
          </w:tcPr>
          <w:p>
            <w:pPr>
              <w:spacing w:after="0"/>
              <w:rPr>
                <w:sz w:val="4"/>
                <w:szCs w:val="4"/>
                <w:color w:val="auto"/>
              </w:rPr>
            </w:pPr>
          </w:p>
        </w:tc>
        <w:tc>
          <w:tcPr>
            <w:tcW w:w="3100" w:type="dxa"/>
            <w:vAlign w:val="bottom"/>
            <w:tcBorders>
              <w:bottom w:val="single" w:sz="8" w:color="CCEEFF"/>
            </w:tcBorders>
            <w:vMerge w:val="continue"/>
            <w:shd w:val="clear" w:color="auto" w:fill="CCEEFF"/>
          </w:tcPr>
          <w:p>
            <w:pPr>
              <w:spacing w:after="0"/>
              <w:rPr>
                <w:sz w:val="4"/>
                <w:szCs w:val="4"/>
                <w:color w:val="auto"/>
              </w:rPr>
            </w:pPr>
          </w:p>
        </w:tc>
        <w:tc>
          <w:tcPr>
            <w:tcW w:w="17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spacing w:after="0"/>
              <w:rPr>
                <w:sz w:val="19"/>
                <w:szCs w:val="19"/>
                <w:color w:val="auto"/>
              </w:rPr>
            </w:pPr>
          </w:p>
        </w:tc>
        <w:tc>
          <w:tcPr>
            <w:tcW w:w="4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 adopted January 18, 2023</w:t>
            </w:r>
          </w:p>
        </w:tc>
        <w:tc>
          <w:tcPr>
            <w:tcW w:w="3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6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9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3100" w:type="dxa"/>
            <w:vAlign w:val="bottom"/>
            <w:tcBorders>
              <w:top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7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4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90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31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49"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Form of Executive Officer Performance Share Unit Award</w:t>
            </w: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Exhibit 10.4 of the Company’s</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49"/>
        </w:trPr>
        <w:tc>
          <w:tcPr>
            <w:tcW w:w="4740" w:type="dxa"/>
            <w:vAlign w:val="bottom"/>
            <w:gridSpan w:val="4"/>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 adopted January 18, 2023</w:t>
            </w:r>
          </w:p>
        </w:tc>
        <w:tc>
          <w:tcPr>
            <w:tcW w:w="540" w:type="dxa"/>
            <w:vAlign w:val="bottom"/>
            <w:gridSpan w:val="2"/>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700" w:type="dxa"/>
            <w:vAlign w:val="bottom"/>
            <w:tcBorders>
              <w:top w:val="single" w:sz="8" w:color="auto"/>
            </w:tcBorders>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Form of Non- Executive Director Restricted Share Unit Award</w:t>
            </w:r>
          </w:p>
        </w:tc>
        <w:tc>
          <w:tcPr>
            <w:tcW w:w="220" w:type="dxa"/>
            <w:vAlign w:val="bottom"/>
            <w:vMerge w:val="restart"/>
          </w:tcPr>
          <w:p>
            <w:pPr>
              <w:spacing w:after="0"/>
              <w:rPr>
                <w:sz w:val="24"/>
                <w:szCs w:val="24"/>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Exhibit 10.5 of the Company’s</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59"/>
        </w:trPr>
        <w:tc>
          <w:tcPr>
            <w:tcW w:w="4520" w:type="dxa"/>
            <w:vAlign w:val="bottom"/>
            <w:tcBorders>
              <w:bottom w:val="single" w:sz="8" w:color="auto"/>
            </w:tcBorders>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adopted January 18, 2023</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700" w:type="dxa"/>
            <w:vAlign w:val="bottom"/>
            <w:tcBorders>
              <w:top w:val="single" w:sz="8" w:color="auto"/>
            </w:tcBorders>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2023</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-513715</wp:posOffset>
            </wp:positionV>
            <wp:extent cx="692658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 w:space="560"/>
            <w:col w:w="9780"/>
          </w:cols>
          <w:pgMar w:left="320" w:top="1049"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97</w:t>
      </w:r>
    </w:p>
    <w:p>
      <w:pPr>
        <w:sectPr>
          <w:pgSz w:w="11900" w:h="16838" w:orient="portrait"/>
          <w:cols w:equalWidth="0" w:num="1">
            <w:col w:w="11240"/>
          </w:cols>
          <w:pgMar w:left="320" w:top="1049" w:right="339" w:bottom="1440" w:gutter="0" w:footer="0" w:header="0"/>
          <w:type w:val="continuous"/>
        </w:sectPr>
      </w:pPr>
    </w:p>
    <w:bookmarkStart w:id="100" w:name="page101"/>
    <w:bookmarkEnd w:id="100"/>
    <w:p>
      <w:pPr>
        <w:ind w:left="20"/>
        <w:spacing w:after="0"/>
        <w:tabs>
          <w:tab w:leader="none" w:pos="3340" w:val="left"/>
          <w:tab w:leader="none" w:pos="6780" w:val="left"/>
          <w:tab w:leader="none" w:pos="954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Original Filed Exhibit</w:t>
      </w:r>
      <w:r>
        <w:rPr>
          <w:sz w:val="20"/>
          <w:szCs w:val="20"/>
          <w:color w:val="auto"/>
        </w:rPr>
        <w:tab/>
      </w:r>
      <w:r>
        <w:rPr>
          <w:rFonts w:ascii="Times New Roman" w:cs="Times New Roman" w:eastAsia="Times New Roman" w:hAnsi="Times New Roman"/>
          <w:sz w:val="17"/>
          <w:szCs w:val="17"/>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26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4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6"/>
              </w:rPr>
              <w:t>*10.19</w:t>
            </w:r>
          </w:p>
        </w:tc>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Form of Executive Officer Restricted Share Unit Award</w:t>
            </w:r>
          </w:p>
        </w:tc>
        <w:tc>
          <w:tcPr>
            <w:tcW w:w="2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1060" w:type="dxa"/>
            <w:vAlign w:val="bottom"/>
          </w:tcPr>
          <w:p>
            <w:pPr>
              <w:spacing w:after="0"/>
              <w:rPr>
                <w:sz w:val="4"/>
                <w:szCs w:val="4"/>
                <w:color w:val="auto"/>
              </w:rPr>
            </w:pPr>
          </w:p>
        </w:tc>
        <w:tc>
          <w:tcPr>
            <w:tcW w:w="4020" w:type="dxa"/>
            <w:vAlign w:val="bottom"/>
            <w:tcBorders>
              <w:bottom w:val="single" w:sz="8" w:color="auto"/>
            </w:tcBorders>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Agreement adopted January 18, 2024 and amended July 23,</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2024</w:t>
            </w:r>
          </w:p>
        </w:tc>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60"/>
        <w:spacing w:after="0"/>
        <w:tabs>
          <w:tab w:leader="none" w:pos="292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420"/>
        <w:spacing w:after="0" w:line="205" w:lineRule="auto"/>
        <w:rPr>
          <w:sz w:val="20"/>
          <w:szCs w:val="20"/>
          <w:color w:val="auto"/>
        </w:rPr>
      </w:pPr>
      <w:r>
        <w:rPr>
          <w:rFonts w:ascii="Times New Roman" w:cs="Times New Roman" w:eastAsia="Times New Roman" w:hAnsi="Times New Roman"/>
          <w:sz w:val="18"/>
          <w:szCs w:val="18"/>
          <w:color w:val="auto"/>
        </w:rPr>
        <w:t>Quarterly Report for the period</w:t>
      </w:r>
    </w:p>
    <w:p>
      <w:pPr>
        <w:jc w:val="center"/>
        <w:ind w:right="2420"/>
        <w:spacing w:after="0" w:line="216" w:lineRule="auto"/>
        <w:rPr>
          <w:sz w:val="20"/>
          <w:szCs w:val="20"/>
          <w:color w:val="auto"/>
        </w:rPr>
      </w:pPr>
      <w:r>
        <w:rPr>
          <w:rFonts w:ascii="Times New Roman" w:cs="Times New Roman" w:eastAsia="Times New Roman" w:hAnsi="Times New Roman"/>
          <w:sz w:val="17"/>
          <w:szCs w:val="17"/>
          <w:color w:val="auto"/>
        </w:rPr>
        <w:t>ending September 30, 2024 filed</w:t>
      </w:r>
    </w:p>
    <w:p>
      <w:pPr>
        <w:jc w:val="center"/>
        <w:ind w:right="2420"/>
        <w:spacing w:after="0"/>
        <w:rPr>
          <w:sz w:val="20"/>
          <w:szCs w:val="20"/>
          <w:color w:val="auto"/>
        </w:rPr>
      </w:pPr>
      <w:r>
        <w:rPr>
          <w:rFonts w:ascii="Times New Roman" w:cs="Times New Roman" w:eastAsia="Times New Roman" w:hAnsi="Times New Roman"/>
          <w:sz w:val="18"/>
          <w:szCs w:val="18"/>
          <w:color w:val="auto"/>
        </w:rPr>
        <w:t>October 23, 2024</w:t>
      </w:r>
    </w:p>
    <w:p>
      <w:pPr>
        <w:spacing w:after="0" w:line="78" w:lineRule="exact"/>
        <w:rPr>
          <w:sz w:val="20"/>
          <w:szCs w:val="20"/>
          <w:color w:val="auto"/>
        </w:rPr>
      </w:pPr>
    </w:p>
    <w:p>
      <w:pPr>
        <w:sectPr>
          <w:pgSz w:w="11900" w:h="16838" w:orient="portrait"/>
          <w:cols w:equalWidth="0" w:num="2">
            <w:col w:w="5760" w:space="720"/>
            <w:col w:w="476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*10.20</w:t>
            </w:r>
          </w:p>
        </w:tc>
        <w:tc>
          <w:tcPr>
            <w:tcW w:w="466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Executive Officer Performance Share Unit Award</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Exhibit 10.2 of the Company’s</w:t>
            </w:r>
          </w:p>
        </w:tc>
        <w:tc>
          <w:tcPr>
            <w:tcW w:w="1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9"/>
        </w:trPr>
        <w:tc>
          <w:tcPr>
            <w:tcW w:w="1460" w:type="dxa"/>
            <w:vAlign w:val="bottom"/>
            <w:shd w:val="clear" w:color="auto" w:fill="CCEEFF"/>
          </w:tcPr>
          <w:p>
            <w:pPr>
              <w:spacing w:after="0"/>
              <w:rPr>
                <w:sz w:val="8"/>
                <w:szCs w:val="8"/>
                <w:color w:val="auto"/>
              </w:rPr>
            </w:pPr>
          </w:p>
        </w:tc>
        <w:tc>
          <w:tcPr>
            <w:tcW w:w="4660" w:type="dxa"/>
            <w:vAlign w:val="bottom"/>
            <w:gridSpan w:val="4"/>
            <w:vMerge w:val="continue"/>
            <w:shd w:val="clear" w:color="auto" w:fill="CCEEFF"/>
          </w:tcPr>
          <w:p>
            <w:pPr>
              <w:spacing w:after="0"/>
              <w:rPr>
                <w:sz w:val="8"/>
                <w:szCs w:val="8"/>
                <w:color w:val="auto"/>
              </w:rPr>
            </w:pPr>
          </w:p>
        </w:tc>
        <w:tc>
          <w:tcPr>
            <w:tcW w:w="300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Quarterly Report for the period</w:t>
            </w:r>
          </w:p>
        </w:tc>
        <w:tc>
          <w:tcPr>
            <w:tcW w:w="1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0" w:type="dxa"/>
            <w:vAlign w:val="bottom"/>
            <w:vMerge w:val="continue"/>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shd w:val="clear" w:color="auto" w:fill="CCEEFF"/>
          </w:tcPr>
          <w:p>
            <w:pPr>
              <w:spacing w:after="0"/>
              <w:rPr>
                <w:sz w:val="5"/>
                <w:szCs w:val="5"/>
                <w:color w:val="auto"/>
              </w:rPr>
            </w:pPr>
          </w:p>
        </w:tc>
        <w:tc>
          <w:tcPr>
            <w:tcW w:w="43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Agreement adopted January 18, 2024 and amended July 23,</w:t>
            </w:r>
          </w:p>
        </w:tc>
        <w:tc>
          <w:tcPr>
            <w:tcW w:w="360" w:type="dxa"/>
            <w:vAlign w:val="bottom"/>
            <w:shd w:val="clear" w:color="auto" w:fill="CCEEFF"/>
          </w:tcPr>
          <w:p>
            <w:pPr>
              <w:spacing w:after="0"/>
              <w:rPr>
                <w:sz w:val="5"/>
                <w:szCs w:val="5"/>
                <w:color w:val="auto"/>
              </w:rPr>
            </w:pPr>
          </w:p>
        </w:tc>
        <w:tc>
          <w:tcPr>
            <w:tcW w:w="3000" w:type="dxa"/>
            <w:vAlign w:val="bottom"/>
            <w:vMerge w:val="continue"/>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60" w:type="dxa"/>
            <w:vAlign w:val="bottom"/>
            <w:tcBorders>
              <w:bottom w:val="single" w:sz="8" w:color="CCEEFF"/>
            </w:tcBorders>
            <w:shd w:val="clear" w:color="auto" w:fill="CCEEFF"/>
          </w:tcPr>
          <w:p>
            <w:pPr>
              <w:spacing w:after="0"/>
              <w:rPr>
                <w:sz w:val="14"/>
                <w:szCs w:val="14"/>
                <w:color w:val="auto"/>
              </w:rPr>
            </w:pPr>
          </w:p>
        </w:tc>
        <w:tc>
          <w:tcPr>
            <w:tcW w:w="4300" w:type="dxa"/>
            <w:vAlign w:val="bottom"/>
            <w:tcBorders>
              <w:bottom w:val="single" w:sz="8" w:color="auto"/>
            </w:tcBorders>
            <w:gridSpan w:val="3"/>
            <w:vMerge w:val="continue"/>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ending September 30, 2024 filed</w:t>
            </w:r>
          </w:p>
        </w:tc>
        <w:tc>
          <w:tcPr>
            <w:tcW w:w="1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23, 2024</w:t>
            </w: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4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38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3000" w:type="dxa"/>
            <w:vAlign w:val="bottom"/>
            <w:tcBorders>
              <w:top w:val="single" w:sz="8" w:color="CCEEFF"/>
            </w:tcBorders>
            <w:shd w:val="clear" w:color="auto" w:fill="CCEEFF"/>
          </w:tcPr>
          <w:p>
            <w:pPr>
              <w:spacing w:after="0"/>
              <w:rPr>
                <w:sz w:val="6"/>
                <w:szCs w:val="6"/>
                <w:color w:val="auto"/>
              </w:rPr>
            </w:pPr>
          </w:p>
        </w:tc>
        <w:tc>
          <w:tcPr>
            <w:tcW w:w="18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49" w:right="339" w:bottom="1440" w:gutter="0" w:footer="0" w:header="0"/>
          <w:type w:val="continuous"/>
        </w:sectPr>
      </w:pPr>
    </w:p>
    <w:tbl>
      <w:tblPr>
        <w:tblLayout w:type="fixed"/>
        <w:tblInd w:w="400" w:type="dxa"/>
        <w:tblCellMar>
          <w:top w:w="0" w:type="dxa"/>
          <w:left w:w="0" w:type="dxa"/>
          <w:bottom w:w="0" w:type="dxa"/>
          <w:right w:w="0" w:type="dxa"/>
        </w:tblCellMar>
      </w:tblPr>
      <w:tr>
        <w:trPr>
          <w:trHeight w:val="234"/>
        </w:trPr>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6"/>
              </w:rPr>
              <w:t>*10.21</w:t>
            </w:r>
          </w:p>
        </w:tc>
        <w:tc>
          <w:tcPr>
            <w:tcW w:w="4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Form of Non-Executive Director Restricted Share Unit Award</w:t>
            </w:r>
          </w:p>
        </w:tc>
        <w:tc>
          <w:tcPr>
            <w:tcW w:w="0" w:type="dxa"/>
            <w:vAlign w:val="bottom"/>
          </w:tcPr>
          <w:p>
            <w:pPr>
              <w:spacing w:after="0"/>
              <w:rPr>
                <w:sz w:val="1"/>
                <w:szCs w:val="1"/>
                <w:color w:val="auto"/>
              </w:rPr>
            </w:pPr>
          </w:p>
        </w:tc>
      </w:tr>
      <w:tr>
        <w:trPr>
          <w:trHeight w:val="54"/>
        </w:trPr>
        <w:tc>
          <w:tcPr>
            <w:tcW w:w="1060" w:type="dxa"/>
            <w:vAlign w:val="bottom"/>
          </w:tcPr>
          <w:p>
            <w:pPr>
              <w:spacing w:after="0"/>
              <w:rPr>
                <w:sz w:val="4"/>
                <w:szCs w:val="4"/>
                <w:color w:val="auto"/>
              </w:rPr>
            </w:pPr>
          </w:p>
        </w:tc>
        <w:tc>
          <w:tcPr>
            <w:tcW w:w="448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adopted January 18, 2024 and amended July 23,</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2024</w:t>
            </w:r>
          </w:p>
        </w:tc>
        <w:tc>
          <w:tcPr>
            <w:tcW w:w="3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60"/>
        <w:spacing w:after="0" w:line="236" w:lineRule="auto"/>
        <w:tabs>
          <w:tab w:leader="none" w:pos="3020" w:val="left"/>
        </w:tabs>
        <w:rPr>
          <w:sz w:val="20"/>
          <w:szCs w:val="20"/>
          <w:color w:val="auto"/>
        </w:rPr>
      </w:pPr>
      <w:r>
        <w:rPr>
          <w:rFonts w:ascii="Times New Roman" w:cs="Times New Roman" w:eastAsia="Times New Roman" w:hAnsi="Times New Roman"/>
          <w:sz w:val="18"/>
          <w:szCs w:val="18"/>
          <w:color w:val="auto"/>
        </w:rPr>
        <w:t>Exhibit 10.7 of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20"/>
        <w:spacing w:after="0" w:line="204" w:lineRule="auto"/>
        <w:rPr>
          <w:sz w:val="20"/>
          <w:szCs w:val="20"/>
          <w:color w:val="auto"/>
        </w:rPr>
      </w:pPr>
      <w:r>
        <w:rPr>
          <w:rFonts w:ascii="Times New Roman" w:cs="Times New Roman" w:eastAsia="Times New Roman" w:hAnsi="Times New Roman"/>
          <w:sz w:val="18"/>
          <w:szCs w:val="18"/>
          <w:color w:val="auto"/>
        </w:rPr>
        <w:t>Quarterly Report for the period</w:t>
      </w:r>
    </w:p>
    <w:p>
      <w:pPr>
        <w:jc w:val="center"/>
        <w:ind w:right="2320"/>
        <w:spacing w:after="0" w:line="203" w:lineRule="auto"/>
        <w:rPr>
          <w:sz w:val="20"/>
          <w:szCs w:val="20"/>
          <w:color w:val="auto"/>
        </w:rPr>
      </w:pPr>
      <w:r>
        <w:rPr>
          <w:rFonts w:ascii="Times New Roman" w:cs="Times New Roman" w:eastAsia="Times New Roman" w:hAnsi="Times New Roman"/>
          <w:sz w:val="18"/>
          <w:szCs w:val="18"/>
          <w:color w:val="auto"/>
        </w:rPr>
        <w:t>ending June 30, 2024 filed July 24,</w:t>
      </w:r>
    </w:p>
    <w:p>
      <w:pPr>
        <w:spacing w:after="0" w:line="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2024</w:t>
      </w:r>
    </w:p>
    <w:p>
      <w:pPr>
        <w:spacing w:after="0" w:line="96" w:lineRule="exact"/>
        <w:rPr>
          <w:sz w:val="20"/>
          <w:szCs w:val="20"/>
          <w:color w:val="auto"/>
        </w:rPr>
      </w:pPr>
    </w:p>
    <w:p>
      <w:pPr>
        <w:sectPr>
          <w:pgSz w:w="11900" w:h="16838" w:orient="portrait"/>
          <w:cols w:equalWidth="0" w:num="2">
            <w:col w:w="5940" w:space="440"/>
            <w:col w:w="4860"/>
          </w:cols>
          <w:pgMar w:left="320" w:top="1049" w:right="339" w:bottom="1440" w:gutter="0" w:footer="0" w:header="0"/>
          <w:type w:val="continuous"/>
        </w:sectPr>
      </w:pPr>
    </w:p>
    <w:tbl>
      <w:tblPr>
        <w:tblLayout w:type="fixed"/>
        <w:tblInd w:w="460" w:type="dxa"/>
        <w:tblCellMar>
          <w:top w:w="0" w:type="dxa"/>
          <w:left w:w="0" w:type="dxa"/>
          <w:bottom w:w="0" w:type="dxa"/>
          <w:right w:w="0" w:type="dxa"/>
        </w:tblCellMar>
      </w:tblPr>
      <w:tr>
        <w:trPr>
          <w:trHeight w:val="261"/>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10.22</w:t>
            </w: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LC Credit Agreement, dated December 13, 2019 (as amended by</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10.2 of the</w:t>
            </w:r>
          </w:p>
        </w:tc>
        <w:tc>
          <w:tcPr>
            <w:tcW w:w="16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68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Amendment No.1, dated August 28, 2020, included in Exhibit</w:t>
            </w:r>
          </w:p>
        </w:tc>
        <w:tc>
          <w:tcPr>
            <w:tcW w:w="300" w:type="dxa"/>
            <w:vAlign w:val="bottom"/>
          </w:tcPr>
          <w:p>
            <w:pPr>
              <w:spacing w:after="0"/>
              <w:rPr>
                <w:sz w:val="14"/>
                <w:szCs w:val="14"/>
                <w:color w:val="auto"/>
              </w:rPr>
            </w:pPr>
          </w:p>
        </w:tc>
        <w:tc>
          <w:tcPr>
            <w:tcW w:w="25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Company’s Current</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48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10.38 below), by and among Weatherford International Ltd.,</w:t>
            </w:r>
          </w:p>
        </w:tc>
        <w:tc>
          <w:tcPr>
            <w:tcW w:w="2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2540" w:type="dxa"/>
            <w:vAlign w:val="bottom"/>
          </w:tcPr>
          <w:p>
            <w:pPr>
              <w:jc w:val="center"/>
              <w:ind w:right="30"/>
              <w:spacing w:after="0" w:line="156"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540" w:type="dxa"/>
            <w:vAlign w:val="bottom"/>
            <w:vMerge w:val="restart"/>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filed December 18, 2019</w:t>
            </w: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4500" w:type="dxa"/>
            <w:vAlign w:val="bottom"/>
            <w:tcBorders>
              <w:bottom w:val="single" w:sz="8" w:color="auto"/>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w w:val="98"/>
              </w:rPr>
              <w:t>Weatherford International plc, Weatherford International LLC,</w:t>
            </w:r>
          </w:p>
        </w:tc>
        <w:tc>
          <w:tcPr>
            <w:tcW w:w="480" w:type="dxa"/>
            <w:vAlign w:val="bottom"/>
            <w:gridSpan w:val="2"/>
          </w:tcPr>
          <w:p>
            <w:pPr>
              <w:spacing w:after="0"/>
              <w:rPr>
                <w:sz w:val="13"/>
                <w:szCs w:val="13"/>
                <w:color w:val="auto"/>
              </w:rPr>
            </w:pPr>
          </w:p>
        </w:tc>
        <w:tc>
          <w:tcPr>
            <w:tcW w:w="254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6926580" cy="763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763270"/>
                    </a:xfrm>
                    <a:prstGeom prst="rect">
                      <a:avLst/>
                    </a:prstGeom>
                    <a:noFill/>
                  </pic:spPr>
                </pic:pic>
              </a:graphicData>
            </a:graphic>
          </wp:anchor>
        </w:drawing>
      </w:r>
    </w:p>
    <w:p>
      <w:pPr>
        <w:ind w:left="1460"/>
        <w:spacing w:after="0" w:line="205" w:lineRule="auto"/>
        <w:rPr>
          <w:sz w:val="20"/>
          <w:szCs w:val="20"/>
          <w:color w:val="auto"/>
        </w:rPr>
      </w:pPr>
      <w:r>
        <w:rPr>
          <w:rFonts w:ascii="Times New Roman" w:cs="Times New Roman" w:eastAsia="Times New Roman" w:hAnsi="Times New Roman"/>
          <w:sz w:val="18"/>
          <w:szCs w:val="18"/>
          <w:u w:val="single" w:color="auto"/>
          <w:color w:val="auto"/>
        </w:rPr>
        <w:t>Deutsche Bank Trust Company Americas and the lenders party</w:t>
      </w:r>
    </w:p>
    <w:p>
      <w:pPr>
        <w:ind w:left="1460"/>
        <w:spacing w:after="0"/>
        <w:rPr>
          <w:sz w:val="20"/>
          <w:szCs w:val="20"/>
          <w:color w:val="auto"/>
        </w:rPr>
      </w:pPr>
      <w:r>
        <w:rPr>
          <w:rFonts w:ascii="Times New Roman" w:cs="Times New Roman" w:eastAsia="Times New Roman" w:hAnsi="Times New Roman"/>
          <w:sz w:val="18"/>
          <w:szCs w:val="18"/>
          <w:u w:val="single" w:color="auto"/>
          <w:color w:val="auto"/>
        </w:rPr>
        <w:t>thereto from time to time</w:t>
      </w:r>
    </w:p>
    <w:p>
      <w:pPr>
        <w:sectPr>
          <w:pgSz w:w="11900" w:h="16838" w:orient="portrait"/>
          <w:cols w:equalWidth="0" w:num="1">
            <w:col w:w="11240"/>
          </w:cols>
          <w:pgMar w:left="320" w:top="1049" w:right="339" w:bottom="1440" w:gutter="0" w:footer="0" w:header="0"/>
          <w:type w:val="continuous"/>
        </w:sectPr>
      </w:pPr>
    </w:p>
    <w:p>
      <w:pPr>
        <w:spacing w:after="0" w:line="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10.23</w:t>
            </w:r>
          </w:p>
        </w:tc>
        <w:tc>
          <w:tcPr>
            <w:tcW w:w="46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Amendment No. 1 to LC Credit Agreement and Amendment No.</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80" w:type="dxa"/>
            <w:vAlign w:val="bottom"/>
            <w:tcBorders>
              <w:bottom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1. To U.S. Security Agreement, dated August 28, 2020, by and</w:t>
            </w:r>
          </w:p>
        </w:tc>
        <w:tc>
          <w:tcPr>
            <w:tcW w:w="1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among Weatherford International Ltd., Weatherford International</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plc, Weatherford International LLC, the other guarantors of the</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LC Credit Agreement, Deutsche Bank Trust Company Americas</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and the lenders under the LC Credit Agreement</w:t>
            </w:r>
          </w:p>
        </w:tc>
        <w:tc>
          <w:tcPr>
            <w:tcW w:w="1220" w:type="dxa"/>
            <w:vAlign w:val="bottom"/>
            <w:tcBorders>
              <w:top w:val="single" w:sz="8" w:color="auto"/>
            </w:tcBorders>
            <w:gridSpan w:val="3"/>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Exhibit 10.1 of the</w:t>
            </w:r>
          </w:p>
        </w:tc>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File No. 1-36504</w:t>
            </w:r>
          </w:p>
        </w:tc>
      </w:tr>
      <w:tr>
        <w:trPr>
          <w:trHeight w:val="180"/>
        </w:trPr>
        <w:tc>
          <w:tcPr>
            <w:tcW w:w="20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Company’s Current</w:t>
            </w:r>
          </w:p>
        </w:tc>
        <w:tc>
          <w:tcPr>
            <w:tcW w:w="1740" w:type="dxa"/>
            <w:vAlign w:val="bottom"/>
          </w:tcPr>
          <w:p>
            <w:pPr>
              <w:spacing w:after="0"/>
              <w:rPr>
                <w:sz w:val="15"/>
                <w:szCs w:val="15"/>
                <w:color w:val="auto"/>
              </w:rPr>
            </w:pPr>
          </w:p>
        </w:tc>
      </w:tr>
      <w:tr>
        <w:trPr>
          <w:trHeight w:val="175"/>
        </w:trPr>
        <w:tc>
          <w:tcPr>
            <w:tcW w:w="2060" w:type="dxa"/>
            <w:vAlign w:val="bottom"/>
          </w:tcPr>
          <w:p>
            <w:pPr>
              <w:jc w:val="center"/>
              <w:ind w:right="390"/>
              <w:spacing w:after="0" w:line="176" w:lineRule="exact"/>
              <w:rPr>
                <w:sz w:val="20"/>
                <w:szCs w:val="20"/>
                <w:color w:val="auto"/>
              </w:rPr>
            </w:pPr>
            <w:r>
              <w:rPr>
                <w:rFonts w:ascii="Times New Roman" w:cs="Times New Roman" w:eastAsia="Times New Roman" w:hAnsi="Times New Roman"/>
                <w:sz w:val="18"/>
                <w:szCs w:val="18"/>
                <w:color w:val="auto"/>
                <w:w w:val="98"/>
              </w:rPr>
              <w:t>Report on Form 8-K</w:t>
            </w:r>
          </w:p>
        </w:tc>
        <w:tc>
          <w:tcPr>
            <w:tcW w:w="1740" w:type="dxa"/>
            <w:vAlign w:val="bottom"/>
          </w:tcPr>
          <w:p>
            <w:pPr>
              <w:spacing w:after="0"/>
              <w:rPr>
                <w:sz w:val="15"/>
                <w:szCs w:val="15"/>
                <w:color w:val="auto"/>
              </w:rPr>
            </w:pPr>
          </w:p>
        </w:tc>
      </w:tr>
      <w:tr>
        <w:trPr>
          <w:trHeight w:val="234"/>
        </w:trPr>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filed August 28, 2020</w:t>
            </w:r>
          </w:p>
        </w:tc>
        <w:tc>
          <w:tcPr>
            <w:tcW w:w="1740" w:type="dxa"/>
            <w:vAlign w:val="bottom"/>
          </w:tcPr>
          <w:p>
            <w:pPr>
              <w:spacing w:after="0"/>
              <w:rPr>
                <w:sz w:val="20"/>
                <w:szCs w:val="20"/>
                <w:color w:val="auto"/>
              </w:rPr>
            </w:pPr>
          </w:p>
        </w:tc>
      </w:tr>
    </w:tbl>
    <w:p>
      <w:pPr>
        <w:spacing w:after="0" w:line="737" w:lineRule="exact"/>
        <w:rPr>
          <w:sz w:val="20"/>
          <w:szCs w:val="20"/>
          <w:color w:val="auto"/>
        </w:rPr>
      </w:pPr>
    </w:p>
    <w:p>
      <w:pPr>
        <w:sectPr>
          <w:pgSz w:w="11900" w:h="16838" w:orient="portrait"/>
          <w:cols w:equalWidth="0" w:num="2">
            <w:col w:w="6140" w:space="720"/>
            <w:col w:w="438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14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10.24</w:t>
            </w:r>
          </w:p>
        </w:tc>
        <w:tc>
          <w:tcPr>
            <w:tcW w:w="4840" w:type="dxa"/>
            <w:vAlign w:val="bottom"/>
            <w:gridSpan w:val="1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No. 2 to LC Credit Agreement dated September 20,</w:t>
            </w:r>
          </w:p>
        </w:tc>
        <w:tc>
          <w:tcPr>
            <w:tcW w:w="284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 of the Company’s</w:t>
            </w:r>
          </w:p>
        </w:tc>
        <w:tc>
          <w:tcPr>
            <w:tcW w:w="1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9"/>
        </w:trPr>
        <w:tc>
          <w:tcPr>
            <w:tcW w:w="1460" w:type="dxa"/>
            <w:vAlign w:val="bottom"/>
            <w:shd w:val="clear" w:color="auto" w:fill="CCEEFF"/>
          </w:tcPr>
          <w:p>
            <w:pPr>
              <w:spacing w:after="0"/>
              <w:rPr>
                <w:sz w:val="2"/>
                <w:szCs w:val="2"/>
                <w:color w:val="auto"/>
              </w:rPr>
            </w:pPr>
          </w:p>
        </w:tc>
        <w:tc>
          <w:tcPr>
            <w:tcW w:w="4840" w:type="dxa"/>
            <w:vAlign w:val="bottom"/>
            <w:gridSpan w:val="13"/>
            <w:vMerge w:val="continue"/>
            <w:shd w:val="clear" w:color="auto" w:fill="CCEEFF"/>
          </w:tcPr>
          <w:p>
            <w:pPr>
              <w:spacing w:after="0"/>
              <w:rPr>
                <w:sz w:val="2"/>
                <w:szCs w:val="2"/>
                <w:color w:val="auto"/>
              </w:rPr>
            </w:pPr>
          </w:p>
        </w:tc>
        <w:tc>
          <w:tcPr>
            <w:tcW w:w="2840" w:type="dxa"/>
            <w:vAlign w:val="bottom"/>
            <w:vMerge w:val="continue"/>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auto"/>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2021, by and among Weatherford International Ltd., Weatherford</w:t>
            </w:r>
          </w:p>
        </w:tc>
        <w:tc>
          <w:tcPr>
            <w:tcW w:w="14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International plc, Weatherford International LLC, the other</w:t>
            </w:r>
          </w:p>
        </w:tc>
        <w:tc>
          <w:tcPr>
            <w:tcW w:w="600" w:type="dxa"/>
            <w:vAlign w:val="bottom"/>
            <w:tcBorders>
              <w:bottom w:val="single" w:sz="8" w:color="CCEEFF"/>
            </w:tcBorders>
            <w:gridSpan w:val="8"/>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on September 20, 2021</w:t>
            </w:r>
          </w:p>
        </w:tc>
        <w:tc>
          <w:tcPr>
            <w:tcW w:w="1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48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guarantors party thereto, Deutsche Bank Trust Company</w:t>
            </w:r>
          </w:p>
        </w:tc>
        <w:tc>
          <w:tcPr>
            <w:tcW w:w="2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580" w:type="dxa"/>
            <w:vAlign w:val="bottom"/>
            <w:tcBorders>
              <w:bottom w:val="single" w:sz="8" w:color="auto"/>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Americas, BTA Institutional Services Australia Limited and the</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spacing w:after="0"/>
              <w:rPr>
                <w:sz w:val="19"/>
                <w:szCs w:val="19"/>
                <w:color w:val="auto"/>
              </w:rPr>
            </w:pPr>
          </w:p>
        </w:tc>
        <w:tc>
          <w:tcPr>
            <w:tcW w:w="48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lenders under the LC Credit Agreement</w:t>
            </w:r>
          </w:p>
        </w:tc>
        <w:tc>
          <w:tcPr>
            <w:tcW w:w="28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460" w:type="dxa"/>
            <w:vAlign w:val="bottom"/>
            <w:tcBorders>
              <w:top w:val="single" w:sz="8" w:color="CCEEFF"/>
            </w:tcBorders>
            <w:shd w:val="clear" w:color="auto" w:fill="CCEEFF"/>
          </w:tcPr>
          <w:p>
            <w:pPr>
              <w:spacing w:after="0"/>
              <w:rPr>
                <w:sz w:val="6"/>
                <w:szCs w:val="6"/>
                <w:color w:val="auto"/>
              </w:rPr>
            </w:pPr>
          </w:p>
        </w:tc>
        <w:tc>
          <w:tcPr>
            <w:tcW w:w="27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4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10.25</w:t>
            </w:r>
          </w:p>
        </w:tc>
        <w:tc>
          <w:tcPr>
            <w:tcW w:w="43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w w:val="99"/>
              </w:rPr>
              <w:t>Amended and Restated Credit Agreement, dated October 17,</w:t>
            </w:r>
          </w:p>
        </w:tc>
        <w:tc>
          <w:tcPr>
            <w:tcW w:w="460" w:type="dxa"/>
            <w:vAlign w:val="bottom"/>
            <w:gridSpan w:val="5"/>
            <w:vMerge w:val="restart"/>
          </w:tcPr>
          <w:p>
            <w:pPr>
              <w:spacing w:after="0"/>
              <w:rPr>
                <w:sz w:val="20"/>
                <w:szCs w:val="20"/>
                <w:color w:val="auto"/>
              </w:rPr>
            </w:pPr>
          </w:p>
        </w:tc>
        <w:tc>
          <w:tcPr>
            <w:tcW w:w="28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 of the Company’s</w:t>
            </w:r>
          </w:p>
        </w:tc>
        <w:tc>
          <w:tcPr>
            <w:tcW w:w="1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4380" w:type="dxa"/>
            <w:vAlign w:val="bottom"/>
            <w:tcBorders>
              <w:bottom w:val="single" w:sz="8" w:color="auto"/>
            </w:tcBorders>
            <w:gridSpan w:val="8"/>
            <w:vMerge w:val="continue"/>
          </w:tcPr>
          <w:p>
            <w:pPr>
              <w:spacing w:after="0"/>
              <w:rPr>
                <w:sz w:val="4"/>
                <w:szCs w:val="4"/>
                <w:color w:val="auto"/>
              </w:rPr>
            </w:pPr>
          </w:p>
        </w:tc>
        <w:tc>
          <w:tcPr>
            <w:tcW w:w="460" w:type="dxa"/>
            <w:vAlign w:val="bottom"/>
            <w:gridSpan w:val="5"/>
            <w:vMerge w:val="continue"/>
          </w:tcPr>
          <w:p>
            <w:pPr>
              <w:spacing w:after="0"/>
              <w:rPr>
                <w:sz w:val="4"/>
                <w:szCs w:val="4"/>
                <w:color w:val="auto"/>
              </w:rPr>
            </w:pPr>
          </w:p>
        </w:tc>
        <w:tc>
          <w:tcPr>
            <w:tcW w:w="2840" w:type="dxa"/>
            <w:vAlign w:val="bottom"/>
            <w:vMerge w:val="continue"/>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7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2022, by and among Weatherford International Ltd., Weatherford</w:t>
            </w:r>
          </w:p>
        </w:tc>
        <w:tc>
          <w:tcPr>
            <w:tcW w:w="140" w:type="dxa"/>
            <w:vAlign w:val="bottom"/>
          </w:tcPr>
          <w:p>
            <w:pPr>
              <w:spacing w:after="0"/>
              <w:rPr>
                <w:sz w:val="19"/>
                <w:szCs w:val="19"/>
                <w:color w:val="auto"/>
              </w:rPr>
            </w:pPr>
          </w:p>
        </w:tc>
        <w:tc>
          <w:tcPr>
            <w:tcW w:w="2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5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International, LLC, Weatherford International plc, Wells Fargo</w:t>
            </w:r>
          </w:p>
        </w:tc>
        <w:tc>
          <w:tcPr>
            <w:tcW w:w="320" w:type="dxa"/>
            <w:vAlign w:val="bottom"/>
            <w:gridSpan w:val="4"/>
          </w:tcPr>
          <w:p>
            <w:pPr>
              <w:spacing w:after="0"/>
              <w:rPr>
                <w:sz w:val="19"/>
                <w:szCs w:val="19"/>
                <w:color w:val="auto"/>
              </w:rPr>
            </w:pPr>
          </w:p>
        </w:tc>
        <w:tc>
          <w:tcPr>
            <w:tcW w:w="2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on October 18, 2022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Bank, National Association, as administrative agent, and the</w:t>
            </w:r>
          </w:p>
        </w:tc>
        <w:tc>
          <w:tcPr>
            <w:tcW w:w="2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lenders party thereto from time to time</w:t>
            </w:r>
          </w:p>
        </w:tc>
        <w:tc>
          <w:tcPr>
            <w:tcW w:w="500" w:type="dxa"/>
            <w:vAlign w:val="bottom"/>
            <w:gridSpan w:val="6"/>
          </w:tcPr>
          <w:p>
            <w:pPr>
              <w:spacing w:after="0"/>
              <w:rPr>
                <w:sz w:val="19"/>
                <w:szCs w:val="19"/>
                <w:color w:val="auto"/>
              </w:rPr>
            </w:pPr>
          </w:p>
        </w:tc>
        <w:tc>
          <w:tcPr>
            <w:tcW w:w="2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2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10.26</w:t>
            </w:r>
          </w:p>
        </w:tc>
        <w:tc>
          <w:tcPr>
            <w:tcW w:w="4840" w:type="dxa"/>
            <w:vAlign w:val="bottom"/>
            <w:gridSpan w:val="1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Amendment to Amended and Restated Credit Agreement,</w:t>
            </w:r>
          </w:p>
        </w:tc>
        <w:tc>
          <w:tcPr>
            <w:tcW w:w="284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 of the Company’s</w:t>
            </w:r>
          </w:p>
        </w:tc>
        <w:tc>
          <w:tcPr>
            <w:tcW w:w="1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shd w:val="clear" w:color="auto" w:fill="CCEEFF"/>
          </w:tcPr>
          <w:p>
            <w:pPr>
              <w:spacing w:after="0"/>
              <w:rPr>
                <w:sz w:val="4"/>
                <w:szCs w:val="4"/>
                <w:color w:val="auto"/>
              </w:rPr>
            </w:pPr>
          </w:p>
        </w:tc>
        <w:tc>
          <w:tcPr>
            <w:tcW w:w="4840" w:type="dxa"/>
            <w:vAlign w:val="bottom"/>
            <w:gridSpan w:val="13"/>
            <w:vMerge w:val="continue"/>
            <w:shd w:val="clear" w:color="auto" w:fill="CCEEFF"/>
          </w:tcPr>
          <w:p>
            <w:pPr>
              <w:spacing w:after="0"/>
              <w:rPr>
                <w:sz w:val="4"/>
                <w:szCs w:val="4"/>
                <w:color w:val="auto"/>
              </w:rPr>
            </w:pPr>
          </w:p>
        </w:tc>
        <w:tc>
          <w:tcPr>
            <w:tcW w:w="2840" w:type="dxa"/>
            <w:vAlign w:val="bottom"/>
            <w:vMerge w:val="continue"/>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spacing w:after="0"/>
              <w:rPr>
                <w:sz w:val="19"/>
                <w:szCs w:val="19"/>
                <w:color w:val="auto"/>
              </w:rPr>
            </w:pPr>
          </w:p>
        </w:tc>
        <w:tc>
          <w:tcPr>
            <w:tcW w:w="4540" w:type="dxa"/>
            <w:vAlign w:val="bottom"/>
            <w:tcBorders>
              <w:top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dated as of November 22, 2022, by and among Weatherford</w:t>
            </w:r>
          </w:p>
        </w:tc>
        <w:tc>
          <w:tcPr>
            <w:tcW w:w="300" w:type="dxa"/>
            <w:vAlign w:val="bottom"/>
            <w:tcBorders>
              <w:top w:val="single" w:sz="8" w:color="CCEEFF"/>
            </w:tcBorders>
            <w:gridSpan w:val="3"/>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3720" w:type="dxa"/>
            <w:vAlign w:val="bottom"/>
            <w:gridSpan w:val="3"/>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0" w:type="dxa"/>
            <w:vAlign w:val="bottom"/>
            <w:tcBorders>
              <w:right w:val="single" w:sz="8" w:color="CCEEFF"/>
            </w:tcBorders>
            <w:gridSpan w:val="6"/>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auto"/>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Ltd., Weatherford International, LLC, Weatherford</w:t>
            </w:r>
          </w:p>
        </w:tc>
        <w:tc>
          <w:tcPr>
            <w:tcW w:w="14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on November 28, 2022</w:t>
            </w:r>
          </w:p>
        </w:tc>
        <w:tc>
          <w:tcPr>
            <w:tcW w:w="1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48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Ltd., Weatherford International plc and Wells Fargo</w:t>
            </w:r>
          </w:p>
        </w:tc>
        <w:tc>
          <w:tcPr>
            <w:tcW w:w="2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spacing w:after="0"/>
              <w:rPr>
                <w:sz w:val="19"/>
                <w:szCs w:val="19"/>
                <w:color w:val="auto"/>
              </w:rPr>
            </w:pPr>
          </w:p>
        </w:tc>
        <w:tc>
          <w:tcPr>
            <w:tcW w:w="430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tc>
        <w:tc>
          <w:tcPr>
            <w:tcW w:w="540" w:type="dxa"/>
            <w:vAlign w:val="bottom"/>
            <w:tcBorders>
              <w:top w:val="single" w:sz="8" w:color="CCEEFF"/>
            </w:tcBorders>
            <w:gridSpan w:val="7"/>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460" w:type="dxa"/>
            <w:vAlign w:val="bottom"/>
            <w:tcBorders>
              <w:top w:val="single" w:sz="8" w:color="CCEEFF"/>
            </w:tcBorders>
            <w:shd w:val="clear" w:color="auto" w:fill="CCEEFF"/>
          </w:tcPr>
          <w:p>
            <w:pPr>
              <w:spacing w:after="0"/>
              <w:rPr>
                <w:sz w:val="7"/>
                <w:szCs w:val="7"/>
                <w:color w:val="auto"/>
              </w:rPr>
            </w:pPr>
          </w:p>
        </w:tc>
        <w:tc>
          <w:tcPr>
            <w:tcW w:w="27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840" w:type="dxa"/>
            <w:vAlign w:val="bottom"/>
            <w:tcBorders>
              <w:top w:val="single" w:sz="8" w:color="CCEEFF"/>
            </w:tcBorders>
            <w:shd w:val="clear" w:color="auto" w:fill="CCEEFF"/>
          </w:tcPr>
          <w:p>
            <w:pPr>
              <w:spacing w:after="0"/>
              <w:rPr>
                <w:sz w:val="7"/>
                <w:szCs w:val="7"/>
                <w:color w:val="auto"/>
              </w:rPr>
            </w:pPr>
          </w:p>
        </w:tc>
        <w:tc>
          <w:tcPr>
            <w:tcW w:w="17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98</w:t>
      </w:r>
    </w:p>
    <w:p>
      <w:pPr>
        <w:sectPr>
          <w:pgSz w:w="11900" w:h="16838" w:orient="portrait"/>
          <w:cols w:equalWidth="0" w:num="1">
            <w:col w:w="11240"/>
          </w:cols>
          <w:pgMar w:left="320" w:top="1049"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14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4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18"/>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Original Filed Exhibit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228"/>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10.27</w:t>
            </w:r>
          </w:p>
        </w:tc>
        <w:tc>
          <w:tcPr>
            <w:tcW w:w="46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w w:val="99"/>
              </w:rPr>
              <w:t>Additional Lender Supplement, dated as of November 22, 2022,</w:t>
            </w:r>
          </w:p>
        </w:tc>
        <w:tc>
          <w:tcPr>
            <w:tcW w:w="160" w:type="dxa"/>
            <w:vAlign w:val="bottom"/>
            <w:gridSpan w:val="2"/>
            <w:vMerge w:val="restart"/>
          </w:tcPr>
          <w:p>
            <w:pPr>
              <w:spacing w:after="0"/>
              <w:rPr>
                <w:sz w:val="19"/>
                <w:szCs w:val="19"/>
                <w:color w:val="auto"/>
              </w:rPr>
            </w:pPr>
          </w:p>
        </w:tc>
        <w:tc>
          <w:tcPr>
            <w:tcW w:w="2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 of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4640" w:type="dxa"/>
            <w:vAlign w:val="bottom"/>
            <w:tcBorders>
              <w:bottom w:val="single" w:sz="8" w:color="auto"/>
            </w:tcBorders>
            <w:gridSpan w:val="17"/>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by and among Weatherford International Ltd., Weatherford</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2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International, LLC, Weatherford International plc, ATB</w:t>
            </w:r>
          </w:p>
        </w:tc>
        <w:tc>
          <w:tcPr>
            <w:tcW w:w="560" w:type="dxa"/>
            <w:vAlign w:val="bottom"/>
            <w:gridSpan w:val="8"/>
          </w:tcPr>
          <w:p>
            <w:pPr>
              <w:spacing w:after="0"/>
              <w:rPr>
                <w:sz w:val="19"/>
                <w:szCs w:val="19"/>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on November 28, 2022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spacing w:after="0"/>
              <w:rPr>
                <w:sz w:val="18"/>
                <w:szCs w:val="18"/>
                <w:color w:val="auto"/>
              </w:rPr>
            </w:pPr>
          </w:p>
        </w:tc>
        <w:tc>
          <w:tcPr>
            <w:tcW w:w="41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Financial and Wells Fargo Bank, National Association, as</w:t>
            </w:r>
          </w:p>
        </w:tc>
        <w:tc>
          <w:tcPr>
            <w:tcW w:w="640" w:type="dxa"/>
            <w:vAlign w:val="bottom"/>
            <w:gridSpan w:val="10"/>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administrative agent</w:t>
            </w:r>
          </w:p>
        </w:tc>
        <w:tc>
          <w:tcPr>
            <w:tcW w:w="2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10.28</w:t>
            </w:r>
          </w:p>
        </w:tc>
        <w:tc>
          <w:tcPr>
            <w:tcW w:w="460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Canadian Borrower Joinder, dated as of November 22, 2022, by</w:t>
            </w:r>
          </w:p>
        </w:tc>
        <w:tc>
          <w:tcPr>
            <w:tcW w:w="200" w:type="dxa"/>
            <w:vAlign w:val="bottom"/>
            <w:gridSpan w:val="4"/>
            <w:vMerge w:val="restart"/>
            <w:shd w:val="clear" w:color="auto" w:fill="CCEEFF"/>
          </w:tcPr>
          <w:p>
            <w:pPr>
              <w:spacing w:after="0"/>
              <w:rPr>
                <w:sz w:val="20"/>
                <w:szCs w:val="20"/>
                <w:color w:val="auto"/>
              </w:rPr>
            </w:pPr>
          </w:p>
        </w:tc>
        <w:tc>
          <w:tcPr>
            <w:tcW w:w="29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10.3 of the Company’s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Borders>
              <w:bottom w:val="single" w:sz="8" w:color="CCEEFF"/>
            </w:tcBorders>
            <w:shd w:val="clear" w:color="auto" w:fill="CCEEFF"/>
          </w:tcPr>
          <w:p>
            <w:pPr>
              <w:spacing w:after="0"/>
              <w:rPr>
                <w:sz w:val="4"/>
                <w:szCs w:val="4"/>
                <w:color w:val="auto"/>
              </w:rPr>
            </w:pPr>
          </w:p>
        </w:tc>
        <w:tc>
          <w:tcPr>
            <w:tcW w:w="4600" w:type="dxa"/>
            <w:vAlign w:val="bottom"/>
            <w:tcBorders>
              <w:bottom w:val="single" w:sz="8" w:color="auto"/>
            </w:tcBorders>
            <w:gridSpan w:val="15"/>
            <w:vMerge w:val="continue"/>
            <w:shd w:val="clear" w:color="auto" w:fill="CCEEFF"/>
          </w:tcPr>
          <w:p>
            <w:pPr>
              <w:spacing w:after="0"/>
              <w:rPr>
                <w:sz w:val="4"/>
                <w:szCs w:val="4"/>
                <w:color w:val="auto"/>
              </w:rPr>
            </w:pPr>
          </w:p>
        </w:tc>
        <w:tc>
          <w:tcPr>
            <w:tcW w:w="200" w:type="dxa"/>
            <w:vAlign w:val="bottom"/>
            <w:tcBorders>
              <w:bottom w:val="single" w:sz="8" w:color="CCEEFF"/>
            </w:tcBorders>
            <w:gridSpan w:val="4"/>
            <w:vMerge w:val="continue"/>
            <w:shd w:val="clear" w:color="auto" w:fill="CCEEFF"/>
          </w:tcPr>
          <w:p>
            <w:pPr>
              <w:spacing w:after="0"/>
              <w:rPr>
                <w:sz w:val="4"/>
                <w:szCs w:val="4"/>
                <w:color w:val="auto"/>
              </w:rPr>
            </w:pPr>
          </w:p>
        </w:tc>
        <w:tc>
          <w:tcPr>
            <w:tcW w:w="2920" w:type="dxa"/>
            <w:vAlign w:val="bottom"/>
            <w:tcBorders>
              <w:bottom w:val="single" w:sz="8" w:color="CCEEFF"/>
            </w:tcBorders>
            <w:vMerge w:val="continue"/>
            <w:shd w:val="clear" w:color="auto" w:fill="CCEEFF"/>
          </w:tcPr>
          <w:p>
            <w:pPr>
              <w:spacing w:after="0"/>
              <w:rPr>
                <w:sz w:val="4"/>
                <w:szCs w:val="4"/>
                <w:color w:val="auto"/>
              </w:rPr>
            </w:pPr>
          </w:p>
        </w:tc>
        <w:tc>
          <w:tcPr>
            <w:tcW w:w="17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spacing w:after="0"/>
              <w:rPr>
                <w:sz w:val="19"/>
                <w:szCs w:val="19"/>
                <w:color w:val="auto"/>
              </w:rPr>
            </w:pPr>
          </w:p>
        </w:tc>
        <w:tc>
          <w:tcPr>
            <w:tcW w:w="48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Canada Ltd. and delivered to Wells Fargo Bank,</w:t>
            </w:r>
          </w:p>
        </w:tc>
        <w:tc>
          <w:tcPr>
            <w:tcW w:w="2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Association, as administrative agent</w:t>
            </w:r>
          </w:p>
        </w:tc>
        <w:tc>
          <w:tcPr>
            <w:tcW w:w="400" w:type="dxa"/>
            <w:vAlign w:val="bottom"/>
            <w:tcBorders>
              <w:top w:val="single" w:sz="8" w:color="CCEEFF"/>
            </w:tcBorders>
            <w:gridSpan w:val="6"/>
            <w:shd w:val="clear" w:color="auto" w:fill="CCEEFF"/>
          </w:tcPr>
          <w:p>
            <w:pPr>
              <w:spacing w:after="0"/>
              <w:rPr>
                <w:sz w:val="19"/>
                <w:szCs w:val="19"/>
                <w:color w:val="auto"/>
              </w:rPr>
            </w:pPr>
          </w:p>
        </w:tc>
        <w:tc>
          <w:tcPr>
            <w:tcW w:w="2920" w:type="dxa"/>
            <w:vAlign w:val="bottom"/>
            <w:tcBorders>
              <w:top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on November 28, 2022</w:t>
            </w:r>
          </w:p>
        </w:tc>
        <w:tc>
          <w:tcPr>
            <w:tcW w:w="17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46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9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10.29</w:t>
            </w:r>
          </w:p>
        </w:tc>
        <w:tc>
          <w:tcPr>
            <w:tcW w:w="3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Second Amendment to Amended and Restated Credit</w:t>
            </w:r>
          </w:p>
        </w:tc>
        <w:tc>
          <w:tcPr>
            <w:tcW w:w="940" w:type="dxa"/>
            <w:vAlign w:val="bottom"/>
            <w:gridSpan w:val="14"/>
            <w:vMerge w:val="restart"/>
          </w:tcPr>
          <w:p>
            <w:pPr>
              <w:spacing w:after="0"/>
              <w:rPr>
                <w:sz w:val="20"/>
                <w:szCs w:val="20"/>
                <w:color w:val="auto"/>
              </w:rPr>
            </w:pPr>
          </w:p>
        </w:tc>
        <w:tc>
          <w:tcPr>
            <w:tcW w:w="2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10.44 of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3860" w:type="dxa"/>
            <w:vAlign w:val="bottom"/>
            <w:tcBorders>
              <w:bottom w:val="single" w:sz="8" w:color="auto"/>
            </w:tcBorders>
            <w:gridSpan w:val="5"/>
            <w:vMerge w:val="continue"/>
          </w:tcPr>
          <w:p>
            <w:pPr>
              <w:spacing w:after="0"/>
              <w:rPr>
                <w:sz w:val="4"/>
                <w:szCs w:val="4"/>
                <w:color w:val="auto"/>
              </w:rPr>
            </w:pPr>
          </w:p>
        </w:tc>
        <w:tc>
          <w:tcPr>
            <w:tcW w:w="940" w:type="dxa"/>
            <w:vAlign w:val="bottom"/>
            <w:gridSpan w:val="14"/>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3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Agreement, dated as of January 6, 2023 by and among</w:t>
            </w:r>
          </w:p>
        </w:tc>
        <w:tc>
          <w:tcPr>
            <w:tcW w:w="820" w:type="dxa"/>
            <w:vAlign w:val="bottom"/>
            <w:gridSpan w:val="13"/>
          </w:tcPr>
          <w:p>
            <w:pPr>
              <w:spacing w:after="0"/>
              <w:rPr>
                <w:sz w:val="19"/>
                <w:szCs w:val="19"/>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Annual Report on Form 10-K for</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6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Weatherford International Ltd., Weatherford International, LLC,</w:t>
            </w:r>
          </w:p>
        </w:tc>
        <w:tc>
          <w:tcPr>
            <w:tcW w:w="160" w:type="dxa"/>
            <w:vAlign w:val="bottom"/>
            <w:gridSpan w:val="2"/>
          </w:tcPr>
          <w:p>
            <w:pPr>
              <w:spacing w:after="0"/>
              <w:rPr>
                <w:sz w:val="19"/>
                <w:szCs w:val="19"/>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the year ended December 31, 2022,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2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Weatherford Canada Ltd., and Wells Fargo Bank, National</w:t>
            </w:r>
          </w:p>
        </w:tc>
        <w:tc>
          <w:tcPr>
            <w:tcW w:w="580" w:type="dxa"/>
            <w:vAlign w:val="bottom"/>
            <w:gridSpan w:val="9"/>
          </w:tcPr>
          <w:p>
            <w:pPr>
              <w:spacing w:after="0"/>
              <w:rPr>
                <w:sz w:val="18"/>
                <w:szCs w:val="18"/>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filed February 8, 2023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Association, as administrative agent</w:t>
            </w:r>
          </w:p>
        </w:tc>
        <w:tc>
          <w:tcPr>
            <w:tcW w:w="2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10.30</w:t>
            </w:r>
          </w:p>
        </w:tc>
        <w:tc>
          <w:tcPr>
            <w:tcW w:w="4620" w:type="dxa"/>
            <w:vAlign w:val="bottom"/>
            <w:gridSpan w:val="16"/>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Third Amendment to Amended and Restated Credit Agreement,</w:t>
            </w:r>
          </w:p>
        </w:tc>
        <w:tc>
          <w:tcPr>
            <w:tcW w:w="180" w:type="dxa"/>
            <w:vAlign w:val="bottom"/>
            <w:gridSpan w:val="3"/>
            <w:vMerge w:val="restart"/>
            <w:shd w:val="clear" w:color="auto" w:fill="CCEEFF"/>
          </w:tcPr>
          <w:p>
            <w:pPr>
              <w:spacing w:after="0"/>
              <w:rPr>
                <w:sz w:val="20"/>
                <w:szCs w:val="20"/>
                <w:color w:val="auto"/>
              </w:rPr>
            </w:pPr>
          </w:p>
        </w:tc>
        <w:tc>
          <w:tcPr>
            <w:tcW w:w="292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 of the Company’s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Borders>
              <w:bottom w:val="single" w:sz="8" w:color="CCEEFF"/>
            </w:tcBorders>
            <w:shd w:val="clear" w:color="auto" w:fill="CCEEFF"/>
          </w:tcPr>
          <w:p>
            <w:pPr>
              <w:spacing w:after="0"/>
              <w:rPr>
                <w:sz w:val="4"/>
                <w:szCs w:val="4"/>
                <w:color w:val="auto"/>
              </w:rPr>
            </w:pPr>
          </w:p>
        </w:tc>
        <w:tc>
          <w:tcPr>
            <w:tcW w:w="4620" w:type="dxa"/>
            <w:vAlign w:val="bottom"/>
            <w:tcBorders>
              <w:bottom w:val="single" w:sz="8" w:color="auto"/>
            </w:tcBorders>
            <w:gridSpan w:val="16"/>
            <w:vMerge w:val="continue"/>
            <w:shd w:val="clear" w:color="auto" w:fill="CCEEFF"/>
          </w:tcPr>
          <w:p>
            <w:pPr>
              <w:spacing w:after="0"/>
              <w:rPr>
                <w:sz w:val="4"/>
                <w:szCs w:val="4"/>
                <w:color w:val="auto"/>
              </w:rPr>
            </w:pPr>
          </w:p>
        </w:tc>
        <w:tc>
          <w:tcPr>
            <w:tcW w:w="180" w:type="dxa"/>
            <w:vAlign w:val="bottom"/>
            <w:tcBorders>
              <w:bottom w:val="single" w:sz="8" w:color="CCEEFF"/>
            </w:tcBorders>
            <w:gridSpan w:val="3"/>
            <w:vMerge w:val="continue"/>
            <w:shd w:val="clear" w:color="auto" w:fill="CCEEFF"/>
          </w:tcPr>
          <w:p>
            <w:pPr>
              <w:spacing w:after="0"/>
              <w:rPr>
                <w:sz w:val="4"/>
                <w:szCs w:val="4"/>
                <w:color w:val="auto"/>
              </w:rPr>
            </w:pPr>
          </w:p>
        </w:tc>
        <w:tc>
          <w:tcPr>
            <w:tcW w:w="2920" w:type="dxa"/>
            <w:vAlign w:val="bottom"/>
            <w:tcBorders>
              <w:bottom w:val="single" w:sz="8" w:color="CCEEFF"/>
            </w:tcBorders>
            <w:vMerge w:val="continue"/>
            <w:shd w:val="clear" w:color="auto" w:fill="CCEEFF"/>
          </w:tcPr>
          <w:p>
            <w:pPr>
              <w:spacing w:after="0"/>
              <w:rPr>
                <w:sz w:val="4"/>
                <w:szCs w:val="4"/>
                <w:color w:val="auto"/>
              </w:rPr>
            </w:pPr>
          </w:p>
        </w:tc>
        <w:tc>
          <w:tcPr>
            <w:tcW w:w="17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dated as of March 24, 2023, by and among Weatherford</w:t>
            </w:r>
          </w:p>
        </w:tc>
        <w:tc>
          <w:tcPr>
            <w:tcW w:w="780" w:type="dxa"/>
            <w:vAlign w:val="bottom"/>
            <w:tcBorders>
              <w:bottom w:val="single" w:sz="8" w:color="CCEEFF"/>
            </w:tcBorders>
            <w:gridSpan w:val="12"/>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640" w:type="dxa"/>
            <w:vAlign w:val="bottom"/>
            <w:tcBorders>
              <w:bottom w:val="single" w:sz="8" w:color="auto"/>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International Ltd., Weatherford International, LLC, Weatherford</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March 24, 2023</w:t>
            </w: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48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Ltd., Weatherford International plc and Wells Fargo</w:t>
            </w:r>
          </w:p>
        </w:tc>
        <w:tc>
          <w:tcPr>
            <w:tcW w:w="2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spacing w:after="0"/>
              <w:rPr>
                <w:sz w:val="19"/>
                <w:szCs w:val="19"/>
                <w:color w:val="auto"/>
              </w:rPr>
            </w:pPr>
          </w:p>
        </w:tc>
        <w:tc>
          <w:tcPr>
            <w:tcW w:w="4300" w:type="dxa"/>
            <w:vAlign w:val="bottom"/>
            <w:tcBorders>
              <w:top w:val="single" w:sz="8" w:color="auto"/>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tc>
        <w:tc>
          <w:tcPr>
            <w:tcW w:w="500" w:type="dxa"/>
            <w:vAlign w:val="bottom"/>
            <w:tcBorders>
              <w:top w:val="single" w:sz="8" w:color="CCEEFF"/>
            </w:tcBorders>
            <w:gridSpan w:val="7"/>
            <w:shd w:val="clear" w:color="auto" w:fill="CCEEFF"/>
          </w:tcPr>
          <w:p>
            <w:pPr>
              <w:spacing w:after="0"/>
              <w:rPr>
                <w:sz w:val="19"/>
                <w:szCs w:val="19"/>
                <w:color w:val="auto"/>
              </w:rPr>
            </w:pPr>
          </w:p>
        </w:tc>
        <w:tc>
          <w:tcPr>
            <w:tcW w:w="29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460" w:type="dxa"/>
            <w:vAlign w:val="bottom"/>
            <w:tcBorders>
              <w:top w:val="single" w:sz="8" w:color="CCEEFF"/>
            </w:tcBorders>
            <w:shd w:val="clear" w:color="auto" w:fill="CCEEFF"/>
          </w:tcPr>
          <w:p>
            <w:pPr>
              <w:spacing w:after="0"/>
              <w:rPr>
                <w:sz w:val="7"/>
                <w:szCs w:val="7"/>
                <w:color w:val="auto"/>
              </w:rPr>
            </w:pPr>
          </w:p>
        </w:tc>
        <w:tc>
          <w:tcPr>
            <w:tcW w:w="1460" w:type="dxa"/>
            <w:vAlign w:val="bottom"/>
            <w:tcBorders>
              <w:top w:val="single" w:sz="8" w:color="auto"/>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920" w:type="dxa"/>
            <w:vAlign w:val="bottom"/>
            <w:tcBorders>
              <w:top w:val="single" w:sz="8" w:color="CCEEFF"/>
            </w:tcBorders>
            <w:shd w:val="clear" w:color="auto" w:fill="CCEEFF"/>
          </w:tcPr>
          <w:p>
            <w:pPr>
              <w:spacing w:after="0"/>
              <w:rPr>
                <w:sz w:val="7"/>
                <w:szCs w:val="7"/>
                <w:color w:val="auto"/>
              </w:rPr>
            </w:pPr>
          </w:p>
        </w:tc>
        <w:tc>
          <w:tcPr>
            <w:tcW w:w="1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10.31</w:t>
            </w:r>
          </w:p>
        </w:tc>
        <w:tc>
          <w:tcPr>
            <w:tcW w:w="47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auto"/>
                <w:w w:val="99"/>
              </w:rPr>
              <w:t>Fourth Amendment to Amended and Restated Credit Agreement,</w:t>
            </w:r>
          </w:p>
        </w:tc>
        <w:tc>
          <w:tcPr>
            <w:tcW w:w="100" w:type="dxa"/>
            <w:vAlign w:val="bottom"/>
            <w:vMerge w:val="restart"/>
          </w:tcPr>
          <w:p>
            <w:pPr>
              <w:spacing w:after="0"/>
              <w:rPr>
                <w:sz w:val="20"/>
                <w:szCs w:val="20"/>
                <w:color w:val="auto"/>
              </w:rPr>
            </w:pPr>
          </w:p>
        </w:tc>
        <w:tc>
          <w:tcPr>
            <w:tcW w:w="2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 of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4700" w:type="dxa"/>
            <w:vAlign w:val="bottom"/>
            <w:tcBorders>
              <w:bottom w:val="single" w:sz="8" w:color="auto"/>
            </w:tcBorders>
            <w:gridSpan w:val="18"/>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92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dated as of October 24, 2023, by and among Weatherford</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Current Report on Form 8-K filed</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120" w:type="dxa"/>
            <w:vAlign w:val="bottom"/>
            <w:gridSpan w:val="8"/>
            <w:shd w:val="clear" w:color="auto" w:fill="000000"/>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46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International Ltd., Weatherford International, LLC, Weatherford</w:t>
            </w:r>
          </w:p>
        </w:tc>
        <w:tc>
          <w:tcPr>
            <w:tcW w:w="160" w:type="dxa"/>
            <w:vAlign w:val="bottom"/>
            <w:gridSpan w:val="2"/>
          </w:tcPr>
          <w:p>
            <w:pPr>
              <w:spacing w:after="0"/>
              <w:rPr>
                <w:sz w:val="19"/>
                <w:szCs w:val="19"/>
                <w:color w:val="auto"/>
              </w:rPr>
            </w:pP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October 24, 2023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5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Canada Ltd. WOFS International Finance GmbH, Weatherford</w:t>
            </w:r>
          </w:p>
        </w:tc>
        <w:tc>
          <w:tcPr>
            <w:tcW w:w="280" w:type="dxa"/>
            <w:vAlign w:val="bottom"/>
            <w:gridSpan w:val="5"/>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u w:val="single" w:color="auto"/>
          <w:color w:val="auto"/>
        </w:rPr>
        <w:t>International plc, the lenders party thereto and Wells Fargo</w:t>
      </w:r>
    </w:p>
    <w:p>
      <w:pPr>
        <w:spacing w:after="0" w:line="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u w:val="single" w:color="auto"/>
          <w:color w:val="auto"/>
        </w:rPr>
        <w:t>Bank, National Association, as administrative agent</w:t>
      </w:r>
    </w:p>
    <w:p>
      <w:pPr>
        <w:sectPr>
          <w:pgSz w:w="11900" w:h="16838" w:orient="portrait"/>
          <w:cols w:equalWidth="0" w:num="1">
            <w:col w:w="11240"/>
          </w:cols>
          <w:pgMar w:left="320" w:top="1049" w:right="339" w:bottom="1440" w:gutter="0" w:footer="0" w:header="0"/>
        </w:sectPr>
      </w:pP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10.32</w:t>
            </w:r>
          </w:p>
        </w:tc>
        <w:tc>
          <w:tcPr>
            <w:tcW w:w="46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Fifth Amendment to Amended and Restated Credit Agreement,</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5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dated as of December 20, 2023, by and among Weatherford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International Ltd., Weatherford International, LLC, Weatherford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Canada Ltd. WOFS International Finance GmbH, Weatherford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International plc, the lenders party thereto and Wells Fargo</w:t>
            </w:r>
          </w:p>
        </w:tc>
        <w:tc>
          <w:tcPr>
            <w:tcW w:w="3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6926580" cy="1002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100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00"/>
        <w:spacing w:after="0"/>
        <w:tabs>
          <w:tab w:leader="none" w:pos="3000" w:val="left"/>
        </w:tabs>
        <w:rPr>
          <w:sz w:val="20"/>
          <w:szCs w:val="20"/>
          <w:color w:val="auto"/>
        </w:rPr>
      </w:pPr>
      <w:r>
        <w:rPr>
          <w:rFonts w:ascii="Times New Roman" w:cs="Times New Roman" w:eastAsia="Times New Roman" w:hAnsi="Times New Roman"/>
          <w:sz w:val="18"/>
          <w:szCs w:val="18"/>
          <w:color w:val="auto"/>
        </w:rPr>
        <w:t>Exhibit 10.33 of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40"/>
        <w:spacing w:after="0" w:line="217" w:lineRule="auto"/>
        <w:rPr>
          <w:sz w:val="20"/>
          <w:szCs w:val="20"/>
          <w:color w:val="auto"/>
        </w:rPr>
      </w:pPr>
      <w:r>
        <w:rPr>
          <w:rFonts w:ascii="Times New Roman" w:cs="Times New Roman" w:eastAsia="Times New Roman" w:hAnsi="Times New Roman"/>
          <w:sz w:val="17"/>
          <w:szCs w:val="17"/>
          <w:color w:val="auto"/>
        </w:rPr>
        <w:t>Annual Report on Form 10-K filed</w:t>
      </w:r>
    </w:p>
    <w:p>
      <w:pPr>
        <w:spacing w:after="0" w:line="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February 7, 2024</w:t>
      </w:r>
    </w:p>
    <w:p>
      <w:pPr>
        <w:spacing w:after="0" w:line="987" w:lineRule="exact"/>
        <w:rPr>
          <w:sz w:val="20"/>
          <w:szCs w:val="20"/>
          <w:color w:val="auto"/>
        </w:rPr>
      </w:pPr>
    </w:p>
    <w:p>
      <w:pPr>
        <w:sectPr>
          <w:pgSz w:w="11900" w:h="16838" w:orient="portrait"/>
          <w:cols w:equalWidth="0" w:num="2">
            <w:col w:w="6080" w:space="320"/>
            <w:col w:w="4840"/>
          </w:cols>
          <w:pgMar w:left="320" w:top="1049" w:right="339"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10.33</w:t>
            </w:r>
          </w:p>
        </w:tc>
        <w:tc>
          <w:tcPr>
            <w:tcW w:w="46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Additional Lender Supplement, dated as of April 22, 2023, by</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0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and among Weatherford International Ltd., Weatherford</w:t>
            </w:r>
          </w:p>
        </w:tc>
        <w:tc>
          <w:tcPr>
            <w:tcW w:w="440" w:type="dxa"/>
            <w:vAlign w:val="bottom"/>
            <w:tcBorders>
              <w:top w:val="single" w:sz="8" w:color="auto"/>
            </w:tcBorders>
            <w:gridSpan w:val="4"/>
          </w:tcPr>
          <w:p>
            <w:pPr>
              <w:spacing w:after="0"/>
              <w:rPr>
                <w:sz w:val="19"/>
                <w:szCs w:val="19"/>
                <w:color w:val="auto"/>
              </w:rPr>
            </w:pP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International, LLC, Weatherford Canada Ltd., WOFS</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International Finance GmbH, Weatherford International plc,</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2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JPMorgan Chase Bank, N.A., as an Additional Lender and</w:t>
            </w:r>
          </w:p>
        </w:tc>
        <w:tc>
          <w:tcPr>
            <w:tcW w:w="100" w:type="dxa"/>
            <w:vAlign w:val="bottom"/>
            <w:tcBorders>
              <w:top w:val="single" w:sz="8" w:color="auto"/>
            </w:tcBorders>
          </w:tcPr>
          <w:p>
            <w:pPr>
              <w:spacing w:after="0"/>
              <w:rPr>
                <w:sz w:val="19"/>
                <w:szCs w:val="19"/>
                <w:color w:val="auto"/>
              </w:rPr>
            </w:pPr>
          </w:p>
        </w:tc>
        <w:tc>
          <w:tcPr>
            <w:tcW w:w="3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Issuing Bank, DNB Bank ASA, New York Branch, as an Issuing</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3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Bank, DNB Capital LLC, as an Additional Lender, the other</w:t>
            </w:r>
          </w:p>
        </w:tc>
        <w:tc>
          <w:tcPr>
            <w:tcW w:w="3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Lenders and Issuing Banks party thereto and Wells Fargo Bank,</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National Association, as administrative agent</w:t>
            </w:r>
          </w:p>
        </w:tc>
        <w:tc>
          <w:tcPr>
            <w:tcW w:w="1320" w:type="dxa"/>
            <w:vAlign w:val="bottom"/>
            <w:tcBorders>
              <w:top w:val="single" w:sz="8" w:color="auto"/>
            </w:tcBorders>
            <w:gridSpan w:val="7"/>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40"/>
        <w:spacing w:after="0"/>
        <w:tabs>
          <w:tab w:leader="none" w:pos="300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60"/>
        <w:spacing w:after="0" w:line="205" w:lineRule="auto"/>
        <w:rPr>
          <w:sz w:val="20"/>
          <w:szCs w:val="20"/>
          <w:color w:val="auto"/>
        </w:rPr>
      </w:pPr>
      <w:r>
        <w:rPr>
          <w:rFonts w:ascii="Times New Roman" w:cs="Times New Roman" w:eastAsia="Times New Roman" w:hAnsi="Times New Roman"/>
          <w:sz w:val="18"/>
          <w:szCs w:val="18"/>
          <w:color w:val="auto"/>
        </w:rPr>
        <w:t>Quarterly Report for the period</w:t>
      </w:r>
    </w:p>
    <w:p>
      <w:pPr>
        <w:jc w:val="center"/>
        <w:ind w:right="2360"/>
        <w:spacing w:after="0" w:line="216" w:lineRule="auto"/>
        <w:rPr>
          <w:sz w:val="20"/>
          <w:szCs w:val="20"/>
          <w:color w:val="auto"/>
        </w:rPr>
      </w:pPr>
      <w:r>
        <w:rPr>
          <w:rFonts w:ascii="Times New Roman" w:cs="Times New Roman" w:eastAsia="Times New Roman" w:hAnsi="Times New Roman"/>
          <w:sz w:val="17"/>
          <w:szCs w:val="17"/>
          <w:color w:val="auto"/>
        </w:rPr>
        <w:t>ending March 31, 2024 filed April</w:t>
      </w:r>
    </w:p>
    <w:p>
      <w:pPr>
        <w:jc w:val="center"/>
        <w:ind w:right="2360"/>
        <w:spacing w:after="0"/>
        <w:rPr>
          <w:sz w:val="20"/>
          <w:szCs w:val="20"/>
          <w:color w:val="auto"/>
        </w:rPr>
      </w:pPr>
      <w:r>
        <w:rPr>
          <w:rFonts w:ascii="Times New Roman" w:cs="Times New Roman" w:eastAsia="Times New Roman" w:hAnsi="Times New Roman"/>
          <w:sz w:val="18"/>
          <w:szCs w:val="18"/>
          <w:color w:val="auto"/>
        </w:rPr>
        <w:t>24, 2024</w:t>
      </w:r>
    </w:p>
    <w:p>
      <w:pPr>
        <w:spacing w:after="0" w:line="1651" w:lineRule="exact"/>
        <w:rPr>
          <w:sz w:val="20"/>
          <w:szCs w:val="20"/>
          <w:color w:val="auto"/>
        </w:rPr>
      </w:pPr>
    </w:p>
    <w:p>
      <w:pPr>
        <w:sectPr>
          <w:pgSz w:w="11900" w:h="16838" w:orient="portrait"/>
          <w:cols w:equalWidth="0" w:num="2">
            <w:col w:w="6120" w:space="280"/>
            <w:col w:w="4840"/>
          </w:cols>
          <w:pgMar w:left="320" w:top="10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2024 Form 10-K | 99</w:t>
      </w:r>
    </w:p>
    <w:p>
      <w:pPr>
        <w:sectPr>
          <w:pgSz w:w="11900" w:h="16838" w:orient="portrait"/>
          <w:cols w:equalWidth="0" w:num="1">
            <w:col w:w="11240"/>
          </w:cols>
          <w:pgMar w:left="320" w:top="1049" w:right="339" w:bottom="1440" w:gutter="0" w:footer="0" w:header="0"/>
          <w:type w:val="continuous"/>
        </w:sectPr>
      </w:pPr>
    </w:p>
    <w:bookmarkStart w:id="102" w:name="page103"/>
    <w:bookmarkEnd w:id="102"/>
    <w:p>
      <w:pPr>
        <w:ind w:left="20"/>
        <w:spacing w:after="0"/>
        <w:tabs>
          <w:tab w:leader="none" w:pos="3340" w:val="left"/>
          <w:tab w:leader="none" w:pos="6780" w:val="left"/>
          <w:tab w:leader="none" w:pos="954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Original Filed Exhibit</w:t>
      </w:r>
      <w:r>
        <w:rPr>
          <w:sz w:val="20"/>
          <w:szCs w:val="20"/>
          <w:color w:val="auto"/>
        </w:rPr>
        <w:tab/>
      </w:r>
      <w:r>
        <w:rPr>
          <w:rFonts w:ascii="Times New Roman" w:cs="Times New Roman" w:eastAsia="Times New Roman" w:hAnsi="Times New Roman"/>
          <w:sz w:val="17"/>
          <w:szCs w:val="17"/>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26580" cy="1011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10115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10.34</w:t>
            </w:r>
          </w:p>
        </w:tc>
        <w:tc>
          <w:tcPr>
            <w:tcW w:w="4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9"/>
              </w:rPr>
              <w:t>Sixth Amendment to Amended and Restated Credit Agreement,</w:t>
            </w: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1000" w:type="dxa"/>
            <w:vAlign w:val="bottom"/>
          </w:tcPr>
          <w:p>
            <w:pPr>
              <w:spacing w:after="0"/>
              <w:rPr>
                <w:sz w:val="4"/>
                <w:szCs w:val="4"/>
                <w:color w:val="auto"/>
              </w:rPr>
            </w:pPr>
          </w:p>
        </w:tc>
        <w:tc>
          <w:tcPr>
            <w:tcW w:w="4600" w:type="dxa"/>
            <w:vAlign w:val="bottom"/>
            <w:tcBorders>
              <w:bottom w:val="single" w:sz="8" w:color="auto"/>
            </w:tcBorders>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dated as of June 6, 2024, by and among Weatherford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International Ltd., Weatherford International, LLC, Weatherford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Canada Ltd., WOFS International Finance GmbH, Weatherford</w:t>
            </w: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International plc, the lenders party thereto and Wells Fargo</w:t>
            </w:r>
          </w:p>
        </w:tc>
        <w:tc>
          <w:tcPr>
            <w:tcW w:w="320" w:type="dxa"/>
            <w:vAlign w:val="bottom"/>
            <w:tcBorders>
              <w:top w:val="single" w:sz="8" w:color="auto"/>
            </w:tcBorders>
          </w:tcPr>
          <w:p>
            <w:pPr>
              <w:spacing w:after="0"/>
              <w:rPr>
                <w:sz w:val="19"/>
                <w:szCs w:val="19"/>
                <w:color w:val="auto"/>
              </w:rPr>
            </w:pP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Exhibit 10.1 to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60"/>
        <w:spacing w:after="0" w:line="205" w:lineRule="auto"/>
        <w:rPr>
          <w:sz w:val="20"/>
          <w:szCs w:val="20"/>
          <w:color w:val="auto"/>
        </w:rPr>
      </w:pPr>
      <w:r>
        <w:rPr>
          <w:rFonts w:ascii="Times New Roman" w:cs="Times New Roman" w:eastAsia="Times New Roman" w:hAnsi="Times New Roman"/>
          <w:sz w:val="18"/>
          <w:szCs w:val="18"/>
          <w:color w:val="auto"/>
        </w:rPr>
        <w:t>Current Report on Form 8-K filed</w:t>
      </w:r>
    </w:p>
    <w:p>
      <w:pPr>
        <w:spacing w:after="0" w:line="1"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June 11, 2024.</w:t>
      </w:r>
    </w:p>
    <w:p>
      <w:pPr>
        <w:spacing w:after="0" w:line="987" w:lineRule="exact"/>
        <w:rPr>
          <w:sz w:val="20"/>
          <w:szCs w:val="20"/>
          <w:color w:val="auto"/>
        </w:rPr>
      </w:pPr>
    </w:p>
    <w:p>
      <w:pPr>
        <w:sectPr>
          <w:pgSz w:w="11900" w:h="16838" w:orient="portrait"/>
          <w:cols w:equalWidth="0" w:num="2">
            <w:col w:w="6080" w:space="340"/>
            <w:col w:w="4820"/>
          </w:cols>
          <w:pgMar w:left="320" w:top="1049" w:right="339"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10.35</w:t>
            </w:r>
          </w:p>
        </w:tc>
        <w:tc>
          <w:tcPr>
            <w:tcW w:w="46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Additional Lender Supplement, dated as of June 6, 2024, by and</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68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among Weatherford International Ltd., Weatherford</w:t>
            </w:r>
          </w:p>
        </w:tc>
        <w:tc>
          <w:tcPr>
            <w:tcW w:w="900" w:type="dxa"/>
            <w:vAlign w:val="bottom"/>
            <w:tcBorders>
              <w:top w:val="single" w:sz="8" w:color="auto"/>
            </w:tcBorders>
            <w:gridSpan w:val="8"/>
          </w:tcPr>
          <w:p>
            <w:pPr>
              <w:spacing w:after="0"/>
              <w:rPr>
                <w:sz w:val="19"/>
                <w:szCs w:val="19"/>
                <w:color w:val="auto"/>
              </w:rPr>
            </w:pP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International, LLC, Weatherford Canada Ltd., WOFS</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4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International Finance GmbH, Weatherford International plc,</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96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3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Arab Banking Corporation (B.S.C.) New York Branch, as an</w:t>
            </w:r>
          </w:p>
        </w:tc>
        <w:tc>
          <w:tcPr>
            <w:tcW w:w="3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Additional Lender, the other Issuing Banks party thereto and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96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46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8"/>
              </w:rPr>
              <w:t>Wells Fargo Bank, National Association, as administrative agent.</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6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*Schedules and similar attachments have been omitted pursuant</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6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to Regulation S-K Item 601(a)(5). Weatherford agrees to furnish</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a supplemental copy of any omitted schedule or attachment to</w:t>
            </w:r>
          </w:p>
        </w:tc>
        <w:tc>
          <w:tcPr>
            <w:tcW w:w="2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the Securities and Exchange Commission upon request</w:t>
            </w:r>
          </w:p>
        </w:tc>
        <w:tc>
          <w:tcPr>
            <w:tcW w:w="7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Exhibit 10.2 to the Company’s</w:t>
      </w:r>
      <w:r>
        <w:rPr>
          <w:sz w:val="20"/>
          <w:szCs w:val="20"/>
          <w:color w:val="auto"/>
        </w:rPr>
        <w:tab/>
      </w:r>
      <w:r>
        <w:rPr>
          <w:rFonts w:ascii="Times New Roman" w:cs="Times New Roman" w:eastAsia="Times New Roman" w:hAnsi="Times New Roman"/>
          <w:sz w:val="18"/>
          <w:szCs w:val="18"/>
          <w:color w:val="auto"/>
        </w:rPr>
        <w:t>File No. 1-36504</w:t>
      </w:r>
    </w:p>
    <w:p>
      <w:pPr>
        <w:jc w:val="center"/>
        <w:ind w:right="2360"/>
        <w:spacing w:after="0" w:line="205" w:lineRule="auto"/>
        <w:rPr>
          <w:sz w:val="20"/>
          <w:szCs w:val="20"/>
          <w:color w:val="auto"/>
        </w:rPr>
      </w:pPr>
      <w:r>
        <w:rPr>
          <w:rFonts w:ascii="Times New Roman" w:cs="Times New Roman" w:eastAsia="Times New Roman" w:hAnsi="Times New Roman"/>
          <w:sz w:val="18"/>
          <w:szCs w:val="18"/>
          <w:color w:val="auto"/>
        </w:rPr>
        <w:t>Current Report on Form 8-K filed</w:t>
      </w:r>
    </w:p>
    <w:p>
      <w:pPr>
        <w:spacing w:after="0" w:line="1"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June 11, 2024.</w:t>
      </w:r>
    </w:p>
    <w:p>
      <w:pPr>
        <w:spacing w:after="0" w:line="2171" w:lineRule="exact"/>
        <w:rPr>
          <w:sz w:val="20"/>
          <w:szCs w:val="20"/>
          <w:color w:val="auto"/>
        </w:rPr>
      </w:pPr>
    </w:p>
    <w:p>
      <w:pPr>
        <w:sectPr>
          <w:pgSz w:w="11900" w:h="16838" w:orient="portrait"/>
          <w:cols w:equalWidth="0" w:num="2">
            <w:col w:w="6140" w:space="280"/>
            <w:col w:w="482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10.36</w:t>
            </w:r>
          </w:p>
        </w:tc>
        <w:tc>
          <w:tcPr>
            <w:tcW w:w="480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Seventh Amendment to Amended and Restated Credit</w:t>
            </w:r>
          </w:p>
        </w:tc>
        <w:tc>
          <w:tcPr>
            <w:tcW w:w="29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10.3 of the Company’s</w:t>
            </w:r>
          </w:p>
        </w:tc>
        <w:tc>
          <w:tcPr>
            <w:tcW w:w="1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9"/>
        </w:trPr>
        <w:tc>
          <w:tcPr>
            <w:tcW w:w="1460" w:type="dxa"/>
            <w:vAlign w:val="bottom"/>
            <w:shd w:val="clear" w:color="auto" w:fill="CCEEFF"/>
          </w:tcPr>
          <w:p>
            <w:pPr>
              <w:spacing w:after="0"/>
              <w:rPr>
                <w:sz w:val="8"/>
                <w:szCs w:val="8"/>
                <w:color w:val="auto"/>
              </w:rPr>
            </w:pPr>
          </w:p>
        </w:tc>
        <w:tc>
          <w:tcPr>
            <w:tcW w:w="4800" w:type="dxa"/>
            <w:vAlign w:val="bottom"/>
            <w:gridSpan w:val="15"/>
            <w:vMerge w:val="continue"/>
            <w:shd w:val="clear" w:color="auto" w:fill="CCEEFF"/>
          </w:tcPr>
          <w:p>
            <w:pPr>
              <w:spacing w:after="0"/>
              <w:rPr>
                <w:sz w:val="8"/>
                <w:szCs w:val="8"/>
                <w:color w:val="auto"/>
              </w:rPr>
            </w:pPr>
          </w:p>
        </w:tc>
        <w:tc>
          <w:tcPr>
            <w:tcW w:w="2900" w:type="dxa"/>
            <w:vAlign w:val="bottom"/>
            <w:vMerge w:val="restart"/>
            <w:shd w:val="clear" w:color="auto" w:fill="CCEEFF"/>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rPr>
              <w:t>Quarterly Report for the period</w:t>
            </w:r>
          </w:p>
        </w:tc>
        <w:tc>
          <w:tcPr>
            <w:tcW w:w="1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60" w:type="dxa"/>
            <w:vAlign w:val="bottom"/>
            <w:tcBorders>
              <w:top w:val="single" w:sz="8" w:color="CCEEFF"/>
            </w:tcBorders>
            <w:shd w:val="clear" w:color="auto" w:fill="CCEEFF"/>
          </w:tcPr>
          <w:p>
            <w:pPr>
              <w:spacing w:after="0"/>
              <w:rPr>
                <w:sz w:val="5"/>
                <w:szCs w:val="5"/>
                <w:color w:val="auto"/>
              </w:rPr>
            </w:pPr>
          </w:p>
        </w:tc>
        <w:tc>
          <w:tcPr>
            <w:tcW w:w="3820" w:type="dxa"/>
            <w:vAlign w:val="bottom"/>
            <w:tcBorders>
              <w:top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Agreement, dated as of June 24, 2024, by and among</w:t>
            </w:r>
          </w:p>
        </w:tc>
        <w:tc>
          <w:tcPr>
            <w:tcW w:w="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vMerge w:val="continue"/>
            <w:shd w:val="clear" w:color="auto" w:fill="CCEEFF"/>
          </w:tcPr>
          <w:p>
            <w:pPr>
              <w:spacing w:after="0"/>
              <w:rPr>
                <w:sz w:val="5"/>
                <w:szCs w:val="5"/>
                <w:color w:val="auto"/>
              </w:rPr>
            </w:pPr>
          </w:p>
        </w:tc>
        <w:tc>
          <w:tcPr>
            <w:tcW w:w="17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60" w:type="dxa"/>
            <w:vAlign w:val="bottom"/>
            <w:tcBorders>
              <w:bottom w:val="single" w:sz="8" w:color="CCEEFF"/>
            </w:tcBorders>
            <w:shd w:val="clear" w:color="auto" w:fill="CCEEFF"/>
          </w:tcPr>
          <w:p>
            <w:pPr>
              <w:spacing w:after="0"/>
              <w:rPr>
                <w:sz w:val="14"/>
                <w:szCs w:val="14"/>
                <w:color w:val="auto"/>
              </w:rPr>
            </w:pPr>
          </w:p>
        </w:tc>
        <w:tc>
          <w:tcPr>
            <w:tcW w:w="3820" w:type="dxa"/>
            <w:vAlign w:val="bottom"/>
            <w:tcBorders>
              <w:bottom w:val="single" w:sz="8" w:color="auto"/>
            </w:tcBorders>
            <w:gridSpan w:val="3"/>
            <w:vMerge w:val="continue"/>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900" w:type="dxa"/>
            <w:vAlign w:val="bottom"/>
            <w:tcBorders>
              <w:bottom w:val="single" w:sz="8" w:color="CCEEFF"/>
            </w:tcBorders>
            <w:shd w:val="clear" w:color="auto" w:fill="CCEEFF"/>
          </w:tcPr>
          <w:p>
            <w:pPr>
              <w:jc w:val="center"/>
              <w:ind w:right="30"/>
              <w:spacing w:after="0" w:line="156" w:lineRule="exact"/>
              <w:rPr>
                <w:sz w:val="20"/>
                <w:szCs w:val="20"/>
                <w:color w:val="auto"/>
              </w:rPr>
            </w:pPr>
            <w:r>
              <w:rPr>
                <w:rFonts w:ascii="Times New Roman" w:cs="Times New Roman" w:eastAsia="Times New Roman" w:hAnsi="Times New Roman"/>
                <w:sz w:val="18"/>
                <w:szCs w:val="18"/>
                <w:color w:val="auto"/>
              </w:rPr>
              <w:t>ending June 30, 2024 filed July 24,</w:t>
            </w: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auto"/>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Weatherford International Ltd., Weatherford International, LLC,</w:t>
            </w:r>
          </w:p>
        </w:tc>
        <w:tc>
          <w:tcPr>
            <w:tcW w:w="180" w:type="dxa"/>
            <w:vAlign w:val="bottom"/>
            <w:tcBorders>
              <w:bottom w:val="single" w:sz="8" w:color="CCEEFF"/>
            </w:tcBorders>
            <w:gridSpan w:val="3"/>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4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Weatherford Canada Ltd., WOFS International Finance GmbH,</w:t>
            </w:r>
          </w:p>
        </w:tc>
        <w:tc>
          <w:tcPr>
            <w:tcW w:w="29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4260" w:type="dxa"/>
            <w:vAlign w:val="bottom"/>
            <w:tcBorders>
              <w:top w:val="single" w:sz="8" w:color="auto"/>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Weatherford International plc, the lenders party thereto and</w:t>
            </w:r>
          </w:p>
        </w:tc>
        <w:tc>
          <w:tcPr>
            <w:tcW w:w="300" w:type="dxa"/>
            <w:vAlign w:val="bottom"/>
            <w:tcBorders>
              <w:top w:val="single" w:sz="8" w:color="auto"/>
              <w:bottom w:val="single" w:sz="8" w:color="CCEEFF"/>
            </w:tcBorders>
            <w:gridSpan w:val="5"/>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4"/>
            <w:shd w:val="clear" w:color="auto" w:fill="CCEEFF"/>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CEEFF"/>
          </w:tcPr>
          <w:p>
            <w:pPr>
              <w:spacing w:after="0"/>
              <w:rPr>
                <w:sz w:val="19"/>
                <w:szCs w:val="19"/>
                <w:color w:val="auto"/>
              </w:rPr>
            </w:pPr>
          </w:p>
        </w:tc>
        <w:tc>
          <w:tcPr>
            <w:tcW w:w="4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 as administrative agent</w:t>
            </w:r>
          </w:p>
        </w:tc>
        <w:tc>
          <w:tcPr>
            <w:tcW w:w="29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460" w:type="dxa"/>
            <w:vAlign w:val="bottom"/>
            <w:tcBorders>
              <w:top w:val="single" w:sz="8" w:color="CCEEFF"/>
            </w:tcBorders>
            <w:shd w:val="clear" w:color="auto" w:fill="CCEEFF"/>
          </w:tcPr>
          <w:p>
            <w:pPr>
              <w:spacing w:after="0"/>
              <w:rPr>
                <w:sz w:val="6"/>
                <w:szCs w:val="6"/>
                <w:color w:val="auto"/>
              </w:rPr>
            </w:pPr>
          </w:p>
        </w:tc>
        <w:tc>
          <w:tcPr>
            <w:tcW w:w="2260" w:type="dxa"/>
            <w:vAlign w:val="bottom"/>
            <w:tcBorders>
              <w:top w:val="single" w:sz="8" w:color="auto"/>
            </w:tcBorders>
            <w:shd w:val="clear" w:color="auto" w:fill="CCEEFF"/>
          </w:tcPr>
          <w:p>
            <w:pPr>
              <w:spacing w:after="0"/>
              <w:rPr>
                <w:sz w:val="6"/>
                <w:szCs w:val="6"/>
                <w:color w:val="auto"/>
              </w:rPr>
            </w:pPr>
          </w:p>
        </w:tc>
        <w:tc>
          <w:tcPr>
            <w:tcW w:w="14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†10.37</w:t>
            </w:r>
          </w:p>
        </w:tc>
        <w:tc>
          <w:tcPr>
            <w:tcW w:w="47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w w:val="99"/>
              </w:rPr>
              <w:t>Eighth Amendment to Amended and Restated Credit Agreement,</w:t>
            </w:r>
          </w:p>
        </w:tc>
        <w:tc>
          <w:tcPr>
            <w:tcW w:w="100" w:type="dxa"/>
            <w:vAlign w:val="bottom"/>
            <w:vMerge w:val="restart"/>
          </w:tcPr>
          <w:p>
            <w:pPr>
              <w:spacing w:after="0"/>
              <w:rPr>
                <w:sz w:val="20"/>
                <w:szCs w:val="20"/>
                <w:color w:val="auto"/>
              </w:rPr>
            </w:pPr>
          </w:p>
        </w:tc>
        <w:tc>
          <w:tcPr>
            <w:tcW w:w="2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4700" w:type="dxa"/>
            <w:vAlign w:val="bottom"/>
            <w:tcBorders>
              <w:bottom w:val="single" w:sz="8" w:color="auto"/>
            </w:tcBorders>
            <w:gridSpan w:val="14"/>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3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dated as of November 22, 2024, by and among Weatherford</w:t>
            </w:r>
          </w:p>
        </w:tc>
        <w:tc>
          <w:tcPr>
            <w:tcW w:w="480" w:type="dxa"/>
            <w:vAlign w:val="bottom"/>
            <w:gridSpan w:val="7"/>
          </w:tcPr>
          <w:p>
            <w:pPr>
              <w:spacing w:after="0"/>
              <w:rPr>
                <w:sz w:val="19"/>
                <w:szCs w:val="19"/>
                <w:color w:val="auto"/>
              </w:rPr>
            </w:pPr>
          </w:p>
        </w:tc>
        <w:tc>
          <w:tcPr>
            <w:tcW w:w="2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62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International Ltd., Weatherford International, LLC, Weatherford</w:t>
            </w:r>
          </w:p>
        </w:tc>
        <w:tc>
          <w:tcPr>
            <w:tcW w:w="180" w:type="dxa"/>
            <w:vAlign w:val="bottom"/>
            <w:gridSpan w:val="3"/>
          </w:tcPr>
          <w:p>
            <w:pPr>
              <w:spacing w:after="0"/>
              <w:rPr>
                <w:sz w:val="19"/>
                <w:szCs w:val="19"/>
                <w:color w:val="auto"/>
              </w:rPr>
            </w:pPr>
          </w:p>
        </w:tc>
        <w:tc>
          <w:tcPr>
            <w:tcW w:w="2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Canada Ltd., WOFS International Finance GmbH, Weatherford</w:t>
            </w:r>
          </w:p>
        </w:tc>
        <w:tc>
          <w:tcPr>
            <w:tcW w:w="2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2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International plc, the lenders party thereto and Wells Fargo</w:t>
            </w:r>
          </w:p>
        </w:tc>
        <w:tc>
          <w:tcPr>
            <w:tcW w:w="320" w:type="dxa"/>
            <w:vAlign w:val="bottom"/>
            <w:tcBorders>
              <w:top w:val="single" w:sz="8" w:color="auto"/>
            </w:tcBorders>
            <w:gridSpan w:val="6"/>
          </w:tcPr>
          <w:p>
            <w:pPr>
              <w:spacing w:after="0"/>
              <w:rPr>
                <w:sz w:val="19"/>
                <w:szCs w:val="19"/>
                <w:color w:val="auto"/>
              </w:rPr>
            </w:pPr>
          </w:p>
        </w:tc>
        <w:tc>
          <w:tcPr>
            <w:tcW w:w="240" w:type="dxa"/>
            <w:vAlign w:val="bottom"/>
            <w:gridSpan w:val="4"/>
          </w:tcPr>
          <w:p>
            <w:pPr>
              <w:spacing w:after="0"/>
              <w:rPr>
                <w:sz w:val="19"/>
                <w:szCs w:val="19"/>
                <w:color w:val="auto"/>
              </w:rPr>
            </w:pPr>
          </w:p>
        </w:tc>
        <w:tc>
          <w:tcPr>
            <w:tcW w:w="2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tc>
        <w:tc>
          <w:tcPr>
            <w:tcW w:w="2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460" w:type="dxa"/>
            <w:vAlign w:val="bottom"/>
          </w:tcPr>
          <w:p>
            <w:pPr>
              <w:spacing w:after="0"/>
              <w:rPr>
                <w:sz w:val="6"/>
                <w:szCs w:val="6"/>
                <w:color w:val="auto"/>
              </w:rPr>
            </w:pPr>
          </w:p>
        </w:tc>
        <w:tc>
          <w:tcPr>
            <w:tcW w:w="2260" w:type="dxa"/>
            <w:vAlign w:val="bottom"/>
            <w:tcBorders>
              <w:top w:val="single" w:sz="8" w:color="auto"/>
            </w:tcBorders>
          </w:tcPr>
          <w:p>
            <w:pPr>
              <w:spacing w:after="0"/>
              <w:rPr>
                <w:sz w:val="6"/>
                <w:szCs w:val="6"/>
                <w:color w:val="auto"/>
              </w:rPr>
            </w:pPr>
          </w:p>
        </w:tc>
        <w:tc>
          <w:tcPr>
            <w:tcW w:w="1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10.38</w:t>
            </w:r>
          </w:p>
        </w:tc>
        <w:tc>
          <w:tcPr>
            <w:tcW w:w="430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Intercreditor Agreement by and between Wells Fargo Bank,</w:t>
            </w:r>
          </w:p>
        </w:tc>
        <w:tc>
          <w:tcPr>
            <w:tcW w:w="500" w:type="dxa"/>
            <w:vAlign w:val="bottom"/>
            <w:gridSpan w:val="8"/>
            <w:vMerge w:val="restart"/>
            <w:shd w:val="clear" w:color="auto" w:fill="CCEEFF"/>
          </w:tcPr>
          <w:p>
            <w:pPr>
              <w:spacing w:after="0"/>
              <w:rPr>
                <w:sz w:val="20"/>
                <w:szCs w:val="20"/>
                <w:color w:val="auto"/>
              </w:rPr>
            </w:pPr>
          </w:p>
        </w:tc>
        <w:tc>
          <w:tcPr>
            <w:tcW w:w="2900" w:type="dxa"/>
            <w:vAlign w:val="bottom"/>
            <w:vMerge w:val="restart"/>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10.3 of the</w:t>
            </w:r>
          </w:p>
        </w:tc>
        <w:tc>
          <w:tcPr>
            <w:tcW w:w="1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60" w:type="dxa"/>
            <w:vAlign w:val="bottom"/>
            <w:tcBorders>
              <w:bottom w:val="single" w:sz="8" w:color="CCEEFF"/>
            </w:tcBorders>
            <w:shd w:val="clear" w:color="auto" w:fill="CCEEFF"/>
          </w:tcPr>
          <w:p>
            <w:pPr>
              <w:spacing w:after="0"/>
              <w:rPr>
                <w:sz w:val="4"/>
                <w:szCs w:val="4"/>
                <w:color w:val="auto"/>
              </w:rPr>
            </w:pPr>
          </w:p>
        </w:tc>
        <w:tc>
          <w:tcPr>
            <w:tcW w:w="4300" w:type="dxa"/>
            <w:vAlign w:val="bottom"/>
            <w:tcBorders>
              <w:bottom w:val="single" w:sz="8" w:color="auto"/>
            </w:tcBorders>
            <w:gridSpan w:val="7"/>
            <w:vMerge w:val="continue"/>
            <w:shd w:val="clear" w:color="auto" w:fill="CCEEFF"/>
          </w:tcPr>
          <w:p>
            <w:pPr>
              <w:spacing w:after="0"/>
              <w:rPr>
                <w:sz w:val="4"/>
                <w:szCs w:val="4"/>
                <w:color w:val="auto"/>
              </w:rPr>
            </w:pPr>
          </w:p>
        </w:tc>
        <w:tc>
          <w:tcPr>
            <w:tcW w:w="500" w:type="dxa"/>
            <w:vAlign w:val="bottom"/>
            <w:tcBorders>
              <w:bottom w:val="single" w:sz="8" w:color="CCEEFF"/>
            </w:tcBorders>
            <w:gridSpan w:val="8"/>
            <w:vMerge w:val="continue"/>
            <w:shd w:val="clear" w:color="auto" w:fill="CCEEFF"/>
          </w:tcPr>
          <w:p>
            <w:pPr>
              <w:spacing w:after="0"/>
              <w:rPr>
                <w:sz w:val="4"/>
                <w:szCs w:val="4"/>
                <w:color w:val="auto"/>
              </w:rPr>
            </w:pPr>
          </w:p>
        </w:tc>
        <w:tc>
          <w:tcPr>
            <w:tcW w:w="2900" w:type="dxa"/>
            <w:vAlign w:val="bottom"/>
            <w:tcBorders>
              <w:bottom w:val="single" w:sz="8" w:color="CCEEFF"/>
            </w:tcBorders>
            <w:vMerge w:val="continue"/>
            <w:shd w:val="clear" w:color="auto" w:fill="CCEEFF"/>
          </w:tcPr>
          <w:p>
            <w:pPr>
              <w:spacing w:after="0"/>
              <w:rPr>
                <w:sz w:val="4"/>
                <w:szCs w:val="4"/>
                <w:color w:val="auto"/>
              </w:rPr>
            </w:pPr>
          </w:p>
        </w:tc>
        <w:tc>
          <w:tcPr>
            <w:tcW w:w="17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420" w:type="dxa"/>
            <w:vAlign w:val="bottom"/>
            <w:tcBorders>
              <w:bottom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N.A., Deutsche Bank Trust Company Americas, Weatherford</w:t>
            </w:r>
          </w:p>
        </w:tc>
        <w:tc>
          <w:tcPr>
            <w:tcW w:w="380" w:type="dxa"/>
            <w:vAlign w:val="bottom"/>
            <w:tcBorders>
              <w:bottom w:val="single" w:sz="8" w:color="CCEEFF"/>
            </w:tcBorders>
            <w:gridSpan w:val="5"/>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Company’s Current</w:t>
            </w:r>
          </w:p>
        </w:tc>
        <w:tc>
          <w:tcPr>
            <w:tcW w:w="1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19"/>
                <w:szCs w:val="19"/>
                <w:color w:val="auto"/>
              </w:rPr>
            </w:pPr>
          </w:p>
        </w:tc>
        <w:tc>
          <w:tcPr>
            <w:tcW w:w="4340" w:type="dxa"/>
            <w:vAlign w:val="bottom"/>
            <w:tcBorders>
              <w:bottom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International plc and the grantors party there to from time to</w:t>
            </w:r>
          </w:p>
        </w:tc>
        <w:tc>
          <w:tcPr>
            <w:tcW w:w="460" w:type="dxa"/>
            <w:vAlign w:val="bottom"/>
            <w:tcBorders>
              <w:bottom w:val="single" w:sz="8" w:color="CCEEFF"/>
            </w:tcBorders>
            <w:gridSpan w:val="6"/>
            <w:shd w:val="clear" w:color="auto" w:fill="CCEEFF"/>
          </w:tcPr>
          <w:p>
            <w:pPr>
              <w:spacing w:after="0"/>
              <w:rPr>
                <w:sz w:val="19"/>
                <w:szCs w:val="19"/>
                <w:color w:val="auto"/>
              </w:rPr>
            </w:pPr>
          </w:p>
        </w:tc>
        <w:tc>
          <w:tcPr>
            <w:tcW w:w="29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 on Form 8-K</w:t>
            </w:r>
          </w:p>
        </w:tc>
        <w:tc>
          <w:tcPr>
            <w:tcW w:w="1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48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dated December 13, 2019</w:t>
            </w:r>
          </w:p>
        </w:tc>
        <w:tc>
          <w:tcPr>
            <w:tcW w:w="29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filed December 18, 2019</w:t>
            </w: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460" w:type="dxa"/>
            <w:vAlign w:val="bottom"/>
            <w:tcBorders>
              <w:top w:val="single" w:sz="8" w:color="CCEEFF"/>
            </w:tcBorders>
            <w:shd w:val="clear" w:color="auto" w:fill="CCEEFF"/>
          </w:tcPr>
          <w:p>
            <w:pPr>
              <w:spacing w:after="0"/>
              <w:rPr>
                <w:sz w:val="7"/>
                <w:szCs w:val="7"/>
                <w:color w:val="auto"/>
              </w:rPr>
            </w:pPr>
          </w:p>
        </w:tc>
        <w:tc>
          <w:tcPr>
            <w:tcW w:w="2260" w:type="dxa"/>
            <w:vAlign w:val="bottom"/>
            <w:tcBorders>
              <w:top w:val="single" w:sz="8" w:color="auto"/>
            </w:tcBorders>
            <w:shd w:val="clear" w:color="auto" w:fill="CCEEFF"/>
          </w:tcPr>
          <w:p>
            <w:pPr>
              <w:spacing w:after="0"/>
              <w:rPr>
                <w:sz w:val="7"/>
                <w:szCs w:val="7"/>
                <w:color w:val="auto"/>
              </w:rPr>
            </w:pPr>
          </w:p>
        </w:tc>
        <w:tc>
          <w:tcPr>
            <w:tcW w:w="14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900" w:type="dxa"/>
            <w:vAlign w:val="bottom"/>
            <w:tcBorders>
              <w:top w:val="single" w:sz="8" w:color="CCEEFF"/>
            </w:tcBorders>
            <w:shd w:val="clear" w:color="auto" w:fill="CCEEFF"/>
          </w:tcPr>
          <w:p>
            <w:pPr>
              <w:spacing w:after="0"/>
              <w:rPr>
                <w:sz w:val="7"/>
                <w:szCs w:val="7"/>
                <w:color w:val="auto"/>
              </w:rPr>
            </w:pPr>
          </w:p>
        </w:tc>
        <w:tc>
          <w:tcPr>
            <w:tcW w:w="17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49" w:right="339"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10.39</w:t>
            </w:r>
          </w:p>
        </w:tc>
        <w:tc>
          <w:tcPr>
            <w:tcW w:w="45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Intercreditor Agreement, dated August 28, 2020, by and among</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4560" w:type="dxa"/>
            <w:vAlign w:val="bottom"/>
            <w:tcBorders>
              <w:bottom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Deutsche Bank Trust Company Americas, Wilmington Trust</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National Association, BTA Institutional Services Australia</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Limited, Weatherford International plc and the other grantors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parties there to from time to time</w:t>
            </w:r>
          </w:p>
        </w:tc>
        <w:tc>
          <w:tcPr>
            <w:tcW w:w="21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Exhibit 10.3 of the</w:t>
            </w:r>
          </w:p>
        </w:tc>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90"/>
        </w:trPr>
        <w:tc>
          <w:tcPr>
            <w:tcW w:w="206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Company’s Current</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 on Form 8-K</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filed August 28, 2020</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15" w:lineRule="exact"/>
        <w:rPr>
          <w:sz w:val="20"/>
          <w:szCs w:val="20"/>
          <w:color w:val="auto"/>
        </w:rPr>
      </w:pPr>
    </w:p>
    <w:p>
      <w:pPr>
        <w:sectPr>
          <w:pgSz w:w="11900" w:h="16838" w:orient="portrait"/>
          <w:cols w:equalWidth="0" w:num="2">
            <w:col w:w="6140" w:space="720"/>
            <w:col w:w="4380"/>
          </w:cols>
          <w:pgMar w:left="320" w:top="10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2024 Form 10-K | 100</w:t>
      </w:r>
    </w:p>
    <w:p>
      <w:pPr>
        <w:sectPr>
          <w:pgSz w:w="11900" w:h="16838" w:orient="portrait"/>
          <w:cols w:equalWidth="0" w:num="1">
            <w:col w:w="11240"/>
          </w:cols>
          <w:pgMar w:left="320" w:top="1049"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12"/>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Original Filed Exhibit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228"/>
        </w:trPr>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10.40</w:t>
            </w:r>
          </w:p>
        </w:tc>
        <w:tc>
          <w:tcPr>
            <w:tcW w:w="4520" w:type="dxa"/>
            <w:vAlign w:val="bottom"/>
            <w:gridSpan w:val="11"/>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Purchase Agreement dated September 21, 2021, by and among</w:t>
            </w:r>
          </w:p>
        </w:tc>
        <w:tc>
          <w:tcPr>
            <w:tcW w:w="240" w:type="dxa"/>
            <w:vAlign w:val="bottom"/>
            <w:gridSpan w:val="3"/>
            <w:vMerge w:val="restart"/>
            <w:shd w:val="clear" w:color="auto" w:fill="CCEEFF"/>
          </w:tcPr>
          <w:p>
            <w:pPr>
              <w:spacing w:after="0"/>
              <w:rPr>
                <w:sz w:val="19"/>
                <w:szCs w:val="19"/>
                <w:color w:val="auto"/>
              </w:rPr>
            </w:pPr>
          </w:p>
        </w:tc>
        <w:tc>
          <w:tcPr>
            <w:tcW w:w="2940" w:type="dxa"/>
            <w:vAlign w:val="bottom"/>
            <w:vMerge w:val="restart"/>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10.2 of the Company’s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80" w:type="dxa"/>
            <w:vAlign w:val="bottom"/>
            <w:tcBorders>
              <w:bottom w:val="single" w:sz="8" w:color="CCEEFF"/>
            </w:tcBorders>
            <w:shd w:val="clear" w:color="auto" w:fill="CCEEFF"/>
          </w:tcPr>
          <w:p>
            <w:pPr>
              <w:spacing w:after="0"/>
              <w:rPr>
                <w:sz w:val="4"/>
                <w:szCs w:val="4"/>
                <w:color w:val="auto"/>
              </w:rPr>
            </w:pPr>
          </w:p>
        </w:tc>
        <w:tc>
          <w:tcPr>
            <w:tcW w:w="4520" w:type="dxa"/>
            <w:vAlign w:val="bottom"/>
            <w:tcBorders>
              <w:bottom w:val="single" w:sz="8" w:color="auto"/>
            </w:tcBorders>
            <w:gridSpan w:val="11"/>
            <w:vMerge w:val="continue"/>
            <w:shd w:val="clear" w:color="auto" w:fill="CCEEFF"/>
          </w:tcPr>
          <w:p>
            <w:pPr>
              <w:spacing w:after="0"/>
              <w:rPr>
                <w:sz w:val="4"/>
                <w:szCs w:val="4"/>
                <w:color w:val="auto"/>
              </w:rPr>
            </w:pPr>
          </w:p>
        </w:tc>
        <w:tc>
          <w:tcPr>
            <w:tcW w:w="240" w:type="dxa"/>
            <w:vAlign w:val="bottom"/>
            <w:tcBorders>
              <w:bottom w:val="single" w:sz="8" w:color="CCEEFF"/>
            </w:tcBorders>
            <w:gridSpan w:val="3"/>
            <w:vMerge w:val="continue"/>
            <w:shd w:val="clear" w:color="auto" w:fill="CCEEFF"/>
          </w:tcPr>
          <w:p>
            <w:pPr>
              <w:spacing w:after="0"/>
              <w:rPr>
                <w:sz w:val="4"/>
                <w:szCs w:val="4"/>
                <w:color w:val="auto"/>
              </w:rPr>
            </w:pPr>
          </w:p>
        </w:tc>
        <w:tc>
          <w:tcPr>
            <w:tcW w:w="2940" w:type="dxa"/>
            <w:vAlign w:val="bottom"/>
            <w:tcBorders>
              <w:bottom w:val="single" w:sz="8" w:color="CCEEFF"/>
            </w:tcBorders>
            <w:vMerge w:val="continue"/>
            <w:shd w:val="clear" w:color="auto" w:fill="CCEEFF"/>
          </w:tcPr>
          <w:p>
            <w:pPr>
              <w:spacing w:after="0"/>
              <w:rPr>
                <w:sz w:val="4"/>
                <w:szCs w:val="4"/>
                <w:color w:val="auto"/>
              </w:rPr>
            </w:pPr>
          </w:p>
        </w:tc>
        <w:tc>
          <w:tcPr>
            <w:tcW w:w="17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4420" w:type="dxa"/>
            <w:vAlign w:val="bottom"/>
            <w:tcBorders>
              <w:bottom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Weatherford International Ltd., as issuer, the guarantors party</w:t>
            </w:r>
          </w:p>
        </w:tc>
        <w:tc>
          <w:tcPr>
            <w:tcW w:w="340" w:type="dxa"/>
            <w:vAlign w:val="bottom"/>
            <w:tcBorders>
              <w:bottom w:val="single" w:sz="8" w:color="CCEEFF"/>
            </w:tcBorders>
            <w:gridSpan w:val="5"/>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Quarterly Report on Form 10-Q for</w:t>
            </w: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spacing w:after="0"/>
              <w:rPr>
                <w:sz w:val="19"/>
                <w:szCs w:val="19"/>
                <w:color w:val="auto"/>
              </w:rPr>
            </w:pPr>
          </w:p>
        </w:tc>
        <w:tc>
          <w:tcPr>
            <w:tcW w:w="4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thereto, the initial purchasers party thereto and Deutsche Bank</w:t>
            </w:r>
          </w:p>
        </w:tc>
        <w:tc>
          <w:tcPr>
            <w:tcW w:w="2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the period ending September 30.</w:t>
            </w: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Inc., as representative of the initial purchasers</w:t>
            </w:r>
          </w:p>
        </w:tc>
        <w:tc>
          <w:tcPr>
            <w:tcW w:w="280" w:type="dxa"/>
            <w:vAlign w:val="bottom"/>
            <w:tcBorders>
              <w:top w:val="single" w:sz="8" w:color="CCEEFF"/>
            </w:tcBorders>
            <w:gridSpan w:val="4"/>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2021 filed November 2, 2021</w:t>
            </w:r>
          </w:p>
        </w:tc>
        <w:tc>
          <w:tcPr>
            <w:tcW w:w="17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4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82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940" w:type="dxa"/>
            <w:vAlign w:val="bottom"/>
            <w:tcBorders>
              <w:top w:val="single" w:sz="8" w:color="CCEEFF"/>
            </w:tcBorders>
            <w:shd w:val="clear" w:color="auto" w:fill="CCEEFF"/>
          </w:tcPr>
          <w:p>
            <w:pPr>
              <w:spacing w:after="0"/>
              <w:rPr>
                <w:sz w:val="7"/>
                <w:szCs w:val="7"/>
                <w:color w:val="auto"/>
              </w:rPr>
            </w:pPr>
          </w:p>
        </w:tc>
        <w:tc>
          <w:tcPr>
            <w:tcW w:w="1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10.41</w:t>
            </w:r>
          </w:p>
        </w:tc>
        <w:tc>
          <w:tcPr>
            <w:tcW w:w="45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w w:val="99"/>
              </w:rPr>
              <w:t>Backstop Agreement dated September 20, 2021, by and among</w:t>
            </w:r>
          </w:p>
        </w:tc>
        <w:tc>
          <w:tcPr>
            <w:tcW w:w="220" w:type="dxa"/>
            <w:vAlign w:val="bottom"/>
            <w:gridSpan w:val="2"/>
            <w:vMerge w:val="restart"/>
          </w:tcPr>
          <w:p>
            <w:pPr>
              <w:spacing w:after="0"/>
              <w:rPr>
                <w:sz w:val="20"/>
                <w:szCs w:val="20"/>
                <w:color w:val="auto"/>
              </w:rPr>
            </w:pPr>
          </w:p>
        </w:tc>
        <w:tc>
          <w:tcPr>
            <w:tcW w:w="2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10.3 of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4540" w:type="dxa"/>
            <w:vAlign w:val="bottom"/>
            <w:tcBorders>
              <w:bottom w:val="single" w:sz="8" w:color="auto"/>
            </w:tcBorders>
            <w:gridSpan w:val="1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4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Weatherford International Ltd., as issuer, the guarantors party</w:t>
            </w:r>
          </w:p>
        </w:tc>
        <w:tc>
          <w:tcPr>
            <w:tcW w:w="340" w:type="dxa"/>
            <w:vAlign w:val="bottom"/>
            <w:gridSpan w:val="5"/>
          </w:tcPr>
          <w:p>
            <w:pPr>
              <w:spacing w:after="0"/>
              <w:rPr>
                <w:sz w:val="19"/>
                <w:szCs w:val="19"/>
                <w:color w:val="auto"/>
              </w:rPr>
            </w:pPr>
          </w:p>
        </w:tc>
        <w:tc>
          <w:tcPr>
            <w:tcW w:w="2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Quarterly Report on Form 10-Q for</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46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thereto and certain funds managed by Franklin Advisers, Inc., as</w:t>
            </w:r>
          </w:p>
        </w:tc>
        <w:tc>
          <w:tcPr>
            <w:tcW w:w="120" w:type="dxa"/>
            <w:vAlign w:val="bottom"/>
          </w:tcPr>
          <w:p>
            <w:pPr>
              <w:spacing w:after="0"/>
              <w:rPr>
                <w:sz w:val="19"/>
                <w:szCs w:val="19"/>
                <w:color w:val="auto"/>
              </w:rPr>
            </w:pPr>
          </w:p>
        </w:tc>
        <w:tc>
          <w:tcPr>
            <w:tcW w:w="2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the period ending September 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4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commitment parties thereto</w:t>
            </w:r>
          </w:p>
        </w:tc>
        <w:tc>
          <w:tcPr>
            <w:tcW w:w="2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2021 filed November 2, 2021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*10.42</w:t>
            </w:r>
          </w:p>
        </w:tc>
        <w:tc>
          <w:tcPr>
            <w:tcW w:w="424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Registration Rights Agreement by and among Weatherford</w:t>
            </w:r>
          </w:p>
        </w:tc>
        <w:tc>
          <w:tcPr>
            <w:tcW w:w="520" w:type="dxa"/>
            <w:vAlign w:val="bottom"/>
            <w:gridSpan w:val="7"/>
            <w:vMerge w:val="restart"/>
            <w:shd w:val="clear" w:color="auto" w:fill="CCEEFF"/>
          </w:tcPr>
          <w:p>
            <w:pPr>
              <w:spacing w:after="0"/>
              <w:rPr>
                <w:sz w:val="20"/>
                <w:szCs w:val="20"/>
                <w:color w:val="auto"/>
              </w:rPr>
            </w:pPr>
          </w:p>
        </w:tc>
        <w:tc>
          <w:tcPr>
            <w:tcW w:w="2940" w:type="dxa"/>
            <w:vAlign w:val="bottom"/>
            <w:vMerge w:val="restart"/>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10.5 of the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49"/>
        </w:trPr>
        <w:tc>
          <w:tcPr>
            <w:tcW w:w="1480" w:type="dxa"/>
            <w:vAlign w:val="bottom"/>
            <w:tcBorders>
              <w:bottom w:val="single" w:sz="8" w:color="CCEEFF"/>
            </w:tcBorders>
            <w:shd w:val="clear" w:color="auto" w:fill="CCEEFF"/>
          </w:tcPr>
          <w:p>
            <w:pPr>
              <w:spacing w:after="0"/>
              <w:rPr>
                <w:sz w:val="4"/>
                <w:szCs w:val="4"/>
                <w:color w:val="auto"/>
              </w:rPr>
            </w:pPr>
          </w:p>
        </w:tc>
        <w:tc>
          <w:tcPr>
            <w:tcW w:w="4240" w:type="dxa"/>
            <w:vAlign w:val="bottom"/>
            <w:tcBorders>
              <w:bottom w:val="single" w:sz="8" w:color="auto"/>
            </w:tcBorders>
            <w:gridSpan w:val="7"/>
            <w:vMerge w:val="continue"/>
            <w:shd w:val="clear" w:color="auto" w:fill="CCEEFF"/>
          </w:tcPr>
          <w:p>
            <w:pPr>
              <w:spacing w:after="0"/>
              <w:rPr>
                <w:sz w:val="4"/>
                <w:szCs w:val="4"/>
                <w:color w:val="auto"/>
              </w:rPr>
            </w:pPr>
          </w:p>
        </w:tc>
        <w:tc>
          <w:tcPr>
            <w:tcW w:w="520" w:type="dxa"/>
            <w:vAlign w:val="bottom"/>
            <w:tcBorders>
              <w:bottom w:val="single" w:sz="8" w:color="CCEEFF"/>
            </w:tcBorders>
            <w:gridSpan w:val="7"/>
            <w:vMerge w:val="continue"/>
            <w:shd w:val="clear" w:color="auto" w:fill="CCEEFF"/>
          </w:tcPr>
          <w:p>
            <w:pPr>
              <w:spacing w:after="0"/>
              <w:rPr>
                <w:sz w:val="4"/>
                <w:szCs w:val="4"/>
                <w:color w:val="auto"/>
              </w:rPr>
            </w:pPr>
          </w:p>
        </w:tc>
        <w:tc>
          <w:tcPr>
            <w:tcW w:w="2940" w:type="dxa"/>
            <w:vAlign w:val="bottom"/>
            <w:tcBorders>
              <w:bottom w:val="single" w:sz="8" w:color="CCEEFF"/>
            </w:tcBorders>
            <w:vMerge w:val="continue"/>
            <w:shd w:val="clear" w:color="auto" w:fill="CCEEFF"/>
          </w:tcPr>
          <w:p>
            <w:pPr>
              <w:spacing w:after="0"/>
              <w:rPr>
                <w:sz w:val="4"/>
                <w:szCs w:val="4"/>
                <w:color w:val="auto"/>
              </w:rPr>
            </w:pPr>
          </w:p>
        </w:tc>
        <w:tc>
          <w:tcPr>
            <w:tcW w:w="17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International plc and certain stockholders thereto, dated</w:t>
            </w:r>
          </w:p>
        </w:tc>
        <w:tc>
          <w:tcPr>
            <w:tcW w:w="760" w:type="dxa"/>
            <w:vAlign w:val="bottom"/>
            <w:tcBorders>
              <w:bottom w:val="single" w:sz="8" w:color="CCEEFF"/>
            </w:tcBorders>
            <w:gridSpan w:val="9"/>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Company’s Current</w:t>
            </w: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spacing w:after="0"/>
              <w:rPr>
                <w:sz w:val="19"/>
                <w:szCs w:val="19"/>
                <w:color w:val="auto"/>
              </w:rPr>
            </w:pPr>
          </w:p>
        </w:tc>
        <w:tc>
          <w:tcPr>
            <w:tcW w:w="4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13, 2019</w:t>
            </w:r>
          </w:p>
        </w:tc>
        <w:tc>
          <w:tcPr>
            <w:tcW w:w="2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 on Form 8-K</w:t>
            </w: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94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filed December 18, 2019</w:t>
            </w:r>
          </w:p>
        </w:tc>
        <w:tc>
          <w:tcPr>
            <w:tcW w:w="17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Pr>
          <w:p>
            <w:pPr>
              <w:spacing w:after="0"/>
              <w:rPr>
                <w:sz w:val="20"/>
                <w:szCs w:val="20"/>
                <w:color w:val="auto"/>
              </w:rPr>
            </w:pPr>
          </w:p>
        </w:tc>
        <w:tc>
          <w:tcPr>
            <w:tcW w:w="43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w w:val="98"/>
              </w:rPr>
              <w:t>Form of Confidentiality and Restricted Covenant Agreement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10.39 to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7"/>
        </w:trPr>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bottom w:val="single" w:sz="8" w:color="auto"/>
            </w:tcBorders>
            <w:gridSpan w:val="7"/>
            <w:vMerge w:val="continu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940" w:type="dxa"/>
            <w:vAlign w:val="bottom"/>
            <w:vMerge w:val="continu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Annual Report on Form 10-K filed</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19</w:t>
            </w:r>
          </w:p>
        </w:tc>
        <w:tc>
          <w:tcPr>
            <w:tcW w:w="3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8"/>
              </w:rPr>
              <w:t>Weatherford International plc Insider Trading Policy</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Exhibit 19 to the Company’s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32"/>
        </w:trPr>
        <w:tc>
          <w:tcPr>
            <w:tcW w:w="1480" w:type="dxa"/>
            <w:vAlign w:val="bottom"/>
          </w:tcPr>
          <w:p>
            <w:pPr>
              <w:spacing w:after="0"/>
              <w:rPr>
                <w:sz w:val="2"/>
                <w:szCs w:val="2"/>
                <w:color w:val="auto"/>
              </w:rPr>
            </w:pPr>
          </w:p>
        </w:tc>
        <w:tc>
          <w:tcPr>
            <w:tcW w:w="3780" w:type="dxa"/>
            <w:vAlign w:val="bottom"/>
            <w:tcBorders>
              <w:bottom w:val="single" w:sz="8" w:color="auto"/>
            </w:tcBorders>
            <w:gridSpan w:val="4"/>
            <w:vMerge w:val="continue"/>
          </w:tcPr>
          <w:p>
            <w:pPr>
              <w:spacing w:after="0"/>
              <w:rPr>
                <w:sz w:val="2"/>
                <w:szCs w:val="2"/>
                <w:color w:val="auto"/>
              </w:rPr>
            </w:pPr>
          </w:p>
        </w:tc>
        <w:tc>
          <w:tcPr>
            <w:tcW w:w="980" w:type="dxa"/>
            <w:vAlign w:val="bottom"/>
            <w:gridSpan w:val="10"/>
          </w:tcPr>
          <w:p>
            <w:pPr>
              <w:spacing w:after="0"/>
              <w:rPr>
                <w:sz w:val="2"/>
                <w:szCs w:val="2"/>
                <w:color w:val="auto"/>
              </w:rPr>
            </w:pPr>
          </w:p>
        </w:tc>
        <w:tc>
          <w:tcPr>
            <w:tcW w:w="2940" w:type="dxa"/>
            <w:vAlign w:val="bottom"/>
            <w:vMerge w:val="continue"/>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692658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48640"/>
                    </a:xfrm>
                    <a:prstGeom prst="rect">
                      <a:avLst/>
                    </a:prstGeom>
                    <a:noFill/>
                  </pic:spPr>
                </pic:pic>
              </a:graphicData>
            </a:graphic>
          </wp:anchor>
        </w:drawing>
      </w:r>
    </w:p>
    <w:p>
      <w:pPr>
        <w:spacing w:after="0" w:line="43"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color w:val="auto"/>
        </w:rPr>
        <w:t>Annual Report on Form 10-K filed</w:t>
      </w:r>
    </w:p>
    <w:p>
      <w:pPr>
        <w:spacing w:after="0" w:line="36"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240"/>
          </w:cols>
          <w:pgMar w:left="320" w:top="1049" w:right="339" w:bottom="1440" w:gutter="0" w:footer="0" w:header="0"/>
        </w:sectPr>
      </w:pPr>
    </w:p>
    <w:p>
      <w:pPr>
        <w:spacing w:after="0" w:line="7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†21.1</w:t>
      </w:r>
    </w:p>
    <w:p>
      <w:pPr>
        <w:spacing w:after="0" w:line="11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†23.1</w:t>
      </w:r>
    </w:p>
    <w:p>
      <w:pPr>
        <w:spacing w:after="0" w:line="11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†31.1</w:t>
      </w:r>
    </w:p>
    <w:p>
      <w:pPr>
        <w:spacing w:after="0" w:line="11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†31.2</w:t>
      </w:r>
    </w:p>
    <w:p>
      <w:pPr>
        <w:spacing w:after="0" w:line="11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††32.1</w:t>
      </w:r>
    </w:p>
    <w:p>
      <w:pPr>
        <w:spacing w:after="0" w:line="11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††32.2</w:t>
      </w:r>
    </w:p>
    <w:p>
      <w:pPr>
        <w:spacing w:after="0" w:line="11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†101.INS</w:t>
      </w:r>
    </w:p>
    <w:p>
      <w:pPr>
        <w:spacing w:after="0" w:line="212" w:lineRule="exact"/>
        <w:rPr>
          <w:sz w:val="20"/>
          <w:szCs w:val="20"/>
          <w:color w:val="auto"/>
        </w:rPr>
      </w:pPr>
    </w:p>
    <w:p>
      <w:pPr>
        <w:jc w:val="center"/>
        <w:ind w:left="280"/>
        <w:spacing w:after="0" w:line="291" w:lineRule="auto"/>
        <w:rPr>
          <w:sz w:val="20"/>
          <w:szCs w:val="20"/>
          <w:color w:val="auto"/>
        </w:rPr>
      </w:pPr>
      <w:r>
        <w:rPr>
          <w:rFonts w:ascii="Times New Roman" w:cs="Times New Roman" w:eastAsia="Times New Roman" w:hAnsi="Times New Roman"/>
          <w:sz w:val="17"/>
          <w:szCs w:val="17"/>
          <w:color w:val="auto"/>
        </w:rPr>
        <w:t>†101.SCH †101.CAL †101.DEF †101.LAB †101.PRE 104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Subsidiaries of 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34290</wp:posOffset>
            </wp:positionV>
            <wp:extent cx="692658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2057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Consent of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34290</wp:posOffset>
            </wp:positionV>
            <wp:extent cx="692658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2057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Chief Financial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34290</wp:posOffset>
            </wp:positionV>
            <wp:extent cx="692658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6580" cy="2057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Chief Financial Officer pursuant to Section 906 of the Sarbanes-Oxley Act of 2002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Weatherford International plc Executive Officer Clawback</w:t>
            </w:r>
          </w:p>
        </w:tc>
        <w:tc>
          <w:tcPr>
            <w:tcW w:w="360" w:type="dxa"/>
            <w:vAlign w:val="bottom"/>
          </w:tcPr>
          <w:p>
            <w:pPr>
              <w:spacing w:after="0"/>
              <w:rPr>
                <w:sz w:val="20"/>
                <w:szCs w:val="20"/>
                <w:color w:val="auto"/>
              </w:rPr>
            </w:pPr>
          </w:p>
        </w:tc>
        <w:tc>
          <w:tcPr>
            <w:tcW w:w="31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Exhibit 97 to the Company’s</w:t>
            </w:r>
          </w:p>
        </w:tc>
        <w:tc>
          <w:tcPr>
            <w:tcW w:w="1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32"/>
        </w:trPr>
        <w:tc>
          <w:tcPr>
            <w:tcW w:w="4200" w:type="dxa"/>
            <w:vAlign w:val="bottom"/>
            <w:tcBorders>
              <w:bottom w:val="single" w:sz="8" w:color="auto"/>
            </w:tcBorders>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5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Policy</w:t>
            </w:r>
          </w:p>
        </w:tc>
        <w:tc>
          <w:tcPr>
            <w:tcW w:w="31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Annual Report on Form 10-K filed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1020"/>
        <w:spacing w:after="0" w:line="245" w:lineRule="auto"/>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-264795</wp:posOffset>
            </wp:positionV>
            <wp:extent cx="692658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2660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6926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69265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69265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1" w:lineRule="exact"/>
        <w:rPr>
          <w:sz w:val="20"/>
          <w:szCs w:val="20"/>
          <w:color w:val="auto"/>
        </w:rPr>
      </w:pPr>
    </w:p>
    <w:p>
      <w:pPr>
        <w:sectPr>
          <w:pgSz w:w="11900" w:h="16838" w:orient="portrait"/>
          <w:cols w:equalWidth="0" w:num="2">
            <w:col w:w="1040" w:space="440"/>
            <w:col w:w="9760"/>
          </w:cols>
          <w:pgMar w:left="320" w:top="1049" w:right="339" w:bottom="1440" w:gutter="0" w:footer="0" w:header="0"/>
          <w:type w:val="continuous"/>
        </w:sectPr>
      </w:pPr>
    </w:p>
    <w:p>
      <w:pPr>
        <w:ind w:left="460" w:hanging="128"/>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0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101</w:t>
      </w:r>
    </w:p>
    <w:p>
      <w:pPr>
        <w:sectPr>
          <w:pgSz w:w="11900" w:h="16838" w:orient="portrait"/>
          <w:cols w:equalWidth="0" w:num="1">
            <w:col w:w="11240"/>
          </w:cols>
          <w:pgMar w:left="320" w:top="1049" w:right="339" w:bottom="1440" w:gutter="0" w:footer="0" w:header="0"/>
          <w:type w:val="continuous"/>
        </w:sectPr>
      </w:pPr>
    </w:p>
    <w:bookmarkStart w:id="104" w:name="page105"/>
    <w:bookmarkEnd w:id="104"/>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2024 Form 10-K | 102</w:t>
      </w:r>
    </w:p>
    <w:p>
      <w:pPr>
        <w:sectPr>
          <w:pgSz w:w="11900" w:h="16838" w:orient="portrait"/>
          <w:cols w:equalWidth="0" w:num="1">
            <w:col w:w="11240"/>
          </w:cols>
          <w:pgMar w:left="320" w:top="1026"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Girishchandra K. Saligram and Arunava Mitra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7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u w:val="single" w:color="auto"/>
          <w:color w:val="auto"/>
        </w:rPr>
        <w:t>/s/ Girishchandra K. Saligram</w:t>
      </w:r>
    </w:p>
    <w:p>
      <w:pPr>
        <w:spacing w:after="0" w:line="1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9600"/>
          </w:cols>
          <w:pgMar w:left="1140" w:top="941" w:right="11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1"/>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Signatures</w:t>
            </w:r>
          </w:p>
        </w:tc>
        <w:tc>
          <w:tcPr>
            <w:tcW w:w="32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w:t>
            </w:r>
          </w:p>
        </w:tc>
        <w:tc>
          <w:tcPr>
            <w:tcW w:w="27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25"/>
        </w:trPr>
        <w:tc>
          <w:tcPr>
            <w:tcW w:w="3120" w:type="dxa"/>
            <w:vAlign w:val="bottom"/>
          </w:tcPr>
          <w:p>
            <w:pPr>
              <w:spacing w:after="0"/>
              <w:rPr>
                <w:sz w:val="19"/>
                <w:szCs w:val="19"/>
                <w:color w:val="auto"/>
              </w:rPr>
            </w:pP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2720" w:type="dxa"/>
            <w:vAlign w:val="bottom"/>
          </w:tcPr>
          <w:p>
            <w:pPr>
              <w:spacing w:after="0"/>
              <w:rPr>
                <w:sz w:val="19"/>
                <w:szCs w:val="19"/>
                <w:color w:val="auto"/>
              </w:rPr>
            </w:pPr>
          </w:p>
        </w:tc>
      </w:tr>
      <w:tr>
        <w:trPr>
          <w:trHeight w:val="23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Girishchandra K. Saligram</w:t>
            </w:r>
          </w:p>
        </w:tc>
        <w:tc>
          <w:tcPr>
            <w:tcW w:w="3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and Director</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Girishchandra K. Saligram</w:t>
            </w:r>
          </w:p>
        </w:tc>
        <w:tc>
          <w:tcPr>
            <w:tcW w:w="32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720" w:type="dxa"/>
            <w:vAlign w:val="bottom"/>
          </w:tcPr>
          <w:p>
            <w:pPr>
              <w:spacing w:after="0"/>
              <w:rPr>
                <w:sz w:val="19"/>
                <w:szCs w:val="19"/>
                <w:color w:val="auto"/>
              </w:rPr>
            </w:pPr>
          </w:p>
        </w:tc>
      </w:tr>
      <w:tr>
        <w:trPr>
          <w:trHeight w:val="481"/>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Arunava Mitra</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Executive Vice President and</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1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Arunava Mitra</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720" w:type="dxa"/>
            <w:vAlign w:val="bottom"/>
          </w:tcPr>
          <w:p>
            <w:pPr>
              <w:spacing w:after="0"/>
              <w:rPr>
                <w:sz w:val="20"/>
                <w:szCs w:val="20"/>
                <w:color w:val="auto"/>
              </w:rPr>
            </w:pPr>
          </w:p>
        </w:tc>
      </w:tr>
      <w:tr>
        <w:trPr>
          <w:trHeight w:val="346"/>
        </w:trPr>
        <w:tc>
          <w:tcPr>
            <w:tcW w:w="3120" w:type="dxa"/>
            <w:vAlign w:val="bottom"/>
          </w:tcPr>
          <w:p>
            <w:pPr>
              <w:spacing w:after="0"/>
              <w:rPr>
                <w:sz w:val="24"/>
                <w:szCs w:val="24"/>
                <w:color w:val="auto"/>
              </w:rPr>
            </w:pPr>
          </w:p>
        </w:tc>
        <w:tc>
          <w:tcPr>
            <w:tcW w:w="3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Senior Vice President and Chief</w:t>
            </w:r>
          </w:p>
        </w:tc>
        <w:tc>
          <w:tcPr>
            <w:tcW w:w="2720" w:type="dxa"/>
            <w:vAlign w:val="bottom"/>
          </w:tcPr>
          <w:p>
            <w:pPr>
              <w:spacing w:after="0"/>
              <w:rPr>
                <w:sz w:val="24"/>
                <w:szCs w:val="24"/>
                <w:color w:val="auto"/>
              </w:rPr>
            </w:pPr>
          </w:p>
        </w:tc>
      </w:tr>
      <w:tr>
        <w:trPr>
          <w:trHeight w:val="23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Desmond J. Mills</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Desmond J. Mills</w:t>
            </w:r>
          </w:p>
        </w:tc>
        <w:tc>
          <w:tcPr>
            <w:tcW w:w="32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720" w:type="dxa"/>
            <w:vAlign w:val="bottom"/>
          </w:tcPr>
          <w:p>
            <w:pPr>
              <w:spacing w:after="0"/>
              <w:rPr>
                <w:sz w:val="19"/>
                <w:szCs w:val="19"/>
                <w:color w:val="auto"/>
              </w:rPr>
            </w:pPr>
          </w:p>
        </w:tc>
      </w:tr>
      <w:tr>
        <w:trPr>
          <w:trHeight w:val="643"/>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M. Sledge</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M. Sledge</w:t>
            </w:r>
          </w:p>
        </w:tc>
        <w:tc>
          <w:tcPr>
            <w:tcW w:w="32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87"/>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Benjamin C. Duster IV</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Benjamin C. Duster IV</w:t>
            </w:r>
          </w:p>
        </w:tc>
        <w:tc>
          <w:tcPr>
            <w:tcW w:w="32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87"/>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Neal P. Goldman</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Neal P. Goldman</w:t>
            </w:r>
          </w:p>
        </w:tc>
        <w:tc>
          <w:tcPr>
            <w:tcW w:w="32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87"/>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Jacqueline Mutschler</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Jacqueline Mutschler</w:t>
            </w:r>
          </w:p>
        </w:tc>
        <w:tc>
          <w:tcPr>
            <w:tcW w:w="32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87"/>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Beringhause</w:t>
            </w:r>
          </w:p>
        </w:tc>
        <w:tc>
          <w:tcPr>
            <w:tcW w:w="3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February 6, 2025</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Beringhause</w:t>
            </w:r>
          </w:p>
        </w:tc>
        <w:tc>
          <w:tcPr>
            <w:tcW w:w="326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ectPr>
          <w:pgSz w:w="11900" w:h="16838" w:orient="portrait"/>
          <w:cols w:equalWidth="0" w:num="1">
            <w:col w:w="9439"/>
          </w:cols>
          <w:pgMar w:left="1020" w:top="972" w:right="1440" w:bottom="1440"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593725</wp:posOffset>
            </wp:positionH>
            <wp:positionV relativeFrom="page">
              <wp:posOffset>603250</wp:posOffset>
            </wp:positionV>
            <wp:extent cx="6360795" cy="8229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47"/>
    </w:lvl>
  </w:abstractNum>
  <w:abstractNum w:abstractNumId="8">
    <w:nsid w:val="79838CB2"/>
    <w:multiLevelType w:val="hybridMultilevel"/>
    <w:lvl w:ilvl="0">
      <w:lvlJc w:val="left"/>
      <w:lvlText w:val="%1"/>
      <w:numFmt w:val="decimal"/>
      <w:start w:val="51"/>
    </w:lvl>
  </w:abstractNum>
  <w:abstractNum w:abstractNumId="9">
    <w:nsid w:val="4353D0CD"/>
    <w:multiLevelType w:val="hybridMultilevel"/>
    <w:lvl w:ilvl="0">
      <w:lvlJc w:val="left"/>
      <w:lvlText w:val="%1"/>
      <w:numFmt w:val="decimal"/>
      <w:start w:val="49"/>
    </w:lvl>
  </w:abstractNum>
  <w:abstractNum w:abstractNumId="10">
    <w:nsid w:val="B03E0C6"/>
    <w:multiLevelType w:val="hybridMultilevel"/>
    <w:lvl w:ilvl="0">
      <w:lvlJc w:val="left"/>
      <w:lvlText w:val="%1"/>
      <w:numFmt w:val="decimal"/>
      <w:start w:val="42"/>
    </w:lvl>
  </w:abstractNum>
  <w:abstractNum w:abstractNumId="11">
    <w:nsid w:val="189A769B"/>
    <w:multiLevelType w:val="hybridMultilevel"/>
    <w:lvl w:ilvl="0">
      <w:lvlJc w:val="left"/>
      <w:lvlText w:val="%1"/>
      <w:numFmt w:val="decimal"/>
      <w:start w:val="52"/>
    </w:lvl>
  </w:abstractNum>
  <w:abstractNum w:abstractNumId="12">
    <w:nsid w:val="54E49EB4"/>
    <w:multiLevelType w:val="hybridMultilevel"/>
    <w:lvl w:ilvl="0">
      <w:lvlJc w:val="left"/>
      <w:lvlText w:val="%1"/>
      <w:numFmt w:val="decimal"/>
      <w:start w:val="52"/>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59"/>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2025-04-23T15:44:29Z</dcterms:created>
  <dcterms:modified xsi:type="dcterms:W3CDTF">2025-04-23T15:44:29Z</dcterms:modified>
</cp:coreProperties>
</file>