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83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83933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WARD RICHARD D</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602"/>
        <w:spacing w:after="0"/>
        <w:rPr>
          <w:sz w:val="20"/>
          <w:szCs w:val="20"/>
          <w:color w:val="auto"/>
        </w:rPr>
      </w:pPr>
      <w:r>
        <w:rPr>
          <w:rFonts w:ascii="Times New Roman" w:cs="Times New Roman" w:eastAsia="Times New Roman" w:hAnsi="Times New Roman"/>
          <w:sz w:val="17"/>
          <w:szCs w:val="17"/>
          <w:color w:val="0000FF"/>
        </w:rPr>
        <w:t>EVP Global Field Operations</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4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10,675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03/07/2025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10,675</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89"/>
              </w:rPr>
              <w:t>10,675</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16,013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03/07/2025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16,013</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89"/>
              </w:rPr>
              <w:t>16,013</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-2345690</wp:posOffset>
            </wp:positionV>
            <wp:extent cx="29210" cy="2351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514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"2019 EIP"). The RSUs vest in three equal annual installments over the three-year period following the grant date.</w:t>
      </w:r>
    </w:p>
    <w:p>
      <w:pPr>
        <w:spacing w:after="0" w:line="19" w:lineRule="exact"/>
        <w:rPr>
          <w:rFonts w:ascii="Times New Roman" w:cs="Times New Roman" w:eastAsia="Times New Roman" w:hAnsi="Times New Roman"/>
          <w:sz w:val="13"/>
          <w:szCs w:val="13"/>
          <w:color w:val="008000"/>
        </w:rPr>
      </w:pPr>
    </w:p>
    <w:p>
      <w:pPr>
        <w:ind w:left="40" w:right="3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2025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2025 and ending December 31, 2027.</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03/11/2025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812"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2025-03-11T15:53:49Z</dcterms:created>
  <dcterms:modified xsi:type="dcterms:W3CDTF">2025-03-11T15:53:49Z</dcterms:modified>
</cp:coreProperties>
</file>