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ie00blnn3691_020323.txt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WEATHERFORD INTERNATIONAL PUBLIC LIMITED COMPANY</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BLNN369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(SEDOL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SEDOL No.</w:t>
      </w:r>
      <w:r>
        <w:rPr>
          <w:sz w:val="20"/>
          <w:szCs w:val="20"/>
          <w:color w:val="auto"/>
        </w:rPr>
        <w:tab/>
      </w:r>
      <w:r>
        <w:rPr>
          <w:rFonts w:ascii="Courier New" w:cs="Courier New" w:eastAsia="Courier New" w:hAnsi="Courier New"/>
          <w:sz w:val="16"/>
          <w:szCs w:val="16"/>
          <w:color w:val="auto"/>
        </w:rPr>
        <w:t>BLNN369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4673269</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4753505</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4753505</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6.7%</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WEATHERFORD INTERNATIONAL PUBLIC LIMITED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Weststrasse 1</w:t>
      </w:r>
    </w:p>
    <w:p>
      <w:pPr>
        <w:spacing w:after="0" w:line="238" w:lineRule="auto"/>
        <w:rPr>
          <w:sz w:val="20"/>
          <w:szCs w:val="20"/>
          <w:color w:val="auto"/>
        </w:rPr>
      </w:pPr>
      <w:r>
        <w:rPr>
          <w:rFonts w:ascii="Courier New" w:cs="Courier New" w:eastAsia="Courier New" w:hAnsi="Courier New"/>
          <w:sz w:val="18"/>
          <w:szCs w:val="18"/>
          <w:color w:val="auto"/>
        </w:rPr>
        <w:t>6340 Baar TX CH 6340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SEDOL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4753505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4673269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4753505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WEATHERFORD INTERNATIONAL PUBLIC LIMITED COMPANY.</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WEATHERFORD INTERNATIONAL PUBLIC LIMITED COMPANY</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3, 2023</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2023-02-03T11:17:33Z</dcterms:created>
  <dcterms:modified xsi:type="dcterms:W3CDTF">2023-02-03T11:17:33Z</dcterms:modified>
</cp:coreProperties>
</file>