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firstLine="360"/>
        <w:jc w:val="both"/>
        <w:rPr/>
      </w:pPr>
      <w:r>
        <w:rPr/>
      </w:r>
    </w:p>
    <w:p>
      <w:pPr>
        <w:pStyle w:val="TextBody"/>
        <w:spacing w:before="0" w:after="0"/>
        <w:ind w:left="0" w:right="0" w:firstLine="360"/>
        <w:jc w:val="both"/>
        <w:rPr/>
      </w:pPr>
      <w:r>
        <w:rPr/>
      </w:r>
    </w:p>
    <w:tbl>
      <w:tblPr>
        <w:tblW w:w="4928" w:type="dxa"/>
        <w:jc w:val="center"/>
        <w:tblInd w:w="0" w:type="dxa"/>
        <w:tblCellMar>
          <w:top w:w="28" w:type="dxa"/>
          <w:left w:w="28" w:type="dxa"/>
          <w:bottom w:w="28" w:type="dxa"/>
          <w:right w:w="28" w:type="dxa"/>
        </w:tblCellMar>
      </w:tblPr>
      <w:tblGrid>
        <w:gridCol w:w="124"/>
        <w:gridCol w:w="109"/>
        <w:gridCol w:w="109"/>
        <w:gridCol w:w="1403"/>
        <w:gridCol w:w="1403"/>
        <w:gridCol w:w="1408"/>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03" w:type="dxa"/>
            <w:tcBorders/>
            <w:shd w:fill="auto" w:val="clear"/>
            <w:vAlign w:val="center"/>
          </w:tcPr>
          <w:p>
            <w:pPr>
              <w:pStyle w:val="TableContents"/>
              <w:spacing w:before="0" w:after="283"/>
              <w:rPr>
                <w:sz w:val="4"/>
                <w:szCs w:val="4"/>
              </w:rPr>
            </w:pPr>
            <w:r>
              <w:rPr>
                <w:sz w:val="4"/>
                <w:szCs w:val="4"/>
              </w:rPr>
            </w:r>
          </w:p>
        </w:tc>
        <w:tc>
          <w:tcPr>
            <w:tcW w:w="1403" w:type="dxa"/>
            <w:tcBorders/>
            <w:shd w:fill="auto" w:val="clear"/>
            <w:vAlign w:val="center"/>
          </w:tcPr>
          <w:p>
            <w:pPr>
              <w:pStyle w:val="TableContents"/>
              <w:spacing w:before="0" w:after="283"/>
              <w:rPr>
                <w:sz w:val="4"/>
                <w:szCs w:val="4"/>
              </w:rPr>
            </w:pPr>
            <w:r>
              <w:rPr>
                <w:sz w:val="4"/>
                <w:szCs w:val="4"/>
              </w:rPr>
            </w:r>
          </w:p>
        </w:tc>
        <w:tc>
          <w:tcPr>
            <w:tcW w:w="14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2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UNITED STATES</w:t>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SECURITIES AND EXCHANGE COMMISSION</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WASHINGTON, D.C. 20549</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2859" w:type="dxa"/>
        <w:jc w:val="center"/>
        <w:tblInd w:w="0" w:type="dxa"/>
        <w:tblCellMar>
          <w:top w:w="28" w:type="dxa"/>
          <w:left w:w="28" w:type="dxa"/>
          <w:bottom w:w="28" w:type="dxa"/>
          <w:right w:w="28" w:type="dxa"/>
        </w:tblCellMar>
      </w:tblPr>
      <w:tblGrid>
        <w:gridCol w:w="380"/>
        <w:gridCol w:w="334"/>
        <w:gridCol w:w="336"/>
        <w:gridCol w:w="109"/>
        <w:gridCol w:w="109"/>
        <w:gridCol w:w="109"/>
        <w:gridCol w:w="195"/>
        <w:gridCol w:w="195"/>
        <w:gridCol w:w="196"/>
        <w:gridCol w:w="174"/>
        <w:gridCol w:w="174"/>
        <w:gridCol w:w="176"/>
        <w:gridCol w:w="109"/>
        <w:gridCol w:w="109"/>
        <w:gridCol w:w="154"/>
      </w:tblGrid>
      <w:tr>
        <w:trPr/>
        <w:tc>
          <w:tcPr>
            <w:tcW w:w="380"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 One)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Form</w:t>
            </w:r>
          </w:p>
        </w:tc>
        <w:tc>
          <w:tcPr>
            <w:tcW w:w="5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10-Q</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10205" w:type="dxa"/>
        <w:jc w:val="center"/>
        <w:tblInd w:w="0" w:type="dxa"/>
        <w:tblCellMar>
          <w:top w:w="28" w:type="dxa"/>
          <w:left w:w="28" w:type="dxa"/>
          <w:bottom w:w="28" w:type="dxa"/>
          <w:right w:w="28" w:type="dxa"/>
        </w:tblCellMar>
      </w:tblPr>
      <w:tblGrid>
        <w:gridCol w:w="124"/>
        <w:gridCol w:w="109"/>
        <w:gridCol w:w="109"/>
        <w:gridCol w:w="1103"/>
        <w:gridCol w:w="1103"/>
        <w:gridCol w:w="1047"/>
        <w:gridCol w:w="1058"/>
        <w:gridCol w:w="1030"/>
        <w:gridCol w:w="1030"/>
        <w:gridCol w:w="1030"/>
        <w:gridCol w:w="1030"/>
        <w:gridCol w:w="1058"/>
        <w:gridCol w:w="109"/>
        <w:gridCol w:w="109"/>
        <w:gridCol w:w="156"/>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3" w:type="dxa"/>
            <w:tcBorders/>
            <w:shd w:fill="auto" w:val="clear"/>
            <w:vAlign w:val="center"/>
          </w:tcPr>
          <w:p>
            <w:pPr>
              <w:pStyle w:val="TableContents"/>
              <w:spacing w:before="0" w:after="283"/>
              <w:rPr>
                <w:sz w:val="4"/>
                <w:szCs w:val="4"/>
              </w:rPr>
            </w:pPr>
            <w:r>
              <w:rPr>
                <w:sz w:val="4"/>
                <w:szCs w:val="4"/>
              </w:rPr>
            </w:r>
          </w:p>
        </w:tc>
        <w:tc>
          <w:tcPr>
            <w:tcW w:w="1103" w:type="dxa"/>
            <w:tcBorders/>
            <w:shd w:fill="auto" w:val="clear"/>
            <w:vAlign w:val="center"/>
          </w:tcPr>
          <w:p>
            <w:pPr>
              <w:pStyle w:val="TableContents"/>
              <w:spacing w:before="0" w:after="283"/>
              <w:rPr>
                <w:sz w:val="4"/>
                <w:szCs w:val="4"/>
              </w:rPr>
            </w:pPr>
            <w:r>
              <w:rPr>
                <w:sz w:val="4"/>
                <w:szCs w:val="4"/>
              </w:rPr>
            </w:r>
          </w:p>
        </w:tc>
        <w:tc>
          <w:tcPr>
            <w:tcW w:w="1047" w:type="dxa"/>
            <w:tcBorders/>
            <w:shd w:fill="auto" w:val="clear"/>
            <w:vAlign w:val="center"/>
          </w:tcPr>
          <w:p>
            <w:pPr>
              <w:pStyle w:val="TableContents"/>
              <w:spacing w:before="0" w:after="283"/>
              <w:rPr>
                <w:sz w:val="4"/>
                <w:szCs w:val="4"/>
              </w:rPr>
            </w:pPr>
            <w:r>
              <w:rPr>
                <w:sz w:val="4"/>
                <w:szCs w:val="4"/>
              </w:rPr>
            </w:r>
          </w:p>
        </w:tc>
        <w:tc>
          <w:tcPr>
            <w:tcW w:w="1058"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rPr>
                <w:sz w:val="4"/>
                <w:szCs w:val="4"/>
              </w:rPr>
            </w:pPr>
            <w:r>
              <w:rPr>
                <w:sz w:val="4"/>
                <w:szCs w:val="4"/>
              </w:rPr>
            </w:r>
          </w:p>
        </w:tc>
        <w:tc>
          <w:tcPr>
            <w:tcW w:w="10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489"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quarterly period ended</w:t>
            </w:r>
          </w:p>
        </w:tc>
        <w:tc>
          <w:tcPr>
            <w:tcW w:w="311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31, 2023</w:t>
            </w:r>
          </w:p>
        </w:tc>
        <w:tc>
          <w:tcPr>
            <w:tcW w:w="31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8"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or</w:t>
            </w:r>
          </w:p>
        </w:tc>
        <w:tc>
          <w:tcPr>
            <w:tcW w:w="31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489"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89"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transition period from __________________________________to __________________________________</w:t>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Commission file number</w:t>
            </w:r>
          </w:p>
        </w:tc>
        <w:tc>
          <w:tcPr>
            <w:tcW w:w="311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001-36504</w:t>
            </w:r>
          </w:p>
        </w:tc>
        <w:tc>
          <w:tcPr>
            <w:tcW w:w="31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firstLine="360"/>
        <w:jc w:val="center"/>
        <w:rPr>
          <w:rFonts w:ascii="Times New Roman;sans-serif" w:hAnsi="Times New Roman;sans-serif"/>
          <w:b/>
          <w:color w:val="000000"/>
          <w:sz w:val="24"/>
        </w:rPr>
      </w:pPr>
      <w:r>
        <w:rPr>
          <w:rFonts w:ascii="Times New Roman;sans-serif" w:hAnsi="Times New Roman;sans-serif"/>
          <w:b/>
          <w:color w:val="000000"/>
          <w:sz w:val="24"/>
        </w:rPr>
        <w:t>Weatherford International plc</w:t>
      </w:r>
    </w:p>
    <w:p>
      <w:pPr>
        <w:pStyle w:val="TextBody"/>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9242" w:type="dxa"/>
        <w:jc w:val="center"/>
        <w:tblInd w:w="0" w:type="dxa"/>
        <w:tblCellMar>
          <w:top w:w="28" w:type="dxa"/>
          <w:left w:w="28" w:type="dxa"/>
          <w:bottom w:w="28" w:type="dxa"/>
          <w:right w:w="28" w:type="dxa"/>
        </w:tblCellMar>
      </w:tblPr>
      <w:tblGrid>
        <w:gridCol w:w="684"/>
        <w:gridCol w:w="603"/>
        <w:gridCol w:w="603"/>
        <w:gridCol w:w="333"/>
        <w:gridCol w:w="333"/>
        <w:gridCol w:w="333"/>
        <w:gridCol w:w="333"/>
        <w:gridCol w:w="333"/>
        <w:gridCol w:w="333"/>
        <w:gridCol w:w="333"/>
        <w:gridCol w:w="333"/>
        <w:gridCol w:w="333"/>
        <w:gridCol w:w="333"/>
        <w:gridCol w:w="333"/>
        <w:gridCol w:w="333"/>
        <w:gridCol w:w="109"/>
        <w:gridCol w:w="109"/>
        <w:gridCol w:w="109"/>
        <w:gridCol w:w="884"/>
        <w:gridCol w:w="884"/>
        <w:gridCol w:w="1261"/>
      </w:tblGrid>
      <w:tr>
        <w:trPr/>
        <w:tc>
          <w:tcPr>
            <w:tcW w:w="684" w:type="dxa"/>
            <w:tcBorders/>
            <w:shd w:fill="auto" w:val="clear"/>
            <w:vAlign w:val="center"/>
          </w:tcPr>
          <w:p>
            <w:pPr>
              <w:pStyle w:val="TableContents"/>
              <w:spacing w:before="0" w:after="283"/>
              <w:rPr>
                <w:sz w:val="4"/>
                <w:szCs w:val="4"/>
              </w:rPr>
            </w:pPr>
            <w:r>
              <w:rPr>
                <w:sz w:val="4"/>
                <w:szCs w:val="4"/>
              </w:rPr>
            </w:r>
          </w:p>
        </w:tc>
        <w:tc>
          <w:tcPr>
            <w:tcW w:w="603" w:type="dxa"/>
            <w:tcBorders/>
            <w:shd w:fill="auto" w:val="clear"/>
            <w:vAlign w:val="center"/>
          </w:tcPr>
          <w:p>
            <w:pPr>
              <w:pStyle w:val="TableContents"/>
              <w:spacing w:before="0" w:after="283"/>
              <w:rPr>
                <w:sz w:val="4"/>
                <w:szCs w:val="4"/>
              </w:rPr>
            </w:pPr>
            <w:r>
              <w:rPr>
                <w:sz w:val="4"/>
                <w:szCs w:val="4"/>
              </w:rPr>
            </w:r>
          </w:p>
        </w:tc>
        <w:tc>
          <w:tcPr>
            <w:tcW w:w="603"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4" w:type="dxa"/>
            <w:tcBorders/>
            <w:shd w:fill="auto" w:val="clear"/>
            <w:vAlign w:val="center"/>
          </w:tcPr>
          <w:p>
            <w:pPr>
              <w:pStyle w:val="TableContents"/>
              <w:spacing w:before="0" w:after="283"/>
              <w:rPr>
                <w:sz w:val="4"/>
                <w:szCs w:val="4"/>
              </w:rPr>
            </w:pPr>
            <w:r>
              <w:rPr>
                <w:sz w:val="4"/>
                <w:szCs w:val="4"/>
              </w:rPr>
            </w:r>
          </w:p>
        </w:tc>
        <w:tc>
          <w:tcPr>
            <w:tcW w:w="884" w:type="dxa"/>
            <w:tcBorders/>
            <w:shd w:fill="auto" w:val="clear"/>
            <w:vAlign w:val="center"/>
          </w:tcPr>
          <w:p>
            <w:pPr>
              <w:pStyle w:val="TableContents"/>
              <w:spacing w:before="0" w:after="283"/>
              <w:rPr>
                <w:sz w:val="4"/>
                <w:szCs w:val="4"/>
              </w:rPr>
            </w:pPr>
            <w:r>
              <w:rPr>
                <w:sz w:val="4"/>
                <w:szCs w:val="4"/>
              </w:rPr>
            </w:r>
          </w:p>
        </w:tc>
        <w:tc>
          <w:tcPr>
            <w:tcW w:w="1261" w:type="dxa"/>
            <w:tcBorders/>
            <w:shd w:fill="auto" w:val="clear"/>
            <w:vAlign w:val="center"/>
          </w:tcPr>
          <w:p>
            <w:pPr>
              <w:pStyle w:val="TableContents"/>
              <w:spacing w:before="0" w:after="283"/>
              <w:rPr>
                <w:sz w:val="4"/>
                <w:szCs w:val="4"/>
              </w:rPr>
            </w:pPr>
            <w:r>
              <w:rPr>
                <w:sz w:val="4"/>
                <w:szCs w:val="4"/>
              </w:rPr>
            </w:r>
          </w:p>
        </w:tc>
      </w:tr>
      <w:tr>
        <w:trPr/>
        <w:tc>
          <w:tcPr>
            <w:tcW w:w="5886" w:type="dxa"/>
            <w:gridSpan w:val="15"/>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color w:val="000000"/>
                <w:sz w:val="20"/>
              </w:rPr>
              <w:t>Ireland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98-0606750</w:t>
            </w:r>
          </w:p>
        </w:tc>
      </w:tr>
      <w:tr>
        <w:trPr/>
        <w:tc>
          <w:tcPr>
            <w:tcW w:w="5886"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r>
        <w:trPr/>
        <w:tc>
          <w:tcPr>
            <w:tcW w:w="18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2000 St. James Place</w:t>
            </w:r>
          </w:p>
        </w:tc>
        <w:tc>
          <w:tcPr>
            <w:tcW w:w="99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Houston</w:t>
            </w:r>
          </w:p>
        </w:tc>
        <w:tc>
          <w:tcPr>
            <w:tcW w:w="99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Texas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77056</w:t>
            </w:r>
          </w:p>
        </w:tc>
      </w:tr>
      <w:tr>
        <w:trPr/>
        <w:tc>
          <w:tcPr>
            <w:tcW w:w="5886"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spacing w:lineRule="auto" w:line="288" w:before="0" w:after="0"/>
        <w:ind w:left="0" w:right="0" w:firstLine="360"/>
        <w:jc w:val="center"/>
        <w:rPr/>
      </w:pPr>
      <w:r>
        <w:rPr>
          <w:rFonts w:ascii="Times New Roman;sans-serif" w:hAnsi="Times New Roman;sans-serif"/>
          <w:b w:val="false"/>
          <w:color w:val="000000"/>
          <w:sz w:val="20"/>
        </w:rPr>
        <w:t xml:space="preserve">Registrant’s Telephone Number, Including Area Code: </w:t>
      </w:r>
      <w:r>
        <w:rPr>
          <w:rFonts w:ascii="Times New Roman;sans-serif" w:hAnsi="Times New Roman;sans-serif"/>
          <w:b/>
          <w:color w:val="000000"/>
          <w:sz w:val="20"/>
        </w:rPr>
        <w:t xml:space="preserve">713.836.4000 </w:t>
      </w:r>
    </w:p>
    <w:tbl>
      <w:tblPr>
        <w:tblW w:w="7743" w:type="dxa"/>
        <w:jc w:val="center"/>
        <w:tblInd w:w="0" w:type="dxa"/>
        <w:tblCellMar>
          <w:top w:w="28" w:type="dxa"/>
          <w:left w:w="28" w:type="dxa"/>
          <w:bottom w:w="28" w:type="dxa"/>
          <w:right w:w="28" w:type="dxa"/>
        </w:tblCellMar>
      </w:tblPr>
      <w:tblGrid>
        <w:gridCol w:w="124"/>
        <w:gridCol w:w="109"/>
        <w:gridCol w:w="109"/>
        <w:gridCol w:w="781"/>
        <w:gridCol w:w="781"/>
        <w:gridCol w:w="781"/>
        <w:gridCol w:w="781"/>
        <w:gridCol w:w="781"/>
        <w:gridCol w:w="781"/>
        <w:gridCol w:w="781"/>
        <w:gridCol w:w="781"/>
        <w:gridCol w:w="781"/>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29"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2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(Former Name, Former Address and Former Fiscal Year, if Changed Since Last Report)</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Securities registered pursuant to Section 12(b) of the Act: </w:t>
      </w:r>
    </w:p>
    <w:tbl>
      <w:tblPr>
        <w:tblW w:w="9119" w:type="dxa"/>
        <w:jc w:val="center"/>
        <w:tblInd w:w="0" w:type="dxa"/>
        <w:tblCellMar>
          <w:top w:w="28" w:type="dxa"/>
          <w:left w:w="28" w:type="dxa"/>
          <w:bottom w:w="28" w:type="dxa"/>
          <w:right w:w="28" w:type="dxa"/>
        </w:tblCellMar>
      </w:tblPr>
      <w:tblGrid>
        <w:gridCol w:w="1301"/>
        <w:gridCol w:w="1143"/>
        <w:gridCol w:w="1156"/>
        <w:gridCol w:w="564"/>
        <w:gridCol w:w="564"/>
        <w:gridCol w:w="566"/>
        <w:gridCol w:w="1118"/>
        <w:gridCol w:w="1118"/>
        <w:gridCol w:w="1589"/>
      </w:tblGrid>
      <w:tr>
        <w:trPr/>
        <w:tc>
          <w:tcPr>
            <w:tcW w:w="1301" w:type="dxa"/>
            <w:tcBorders/>
            <w:shd w:fill="auto" w:val="clear"/>
            <w:vAlign w:val="center"/>
          </w:tcPr>
          <w:p>
            <w:pPr>
              <w:pStyle w:val="TableContents"/>
              <w:spacing w:before="0" w:after="283"/>
              <w:rPr>
                <w:sz w:val="4"/>
                <w:szCs w:val="4"/>
              </w:rPr>
            </w:pPr>
            <w:r>
              <w:rPr>
                <w:sz w:val="4"/>
                <w:szCs w:val="4"/>
              </w:rPr>
            </w:r>
          </w:p>
        </w:tc>
        <w:tc>
          <w:tcPr>
            <w:tcW w:w="1143" w:type="dxa"/>
            <w:tcBorders/>
            <w:shd w:fill="auto" w:val="clear"/>
            <w:vAlign w:val="center"/>
          </w:tcPr>
          <w:p>
            <w:pPr>
              <w:pStyle w:val="TableContents"/>
              <w:spacing w:before="0" w:after="283"/>
              <w:rPr>
                <w:sz w:val="4"/>
                <w:szCs w:val="4"/>
              </w:rPr>
            </w:pPr>
            <w:r>
              <w:rPr>
                <w:sz w:val="4"/>
                <w:szCs w:val="4"/>
              </w:rPr>
            </w:r>
          </w:p>
        </w:tc>
        <w:tc>
          <w:tcPr>
            <w:tcW w:w="1156" w:type="dxa"/>
            <w:tcBorders/>
            <w:shd w:fill="auto" w:val="clear"/>
            <w:vAlign w:val="center"/>
          </w:tcPr>
          <w:p>
            <w:pPr>
              <w:pStyle w:val="TableContents"/>
              <w:spacing w:before="0" w:after="283"/>
              <w:rPr>
                <w:sz w:val="4"/>
                <w:szCs w:val="4"/>
              </w:rPr>
            </w:pPr>
            <w:r>
              <w:rPr>
                <w:sz w:val="4"/>
                <w:szCs w:val="4"/>
              </w:rPr>
            </w:r>
          </w:p>
        </w:tc>
        <w:tc>
          <w:tcPr>
            <w:tcW w:w="564" w:type="dxa"/>
            <w:tcBorders/>
            <w:shd w:fill="auto" w:val="clear"/>
            <w:vAlign w:val="center"/>
          </w:tcPr>
          <w:p>
            <w:pPr>
              <w:pStyle w:val="TableContents"/>
              <w:spacing w:before="0" w:after="283"/>
              <w:rPr>
                <w:sz w:val="4"/>
                <w:szCs w:val="4"/>
              </w:rPr>
            </w:pPr>
            <w:r>
              <w:rPr>
                <w:sz w:val="4"/>
                <w:szCs w:val="4"/>
              </w:rPr>
            </w:r>
          </w:p>
        </w:tc>
        <w:tc>
          <w:tcPr>
            <w:tcW w:w="564" w:type="dxa"/>
            <w:tcBorders/>
            <w:shd w:fill="auto" w:val="clear"/>
            <w:vAlign w:val="center"/>
          </w:tcPr>
          <w:p>
            <w:pPr>
              <w:pStyle w:val="TableContents"/>
              <w:spacing w:before="0" w:after="283"/>
              <w:rPr>
                <w:sz w:val="4"/>
                <w:szCs w:val="4"/>
              </w:rPr>
            </w:pPr>
            <w:r>
              <w:rPr>
                <w:sz w:val="4"/>
                <w:szCs w:val="4"/>
              </w:rPr>
            </w:r>
          </w:p>
        </w:tc>
        <w:tc>
          <w:tcPr>
            <w:tcW w:w="566"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c>
          <w:tcPr>
            <w:tcW w:w="1589" w:type="dxa"/>
            <w:tcBorders/>
            <w:shd w:fill="auto" w:val="clear"/>
            <w:vAlign w:val="center"/>
          </w:tcPr>
          <w:p>
            <w:pPr>
              <w:pStyle w:val="TableContents"/>
              <w:spacing w:before="0" w:after="283"/>
              <w:rPr>
                <w:sz w:val="4"/>
                <w:szCs w:val="4"/>
              </w:rPr>
            </w:pPr>
            <w:r>
              <w:rPr>
                <w:sz w:val="4"/>
                <w:szCs w:val="4"/>
              </w:rPr>
            </w:r>
          </w:p>
        </w:tc>
      </w:tr>
      <w:tr>
        <w:trPr/>
        <w:tc>
          <w:tcPr>
            <w:tcW w:w="36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16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8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36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Ordinary shares, $0.001 par value per share</w:t>
            </w:r>
          </w:p>
        </w:tc>
        <w:tc>
          <w:tcPr>
            <w:tcW w:w="16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WFRD</w:t>
            </w:r>
          </w:p>
        </w:tc>
        <w:tc>
          <w:tcPr>
            <w:tcW w:w="38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Global Select Market</w:t>
            </w:r>
          </w:p>
        </w:tc>
      </w:tr>
    </w:tbl>
    <w:p>
      <w:pPr>
        <w:pStyle w:val="TextBody"/>
        <w:spacing w:before="0" w:after="0"/>
        <w:ind w:left="0" w:right="0" w:firstLine="450"/>
        <w:jc w:val="both"/>
        <w:rPr/>
      </w:pPr>
      <w:r>
        <w:rPr/>
      </w:r>
    </w:p>
    <w:p>
      <w:pPr>
        <w:pStyle w:val="TextBody"/>
        <w:spacing w:lineRule="auto" w:line="288" w:before="60" w:after="60"/>
        <w:jc w:val="both"/>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ans-serif" w:hAnsi="Times New Roman;sans-serif"/>
          <w:b w:val="false"/>
          <w:color w:val="000000"/>
          <w:sz w:val="20"/>
        </w:rPr>
        <w:t xml:space="preserve">No </w:t>
      </w:r>
      <w:r>
        <w:rPr>
          <w:color w:val="000000"/>
        </w:rPr>
        <w:t>☐</w:t>
      </w:r>
    </w:p>
    <w:p>
      <w:pPr>
        <w:pStyle w:val="TextBody"/>
        <w:spacing w:lineRule="auto" w:line="288" w:before="60" w:after="60"/>
        <w:jc w:val="both"/>
        <w:rPr/>
      </w:pPr>
      <w:r>
        <w:rPr>
          <w:rFonts w:ascii="Times New Roman;sans-serif" w:hAnsi="Times New Roman;sans-serif"/>
          <w:b w:val="false"/>
          <w:color w:val="000000"/>
          <w:sz w:val="20"/>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xml:space="preserve">☑ </w:t>
      </w:r>
      <w:r>
        <w:rPr>
          <w:rFonts w:ascii="Times New Roman;sans-serif" w:hAnsi="Times New Roman;sans-serif"/>
          <w:b w:val="false"/>
          <w:color w:val="000000"/>
          <w:sz w:val="20"/>
        </w:rPr>
        <w:t xml:space="preserve">No </w:t>
      </w:r>
      <w:r>
        <w:rPr>
          <w:color w:val="000000"/>
        </w:rPr>
        <w:t>☐</w:t>
      </w:r>
    </w:p>
    <w:p>
      <w:pPr>
        <w:pStyle w:val="TextBody"/>
        <w:spacing w:lineRule="auto" w:line="288" w:before="60" w:after="6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582" w:type="dxa"/>
        <w:jc w:val="center"/>
        <w:tblInd w:w="0" w:type="dxa"/>
        <w:tblCellMar>
          <w:top w:w="28" w:type="dxa"/>
          <w:left w:w="28" w:type="dxa"/>
          <w:bottom w:w="28" w:type="dxa"/>
          <w:right w:w="28" w:type="dxa"/>
        </w:tblCellMar>
      </w:tblPr>
      <w:tblGrid>
        <w:gridCol w:w="124"/>
        <w:gridCol w:w="109"/>
        <w:gridCol w:w="109"/>
        <w:gridCol w:w="634"/>
        <w:gridCol w:w="634"/>
        <w:gridCol w:w="636"/>
        <w:gridCol w:w="109"/>
        <w:gridCol w:w="109"/>
        <w:gridCol w:w="109"/>
        <w:gridCol w:w="109"/>
        <w:gridCol w:w="109"/>
        <w:gridCol w:w="109"/>
        <w:gridCol w:w="769"/>
        <w:gridCol w:w="769"/>
        <w:gridCol w:w="772"/>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color w:val="000000"/>
              </w:rPr>
            </w:pPr>
            <w:r>
              <w:rPr>
                <w:color w:val="000000"/>
              </w:rPr>
              <w:t>☐</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color w:val="000000"/>
              </w:rPr>
            </w:pPr>
            <w:r>
              <w:rPr>
                <w:color w:val="000000"/>
              </w:rPr>
              <w:t>☐</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color w:val="000000"/>
              </w:rPr>
            </w:pPr>
            <w:r>
              <w:rPr>
                <w:color w:val="000000"/>
              </w:rPr>
              <w:t>☐</w:t>
            </w:r>
          </w:p>
        </w:tc>
      </w:tr>
    </w:tbl>
    <w:p>
      <w:pPr>
        <w:pStyle w:val="TextBody"/>
        <w:spacing w:lineRule="auto" w:line="288" w:before="0" w:after="60"/>
        <w:ind w:left="0" w:right="0" w:firstLine="360"/>
        <w:jc w:val="both"/>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spacing w:lineRule="auto" w:line="288" w:before="0" w:after="0"/>
        <w:jc w:val="both"/>
        <w:rPr/>
      </w:pPr>
      <w:r>
        <w:rPr>
          <w:rFonts w:ascii="Times New Roman;sans-serif" w:hAnsi="Times New Roman;sans-serif"/>
          <w:b w:val="false"/>
          <w:color w:val="000000"/>
          <w:sz w:val="20"/>
        </w:rPr>
        <w:t xml:space="preserve">Indicate by check mark whether the registrant is a shell company (as defined in Rule 12b-2 of the Exchange Act). Yes </w:t>
      </w:r>
      <w:r>
        <w:rPr>
          <w:color w:val="000000"/>
        </w:rPr>
        <w:t xml:space="preserve">☐ </w:t>
      </w:r>
      <w:r>
        <w:rPr>
          <w:rFonts w:ascii="Times New Roman;sans-serif" w:hAnsi="Times New Roman;sans-serif"/>
          <w:b w:val="false"/>
          <w:color w:val="000000"/>
          <w:sz w:val="20"/>
        </w:rPr>
        <w:t xml:space="preserve">No </w:t>
      </w:r>
      <w:r>
        <w:rPr>
          <w:color w:val="000000"/>
        </w:rPr>
        <w:t>☑</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has filed all documents and reports required to be filed by Section 12, 13 or 15(d) of the Securities Exchange Act of 1934 subsequent to the distribution of securities under a plan confirmed by a court.   Yes ☑    No ☐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April 20, 2023, there were 72,064,267 Weatherford ordinary shares, $0.001 par value per share, outstanding.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ind w:left="0" w:right="0" w:firstLine="36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ind w:left="0" w:right="0" w:firstLine="360"/>
                        <w:jc w:val="both"/>
                        <w:rPr/>
                      </w:pPr>
                      <w:r>
                        <w:rPr/>
                      </w:r>
                    </w:p>
                  </w:txbxContent>
                </v:textbox>
              </v:rect>
            </w:pict>
          </mc:Fallback>
        </mc:AlternateContent>
      </w:r>
    </w:p>
    <w:p>
      <w:pPr>
        <w:pStyle w:val="TextBody"/>
        <w:spacing w:before="0" w:after="0"/>
        <w:ind w:left="0" w:right="0" w:firstLine="360"/>
        <w:jc w:val="both"/>
        <w:rPr/>
      </w:pPr>
      <w:r>
        <w:rPr/>
      </w:r>
    </w:p>
    <w:p>
      <w:pPr>
        <w:pStyle w:val="TextBody"/>
        <w:spacing w:lineRule="auto" w:line="288" w:before="60" w:after="6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Weatherford International public limited company</w:t>
      </w:r>
    </w:p>
    <w:p>
      <w:pPr>
        <w:pStyle w:val="TextBody"/>
        <w:spacing w:lineRule="auto" w:line="288" w:before="60" w:after="6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 xml:space="preserve">Form 10-Q for the First Quarter Ended March 31, 2023 </w:t>
      </w:r>
    </w:p>
    <w:tbl>
      <w:tblPr>
        <w:tblW w:w="8810" w:type="dxa"/>
        <w:jc w:val="left"/>
        <w:tblInd w:w="0" w:type="dxa"/>
        <w:tblCellMar>
          <w:top w:w="28" w:type="dxa"/>
          <w:left w:w="28" w:type="dxa"/>
          <w:bottom w:w="28" w:type="dxa"/>
          <w:right w:w="28" w:type="dxa"/>
        </w:tblCellMar>
      </w:tblPr>
      <w:tblGrid>
        <w:gridCol w:w="1483"/>
        <w:gridCol w:w="1298"/>
        <w:gridCol w:w="1298"/>
        <w:gridCol w:w="1298"/>
        <w:gridCol w:w="1298"/>
        <w:gridCol w:w="1318"/>
        <w:gridCol w:w="235"/>
        <w:gridCol w:w="235"/>
        <w:gridCol w:w="347"/>
      </w:tblGrid>
      <w:tr>
        <w:trPr/>
        <w:tc>
          <w:tcPr>
            <w:tcW w:w="1483" w:type="dxa"/>
            <w:tcBorders/>
            <w:shd w:fill="auto" w:val="clear"/>
            <w:vAlign w:val="center"/>
          </w:tcPr>
          <w:p>
            <w:pPr>
              <w:pStyle w:val="TableContents"/>
              <w:spacing w:before="0" w:after="283"/>
              <w:rPr>
                <w:sz w:val="4"/>
                <w:szCs w:val="4"/>
              </w:rPr>
            </w:pPr>
            <w:r>
              <w:rPr>
                <w:sz w:val="4"/>
                <w:szCs w:val="4"/>
              </w:rPr>
            </w:r>
          </w:p>
        </w:tc>
        <w:tc>
          <w:tcPr>
            <w:tcW w:w="1298" w:type="dxa"/>
            <w:tcBorders/>
            <w:shd w:fill="auto" w:val="clear"/>
            <w:vAlign w:val="center"/>
          </w:tcPr>
          <w:p>
            <w:pPr>
              <w:pStyle w:val="TableContents"/>
              <w:spacing w:before="0" w:after="283"/>
              <w:rPr>
                <w:sz w:val="4"/>
                <w:szCs w:val="4"/>
              </w:rPr>
            </w:pPr>
            <w:r>
              <w:rPr>
                <w:sz w:val="4"/>
                <w:szCs w:val="4"/>
              </w:rPr>
            </w:r>
          </w:p>
        </w:tc>
        <w:tc>
          <w:tcPr>
            <w:tcW w:w="1298" w:type="dxa"/>
            <w:tcBorders/>
            <w:shd w:fill="auto" w:val="clear"/>
            <w:vAlign w:val="center"/>
          </w:tcPr>
          <w:p>
            <w:pPr>
              <w:pStyle w:val="TableContents"/>
              <w:spacing w:before="0" w:after="283"/>
              <w:rPr>
                <w:sz w:val="4"/>
                <w:szCs w:val="4"/>
              </w:rPr>
            </w:pPr>
            <w:r>
              <w:rPr>
                <w:sz w:val="4"/>
                <w:szCs w:val="4"/>
              </w:rPr>
            </w:r>
          </w:p>
        </w:tc>
        <w:tc>
          <w:tcPr>
            <w:tcW w:w="1298" w:type="dxa"/>
            <w:tcBorders/>
            <w:shd w:fill="auto" w:val="clear"/>
            <w:vAlign w:val="center"/>
          </w:tcPr>
          <w:p>
            <w:pPr>
              <w:pStyle w:val="TableContents"/>
              <w:spacing w:before="0" w:after="283"/>
              <w:rPr>
                <w:sz w:val="4"/>
                <w:szCs w:val="4"/>
              </w:rPr>
            </w:pPr>
            <w:r>
              <w:rPr>
                <w:sz w:val="4"/>
                <w:szCs w:val="4"/>
              </w:rPr>
            </w:r>
          </w:p>
        </w:tc>
        <w:tc>
          <w:tcPr>
            <w:tcW w:w="1298" w:type="dxa"/>
            <w:tcBorders/>
            <w:shd w:fill="auto" w:val="clear"/>
            <w:vAlign w:val="center"/>
          </w:tcPr>
          <w:p>
            <w:pPr>
              <w:pStyle w:val="TableContents"/>
              <w:spacing w:before="0" w:after="283"/>
              <w:rPr>
                <w:sz w:val="4"/>
                <w:szCs w:val="4"/>
              </w:rPr>
            </w:pPr>
            <w:r>
              <w:rPr>
                <w:sz w:val="4"/>
                <w:szCs w:val="4"/>
              </w:rPr>
            </w:r>
          </w:p>
        </w:tc>
        <w:tc>
          <w:tcPr>
            <w:tcW w:w="1318"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r>
      <w:tr>
        <w:trPr/>
        <w:tc>
          <w:tcPr>
            <w:tcW w:w="881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tc>
      </w:tr>
      <w:tr>
        <w:trPr/>
        <w:tc>
          <w:tcPr>
            <w:tcW w:w="40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7993" w:type="dxa"/>
            <w:gridSpan w:val="6"/>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6cc7e3401d8a485198d3a93c25e5b7bf_10">
              <w:r>
                <w:rPr>
                  <w:rStyle w:val="InternetLink"/>
                  <w:rFonts w:ascii="Times New Roman;sans-serif" w:hAnsi="Times New Roman;sans-serif"/>
                  <w:b/>
                  <w:color w:val="0000FF"/>
                  <w:sz w:val="20"/>
                  <w:u w:val="single"/>
                </w:rPr>
                <w:t>PART I – FINANCIAL INFORMATION</w:t>
              </w:r>
            </w:hyperlink>
          </w:p>
        </w:tc>
        <w:tc>
          <w:tcPr>
            <w:tcW w:w="81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993" w:type="dxa"/>
            <w:gridSpan w:val="6"/>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6cc7e3401d8a485198d3a93c25e5b7bf_13">
              <w:r>
                <w:rPr>
                  <w:rStyle w:val="InternetLink"/>
                  <w:rFonts w:ascii="Times New Roman;sans-serif" w:hAnsi="Times New Roman;sans-serif"/>
                  <w:b w:val="false"/>
                  <w:color w:val="0000FF"/>
                  <w:sz w:val="20"/>
                  <w:u w:val="single"/>
                </w:rPr>
                <w:t>Item 1. Financial Statements.</w:t>
              </w:r>
            </w:hyperlink>
          </w:p>
        </w:tc>
        <w:tc>
          <w:tcPr>
            <w:tcW w:w="817"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6cc7e3401d8a485198d3a93c25e5b7bf_13">
              <w:r>
                <w:rPr>
                  <w:rStyle w:val="InternetLink"/>
                  <w:rFonts w:ascii="Times New Roman;sans-serif" w:hAnsi="Times New Roman;sans-serif"/>
                  <w:b w:val="false"/>
                  <w:color w:val="0000FF"/>
                  <w:sz w:val="20"/>
                  <w:u w:val="single"/>
                </w:rPr>
                <w:t>2</w:t>
              </w:r>
            </w:hyperlink>
          </w:p>
        </w:tc>
      </w:tr>
      <w:tr>
        <w:trPr/>
        <w:tc>
          <w:tcPr>
            <w:tcW w:w="7993" w:type="dxa"/>
            <w:gridSpan w:val="6"/>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6cc7e3401d8a485198d3a93c25e5b7bf_148">
              <w:r>
                <w:rPr>
                  <w:rStyle w:val="InternetLink"/>
                  <w:rFonts w:ascii="Times New Roman;sans-serif" w:hAnsi="Times New Roman;sans-serif"/>
                  <w:b w:val="false"/>
                  <w:color w:val="0000FF"/>
                  <w:sz w:val="20"/>
                  <w:u w:val="single"/>
                </w:rPr>
                <w:t>Item 2. Management's Discussion and Analysis of Financial Condition and Results of Operations.</w:t>
              </w:r>
            </w:hyperlink>
          </w:p>
        </w:tc>
        <w:tc>
          <w:tcPr>
            <w:tcW w:w="817"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6cc7e3401d8a485198d3a93c25e5b7bf_148">
              <w:r>
                <w:rPr>
                  <w:rStyle w:val="InternetLink"/>
                  <w:rFonts w:ascii="Times New Roman;sans-serif" w:hAnsi="Times New Roman;sans-serif"/>
                  <w:b w:val="false"/>
                  <w:color w:val="0000FF"/>
                  <w:sz w:val="20"/>
                  <w:u w:val="single"/>
                </w:rPr>
                <w:t>16</w:t>
              </w:r>
            </w:hyperlink>
          </w:p>
        </w:tc>
      </w:tr>
      <w:tr>
        <w:trPr/>
        <w:tc>
          <w:tcPr>
            <w:tcW w:w="7993" w:type="dxa"/>
            <w:gridSpan w:val="6"/>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6cc7e3401d8a485198d3a93c25e5b7bf_241">
              <w:r>
                <w:rPr>
                  <w:rStyle w:val="InternetLink"/>
                  <w:rFonts w:ascii="Times New Roman;sans-serif" w:hAnsi="Times New Roman;sans-serif"/>
                  <w:b w:val="false"/>
                  <w:color w:val="0000FF"/>
                  <w:sz w:val="20"/>
                  <w:u w:val="single"/>
                </w:rPr>
                <w:t>Item 3. Quantitative and Qualitative Disclosures About Market Risk.</w:t>
              </w:r>
            </w:hyperlink>
          </w:p>
        </w:tc>
        <w:tc>
          <w:tcPr>
            <w:tcW w:w="817"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6cc7e3401d8a485198d3a93c25e5b7bf_241">
              <w:r>
                <w:rPr>
                  <w:rStyle w:val="InternetLink"/>
                  <w:rFonts w:ascii="Times New Roman;sans-serif" w:hAnsi="Times New Roman;sans-serif"/>
                  <w:b w:val="false"/>
                  <w:color w:val="0000FF"/>
                  <w:sz w:val="20"/>
                  <w:u w:val="single"/>
                </w:rPr>
                <w:t>25</w:t>
              </w:r>
            </w:hyperlink>
          </w:p>
        </w:tc>
      </w:tr>
      <w:tr>
        <w:trPr/>
        <w:tc>
          <w:tcPr>
            <w:tcW w:w="7993" w:type="dxa"/>
            <w:gridSpan w:val="6"/>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6cc7e3401d8a485198d3a93c25e5b7bf_244">
              <w:r>
                <w:rPr>
                  <w:rStyle w:val="InternetLink"/>
                  <w:rFonts w:ascii="Times New Roman;sans-serif" w:hAnsi="Times New Roman;sans-serif"/>
                  <w:b w:val="false"/>
                  <w:color w:val="0000FF"/>
                  <w:sz w:val="20"/>
                  <w:u w:val="single"/>
                </w:rPr>
                <w:t>Item 4. Controls and Procedures.</w:t>
              </w:r>
            </w:hyperlink>
          </w:p>
        </w:tc>
        <w:tc>
          <w:tcPr>
            <w:tcW w:w="817"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6cc7e3401d8a485198d3a93c25e5b7bf_244">
              <w:r>
                <w:rPr>
                  <w:rStyle w:val="InternetLink"/>
                  <w:rFonts w:ascii="Times New Roman;sans-serif" w:hAnsi="Times New Roman;sans-serif"/>
                  <w:b w:val="false"/>
                  <w:color w:val="0000FF"/>
                  <w:sz w:val="20"/>
                  <w:u w:val="single"/>
                </w:rPr>
                <w:t>26</w:t>
              </w:r>
            </w:hyperlink>
          </w:p>
        </w:tc>
      </w:tr>
      <w:tr>
        <w:trPr/>
        <w:tc>
          <w:tcPr>
            <w:tcW w:w="40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93" w:type="dxa"/>
            <w:gridSpan w:val="6"/>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6cc7e3401d8a485198d3a93c25e5b7bf_244">
              <w:r>
                <w:rPr>
                  <w:rStyle w:val="InternetLink"/>
                  <w:rFonts w:ascii="Times New Roman;sans-serif" w:hAnsi="Times New Roman;sans-serif"/>
                  <w:b/>
                  <w:color w:val="0000FF"/>
                  <w:sz w:val="20"/>
                  <w:u w:val="single"/>
                </w:rPr>
                <w:t>PART II – OTHER INFORMATION</w:t>
              </w:r>
            </w:hyperlink>
          </w:p>
        </w:tc>
        <w:tc>
          <w:tcPr>
            <w:tcW w:w="8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93" w:type="dxa"/>
            <w:gridSpan w:val="6"/>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6cc7e3401d8a485198d3a93c25e5b7bf_250">
              <w:r>
                <w:rPr>
                  <w:rStyle w:val="InternetLink"/>
                  <w:rFonts w:ascii="Times New Roman;sans-serif" w:hAnsi="Times New Roman;sans-serif"/>
                  <w:b w:val="false"/>
                  <w:color w:val="0000FF"/>
                  <w:sz w:val="20"/>
                  <w:u w:val="single"/>
                </w:rPr>
                <w:t>Item 1. Legal Proceedings.</w:t>
              </w:r>
            </w:hyperlink>
          </w:p>
        </w:tc>
        <w:tc>
          <w:tcPr>
            <w:tcW w:w="817"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6cc7e3401d8a485198d3a93c25e5b7bf_250">
              <w:r>
                <w:rPr>
                  <w:rStyle w:val="InternetLink"/>
                  <w:rFonts w:ascii="Times New Roman;sans-serif" w:hAnsi="Times New Roman;sans-serif"/>
                  <w:b w:val="false"/>
                  <w:color w:val="0000FF"/>
                  <w:sz w:val="20"/>
                  <w:u w:val="single"/>
                </w:rPr>
                <w:t>26</w:t>
              </w:r>
            </w:hyperlink>
          </w:p>
        </w:tc>
      </w:tr>
      <w:tr>
        <w:trPr/>
        <w:tc>
          <w:tcPr>
            <w:tcW w:w="7993" w:type="dxa"/>
            <w:gridSpan w:val="6"/>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6cc7e3401d8a485198d3a93c25e5b7bf_253">
              <w:r>
                <w:rPr>
                  <w:rStyle w:val="InternetLink"/>
                  <w:rFonts w:ascii="Times New Roman;sans-serif" w:hAnsi="Times New Roman;sans-serif"/>
                  <w:b w:val="false"/>
                  <w:color w:val="0000FF"/>
                  <w:sz w:val="20"/>
                  <w:u w:val="single"/>
                </w:rPr>
                <w:t>Item 1A. Risk Factors.</w:t>
              </w:r>
            </w:hyperlink>
          </w:p>
        </w:tc>
        <w:tc>
          <w:tcPr>
            <w:tcW w:w="817"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6cc7e3401d8a485198d3a93c25e5b7bf_253">
              <w:r>
                <w:rPr>
                  <w:rStyle w:val="InternetLink"/>
                  <w:rFonts w:ascii="Times New Roman;sans-serif" w:hAnsi="Times New Roman;sans-serif"/>
                  <w:b w:val="false"/>
                  <w:color w:val="0000FF"/>
                  <w:sz w:val="20"/>
                  <w:u w:val="single"/>
                </w:rPr>
                <w:t>26</w:t>
              </w:r>
            </w:hyperlink>
          </w:p>
        </w:tc>
      </w:tr>
      <w:tr>
        <w:trPr/>
        <w:tc>
          <w:tcPr>
            <w:tcW w:w="7993" w:type="dxa"/>
            <w:gridSpan w:val="6"/>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6cc7e3401d8a485198d3a93c25e5b7bf_256">
              <w:r>
                <w:rPr>
                  <w:rStyle w:val="InternetLink"/>
                  <w:rFonts w:ascii="Times New Roman;sans-serif" w:hAnsi="Times New Roman;sans-serif"/>
                  <w:b w:val="false"/>
                  <w:color w:val="0000FF"/>
                  <w:sz w:val="20"/>
                  <w:u w:val="single"/>
                </w:rPr>
                <w:t>Item 2. Unregistered Sales of Equity Securities and Use of Proceeds.</w:t>
              </w:r>
            </w:hyperlink>
          </w:p>
        </w:tc>
        <w:tc>
          <w:tcPr>
            <w:tcW w:w="817"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6cc7e3401d8a485198d3a93c25e5b7bf_256">
              <w:r>
                <w:rPr>
                  <w:rStyle w:val="InternetLink"/>
                  <w:rFonts w:ascii="Times New Roman;sans-serif" w:hAnsi="Times New Roman;sans-serif"/>
                  <w:b w:val="false"/>
                  <w:color w:val="0000FF"/>
                  <w:sz w:val="20"/>
                  <w:u w:val="single"/>
                </w:rPr>
                <w:t>26</w:t>
              </w:r>
            </w:hyperlink>
          </w:p>
        </w:tc>
      </w:tr>
      <w:tr>
        <w:trPr/>
        <w:tc>
          <w:tcPr>
            <w:tcW w:w="7993" w:type="dxa"/>
            <w:gridSpan w:val="6"/>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6cc7e3401d8a485198d3a93c25e5b7bf_259">
              <w:r>
                <w:rPr>
                  <w:rStyle w:val="InternetLink"/>
                  <w:rFonts w:ascii="Times New Roman;sans-serif" w:hAnsi="Times New Roman;sans-serif"/>
                  <w:b w:val="false"/>
                  <w:color w:val="0000FF"/>
                  <w:sz w:val="20"/>
                  <w:u w:val="single"/>
                </w:rPr>
                <w:t>Item 3. Defaults Upon Senior Securities.</w:t>
              </w:r>
            </w:hyperlink>
          </w:p>
        </w:tc>
        <w:tc>
          <w:tcPr>
            <w:tcW w:w="817"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6cc7e3401d8a485198d3a93c25e5b7bf_259">
              <w:r>
                <w:rPr>
                  <w:rStyle w:val="InternetLink"/>
                  <w:rFonts w:ascii="Times New Roman;sans-serif" w:hAnsi="Times New Roman;sans-serif"/>
                  <w:b w:val="false"/>
                  <w:color w:val="0000FF"/>
                  <w:sz w:val="20"/>
                  <w:u w:val="single"/>
                </w:rPr>
                <w:t>26</w:t>
              </w:r>
            </w:hyperlink>
          </w:p>
        </w:tc>
      </w:tr>
      <w:tr>
        <w:trPr/>
        <w:tc>
          <w:tcPr>
            <w:tcW w:w="7993" w:type="dxa"/>
            <w:gridSpan w:val="6"/>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6cc7e3401d8a485198d3a93c25e5b7bf_262">
              <w:r>
                <w:rPr>
                  <w:rStyle w:val="InternetLink"/>
                  <w:rFonts w:ascii="Times New Roman;sans-serif" w:hAnsi="Times New Roman;sans-serif"/>
                  <w:b w:val="false"/>
                  <w:color w:val="0000FF"/>
                  <w:sz w:val="20"/>
                  <w:u w:val="single"/>
                </w:rPr>
                <w:t>Item 4. Mine Safety Disclosures</w:t>
              </w:r>
            </w:hyperlink>
            <w:r>
              <w:rPr>
                <w:rFonts w:ascii="Times New Roman;sans-serif" w:hAnsi="Times New Roman;sans-serif"/>
                <w:b w:val="false"/>
                <w:color w:val="000000"/>
                <w:sz w:val="20"/>
              </w:rPr>
              <w:t>.</w:t>
            </w:r>
          </w:p>
        </w:tc>
        <w:tc>
          <w:tcPr>
            <w:tcW w:w="817"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6cc7e3401d8a485198d3a93c25e5b7bf_262">
              <w:r>
                <w:rPr>
                  <w:rStyle w:val="InternetLink"/>
                  <w:rFonts w:ascii="Times New Roman;sans-serif" w:hAnsi="Times New Roman;sans-serif"/>
                  <w:b w:val="false"/>
                  <w:color w:val="0000FF"/>
                  <w:sz w:val="20"/>
                  <w:u w:val="single"/>
                </w:rPr>
                <w:t>26</w:t>
              </w:r>
            </w:hyperlink>
          </w:p>
        </w:tc>
      </w:tr>
      <w:tr>
        <w:trPr/>
        <w:tc>
          <w:tcPr>
            <w:tcW w:w="7993" w:type="dxa"/>
            <w:gridSpan w:val="6"/>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6cc7e3401d8a485198d3a93c25e5b7bf_265">
              <w:r>
                <w:rPr>
                  <w:rStyle w:val="InternetLink"/>
                  <w:rFonts w:ascii="Times New Roman;sans-serif" w:hAnsi="Times New Roman;sans-serif"/>
                  <w:b w:val="false"/>
                  <w:color w:val="0000FF"/>
                  <w:sz w:val="20"/>
                  <w:u w:val="single"/>
                </w:rPr>
                <w:t>Item 5. Other Information.</w:t>
              </w:r>
            </w:hyperlink>
          </w:p>
        </w:tc>
        <w:tc>
          <w:tcPr>
            <w:tcW w:w="817"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6cc7e3401d8a485198d3a93c25e5b7bf_265">
              <w:r>
                <w:rPr>
                  <w:rStyle w:val="InternetLink"/>
                  <w:rFonts w:ascii="Times New Roman;sans-serif" w:hAnsi="Times New Roman;sans-serif"/>
                  <w:b w:val="false"/>
                  <w:color w:val="0000FF"/>
                  <w:sz w:val="20"/>
                  <w:u w:val="single"/>
                </w:rPr>
                <w:t>26</w:t>
              </w:r>
            </w:hyperlink>
          </w:p>
        </w:tc>
      </w:tr>
      <w:tr>
        <w:trPr/>
        <w:tc>
          <w:tcPr>
            <w:tcW w:w="7993" w:type="dxa"/>
            <w:gridSpan w:val="6"/>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6cc7e3401d8a485198d3a93c25e5b7bf_268">
              <w:r>
                <w:rPr>
                  <w:rStyle w:val="InternetLink"/>
                  <w:rFonts w:ascii="Times New Roman;sans-serif" w:hAnsi="Times New Roman;sans-serif"/>
                  <w:b w:val="false"/>
                  <w:color w:val="0000FF"/>
                  <w:sz w:val="20"/>
                  <w:u w:val="single"/>
                </w:rPr>
                <w:t>Item 6. Exhibits.</w:t>
              </w:r>
            </w:hyperlink>
          </w:p>
        </w:tc>
        <w:tc>
          <w:tcPr>
            <w:tcW w:w="817"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6cc7e3401d8a485198d3a93c25e5b7bf_268">
              <w:r>
                <w:rPr>
                  <w:rStyle w:val="InternetLink"/>
                  <w:rFonts w:ascii="Times New Roman;sans-serif" w:hAnsi="Times New Roman;sans-serif"/>
                  <w:b w:val="false"/>
                  <w:color w:val="0000FF"/>
                  <w:sz w:val="20"/>
                  <w:u w:val="single"/>
                </w:rPr>
                <w:t>27</w:t>
              </w:r>
            </w:hyperlink>
          </w:p>
        </w:tc>
      </w:tr>
      <w:tr>
        <w:trPr/>
        <w:tc>
          <w:tcPr>
            <w:tcW w:w="7993" w:type="dxa"/>
            <w:gridSpan w:val="6"/>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6cc7e3401d8a485198d3a93c25e5b7bf_271">
              <w:r>
                <w:rPr>
                  <w:rStyle w:val="InternetLink"/>
                  <w:rFonts w:ascii="Times New Roman;sans-serif" w:hAnsi="Times New Roman;sans-serif"/>
                  <w:b w:val="false"/>
                  <w:color w:val="0000FF"/>
                  <w:sz w:val="20"/>
                  <w:u w:val="single"/>
                </w:rPr>
                <w:t>SIGNATURES</w:t>
              </w:r>
            </w:hyperlink>
          </w:p>
        </w:tc>
        <w:tc>
          <w:tcPr>
            <w:tcW w:w="817"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6cc7e3401d8a485198d3a93c25e5b7bf_271">
              <w:r>
                <w:rPr>
                  <w:rStyle w:val="InternetLink"/>
                  <w:rFonts w:ascii="Times New Roman;sans-serif" w:hAnsi="Times New Roman;sans-serif"/>
                  <w:b w:val="false"/>
                  <w:color w:val="0000FF"/>
                  <w:sz w:val="20"/>
                  <w:u w:val="single"/>
                </w:rPr>
                <w:t>28</w:t>
              </w:r>
            </w:hyperlink>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before="60" w:after="283"/>
        <w:ind w:left="0" w:right="0" w:firstLine="360"/>
        <w:rPr/>
      </w:pPr>
      <w:r>
        <w:rPr/>
      </w:r>
    </w:p>
    <w:p>
      <w:pPr>
        <w:pStyle w:val="TextBody"/>
        <w:spacing w:lineRule="auto" w:line="288" w:before="60" w:after="283"/>
        <w:ind w:left="0" w:right="0" w:firstLine="360"/>
        <w:rPr/>
      </w:pPr>
      <w:hyperlink w:anchor="i6cc7e3401d8a485198d3a93c25e5b7bf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60"/>
        <w:ind w:left="0" w:right="0" w:firstLine="360"/>
        <w:jc w:val="center"/>
        <w:rPr/>
      </w:pPr>
      <w:r>
        <w:rPr>
          <w:rFonts w:ascii="Times New Roman;sans-serif" w:hAnsi="Times New Roman;sans-serif"/>
          <w:b/>
          <w:color w:val="000000"/>
          <w:sz w:val="20"/>
        </w:rPr>
        <w:t xml:space="preserve">PART I </w:t>
      </w:r>
      <w:r>
        <w:rPr>
          <w:color w:val="000000"/>
        </w:rPr>
        <w:t xml:space="preserve">– </w:t>
      </w:r>
      <w:r>
        <w:rPr>
          <w:rFonts w:ascii="Times New Roman;sans-serif" w:hAnsi="Times New Roman;sans-serif"/>
          <w:b/>
          <w:color w:val="000000"/>
          <w:sz w:val="20"/>
        </w:rPr>
        <w:t>FINANCIAL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60" w:after="283"/>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pStyle w:val="TextBody"/>
        <w:spacing w:before="0" w:after="0"/>
        <w:ind w:left="0" w:right="0" w:firstLine="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WEATHERFORD INTERNATIONAL PLC AND SUBSIDIARIES</w:t>
      </w:r>
    </w:p>
    <w:p>
      <w:pPr>
        <w:pStyle w:val="TextBody"/>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 (UNAUDITED)</w:t>
      </w:r>
    </w:p>
    <w:tbl>
      <w:tblPr>
        <w:tblW w:w="7102" w:type="dxa"/>
        <w:jc w:val="center"/>
        <w:tblInd w:w="0" w:type="dxa"/>
        <w:tblCellMar>
          <w:top w:w="28" w:type="dxa"/>
          <w:left w:w="28" w:type="dxa"/>
          <w:bottom w:w="28" w:type="dxa"/>
          <w:right w:w="28" w:type="dxa"/>
        </w:tblCellMar>
      </w:tblPr>
      <w:tblGrid>
        <w:gridCol w:w="1759"/>
        <w:gridCol w:w="1547"/>
        <w:gridCol w:w="1553"/>
        <w:gridCol w:w="227"/>
        <w:gridCol w:w="551"/>
        <w:gridCol w:w="117"/>
        <w:gridCol w:w="227"/>
        <w:gridCol w:w="632"/>
        <w:gridCol w:w="117"/>
        <w:gridCol w:w="109"/>
        <w:gridCol w:w="109"/>
        <w:gridCol w:w="154"/>
      </w:tblGrid>
      <w:tr>
        <w:trPr/>
        <w:tc>
          <w:tcPr>
            <w:tcW w:w="1759" w:type="dxa"/>
            <w:tcBorders/>
            <w:shd w:fill="auto" w:val="clear"/>
            <w:vAlign w:val="center"/>
          </w:tcPr>
          <w:p>
            <w:pPr>
              <w:pStyle w:val="TableContents"/>
              <w:spacing w:before="0" w:after="283"/>
              <w:rPr>
                <w:sz w:val="4"/>
                <w:szCs w:val="4"/>
              </w:rPr>
            </w:pPr>
            <w:r>
              <w:rPr>
                <w:sz w:val="4"/>
                <w:szCs w:val="4"/>
              </w:rPr>
            </w:r>
          </w:p>
        </w:tc>
        <w:tc>
          <w:tcPr>
            <w:tcW w:w="1547" w:type="dxa"/>
            <w:tcBorders/>
            <w:shd w:fill="auto" w:val="clear"/>
            <w:vAlign w:val="center"/>
          </w:tcPr>
          <w:p>
            <w:pPr>
              <w:pStyle w:val="TableContents"/>
              <w:spacing w:before="0" w:after="283"/>
              <w:rPr>
                <w:sz w:val="4"/>
                <w:szCs w:val="4"/>
              </w:rPr>
            </w:pPr>
            <w:r>
              <w:rPr>
                <w:sz w:val="4"/>
                <w:szCs w:val="4"/>
              </w:rPr>
            </w:r>
          </w:p>
        </w:tc>
        <w:tc>
          <w:tcPr>
            <w:tcW w:w="1553"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632"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1"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48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1"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48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(Dollars and shares in millions, except per share amounts)</w:t>
            </w:r>
          </w:p>
        </w:tc>
        <w:tc>
          <w:tcPr>
            <w:tcW w:w="8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9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5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Revenues: </w:t>
            </w:r>
          </w:p>
        </w:tc>
        <w:tc>
          <w:tcPr>
            <w:tcW w:w="89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22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Products</w:t>
            </w:r>
          </w:p>
        </w:tc>
        <w:tc>
          <w:tcPr>
            <w:tcW w:w="7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5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Total Revenues </w:t>
            </w:r>
          </w:p>
        </w:tc>
        <w:tc>
          <w:tcPr>
            <w:tcW w:w="77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5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5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9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Costs and Expenses:</w:t>
            </w:r>
          </w:p>
        </w:tc>
        <w:tc>
          <w:tcPr>
            <w:tcW w:w="8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7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Products</w:t>
            </w:r>
          </w:p>
        </w:tc>
        <w:tc>
          <w:tcPr>
            <w:tcW w:w="7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7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7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Charges</w:t>
            </w:r>
          </w:p>
        </w:tc>
        <w:tc>
          <w:tcPr>
            <w:tcW w:w="7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C2C2C"/>
                <w:sz w:val="20"/>
              </w:rPr>
            </w:pPr>
            <w:r>
              <w:rPr>
                <w:rFonts w:ascii="Times New Roman;sans-serif" w:hAnsi="Times New Roman;sans-serif"/>
                <w:b w:val="false"/>
                <w:color w:val="2C2C2C"/>
                <w:sz w:val="20"/>
              </w:rPr>
              <w:t>20 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Charges (Credits)</w:t>
            </w:r>
          </w:p>
        </w:tc>
        <w:tc>
          <w:tcPr>
            <w:tcW w:w="7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5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77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5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5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w:t>
            </w:r>
          </w:p>
        </w:tc>
        <w:tc>
          <w:tcPr>
            <w:tcW w:w="77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5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5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Net </w:t>
            </w:r>
          </w:p>
        </w:tc>
        <w:tc>
          <w:tcPr>
            <w:tcW w:w="77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5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7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2C2C2C"/>
                <w:sz w:val="20"/>
              </w:rPr>
            </w:pPr>
            <w:r>
              <w:rPr>
                <w:rFonts w:ascii="Times New Roman;sans-serif" w:hAnsi="Times New Roman;sans-serif"/>
                <w:b w:val="false"/>
                <w:color w:val="2C2C2C"/>
                <w:sz w:val="20"/>
              </w:rPr>
              <w:t>(16)</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59" w:type="dxa"/>
            <w:gridSpan w:val="3"/>
            <w:tcBorders/>
            <w:shd w:fill="auto" w:val="clear"/>
            <w:vAlign w:val="center"/>
          </w:tcPr>
          <w:p>
            <w:pPr>
              <w:pStyle w:val="TableContents"/>
              <w:spacing w:before="0" w:after="283"/>
              <w:rPr>
                <w:sz w:val="4"/>
                <w:szCs w:val="4"/>
              </w:rPr>
            </w:pPr>
            <w:r>
              <w:rPr>
                <w:sz w:val="4"/>
                <w:szCs w:val="4"/>
              </w:rPr>
            </w:r>
          </w:p>
        </w:tc>
        <w:tc>
          <w:tcPr>
            <w:tcW w:w="895" w:type="dxa"/>
            <w:gridSpan w:val="3"/>
            <w:tcBorders/>
            <w:shd w:fill="auto" w:val="clear"/>
            <w:vAlign w:val="center"/>
          </w:tcPr>
          <w:p>
            <w:pPr>
              <w:pStyle w:val="TableContents"/>
              <w:spacing w:before="0" w:after="283"/>
              <w:rPr>
                <w:sz w:val="4"/>
                <w:szCs w:val="4"/>
              </w:rPr>
            </w:pPr>
            <w:r>
              <w:rPr>
                <w:sz w:val="4"/>
                <w:szCs w:val="4"/>
              </w:rPr>
            </w:r>
          </w:p>
        </w:tc>
        <w:tc>
          <w:tcPr>
            <w:tcW w:w="97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59" w:type="dxa"/>
            <w:gridSpan w:val="3"/>
            <w:tcBorders/>
            <w:shd w:fill="auto" w:val="clear"/>
            <w:vAlign w:val="center"/>
          </w:tcPr>
          <w:p>
            <w:pPr>
              <w:pStyle w:val="TableContents"/>
              <w:spacing w:before="0" w:after="283"/>
              <w:rPr>
                <w:sz w:val="4"/>
                <w:szCs w:val="4"/>
              </w:rPr>
            </w:pPr>
            <w:r>
              <w:rPr>
                <w:sz w:val="4"/>
                <w:szCs w:val="4"/>
              </w:rPr>
            </w:r>
          </w:p>
        </w:tc>
        <w:tc>
          <w:tcPr>
            <w:tcW w:w="895" w:type="dxa"/>
            <w:gridSpan w:val="3"/>
            <w:tcBorders/>
            <w:shd w:fill="auto" w:val="clear"/>
            <w:vAlign w:val="center"/>
          </w:tcPr>
          <w:p>
            <w:pPr>
              <w:pStyle w:val="TableContents"/>
              <w:spacing w:before="0" w:after="283"/>
              <w:rPr>
                <w:sz w:val="4"/>
                <w:szCs w:val="4"/>
              </w:rPr>
            </w:pPr>
            <w:r>
              <w:rPr>
                <w:sz w:val="4"/>
                <w:szCs w:val="4"/>
              </w:rPr>
            </w:r>
          </w:p>
        </w:tc>
        <w:tc>
          <w:tcPr>
            <w:tcW w:w="97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5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w:t>
            </w:r>
          </w:p>
        </w:tc>
        <w:tc>
          <w:tcPr>
            <w:tcW w:w="77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5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7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5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77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5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Interests</w:t>
            </w:r>
          </w:p>
        </w:tc>
        <w:tc>
          <w:tcPr>
            <w:tcW w:w="7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5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 Attributable to Weatherford</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5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9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Income (Loss) per Share</w:t>
            </w:r>
          </w:p>
        </w:tc>
        <w:tc>
          <w:tcPr>
            <w:tcW w:w="22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Weighted Average Shares Outstanding</w:t>
            </w:r>
          </w:p>
        </w:tc>
        <w:tc>
          <w:tcPr>
            <w:tcW w:w="7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Income (Loss) per Share</w:t>
            </w:r>
          </w:p>
        </w:tc>
        <w:tc>
          <w:tcPr>
            <w:tcW w:w="22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0.97 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Weighted Average Shares Outstanding</w:t>
            </w:r>
          </w:p>
        </w:tc>
        <w:tc>
          <w:tcPr>
            <w:tcW w:w="7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100" w:after="283"/>
        <w:ind w:left="0" w:right="0" w:firstLine="360"/>
        <w:jc w:val="center"/>
        <w:rPr/>
      </w:pPr>
      <w:r>
        <w:rPr/>
      </w:r>
    </w:p>
    <w:p>
      <w:pPr>
        <w:pStyle w:val="TextBody"/>
        <w:spacing w:before="100" w:after="283"/>
        <w:ind w:left="0" w:right="0" w:firstLine="36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98780"/>
                <wp:effectExtent l="0" t="0" r="0" b="0"/>
                <wp:wrapNone/>
                <wp:docPr id="3" name="Frame3"/>
                <a:graphic xmlns:a="http://schemas.openxmlformats.org/drawingml/2006/main">
                  <a:graphicData uri="http://schemas.microsoft.com/office/word/2010/wordprocessingShape">
                    <wps:wsp>
                      <wps:cNvSpPr txBox="1"/>
                      <wps:spPr>
                        <a:xfrm>
                          <a:off x="0" y="0"/>
                          <a:ext cx="6480175" cy="398780"/>
                        </a:xfrm>
                        <a:prstGeom prst="rect"/>
                      </wps:spPr>
                      <wps:txbx>
                        <w:txbxContent>
                          <w:p>
                            <w:pPr>
                              <w:pStyle w:val="TextBody"/>
                              <w:spacing w:lineRule="auto" w:line="288" w:before="60" w:after="6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6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before="60" w:after="283"/>
        <w:ind w:left="0" w:right="0" w:firstLine="360"/>
        <w:rPr/>
      </w:pPr>
      <w:r>
        <w:rPr/>
      </w:r>
    </w:p>
    <w:p>
      <w:pPr>
        <w:pStyle w:val="TextBody"/>
        <w:spacing w:lineRule="auto" w:line="288" w:before="60" w:after="283"/>
        <w:ind w:left="0" w:right="0" w:firstLine="360"/>
        <w:rPr/>
      </w:pPr>
      <w:hyperlink w:anchor="i6cc7e3401d8a485198d3a93c25e5b7bf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WEATHERFORD INTERNATIONAL PLC AND SUBSIDIARIES</w:t>
      </w:r>
    </w:p>
    <w:p>
      <w:pPr>
        <w:pStyle w:val="TextBody"/>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COMPREHENSIVE INCOME (LOSS) </w:t>
      </w:r>
    </w:p>
    <w:p>
      <w:pPr>
        <w:pStyle w:val="TextBody"/>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7556" w:type="dxa"/>
        <w:jc w:val="center"/>
        <w:tblInd w:w="0" w:type="dxa"/>
        <w:tblCellMar>
          <w:top w:w="28" w:type="dxa"/>
          <w:left w:w="28" w:type="dxa"/>
          <w:bottom w:w="28" w:type="dxa"/>
          <w:right w:w="28" w:type="dxa"/>
        </w:tblCellMar>
      </w:tblPr>
      <w:tblGrid>
        <w:gridCol w:w="1921"/>
        <w:gridCol w:w="1687"/>
        <w:gridCol w:w="1702"/>
        <w:gridCol w:w="275"/>
        <w:gridCol w:w="471"/>
        <w:gridCol w:w="142"/>
        <w:gridCol w:w="275"/>
        <w:gridCol w:w="569"/>
        <w:gridCol w:w="142"/>
        <w:gridCol w:w="109"/>
        <w:gridCol w:w="109"/>
        <w:gridCol w:w="154"/>
      </w:tblGrid>
      <w:tr>
        <w:trPr/>
        <w:tc>
          <w:tcPr>
            <w:tcW w:w="1921" w:type="dxa"/>
            <w:tcBorders/>
            <w:shd w:fill="auto" w:val="clear"/>
            <w:vAlign w:val="center"/>
          </w:tcPr>
          <w:p>
            <w:pPr>
              <w:pStyle w:val="TableContents"/>
              <w:spacing w:before="0" w:after="283"/>
              <w:rPr>
                <w:sz w:val="4"/>
                <w:szCs w:val="4"/>
              </w:rPr>
            </w:pPr>
            <w:r>
              <w:rPr>
                <w:sz w:val="4"/>
                <w:szCs w:val="4"/>
              </w:rPr>
            </w:r>
          </w:p>
        </w:tc>
        <w:tc>
          <w:tcPr>
            <w:tcW w:w="1687" w:type="dxa"/>
            <w:tcBorders/>
            <w:shd w:fill="auto" w:val="clear"/>
            <w:vAlign w:val="center"/>
          </w:tcPr>
          <w:p>
            <w:pPr>
              <w:pStyle w:val="TableContents"/>
              <w:spacing w:before="0" w:after="283"/>
              <w:rPr>
                <w:sz w:val="4"/>
                <w:szCs w:val="4"/>
              </w:rPr>
            </w:pPr>
            <w:r>
              <w:rPr>
                <w:sz w:val="4"/>
                <w:szCs w:val="4"/>
              </w:rPr>
            </w:r>
          </w:p>
        </w:tc>
        <w:tc>
          <w:tcPr>
            <w:tcW w:w="1702"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569"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4"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53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4"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53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(Dollars in millions)</w:t>
            </w:r>
          </w:p>
        </w:tc>
        <w:tc>
          <w:tcPr>
            <w:tcW w:w="88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9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1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7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10" w:type="dxa"/>
            <w:gridSpan w:val="3"/>
            <w:tcBorders/>
            <w:shd w:fill="auto" w:val="clear"/>
            <w:vAlign w:val="center"/>
          </w:tcPr>
          <w:p>
            <w:pPr>
              <w:pStyle w:val="TableContents"/>
              <w:spacing w:before="0" w:after="283"/>
              <w:rPr>
                <w:sz w:val="4"/>
                <w:szCs w:val="4"/>
              </w:rPr>
            </w:pPr>
            <w:r>
              <w:rPr>
                <w:sz w:val="4"/>
                <w:szCs w:val="4"/>
              </w:rPr>
            </w:r>
          </w:p>
        </w:tc>
        <w:tc>
          <w:tcPr>
            <w:tcW w:w="888" w:type="dxa"/>
            <w:gridSpan w:val="3"/>
            <w:tcBorders/>
            <w:shd w:fill="auto" w:val="clear"/>
            <w:vAlign w:val="center"/>
          </w:tcPr>
          <w:p>
            <w:pPr>
              <w:pStyle w:val="TableContents"/>
              <w:spacing w:before="0" w:after="283"/>
              <w:rPr>
                <w:sz w:val="4"/>
                <w:szCs w:val="4"/>
              </w:rPr>
            </w:pPr>
            <w:r>
              <w:rPr>
                <w:sz w:val="4"/>
                <w:szCs w:val="4"/>
              </w:rPr>
            </w:r>
          </w:p>
        </w:tc>
        <w:tc>
          <w:tcPr>
            <w:tcW w:w="98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10" w:type="dxa"/>
            <w:gridSpan w:val="3"/>
            <w:tcBorders/>
            <w:shd w:fill="auto" w:val="clear"/>
            <w:vAlign w:val="center"/>
          </w:tcPr>
          <w:p>
            <w:pPr>
              <w:pStyle w:val="TableContents"/>
              <w:spacing w:before="0" w:after="283"/>
              <w:rPr>
                <w:sz w:val="4"/>
                <w:szCs w:val="4"/>
              </w:rPr>
            </w:pPr>
            <w:r>
              <w:rPr>
                <w:sz w:val="4"/>
                <w:szCs w:val="4"/>
              </w:rPr>
            </w:r>
          </w:p>
        </w:tc>
        <w:tc>
          <w:tcPr>
            <w:tcW w:w="888" w:type="dxa"/>
            <w:gridSpan w:val="3"/>
            <w:tcBorders/>
            <w:shd w:fill="auto" w:val="clear"/>
            <w:vAlign w:val="center"/>
          </w:tcPr>
          <w:p>
            <w:pPr>
              <w:pStyle w:val="TableContents"/>
              <w:spacing w:before="0" w:after="283"/>
              <w:rPr>
                <w:sz w:val="4"/>
                <w:szCs w:val="4"/>
              </w:rPr>
            </w:pPr>
            <w:r>
              <w:rPr>
                <w:sz w:val="4"/>
                <w:szCs w:val="4"/>
              </w:rPr>
            </w:r>
          </w:p>
        </w:tc>
        <w:tc>
          <w:tcPr>
            <w:tcW w:w="98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1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(Loss)</w:t>
            </w:r>
          </w:p>
        </w:tc>
        <w:tc>
          <w:tcPr>
            <w:tcW w:w="7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4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1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Attributable to Noncontrolling Interests</w:t>
            </w:r>
          </w:p>
        </w:tc>
        <w:tc>
          <w:tcPr>
            <w:tcW w:w="74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4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1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(Loss) Attributable to Weatherford</w:t>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98780"/>
                <wp:effectExtent l="0" t="0" r="0" b="0"/>
                <wp:wrapNone/>
                <wp:docPr id="4" name="Frame4"/>
                <a:graphic xmlns:a="http://schemas.openxmlformats.org/drawingml/2006/main">
                  <a:graphicData uri="http://schemas.microsoft.com/office/word/2010/wordprocessingShape">
                    <wps:wsp>
                      <wps:cNvSpPr txBox="1"/>
                      <wps:spPr>
                        <a:xfrm>
                          <a:off x="0" y="0"/>
                          <a:ext cx="6480175" cy="398780"/>
                        </a:xfrm>
                        <a:prstGeom prst="rect"/>
                      </wps:spPr>
                      <wps:txbx>
                        <w:txbxContent>
                          <w:p>
                            <w:pPr>
                              <w:pStyle w:val="TextBody"/>
                              <w:spacing w:lineRule="auto" w:line="288" w:before="60" w:after="6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6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before="60" w:after="283"/>
        <w:ind w:left="0" w:right="0" w:firstLine="360"/>
        <w:rPr/>
      </w:pPr>
      <w:r>
        <w:rPr/>
      </w:r>
    </w:p>
    <w:p>
      <w:pPr>
        <w:pStyle w:val="TextBody"/>
        <w:spacing w:lineRule="auto" w:line="288" w:before="60" w:after="283"/>
        <w:ind w:left="0" w:right="0" w:firstLine="360"/>
        <w:rPr/>
      </w:pPr>
      <w:hyperlink w:anchor="i6cc7e3401d8a485198d3a93c25e5b7bf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WEATHERFORD INTERNATIONAL PLC AND SUBSIDIARIES</w:t>
      </w:r>
    </w:p>
    <w:p>
      <w:pPr>
        <w:pStyle w:val="TextBody"/>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BALANCE SHEETS </w:t>
      </w:r>
    </w:p>
    <w:tbl>
      <w:tblPr>
        <w:tblW w:w="10205" w:type="dxa"/>
        <w:jc w:val="center"/>
        <w:tblInd w:w="0" w:type="dxa"/>
        <w:tblCellMar>
          <w:top w:w="28" w:type="dxa"/>
          <w:left w:w="28" w:type="dxa"/>
          <w:bottom w:w="28" w:type="dxa"/>
          <w:right w:w="28" w:type="dxa"/>
        </w:tblCellMar>
      </w:tblPr>
      <w:tblGrid>
        <w:gridCol w:w="2857"/>
        <w:gridCol w:w="2306"/>
        <w:gridCol w:w="2314"/>
        <w:gridCol w:w="318"/>
        <w:gridCol w:w="810"/>
        <w:gridCol w:w="143"/>
        <w:gridCol w:w="312"/>
        <w:gridCol w:w="912"/>
        <w:gridCol w:w="233"/>
      </w:tblGrid>
      <w:tr>
        <w:trPr/>
        <w:tc>
          <w:tcPr>
            <w:tcW w:w="2857" w:type="dxa"/>
            <w:tcBorders/>
            <w:shd w:fill="auto" w:val="clear"/>
            <w:vAlign w:val="center"/>
          </w:tcPr>
          <w:p>
            <w:pPr>
              <w:pStyle w:val="TableContents"/>
              <w:spacing w:before="0" w:after="283"/>
              <w:rPr>
                <w:sz w:val="4"/>
                <w:szCs w:val="4"/>
              </w:rPr>
            </w:pPr>
            <w:r>
              <w:rPr>
                <w:sz w:val="4"/>
                <w:szCs w:val="4"/>
              </w:rPr>
            </w:r>
          </w:p>
        </w:tc>
        <w:tc>
          <w:tcPr>
            <w:tcW w:w="2306" w:type="dxa"/>
            <w:tcBorders/>
            <w:shd w:fill="auto" w:val="clear"/>
            <w:vAlign w:val="center"/>
          </w:tcPr>
          <w:p>
            <w:pPr>
              <w:pStyle w:val="TableContents"/>
              <w:spacing w:before="0" w:after="283"/>
              <w:rPr>
                <w:sz w:val="4"/>
                <w:szCs w:val="4"/>
              </w:rPr>
            </w:pPr>
            <w:r>
              <w:rPr>
                <w:sz w:val="4"/>
                <w:szCs w:val="4"/>
              </w:rPr>
            </w:r>
          </w:p>
        </w:tc>
        <w:tc>
          <w:tcPr>
            <w:tcW w:w="2314"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810"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912"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r>
      <w:tr>
        <w:trPr/>
        <w:tc>
          <w:tcPr>
            <w:tcW w:w="7477" w:type="dxa"/>
            <w:gridSpan w:val="3"/>
            <w:tcBorders/>
            <w:shd w:fill="auto" w:val="clear"/>
            <w:vAlign w:val="center"/>
          </w:tcPr>
          <w:p>
            <w:pPr>
              <w:pStyle w:val="TableContents"/>
              <w:spacing w:before="0" w:after="283"/>
              <w:rPr>
                <w:sz w:val="4"/>
                <w:szCs w:val="4"/>
              </w:rPr>
            </w:pPr>
            <w:r>
              <w:rPr>
                <w:sz w:val="4"/>
                <w:szCs w:val="4"/>
              </w:rPr>
            </w:r>
          </w:p>
        </w:tc>
        <w:tc>
          <w:tcPr>
            <w:tcW w:w="1271" w:type="dxa"/>
            <w:gridSpan w:val="3"/>
            <w:tcBorders/>
            <w:shd w:fill="auto" w:val="clear"/>
            <w:vAlign w:val="center"/>
          </w:tcPr>
          <w:p>
            <w:pPr>
              <w:pStyle w:val="TableContents"/>
              <w:spacing w:before="0" w:after="283"/>
              <w:rPr>
                <w:sz w:val="4"/>
                <w:szCs w:val="4"/>
              </w:rPr>
            </w:pPr>
            <w:r>
              <w:rPr>
                <w:sz w:val="4"/>
                <w:szCs w:val="4"/>
              </w:rPr>
            </w:r>
          </w:p>
        </w:tc>
        <w:tc>
          <w:tcPr>
            <w:tcW w:w="1457" w:type="dxa"/>
            <w:gridSpan w:val="3"/>
            <w:tcBorders/>
            <w:shd w:fill="auto" w:val="clear"/>
            <w:vAlign w:val="center"/>
          </w:tcPr>
          <w:p>
            <w:pPr>
              <w:pStyle w:val="TableContents"/>
              <w:spacing w:before="0" w:after="283"/>
              <w:rPr>
                <w:sz w:val="4"/>
                <w:szCs w:val="4"/>
              </w:rPr>
            </w:pPr>
            <w:r>
              <w:rPr>
                <w:sz w:val="4"/>
                <w:szCs w:val="4"/>
              </w:rPr>
            </w:r>
          </w:p>
        </w:tc>
      </w:tr>
      <w:tr>
        <w:trPr/>
        <w:tc>
          <w:tcPr>
            <w:tcW w:w="747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(Dollars and shares in millions, except par value)</w:t>
            </w:r>
          </w:p>
        </w:tc>
        <w:tc>
          <w:tcPr>
            <w:tcW w:w="12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145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747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27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(Unaudited)</w:t>
            </w:r>
          </w:p>
        </w:tc>
        <w:tc>
          <w:tcPr>
            <w:tcW w:w="145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47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Assets:</w:t>
            </w:r>
          </w:p>
        </w:tc>
        <w:tc>
          <w:tcPr>
            <w:tcW w:w="127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45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4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1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833 </w:t>
            </w:r>
          </w:p>
        </w:tc>
        <w:tc>
          <w:tcPr>
            <w:tcW w:w="1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910 </w:t>
            </w:r>
          </w:p>
        </w:tc>
        <w:tc>
          <w:tcPr>
            <w:tcW w:w="2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1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2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 of Allowance for Credit Losses of $21 at March 31, 2023 and $26 at December 31, 2022</w:t>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1,088 </w:t>
            </w:r>
          </w:p>
        </w:tc>
        <w:tc>
          <w:tcPr>
            <w:tcW w:w="1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989 </w:t>
            </w:r>
          </w:p>
        </w:tc>
        <w:tc>
          <w:tcPr>
            <w:tcW w:w="2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Net</w:t>
            </w:r>
          </w:p>
        </w:tc>
        <w:tc>
          <w:tcPr>
            <w:tcW w:w="11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719 </w:t>
            </w:r>
          </w:p>
        </w:tc>
        <w:tc>
          <w:tcPr>
            <w:tcW w:w="1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689 </w:t>
            </w:r>
          </w:p>
        </w:tc>
        <w:tc>
          <w:tcPr>
            <w:tcW w:w="2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253 </w:t>
            </w:r>
          </w:p>
        </w:tc>
        <w:tc>
          <w:tcPr>
            <w:tcW w:w="1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253 </w:t>
            </w:r>
          </w:p>
        </w:tc>
        <w:tc>
          <w:tcPr>
            <w:tcW w:w="2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3,043 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3,043 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 of Accumulated Depreciation of $801 at March 31, 2023 and $773 at December 31, 2022</w:t>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919 </w:t>
            </w:r>
          </w:p>
        </w:tc>
        <w:tc>
          <w:tcPr>
            <w:tcW w:w="1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918 </w:t>
            </w:r>
          </w:p>
        </w:tc>
        <w:tc>
          <w:tcPr>
            <w:tcW w:w="2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 of Accumulated Amortization of $520 at March 31, 2023 and $480 at December 31, 2022</w:t>
            </w:r>
          </w:p>
        </w:tc>
        <w:tc>
          <w:tcPr>
            <w:tcW w:w="11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474 </w:t>
            </w:r>
          </w:p>
        </w:tc>
        <w:tc>
          <w:tcPr>
            <w:tcW w:w="1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506 </w:t>
            </w:r>
          </w:p>
        </w:tc>
        <w:tc>
          <w:tcPr>
            <w:tcW w:w="2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Assets</w:t>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2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11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1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2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4,709 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4,720 </w:t>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27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45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4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2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Long-term Debt</w:t>
            </w:r>
          </w:p>
        </w:tc>
        <w:tc>
          <w:tcPr>
            <w:tcW w:w="31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2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502 </w:t>
            </w:r>
          </w:p>
        </w:tc>
        <w:tc>
          <w:tcPr>
            <w:tcW w:w="1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460 </w:t>
            </w:r>
          </w:p>
        </w:tc>
        <w:tc>
          <w:tcPr>
            <w:tcW w:w="2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Salaries and Benefits</w:t>
            </w:r>
          </w:p>
        </w:tc>
        <w:tc>
          <w:tcPr>
            <w:tcW w:w="11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271 </w:t>
            </w:r>
          </w:p>
        </w:tc>
        <w:tc>
          <w:tcPr>
            <w:tcW w:w="1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367 </w:t>
            </w:r>
          </w:p>
        </w:tc>
        <w:tc>
          <w:tcPr>
            <w:tcW w:w="2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Payable</w:t>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2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Operating Lease Liabilities</w:t>
            </w:r>
          </w:p>
        </w:tc>
        <w:tc>
          <w:tcPr>
            <w:tcW w:w="11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2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449 </w:t>
            </w:r>
          </w:p>
        </w:tc>
        <w:tc>
          <w:tcPr>
            <w:tcW w:w="1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413 </w:t>
            </w:r>
          </w:p>
        </w:tc>
        <w:tc>
          <w:tcPr>
            <w:tcW w:w="2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1,511 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1,470 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2,067 </w:t>
            </w:r>
          </w:p>
        </w:tc>
        <w:tc>
          <w:tcPr>
            <w:tcW w:w="1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2,203 </w:t>
            </w:r>
          </w:p>
        </w:tc>
        <w:tc>
          <w:tcPr>
            <w:tcW w:w="2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1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2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Taxes Payable</w:t>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1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2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11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2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4,123 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4,169 </w:t>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Shareholders’ Equity:</w:t>
            </w:r>
          </w:p>
        </w:tc>
        <w:tc>
          <w:tcPr>
            <w:tcW w:w="12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Ordinary Shares - Par Value $0.001; Authorized 1,356 shares, Issued and Outstanding 72 shares at March 31, 2023 and 71 at December 31, 2022</w:t>
            </w:r>
          </w:p>
        </w:tc>
        <w:tc>
          <w:tcPr>
            <w:tcW w:w="31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0"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2"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in Excess of Par Value</w:t>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2,885 </w:t>
            </w:r>
          </w:p>
        </w:tc>
        <w:tc>
          <w:tcPr>
            <w:tcW w:w="1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2,928 </w:t>
            </w:r>
          </w:p>
        </w:tc>
        <w:tc>
          <w:tcPr>
            <w:tcW w:w="2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Deficit</w:t>
            </w:r>
          </w:p>
        </w:tc>
        <w:tc>
          <w:tcPr>
            <w:tcW w:w="11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(2,299)</w:t>
            </w:r>
          </w:p>
        </w:tc>
        <w:tc>
          <w:tcPr>
            <w:tcW w:w="1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(2,371)</w:t>
            </w:r>
          </w:p>
        </w:tc>
        <w:tc>
          <w:tcPr>
            <w:tcW w:w="2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2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Weatherford Shareholders’ Equity</w:t>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Interests</w:t>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2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Shareholders’ Equity</w:t>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Shareholders’ Equity</w:t>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4,709 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4,720 </w:t>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firstLine="360"/>
        <w:jc w:val="center"/>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98780"/>
                <wp:effectExtent l="0" t="0" r="0" b="0"/>
                <wp:wrapNone/>
                <wp:docPr id="5" name="Frame5"/>
                <a:graphic xmlns:a="http://schemas.openxmlformats.org/drawingml/2006/main">
                  <a:graphicData uri="http://schemas.microsoft.com/office/word/2010/wordprocessingShape">
                    <wps:wsp>
                      <wps:cNvSpPr txBox="1"/>
                      <wps:spPr>
                        <a:xfrm>
                          <a:off x="0" y="0"/>
                          <a:ext cx="6480175" cy="398780"/>
                        </a:xfrm>
                        <a:prstGeom prst="rect"/>
                      </wps:spPr>
                      <wps:txbx>
                        <w:txbxContent>
                          <w:p>
                            <w:pPr>
                              <w:pStyle w:val="TextBody"/>
                              <w:spacing w:lineRule="auto" w:line="288" w:before="60" w:after="6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6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before="60" w:after="283"/>
        <w:ind w:left="0" w:right="0" w:firstLine="360"/>
        <w:rPr/>
      </w:pPr>
      <w:r>
        <w:rPr/>
      </w:r>
    </w:p>
    <w:p>
      <w:pPr>
        <w:pStyle w:val="TextBody"/>
        <w:spacing w:lineRule="auto" w:line="288" w:before="60" w:after="283"/>
        <w:ind w:left="0" w:right="0" w:firstLine="360"/>
        <w:rPr/>
      </w:pPr>
      <w:hyperlink w:anchor="i6cc7e3401d8a485198d3a93c25e5b7bf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WEATHERFORD INTERNATIONAL PLC AND SUBSIDIARIES</w:t>
      </w:r>
    </w:p>
    <w:p>
      <w:pPr>
        <w:pStyle w:val="TextBody"/>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 (UNAUDITED)</w:t>
      </w:r>
    </w:p>
    <w:tbl>
      <w:tblPr>
        <w:tblW w:w="10182" w:type="dxa"/>
        <w:jc w:val="center"/>
        <w:tblInd w:w="0" w:type="dxa"/>
        <w:tblCellMar>
          <w:top w:w="28" w:type="dxa"/>
          <w:left w:w="28" w:type="dxa"/>
          <w:bottom w:w="28" w:type="dxa"/>
          <w:right w:w="28" w:type="dxa"/>
        </w:tblCellMar>
      </w:tblPr>
      <w:tblGrid>
        <w:gridCol w:w="2657"/>
        <w:gridCol w:w="2334"/>
        <w:gridCol w:w="2358"/>
        <w:gridCol w:w="327"/>
        <w:gridCol w:w="702"/>
        <w:gridCol w:w="181"/>
        <w:gridCol w:w="327"/>
        <w:gridCol w:w="928"/>
        <w:gridCol w:w="368"/>
      </w:tblGrid>
      <w:tr>
        <w:trPr/>
        <w:tc>
          <w:tcPr>
            <w:tcW w:w="2657" w:type="dxa"/>
            <w:tcBorders/>
            <w:shd w:fill="auto" w:val="clear"/>
            <w:vAlign w:val="center"/>
          </w:tcPr>
          <w:p>
            <w:pPr>
              <w:pStyle w:val="TableContents"/>
              <w:spacing w:before="0" w:after="283"/>
              <w:rPr>
                <w:sz w:val="4"/>
                <w:szCs w:val="4"/>
              </w:rPr>
            </w:pPr>
            <w:r>
              <w:rPr>
                <w:sz w:val="4"/>
                <w:szCs w:val="4"/>
              </w:rPr>
            </w:r>
          </w:p>
        </w:tc>
        <w:tc>
          <w:tcPr>
            <w:tcW w:w="2334" w:type="dxa"/>
            <w:tcBorders/>
            <w:shd w:fill="auto" w:val="clear"/>
            <w:vAlign w:val="center"/>
          </w:tcPr>
          <w:p>
            <w:pPr>
              <w:pStyle w:val="TableContents"/>
              <w:spacing w:before="0" w:after="283"/>
              <w:rPr>
                <w:sz w:val="4"/>
                <w:szCs w:val="4"/>
              </w:rPr>
            </w:pPr>
            <w:r>
              <w:rPr>
                <w:sz w:val="4"/>
                <w:szCs w:val="4"/>
              </w:rPr>
            </w:r>
          </w:p>
        </w:tc>
        <w:tc>
          <w:tcPr>
            <w:tcW w:w="2358" w:type="dxa"/>
            <w:tcBorders/>
            <w:shd w:fill="auto" w:val="clear"/>
            <w:vAlign w:val="center"/>
          </w:tcPr>
          <w:p>
            <w:pPr>
              <w:pStyle w:val="TableContents"/>
              <w:spacing w:before="0" w:after="283"/>
              <w:rPr>
                <w:sz w:val="4"/>
                <w:szCs w:val="4"/>
              </w:rPr>
            </w:pPr>
            <w:r>
              <w:rPr>
                <w:sz w:val="4"/>
                <w:szCs w:val="4"/>
              </w:rPr>
            </w:r>
          </w:p>
        </w:tc>
        <w:tc>
          <w:tcPr>
            <w:tcW w:w="327" w:type="dxa"/>
            <w:tcBorders/>
            <w:shd w:fill="auto" w:val="clear"/>
            <w:vAlign w:val="center"/>
          </w:tcPr>
          <w:p>
            <w:pPr>
              <w:pStyle w:val="TableContents"/>
              <w:spacing w:before="0" w:after="283"/>
              <w:rPr>
                <w:sz w:val="4"/>
                <w:szCs w:val="4"/>
              </w:rPr>
            </w:pPr>
            <w:r>
              <w:rPr>
                <w:sz w:val="4"/>
                <w:szCs w:val="4"/>
              </w:rPr>
            </w:r>
          </w:p>
        </w:tc>
        <w:tc>
          <w:tcPr>
            <w:tcW w:w="702"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327" w:type="dxa"/>
            <w:tcBorders/>
            <w:shd w:fill="auto" w:val="clear"/>
            <w:vAlign w:val="center"/>
          </w:tcPr>
          <w:p>
            <w:pPr>
              <w:pStyle w:val="TableContents"/>
              <w:spacing w:before="0" w:after="283"/>
              <w:rPr>
                <w:sz w:val="4"/>
                <w:szCs w:val="4"/>
              </w:rPr>
            </w:pPr>
            <w:r>
              <w:rPr>
                <w:sz w:val="4"/>
                <w:szCs w:val="4"/>
              </w:rPr>
            </w:r>
          </w:p>
        </w:tc>
        <w:tc>
          <w:tcPr>
            <w:tcW w:w="92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r>
      <w:tr>
        <w:trPr/>
        <w:tc>
          <w:tcPr>
            <w:tcW w:w="73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3"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73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(Dollars in millions)</w:t>
            </w:r>
          </w:p>
        </w:tc>
        <w:tc>
          <w:tcPr>
            <w:tcW w:w="12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62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734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121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62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3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32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w:t>
            </w:r>
          </w:p>
        </w:tc>
        <w:tc>
          <w:tcPr>
            <w:tcW w:w="3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(Loss) to Net Cash Provided by (Used in) Operating Activities:</w:t>
            </w:r>
          </w:p>
        </w:tc>
        <w:tc>
          <w:tcPr>
            <w:tcW w:w="12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0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87 </w:t>
            </w:r>
          </w:p>
        </w:tc>
        <w:tc>
          <w:tcPr>
            <w:tcW w:w="3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49" w:type="dxa"/>
            <w:gridSpan w:val="3"/>
            <w:tcBorders/>
            <w:shd w:fill="auto" w:val="clear"/>
            <w:vAlign w:val="center"/>
          </w:tcPr>
          <w:p>
            <w:pPr>
              <w:pStyle w:val="TableContents"/>
              <w:spacing w:before="0" w:after="283"/>
              <w:rPr>
                <w:sz w:val="4"/>
                <w:szCs w:val="4"/>
              </w:rPr>
            </w:pPr>
            <w:r>
              <w:rPr>
                <w:sz w:val="4"/>
                <w:szCs w:val="4"/>
              </w:rPr>
            </w:r>
          </w:p>
        </w:tc>
        <w:tc>
          <w:tcPr>
            <w:tcW w:w="1210" w:type="dxa"/>
            <w:gridSpan w:val="3"/>
            <w:tcBorders/>
            <w:shd w:fill="auto" w:val="clear"/>
            <w:vAlign w:val="center"/>
          </w:tcPr>
          <w:p>
            <w:pPr>
              <w:pStyle w:val="TableContents"/>
              <w:spacing w:before="0" w:after="283"/>
              <w:rPr>
                <w:sz w:val="4"/>
                <w:szCs w:val="4"/>
              </w:rPr>
            </w:pPr>
            <w:r>
              <w:rPr>
                <w:sz w:val="4"/>
                <w:szCs w:val="4"/>
              </w:rPr>
            </w:r>
          </w:p>
        </w:tc>
        <w:tc>
          <w:tcPr>
            <w:tcW w:w="1623" w:type="dxa"/>
            <w:gridSpan w:val="3"/>
            <w:tcBorders/>
            <w:shd w:fill="auto" w:val="clear"/>
            <w:vAlign w:val="center"/>
          </w:tcPr>
          <w:p>
            <w:pPr>
              <w:pStyle w:val="TableContents"/>
              <w:spacing w:before="0" w:after="283"/>
              <w:rPr>
                <w:sz w:val="4"/>
                <w:szCs w:val="4"/>
              </w:rPr>
            </w:pPr>
            <w:r>
              <w:rPr>
                <w:sz w:val="4"/>
                <w:szCs w:val="4"/>
              </w:rPr>
            </w:r>
          </w:p>
        </w:tc>
      </w:tr>
      <w:tr>
        <w:trPr/>
        <w:tc>
          <w:tcPr>
            <w:tcW w:w="7349" w:type="dxa"/>
            <w:gridSpan w:val="3"/>
            <w:tcBorders/>
            <w:shd w:fill="auto" w:val="clear"/>
            <w:vAlign w:val="center"/>
          </w:tcPr>
          <w:p>
            <w:pPr>
              <w:pStyle w:val="TableContents"/>
              <w:spacing w:before="0" w:after="283"/>
              <w:rPr>
                <w:sz w:val="4"/>
                <w:szCs w:val="4"/>
              </w:rPr>
            </w:pPr>
            <w:r>
              <w:rPr>
                <w:sz w:val="4"/>
                <w:szCs w:val="4"/>
              </w:rPr>
            </w:r>
          </w:p>
        </w:tc>
        <w:tc>
          <w:tcPr>
            <w:tcW w:w="1210" w:type="dxa"/>
            <w:gridSpan w:val="3"/>
            <w:tcBorders/>
            <w:shd w:fill="auto" w:val="clear"/>
            <w:vAlign w:val="center"/>
          </w:tcPr>
          <w:p>
            <w:pPr>
              <w:pStyle w:val="TableContents"/>
              <w:spacing w:before="0" w:after="283"/>
              <w:rPr>
                <w:sz w:val="4"/>
                <w:szCs w:val="4"/>
              </w:rPr>
            </w:pPr>
            <w:r>
              <w:rPr>
                <w:sz w:val="4"/>
                <w:szCs w:val="4"/>
              </w:rPr>
            </w:r>
          </w:p>
        </w:tc>
        <w:tc>
          <w:tcPr>
            <w:tcW w:w="1623" w:type="dxa"/>
            <w:gridSpan w:val="3"/>
            <w:tcBorders/>
            <w:shd w:fill="auto" w:val="clear"/>
            <w:vAlign w:val="center"/>
          </w:tcPr>
          <w:p>
            <w:pPr>
              <w:pStyle w:val="TableContents"/>
              <w:spacing w:before="0" w:after="283"/>
              <w:rPr>
                <w:sz w:val="4"/>
                <w:szCs w:val="4"/>
              </w:rPr>
            </w:pPr>
            <w:r>
              <w:rPr>
                <w:sz w:val="4"/>
                <w:szCs w:val="4"/>
              </w:rPr>
            </w:r>
          </w:p>
        </w:tc>
      </w:tr>
      <w:tr>
        <w:trPr/>
        <w:tc>
          <w:tcPr>
            <w:tcW w:w="7349" w:type="dxa"/>
            <w:gridSpan w:val="3"/>
            <w:tcBorders/>
            <w:shd w:fill="auto" w:val="clear"/>
            <w:vAlign w:val="center"/>
          </w:tcPr>
          <w:p>
            <w:pPr>
              <w:pStyle w:val="TableContents"/>
              <w:spacing w:before="0" w:after="283"/>
              <w:rPr>
                <w:sz w:val="4"/>
                <w:szCs w:val="4"/>
              </w:rPr>
            </w:pPr>
            <w:r>
              <w:rPr>
                <w:sz w:val="4"/>
                <w:szCs w:val="4"/>
              </w:rPr>
            </w:r>
          </w:p>
        </w:tc>
        <w:tc>
          <w:tcPr>
            <w:tcW w:w="1210" w:type="dxa"/>
            <w:gridSpan w:val="3"/>
            <w:tcBorders/>
            <w:shd w:fill="auto" w:val="clear"/>
            <w:vAlign w:val="center"/>
          </w:tcPr>
          <w:p>
            <w:pPr>
              <w:pStyle w:val="TableContents"/>
              <w:spacing w:before="0" w:after="283"/>
              <w:rPr>
                <w:sz w:val="4"/>
                <w:szCs w:val="4"/>
              </w:rPr>
            </w:pPr>
            <w:r>
              <w:rPr>
                <w:sz w:val="4"/>
                <w:szCs w:val="4"/>
              </w:rPr>
            </w:r>
          </w:p>
        </w:tc>
        <w:tc>
          <w:tcPr>
            <w:tcW w:w="1623" w:type="dxa"/>
            <w:gridSpan w:val="3"/>
            <w:tcBorders/>
            <w:shd w:fill="auto" w:val="clear"/>
            <w:vAlign w:val="center"/>
          </w:tcPr>
          <w:p>
            <w:pPr>
              <w:pStyle w:val="TableContents"/>
              <w:spacing w:before="0" w:after="283"/>
              <w:rPr>
                <w:sz w:val="4"/>
                <w:szCs w:val="4"/>
              </w:rPr>
            </w:pPr>
            <w:r>
              <w:rPr>
                <w:sz w:val="4"/>
                <w:szCs w:val="4"/>
              </w:rPr>
            </w:r>
          </w:p>
        </w:tc>
      </w:tr>
      <w:tr>
        <w:trPr/>
        <w:tc>
          <w:tcPr>
            <w:tcW w:w="73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 Write-downs and Other Charges</w:t>
            </w:r>
          </w:p>
        </w:tc>
        <w:tc>
          <w:tcPr>
            <w:tcW w:w="10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3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Inventory Charges</w:t>
            </w:r>
          </w:p>
        </w:tc>
        <w:tc>
          <w:tcPr>
            <w:tcW w:w="10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3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Disposition of Assets</w:t>
            </w:r>
          </w:p>
        </w:tc>
        <w:tc>
          <w:tcPr>
            <w:tcW w:w="10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3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 Provision</w:t>
            </w:r>
          </w:p>
        </w:tc>
        <w:tc>
          <w:tcPr>
            <w:tcW w:w="10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3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w:t>
            </w:r>
          </w:p>
        </w:tc>
        <w:tc>
          <w:tcPr>
            <w:tcW w:w="10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3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 Net:</w:t>
            </w:r>
          </w:p>
        </w:tc>
        <w:tc>
          <w:tcPr>
            <w:tcW w:w="12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4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firstLine="90"/>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10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w:t>
            </w:r>
          </w:p>
        </w:tc>
        <w:tc>
          <w:tcPr>
            <w:tcW w:w="3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49"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firstLine="90"/>
              <w:jc w:val="left"/>
              <w:rPr>
                <w:rFonts w:ascii="Times New Roman;sans-serif" w:hAnsi="Times New Roman;sans-serif"/>
                <w:b w:val="false"/>
                <w:color w:val="000000"/>
                <w:sz w:val="18"/>
              </w:rPr>
            </w:pPr>
            <w:r>
              <w:rPr>
                <w:rFonts w:ascii="Times New Roman;sans-serif" w:hAnsi="Times New Roman;sans-serif"/>
                <w:b w:val="false"/>
                <w:color w:val="000000"/>
                <w:sz w:val="18"/>
              </w:rPr>
              <w:t>Inventories</w:t>
            </w:r>
          </w:p>
        </w:tc>
        <w:tc>
          <w:tcPr>
            <w:tcW w:w="10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3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4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firstLine="90"/>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10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368" w:type="dxa"/>
            <w:tcBorders/>
            <w:shd w:fill="FFFFFF" w:val="clear"/>
            <w:tcMar>
              <w:top w:w="0" w:type="dxa"/>
              <w:left w:w="0" w:type="dxa"/>
              <w:bottom w:w="0" w:type="dxa"/>
              <w:right w:w="0" w:type="dxa"/>
            </w:tcMar>
            <w:vAlign w:val="center"/>
          </w:tcPr>
          <w:p>
            <w:pPr>
              <w:pStyle w:val="TableContents"/>
              <w:spacing w:before="0" w:after="283"/>
              <w:ind w:left="0" w:right="0" w:firstLine="90"/>
              <w:rPr>
                <w:sz w:val="4"/>
                <w:szCs w:val="4"/>
              </w:rPr>
            </w:pPr>
            <w:r>
              <w:rPr>
                <w:sz w:val="4"/>
                <w:szCs w:val="4"/>
              </w:rPr>
            </w:r>
          </w:p>
        </w:tc>
      </w:tr>
      <w:tr>
        <w:trPr/>
        <w:tc>
          <w:tcPr>
            <w:tcW w:w="73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 and Liabilities, Net</w:t>
            </w:r>
          </w:p>
        </w:tc>
        <w:tc>
          <w:tcPr>
            <w:tcW w:w="10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3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4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Provided by (Used in) Operating Activities</w:t>
            </w:r>
          </w:p>
        </w:tc>
        <w:tc>
          <w:tcPr>
            <w:tcW w:w="102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25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w:t>
            </w:r>
          </w:p>
        </w:tc>
        <w:tc>
          <w:tcPr>
            <w:tcW w:w="36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4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121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62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3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Expenditures for Property, Plant and Equipment</w:t>
            </w:r>
          </w:p>
        </w:tc>
        <w:tc>
          <w:tcPr>
            <w:tcW w:w="10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3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Disposition of Assets</w:t>
            </w:r>
          </w:p>
        </w:tc>
        <w:tc>
          <w:tcPr>
            <w:tcW w:w="10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3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Investing Activities</w:t>
            </w:r>
          </w:p>
        </w:tc>
        <w:tc>
          <w:tcPr>
            <w:tcW w:w="10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3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4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Provided by (Used in) Investing Activities</w:t>
            </w:r>
          </w:p>
        </w:tc>
        <w:tc>
          <w:tcPr>
            <w:tcW w:w="102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25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4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121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62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349" w:type="dxa"/>
            <w:gridSpan w:val="3"/>
            <w:tcBorders/>
            <w:shd w:fill="auto" w:val="clear"/>
            <w:vAlign w:val="center"/>
          </w:tcPr>
          <w:p>
            <w:pPr>
              <w:pStyle w:val="TableContents"/>
              <w:spacing w:before="0" w:after="283"/>
              <w:rPr>
                <w:sz w:val="4"/>
                <w:szCs w:val="4"/>
              </w:rPr>
            </w:pPr>
            <w:r>
              <w:rPr>
                <w:sz w:val="4"/>
                <w:szCs w:val="4"/>
              </w:rPr>
            </w:r>
          </w:p>
        </w:tc>
        <w:tc>
          <w:tcPr>
            <w:tcW w:w="1210" w:type="dxa"/>
            <w:gridSpan w:val="3"/>
            <w:tcBorders/>
            <w:shd w:fill="auto" w:val="clear"/>
            <w:vAlign w:val="center"/>
          </w:tcPr>
          <w:p>
            <w:pPr>
              <w:pStyle w:val="TableContents"/>
              <w:spacing w:before="0" w:after="283"/>
              <w:rPr>
                <w:sz w:val="4"/>
                <w:szCs w:val="4"/>
              </w:rPr>
            </w:pPr>
            <w:r>
              <w:rPr>
                <w:sz w:val="4"/>
                <w:szCs w:val="4"/>
              </w:rPr>
            </w:r>
          </w:p>
        </w:tc>
        <w:tc>
          <w:tcPr>
            <w:tcW w:w="1623" w:type="dxa"/>
            <w:gridSpan w:val="3"/>
            <w:tcBorders/>
            <w:shd w:fill="auto" w:val="clear"/>
            <w:vAlign w:val="center"/>
          </w:tcPr>
          <w:p>
            <w:pPr>
              <w:pStyle w:val="TableContents"/>
              <w:spacing w:before="0" w:after="283"/>
              <w:rPr>
                <w:sz w:val="4"/>
                <w:szCs w:val="4"/>
              </w:rPr>
            </w:pPr>
            <w:r>
              <w:rPr>
                <w:sz w:val="4"/>
                <w:szCs w:val="4"/>
              </w:rPr>
            </w:r>
          </w:p>
        </w:tc>
      </w:tr>
      <w:tr>
        <w:trPr/>
        <w:tc>
          <w:tcPr>
            <w:tcW w:w="7349" w:type="dxa"/>
            <w:gridSpan w:val="3"/>
            <w:tcBorders/>
            <w:shd w:fill="auto" w:val="clear"/>
            <w:vAlign w:val="center"/>
          </w:tcPr>
          <w:p>
            <w:pPr>
              <w:pStyle w:val="TableContents"/>
              <w:spacing w:before="0" w:after="283"/>
              <w:rPr>
                <w:sz w:val="4"/>
                <w:szCs w:val="4"/>
              </w:rPr>
            </w:pPr>
            <w:r>
              <w:rPr>
                <w:sz w:val="4"/>
                <w:szCs w:val="4"/>
              </w:rPr>
            </w:r>
          </w:p>
        </w:tc>
        <w:tc>
          <w:tcPr>
            <w:tcW w:w="1210" w:type="dxa"/>
            <w:gridSpan w:val="3"/>
            <w:tcBorders/>
            <w:shd w:fill="auto" w:val="clear"/>
            <w:vAlign w:val="center"/>
          </w:tcPr>
          <w:p>
            <w:pPr>
              <w:pStyle w:val="TableContents"/>
              <w:spacing w:before="0" w:after="283"/>
              <w:rPr>
                <w:sz w:val="4"/>
                <w:szCs w:val="4"/>
              </w:rPr>
            </w:pPr>
            <w:r>
              <w:rPr>
                <w:sz w:val="4"/>
                <w:szCs w:val="4"/>
              </w:rPr>
            </w:r>
          </w:p>
        </w:tc>
        <w:tc>
          <w:tcPr>
            <w:tcW w:w="1623" w:type="dxa"/>
            <w:gridSpan w:val="3"/>
            <w:tcBorders/>
            <w:shd w:fill="auto" w:val="clear"/>
            <w:vAlign w:val="center"/>
          </w:tcPr>
          <w:p>
            <w:pPr>
              <w:pStyle w:val="TableContents"/>
              <w:spacing w:before="0" w:after="283"/>
              <w:rPr>
                <w:sz w:val="4"/>
                <w:szCs w:val="4"/>
              </w:rPr>
            </w:pPr>
            <w:r>
              <w:rPr>
                <w:sz w:val="4"/>
                <w:szCs w:val="4"/>
              </w:rPr>
            </w:r>
          </w:p>
        </w:tc>
      </w:tr>
      <w:tr>
        <w:trPr/>
        <w:tc>
          <w:tcPr>
            <w:tcW w:w="7349" w:type="dxa"/>
            <w:gridSpan w:val="3"/>
            <w:tcBorders/>
            <w:shd w:fill="auto" w:val="clear"/>
            <w:vAlign w:val="center"/>
          </w:tcPr>
          <w:p>
            <w:pPr>
              <w:pStyle w:val="TableContents"/>
              <w:spacing w:before="0" w:after="283"/>
              <w:rPr>
                <w:sz w:val="4"/>
                <w:szCs w:val="4"/>
              </w:rPr>
            </w:pPr>
            <w:r>
              <w:rPr>
                <w:sz w:val="4"/>
                <w:szCs w:val="4"/>
              </w:rPr>
            </w:r>
          </w:p>
        </w:tc>
        <w:tc>
          <w:tcPr>
            <w:tcW w:w="1210" w:type="dxa"/>
            <w:gridSpan w:val="3"/>
            <w:tcBorders/>
            <w:shd w:fill="auto" w:val="clear"/>
            <w:vAlign w:val="center"/>
          </w:tcPr>
          <w:p>
            <w:pPr>
              <w:pStyle w:val="TableContents"/>
              <w:spacing w:before="0" w:after="283"/>
              <w:rPr>
                <w:sz w:val="4"/>
                <w:szCs w:val="4"/>
              </w:rPr>
            </w:pPr>
            <w:r>
              <w:rPr>
                <w:sz w:val="4"/>
                <w:szCs w:val="4"/>
              </w:rPr>
            </w:r>
          </w:p>
        </w:tc>
        <w:tc>
          <w:tcPr>
            <w:tcW w:w="1623" w:type="dxa"/>
            <w:gridSpan w:val="3"/>
            <w:tcBorders/>
            <w:shd w:fill="auto" w:val="clear"/>
            <w:vAlign w:val="center"/>
          </w:tcPr>
          <w:p>
            <w:pPr>
              <w:pStyle w:val="TableContents"/>
              <w:spacing w:before="0" w:after="283"/>
              <w:rPr>
                <w:sz w:val="4"/>
                <w:szCs w:val="4"/>
              </w:rPr>
            </w:pPr>
            <w:r>
              <w:rPr>
                <w:sz w:val="4"/>
                <w:szCs w:val="4"/>
              </w:rPr>
            </w:r>
          </w:p>
        </w:tc>
      </w:tr>
      <w:tr>
        <w:trPr/>
        <w:tc>
          <w:tcPr>
            <w:tcW w:w="73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Repayments of Long-term Debt</w:t>
            </w:r>
          </w:p>
        </w:tc>
        <w:tc>
          <w:tcPr>
            <w:tcW w:w="10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3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49" w:type="dxa"/>
            <w:gridSpan w:val="3"/>
            <w:tcBorders/>
            <w:shd w:fill="auto" w:val="clear"/>
            <w:vAlign w:val="center"/>
          </w:tcPr>
          <w:p>
            <w:pPr>
              <w:pStyle w:val="TableContents"/>
              <w:spacing w:before="0" w:after="283"/>
              <w:rPr>
                <w:sz w:val="4"/>
                <w:szCs w:val="4"/>
              </w:rPr>
            </w:pPr>
            <w:r>
              <w:rPr>
                <w:sz w:val="4"/>
                <w:szCs w:val="4"/>
              </w:rPr>
            </w:r>
          </w:p>
        </w:tc>
        <w:tc>
          <w:tcPr>
            <w:tcW w:w="1210" w:type="dxa"/>
            <w:gridSpan w:val="3"/>
            <w:tcBorders/>
            <w:shd w:fill="auto" w:val="clear"/>
            <w:vAlign w:val="center"/>
          </w:tcPr>
          <w:p>
            <w:pPr>
              <w:pStyle w:val="TableContents"/>
              <w:spacing w:before="0" w:after="283"/>
              <w:rPr>
                <w:sz w:val="4"/>
                <w:szCs w:val="4"/>
              </w:rPr>
            </w:pPr>
            <w:r>
              <w:rPr>
                <w:sz w:val="4"/>
                <w:szCs w:val="4"/>
              </w:rPr>
            </w:r>
          </w:p>
        </w:tc>
        <w:tc>
          <w:tcPr>
            <w:tcW w:w="1623" w:type="dxa"/>
            <w:gridSpan w:val="3"/>
            <w:tcBorders/>
            <w:shd w:fill="auto" w:val="clear"/>
            <w:vAlign w:val="center"/>
          </w:tcPr>
          <w:p>
            <w:pPr>
              <w:pStyle w:val="TableContents"/>
              <w:spacing w:before="0" w:after="283"/>
              <w:rPr>
                <w:sz w:val="4"/>
                <w:szCs w:val="4"/>
              </w:rPr>
            </w:pPr>
            <w:r>
              <w:rPr>
                <w:sz w:val="4"/>
                <w:szCs w:val="4"/>
              </w:rPr>
            </w:r>
          </w:p>
        </w:tc>
      </w:tr>
      <w:tr>
        <w:trPr/>
        <w:tc>
          <w:tcPr>
            <w:tcW w:w="7349" w:type="dxa"/>
            <w:gridSpan w:val="3"/>
            <w:tcBorders/>
            <w:shd w:fill="auto" w:val="clear"/>
            <w:vAlign w:val="center"/>
          </w:tcPr>
          <w:p>
            <w:pPr>
              <w:pStyle w:val="TableContents"/>
              <w:spacing w:before="0" w:after="283"/>
              <w:rPr>
                <w:sz w:val="4"/>
                <w:szCs w:val="4"/>
              </w:rPr>
            </w:pPr>
            <w:r>
              <w:rPr>
                <w:sz w:val="4"/>
                <w:szCs w:val="4"/>
              </w:rPr>
            </w:r>
          </w:p>
        </w:tc>
        <w:tc>
          <w:tcPr>
            <w:tcW w:w="1210" w:type="dxa"/>
            <w:gridSpan w:val="3"/>
            <w:tcBorders/>
            <w:shd w:fill="auto" w:val="clear"/>
            <w:vAlign w:val="center"/>
          </w:tcPr>
          <w:p>
            <w:pPr>
              <w:pStyle w:val="TableContents"/>
              <w:spacing w:before="0" w:after="283"/>
              <w:rPr>
                <w:sz w:val="4"/>
                <w:szCs w:val="4"/>
              </w:rPr>
            </w:pPr>
            <w:r>
              <w:rPr>
                <w:sz w:val="4"/>
                <w:szCs w:val="4"/>
              </w:rPr>
            </w:r>
          </w:p>
        </w:tc>
        <w:tc>
          <w:tcPr>
            <w:tcW w:w="1623" w:type="dxa"/>
            <w:gridSpan w:val="3"/>
            <w:tcBorders/>
            <w:shd w:fill="auto" w:val="clear"/>
            <w:vAlign w:val="center"/>
          </w:tcPr>
          <w:p>
            <w:pPr>
              <w:pStyle w:val="TableContents"/>
              <w:spacing w:before="0" w:after="283"/>
              <w:rPr>
                <w:sz w:val="4"/>
                <w:szCs w:val="4"/>
              </w:rPr>
            </w:pPr>
            <w:r>
              <w:rPr>
                <w:sz w:val="4"/>
                <w:szCs w:val="4"/>
              </w:rPr>
            </w:r>
          </w:p>
        </w:tc>
      </w:tr>
      <w:tr>
        <w:trPr/>
        <w:tc>
          <w:tcPr>
            <w:tcW w:w="7349" w:type="dxa"/>
            <w:gridSpan w:val="3"/>
            <w:tcBorders/>
            <w:shd w:fill="auto" w:val="clear"/>
            <w:vAlign w:val="center"/>
          </w:tcPr>
          <w:p>
            <w:pPr>
              <w:pStyle w:val="TableContents"/>
              <w:spacing w:before="0" w:after="283"/>
              <w:rPr>
                <w:sz w:val="4"/>
                <w:szCs w:val="4"/>
              </w:rPr>
            </w:pPr>
            <w:r>
              <w:rPr>
                <w:sz w:val="4"/>
                <w:szCs w:val="4"/>
              </w:rPr>
            </w:r>
          </w:p>
        </w:tc>
        <w:tc>
          <w:tcPr>
            <w:tcW w:w="1210" w:type="dxa"/>
            <w:gridSpan w:val="3"/>
            <w:tcBorders/>
            <w:shd w:fill="auto" w:val="clear"/>
            <w:vAlign w:val="center"/>
          </w:tcPr>
          <w:p>
            <w:pPr>
              <w:pStyle w:val="TableContents"/>
              <w:spacing w:before="0" w:after="283"/>
              <w:rPr>
                <w:sz w:val="4"/>
                <w:szCs w:val="4"/>
              </w:rPr>
            </w:pPr>
            <w:r>
              <w:rPr>
                <w:sz w:val="4"/>
                <w:szCs w:val="4"/>
              </w:rPr>
            </w:r>
          </w:p>
        </w:tc>
        <w:tc>
          <w:tcPr>
            <w:tcW w:w="1623" w:type="dxa"/>
            <w:gridSpan w:val="3"/>
            <w:tcBorders/>
            <w:shd w:fill="auto" w:val="clear"/>
            <w:vAlign w:val="center"/>
          </w:tcPr>
          <w:p>
            <w:pPr>
              <w:pStyle w:val="TableContents"/>
              <w:spacing w:before="0" w:after="283"/>
              <w:rPr>
                <w:sz w:val="4"/>
                <w:szCs w:val="4"/>
              </w:rPr>
            </w:pPr>
            <w:r>
              <w:rPr>
                <w:sz w:val="4"/>
                <w:szCs w:val="4"/>
              </w:rPr>
            </w:r>
          </w:p>
        </w:tc>
      </w:tr>
      <w:tr>
        <w:trPr/>
        <w:tc>
          <w:tcPr>
            <w:tcW w:w="7349" w:type="dxa"/>
            <w:gridSpan w:val="3"/>
            <w:tcBorders/>
            <w:shd w:fill="auto" w:val="clear"/>
            <w:vAlign w:val="center"/>
          </w:tcPr>
          <w:p>
            <w:pPr>
              <w:pStyle w:val="TableContents"/>
              <w:spacing w:before="0" w:after="283"/>
              <w:rPr>
                <w:sz w:val="4"/>
                <w:szCs w:val="4"/>
              </w:rPr>
            </w:pPr>
            <w:r>
              <w:rPr>
                <w:sz w:val="4"/>
                <w:szCs w:val="4"/>
              </w:rPr>
            </w:r>
          </w:p>
        </w:tc>
        <w:tc>
          <w:tcPr>
            <w:tcW w:w="1210" w:type="dxa"/>
            <w:gridSpan w:val="3"/>
            <w:tcBorders/>
            <w:shd w:fill="auto" w:val="clear"/>
            <w:vAlign w:val="center"/>
          </w:tcPr>
          <w:p>
            <w:pPr>
              <w:pStyle w:val="TableContents"/>
              <w:spacing w:before="0" w:after="283"/>
              <w:rPr>
                <w:sz w:val="4"/>
                <w:szCs w:val="4"/>
              </w:rPr>
            </w:pPr>
            <w:r>
              <w:rPr>
                <w:sz w:val="4"/>
                <w:szCs w:val="4"/>
              </w:rPr>
            </w:r>
          </w:p>
        </w:tc>
        <w:tc>
          <w:tcPr>
            <w:tcW w:w="1623" w:type="dxa"/>
            <w:gridSpan w:val="3"/>
            <w:tcBorders/>
            <w:shd w:fill="auto" w:val="clear"/>
            <w:vAlign w:val="center"/>
          </w:tcPr>
          <w:p>
            <w:pPr>
              <w:pStyle w:val="TableContents"/>
              <w:spacing w:before="0" w:after="283"/>
              <w:rPr>
                <w:sz w:val="4"/>
                <w:szCs w:val="4"/>
              </w:rPr>
            </w:pPr>
            <w:r>
              <w:rPr>
                <w:sz w:val="4"/>
                <w:szCs w:val="4"/>
              </w:rPr>
            </w:r>
          </w:p>
        </w:tc>
      </w:tr>
      <w:tr>
        <w:trPr/>
        <w:tc>
          <w:tcPr>
            <w:tcW w:w="7349" w:type="dxa"/>
            <w:gridSpan w:val="3"/>
            <w:tcBorders/>
            <w:shd w:fill="auto" w:val="clear"/>
            <w:vAlign w:val="center"/>
          </w:tcPr>
          <w:p>
            <w:pPr>
              <w:pStyle w:val="TableContents"/>
              <w:spacing w:before="0" w:after="283"/>
              <w:rPr>
                <w:sz w:val="4"/>
                <w:szCs w:val="4"/>
              </w:rPr>
            </w:pPr>
            <w:r>
              <w:rPr>
                <w:sz w:val="4"/>
                <w:szCs w:val="4"/>
              </w:rPr>
            </w:r>
          </w:p>
        </w:tc>
        <w:tc>
          <w:tcPr>
            <w:tcW w:w="1210" w:type="dxa"/>
            <w:gridSpan w:val="3"/>
            <w:tcBorders/>
            <w:shd w:fill="auto" w:val="clear"/>
            <w:vAlign w:val="center"/>
          </w:tcPr>
          <w:p>
            <w:pPr>
              <w:pStyle w:val="TableContents"/>
              <w:spacing w:before="0" w:after="283"/>
              <w:rPr>
                <w:sz w:val="4"/>
                <w:szCs w:val="4"/>
              </w:rPr>
            </w:pPr>
            <w:r>
              <w:rPr>
                <w:sz w:val="4"/>
                <w:szCs w:val="4"/>
              </w:rPr>
            </w:r>
          </w:p>
        </w:tc>
        <w:tc>
          <w:tcPr>
            <w:tcW w:w="1623" w:type="dxa"/>
            <w:gridSpan w:val="3"/>
            <w:tcBorders/>
            <w:shd w:fill="auto" w:val="clear"/>
            <w:vAlign w:val="center"/>
          </w:tcPr>
          <w:p>
            <w:pPr>
              <w:pStyle w:val="TableContents"/>
              <w:spacing w:before="0" w:after="283"/>
              <w:rPr>
                <w:sz w:val="4"/>
                <w:szCs w:val="4"/>
              </w:rPr>
            </w:pPr>
            <w:r>
              <w:rPr>
                <w:sz w:val="4"/>
                <w:szCs w:val="4"/>
              </w:rPr>
            </w:r>
          </w:p>
        </w:tc>
      </w:tr>
      <w:tr>
        <w:trPr/>
        <w:tc>
          <w:tcPr>
            <w:tcW w:w="7349" w:type="dxa"/>
            <w:gridSpan w:val="3"/>
            <w:tcBorders/>
            <w:shd w:fill="auto" w:val="clear"/>
            <w:vAlign w:val="center"/>
          </w:tcPr>
          <w:p>
            <w:pPr>
              <w:pStyle w:val="TableContents"/>
              <w:spacing w:before="0" w:after="283"/>
              <w:rPr>
                <w:sz w:val="4"/>
                <w:szCs w:val="4"/>
              </w:rPr>
            </w:pPr>
            <w:r>
              <w:rPr>
                <w:sz w:val="4"/>
                <w:szCs w:val="4"/>
              </w:rPr>
            </w:r>
          </w:p>
        </w:tc>
        <w:tc>
          <w:tcPr>
            <w:tcW w:w="1210" w:type="dxa"/>
            <w:gridSpan w:val="3"/>
            <w:tcBorders/>
            <w:shd w:fill="auto" w:val="clear"/>
            <w:vAlign w:val="center"/>
          </w:tcPr>
          <w:p>
            <w:pPr>
              <w:pStyle w:val="TableContents"/>
              <w:spacing w:before="0" w:after="283"/>
              <w:rPr>
                <w:sz w:val="4"/>
                <w:szCs w:val="4"/>
              </w:rPr>
            </w:pPr>
            <w:r>
              <w:rPr>
                <w:sz w:val="4"/>
                <w:szCs w:val="4"/>
              </w:rPr>
            </w:r>
          </w:p>
        </w:tc>
        <w:tc>
          <w:tcPr>
            <w:tcW w:w="1623" w:type="dxa"/>
            <w:gridSpan w:val="3"/>
            <w:tcBorders/>
            <w:shd w:fill="auto" w:val="clear"/>
            <w:vAlign w:val="center"/>
          </w:tcPr>
          <w:p>
            <w:pPr>
              <w:pStyle w:val="TableContents"/>
              <w:spacing w:before="0" w:after="283"/>
              <w:rPr>
                <w:sz w:val="4"/>
                <w:szCs w:val="4"/>
              </w:rPr>
            </w:pPr>
            <w:r>
              <w:rPr>
                <w:sz w:val="4"/>
                <w:szCs w:val="4"/>
              </w:rPr>
            </w:r>
          </w:p>
        </w:tc>
      </w:tr>
      <w:tr>
        <w:trPr/>
        <w:tc>
          <w:tcPr>
            <w:tcW w:w="73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Noncontrolling Interest Dividends</w:t>
            </w:r>
          </w:p>
        </w:tc>
        <w:tc>
          <w:tcPr>
            <w:tcW w:w="10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Remittance on Equity Awards Vested</w:t>
            </w:r>
          </w:p>
        </w:tc>
        <w:tc>
          <w:tcPr>
            <w:tcW w:w="10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3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Financing Activities</w:t>
            </w:r>
          </w:p>
        </w:tc>
        <w:tc>
          <w:tcPr>
            <w:tcW w:w="10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4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Used in Financing Activities</w:t>
            </w:r>
          </w:p>
        </w:tc>
        <w:tc>
          <w:tcPr>
            <w:tcW w:w="102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25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4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Exchange Rate Changes on Cash, Cash Equivalents and Restricted Cash</w:t>
            </w:r>
          </w:p>
        </w:tc>
        <w:tc>
          <w:tcPr>
            <w:tcW w:w="102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25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36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Decrease in Cash, Cash Equivalents and Restricted Cash</w:t>
            </w:r>
          </w:p>
        </w:tc>
        <w:tc>
          <w:tcPr>
            <w:tcW w:w="10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w:t>
            </w:r>
          </w:p>
        </w:tc>
        <w:tc>
          <w:tcPr>
            <w:tcW w:w="3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at Beginning of Period</w:t>
            </w:r>
          </w:p>
        </w:tc>
        <w:tc>
          <w:tcPr>
            <w:tcW w:w="10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1,112 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1,113 </w:t>
            </w:r>
          </w:p>
        </w:tc>
        <w:tc>
          <w:tcPr>
            <w:tcW w:w="3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4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at End of Period</w:t>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983 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1,056 </w:t>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49" w:type="dxa"/>
            <w:gridSpan w:val="3"/>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Cash Flow Information:</w:t>
            </w:r>
          </w:p>
        </w:tc>
        <w:tc>
          <w:tcPr>
            <w:tcW w:w="121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62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3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Paid</w:t>
            </w:r>
          </w:p>
        </w:tc>
        <w:tc>
          <w:tcPr>
            <w:tcW w:w="32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3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 Paid, Net of Refunds</w:t>
            </w:r>
          </w:p>
        </w:tc>
        <w:tc>
          <w:tcPr>
            <w:tcW w:w="32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3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49" w:type="dxa"/>
            <w:gridSpan w:val="3"/>
            <w:tcBorders/>
            <w:shd w:fill="auto" w:val="clear"/>
            <w:vAlign w:val="center"/>
          </w:tcPr>
          <w:p>
            <w:pPr>
              <w:pStyle w:val="TableContents"/>
              <w:spacing w:before="0" w:after="283"/>
              <w:rPr>
                <w:sz w:val="4"/>
                <w:szCs w:val="4"/>
              </w:rPr>
            </w:pPr>
            <w:r>
              <w:rPr>
                <w:sz w:val="4"/>
                <w:szCs w:val="4"/>
              </w:rPr>
            </w:r>
          </w:p>
        </w:tc>
        <w:tc>
          <w:tcPr>
            <w:tcW w:w="1210" w:type="dxa"/>
            <w:gridSpan w:val="3"/>
            <w:tcBorders/>
            <w:shd w:fill="auto" w:val="clear"/>
            <w:vAlign w:val="center"/>
          </w:tcPr>
          <w:p>
            <w:pPr>
              <w:pStyle w:val="TableContents"/>
              <w:spacing w:before="0" w:after="283"/>
              <w:rPr>
                <w:sz w:val="4"/>
                <w:szCs w:val="4"/>
              </w:rPr>
            </w:pPr>
            <w:r>
              <w:rPr>
                <w:sz w:val="4"/>
                <w:szCs w:val="4"/>
              </w:rPr>
            </w:r>
          </w:p>
        </w:tc>
        <w:tc>
          <w:tcPr>
            <w:tcW w:w="1623"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firstLine="36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98780"/>
                <wp:effectExtent l="0" t="0" r="0" b="0"/>
                <wp:wrapNone/>
                <wp:docPr id="6" name="Frame6"/>
                <a:graphic xmlns:a="http://schemas.openxmlformats.org/drawingml/2006/main">
                  <a:graphicData uri="http://schemas.microsoft.com/office/word/2010/wordprocessingShape">
                    <wps:wsp>
                      <wps:cNvSpPr txBox="1"/>
                      <wps:spPr>
                        <a:xfrm>
                          <a:off x="0" y="0"/>
                          <a:ext cx="6480175" cy="398780"/>
                        </a:xfrm>
                        <a:prstGeom prst="rect"/>
                      </wps:spPr>
                      <wps:txbx>
                        <w:txbxContent>
                          <w:p>
                            <w:pPr>
                              <w:pStyle w:val="TextBody"/>
                              <w:spacing w:lineRule="auto" w:line="288" w:before="60" w:after="6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60" w:after="6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before="0" w:after="0"/>
        <w:ind w:left="0" w:right="0" w:firstLine="360"/>
        <w:jc w:val="center"/>
        <w:rPr/>
      </w:pPr>
      <w:r>
        <w:rPr/>
      </w:r>
    </w:p>
    <w:p>
      <w:pPr>
        <w:pStyle w:val="TextBody"/>
        <w:spacing w:lineRule="auto" w:line="288" w:before="60" w:after="283"/>
        <w:ind w:left="0" w:right="0" w:firstLine="360"/>
        <w:jc w:val="both"/>
        <w:rPr/>
      </w:pPr>
      <w:hyperlink w:anchor="i6cc7e3401d8a485198d3a93c25e5b7bf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WEATHERFORD INTERNATIONAL PLC AND SUBSIDIARIES</w:t>
      </w:r>
    </w:p>
    <w:p>
      <w:pPr>
        <w:pStyle w:val="TextBody"/>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spacing w:before="0" w:after="0"/>
        <w:ind w:left="0" w:right="0" w:firstLine="3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firstLine="360"/>
        <w:rPr>
          <w:rFonts w:ascii="Times New Roman;sans-serif" w:hAnsi="Times New Roman;sans-serif"/>
          <w:b/>
          <w:color w:val="000000"/>
          <w:sz w:val="20"/>
        </w:rPr>
      </w:pPr>
      <w:r>
        <w:rPr>
          <w:rFonts w:ascii="Times New Roman;sans-serif" w:hAnsi="Times New Roman;sans-serif"/>
          <w:b/>
          <w:color w:val="000000"/>
          <w:sz w:val="20"/>
        </w:rPr>
        <w:t>1 – Basis of Presentation and Summary of Significant Accounting Policies</w:t>
      </w:r>
    </w:p>
    <w:p>
      <w:pPr>
        <w:pStyle w:val="TextBody"/>
        <w:spacing w:before="0" w:after="0"/>
        <w:ind w:left="0" w:right="0" w:firstLine="360"/>
        <w:rPr/>
      </w:pPr>
      <w:r>
        <w:rPr/>
      </w:r>
    </w:p>
    <w:p>
      <w:pPr>
        <w:pStyle w:val="TextBody"/>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unaudited Condensed Consolidated Financial Statements of Weatherford International plc (the “Company,” “Weatherford,” “we,” “us,” or “our”) have been prepared in accordance with generally accepted accounting principles in the United States of America (“U.S. GAAP”) and pursuant to the rules and regulations of the Securities and Exchange Commission (“SEC”) for interim financial information. Accordingly, certain information and disclosures normally included in our annual consolidated financial statements have been condensed or omitted. Therefore, these unaudited Condensed Consolidated Financial Statements should be read in conjunction with our audited Consolidated Financial Statements included in our Form 10-K for the year ended December 31, 2022 (“2022 Form 10-K”). </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the Condensed Consolidated Financial Statements in conformity with U.S. GAAP requires us to make estimates and assumptions that affect the reported amounts of assets and liabilities at the date of the Condensed Consolidated Financial Statements and the reported amounts of revenue and expenses during the reporting period. Ultimate results could differ from our estimates.</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opinion of management, the Condensed Consolidated Financial Statements reflect all adjustments (consisting of normal recurring adjustments) considered necessary by management to fairly state the results of operations, financial position and cash flows of Weatherford and its subsidiaries for the periods presented and are not necessarily indicative of the results that may be expected for a full year. Our financial statements have been prepared on a consolidated basis. Under this basis, our financial statements consolidate all wholly owned subsidiaries and controlled joint ventures. All intercompany accounts and transactions have been eliminated.</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Summary of Significant Accounting Policies</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Please refer to “Note 1 – Summary of Significant Accounting Policies” of our Consolidated Financial Statements from our 2022 Form 10-K for the discussion on our significant accounting policies. Certain reclassifications have been made to these Condensed Consolidated Financial Statements and accompanying footnotes for the three months ended March 31, 2022 to conform to the presentation for the three months ended March 31, 2023.</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New Accounting Standards</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All new accounting pronouncements that have been issued but not yet effective are currently being evaluated and at this time are not expected to have a material impact on our financial position or results of operations.</w:t>
      </w:r>
    </w:p>
    <w:p>
      <w:pPr>
        <w:pStyle w:val="TextBody"/>
        <w:spacing w:before="0" w:after="0"/>
        <w:ind w:left="0" w:right="0" w:firstLine="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2 – Segment Information</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Financial information by segment is summarized below. The accounting policies of the segments are the same as those described in the summary of significant accounting policies as presented in our 2022 Form 10-K. We have three reportable segments: (1) Drilling and Evaluation “DRE”, (2) Well Construction and Completions “WCC”, and (3) Production and Intervention “PRI”.</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primary measure of segment profitability is segment adjusted EBITDA, which is based on segment earnings before interest, taxes, depreciation, amortization, share-based compensation expense and other adjustments. Research and development expenses are included in segment adjusted EBITDA. Corporate and other includes results from non-core business activities, corporate and other expenses (overhead support and centrally managed or shared facilities costs) that do not individually meet the criteria for segment reporting. </w:t>
      </w: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before="60" w:after="283"/>
        <w:ind w:left="0" w:right="0" w:firstLine="360"/>
        <w:rPr/>
      </w:pPr>
      <w:r>
        <w:rPr/>
      </w:r>
    </w:p>
    <w:p>
      <w:pPr>
        <w:pStyle w:val="TextBody"/>
        <w:spacing w:lineRule="auto" w:line="288" w:before="60" w:after="283"/>
        <w:ind w:left="0" w:right="0" w:firstLine="360"/>
        <w:rPr/>
      </w:pPr>
      <w:hyperlink w:anchor="i6cc7e3401d8a485198d3a93c25e5b7bf_7">
        <w:r>
          <w:rPr>
            <w:rStyle w:val="InternetLink"/>
          </w:rPr>
          <w:t xml:space="preserve">Table of </w:t>
        </w:r>
      </w:hyperlink>
      <w:hyperlink w:anchor="i6cc7e3401d8a485198d3a93c25e5b7bf_7">
        <w:r>
          <w:rPr>
            <w:rStyle w:val="InternetLink"/>
          </w:rPr>
          <w:t>Contents</w:t>
        </w:r>
      </w:hyperlink>
    </w:p>
    <w:tbl>
      <w:tblPr>
        <w:tblW w:w="6337" w:type="dxa"/>
        <w:jc w:val="center"/>
        <w:tblInd w:w="0" w:type="dxa"/>
        <w:tblCellMar>
          <w:top w:w="28" w:type="dxa"/>
          <w:left w:w="28" w:type="dxa"/>
          <w:bottom w:w="28" w:type="dxa"/>
          <w:right w:w="28" w:type="dxa"/>
        </w:tblCellMar>
      </w:tblPr>
      <w:tblGrid>
        <w:gridCol w:w="1031"/>
        <w:gridCol w:w="905"/>
        <w:gridCol w:w="913"/>
        <w:gridCol w:w="109"/>
        <w:gridCol w:w="109"/>
        <w:gridCol w:w="109"/>
        <w:gridCol w:w="336"/>
        <w:gridCol w:w="1005"/>
        <w:gridCol w:w="173"/>
        <w:gridCol w:w="336"/>
        <w:gridCol w:w="766"/>
        <w:gridCol w:w="173"/>
        <w:gridCol w:w="109"/>
        <w:gridCol w:w="109"/>
        <w:gridCol w:w="154"/>
      </w:tblGrid>
      <w:tr>
        <w:trPr/>
        <w:tc>
          <w:tcPr>
            <w:tcW w:w="1031" w:type="dxa"/>
            <w:tcBorders/>
            <w:shd w:fill="auto" w:val="clear"/>
            <w:vAlign w:val="center"/>
          </w:tcPr>
          <w:p>
            <w:pPr>
              <w:pStyle w:val="TableContents"/>
              <w:spacing w:before="0" w:after="283"/>
              <w:rPr>
                <w:sz w:val="4"/>
                <w:szCs w:val="4"/>
              </w:rPr>
            </w:pPr>
            <w:r>
              <w:rPr>
                <w:sz w:val="4"/>
                <w:szCs w:val="4"/>
              </w:rPr>
            </w:r>
          </w:p>
        </w:tc>
        <w:tc>
          <w:tcPr>
            <w:tcW w:w="905" w:type="dxa"/>
            <w:tcBorders/>
            <w:shd w:fill="auto" w:val="clear"/>
            <w:vAlign w:val="center"/>
          </w:tcPr>
          <w:p>
            <w:pPr>
              <w:pStyle w:val="TableContents"/>
              <w:spacing w:before="0" w:after="283"/>
              <w:rPr>
                <w:sz w:val="4"/>
                <w:szCs w:val="4"/>
              </w:rPr>
            </w:pPr>
            <w:r>
              <w:rPr>
                <w:sz w:val="4"/>
                <w:szCs w:val="4"/>
              </w:rPr>
            </w:r>
          </w:p>
        </w:tc>
        <w:tc>
          <w:tcPr>
            <w:tcW w:w="9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1005"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9"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28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(Dollars 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2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4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DRE Revenues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WCC Revenues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 Revenues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4" w:type="dxa"/>
            <w:gridSpan w:val="3"/>
            <w:tcBorders/>
            <w:shd w:fill="auto" w:val="clear"/>
            <w:vAlign w:val="center"/>
          </w:tcPr>
          <w:p>
            <w:pPr>
              <w:pStyle w:val="TableContents"/>
              <w:spacing w:before="0" w:after="283"/>
              <w:rPr>
                <w:sz w:val="4"/>
                <w:szCs w:val="4"/>
              </w:rPr>
            </w:pPr>
            <w:r>
              <w:rPr>
                <w:sz w:val="4"/>
                <w:szCs w:val="4"/>
              </w:rPr>
            </w:r>
          </w:p>
        </w:tc>
        <w:tc>
          <w:tcPr>
            <w:tcW w:w="127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Other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4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color w:val="000000"/>
                <w:sz w:val="20"/>
              </w:rPr>
              <w:t>Total Revenues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0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1,186</w:t>
            </w:r>
            <w:r>
              <w:rPr>
                <w:color w:val="000000"/>
              </w:rPr>
              <w:t>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938</w:t>
            </w:r>
            <w:r>
              <w:rPr>
                <w:color w:val="000000"/>
              </w:rPr>
              <w:t>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4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DRE Segment Adjusted EBITDA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WCC Segment Adjusted EBITDA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 Segment Adjusted EBITDA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4" w:type="dxa"/>
            <w:gridSpan w:val="3"/>
            <w:tcBorders/>
            <w:shd w:fill="auto" w:val="clear"/>
            <w:vAlign w:val="center"/>
          </w:tcPr>
          <w:p>
            <w:pPr>
              <w:pStyle w:val="TableContents"/>
              <w:spacing w:before="0" w:after="283"/>
              <w:rPr>
                <w:sz w:val="4"/>
                <w:szCs w:val="4"/>
              </w:rPr>
            </w:pPr>
            <w:r>
              <w:rPr>
                <w:sz w:val="4"/>
                <w:szCs w:val="4"/>
              </w:rPr>
            </w:r>
          </w:p>
        </w:tc>
        <w:tc>
          <w:tcPr>
            <w:tcW w:w="127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Share-Based Compensation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4" w:type="dxa"/>
            <w:gridSpan w:val="3"/>
            <w:tcBorders/>
            <w:shd w:fill="auto" w:val="clear"/>
            <w:vAlign w:val="center"/>
          </w:tcPr>
          <w:p>
            <w:pPr>
              <w:pStyle w:val="TableContents"/>
              <w:spacing w:before="0" w:after="283"/>
              <w:rPr>
                <w:sz w:val="4"/>
                <w:szCs w:val="4"/>
              </w:rPr>
            </w:pPr>
            <w:r>
              <w:rPr>
                <w:sz w:val="4"/>
                <w:szCs w:val="4"/>
              </w:rPr>
            </w:r>
          </w:p>
        </w:tc>
        <w:tc>
          <w:tcPr>
            <w:tcW w:w="127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4" w:type="dxa"/>
            <w:gridSpan w:val="3"/>
            <w:tcBorders/>
            <w:shd w:fill="auto" w:val="clear"/>
            <w:vAlign w:val="center"/>
          </w:tcPr>
          <w:p>
            <w:pPr>
              <w:pStyle w:val="TableContents"/>
              <w:spacing w:before="0" w:after="283"/>
              <w:rPr>
                <w:sz w:val="4"/>
                <w:szCs w:val="4"/>
              </w:rPr>
            </w:pPr>
            <w:r>
              <w:rPr>
                <w:sz w:val="4"/>
                <w:szCs w:val="4"/>
              </w:rPr>
            </w:r>
          </w:p>
        </w:tc>
        <w:tc>
          <w:tcPr>
            <w:tcW w:w="127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4" w:type="dxa"/>
            <w:gridSpan w:val="3"/>
            <w:tcBorders/>
            <w:shd w:fill="auto" w:val="clear"/>
            <w:vAlign w:val="center"/>
          </w:tcPr>
          <w:p>
            <w:pPr>
              <w:pStyle w:val="TableContents"/>
              <w:spacing w:before="0" w:after="283"/>
              <w:rPr>
                <w:sz w:val="4"/>
                <w:szCs w:val="4"/>
              </w:rPr>
            </w:pPr>
            <w:r>
              <w:rPr>
                <w:sz w:val="4"/>
                <w:szCs w:val="4"/>
              </w:rPr>
            </w:r>
          </w:p>
        </w:tc>
        <w:tc>
          <w:tcPr>
            <w:tcW w:w="127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4" w:type="dxa"/>
            <w:gridSpan w:val="3"/>
            <w:tcBorders/>
            <w:shd w:fill="auto" w:val="clear"/>
            <w:vAlign w:val="center"/>
          </w:tcPr>
          <w:p>
            <w:pPr>
              <w:pStyle w:val="TableContents"/>
              <w:spacing w:before="0" w:after="283"/>
              <w:rPr>
                <w:sz w:val="4"/>
                <w:szCs w:val="4"/>
              </w:rPr>
            </w:pPr>
            <w:r>
              <w:rPr>
                <w:sz w:val="4"/>
                <w:szCs w:val="4"/>
              </w:rPr>
            </w:r>
          </w:p>
        </w:tc>
        <w:tc>
          <w:tcPr>
            <w:tcW w:w="127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4" w:type="dxa"/>
            <w:gridSpan w:val="3"/>
            <w:tcBorders/>
            <w:shd w:fill="auto" w:val="clear"/>
            <w:vAlign w:val="center"/>
          </w:tcPr>
          <w:p>
            <w:pPr>
              <w:pStyle w:val="TableContents"/>
              <w:spacing w:before="0" w:after="283"/>
              <w:rPr>
                <w:sz w:val="4"/>
                <w:szCs w:val="4"/>
              </w:rPr>
            </w:pPr>
            <w:r>
              <w:rPr>
                <w:sz w:val="4"/>
                <w:szCs w:val="4"/>
              </w:rPr>
            </w:r>
          </w:p>
        </w:tc>
        <w:tc>
          <w:tcPr>
            <w:tcW w:w="127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4" w:type="dxa"/>
            <w:gridSpan w:val="3"/>
            <w:tcBorders/>
            <w:shd w:fill="auto" w:val="clear"/>
            <w:vAlign w:val="center"/>
          </w:tcPr>
          <w:p>
            <w:pPr>
              <w:pStyle w:val="TableContents"/>
              <w:spacing w:before="0" w:after="283"/>
              <w:rPr>
                <w:sz w:val="4"/>
                <w:szCs w:val="4"/>
              </w:rPr>
            </w:pPr>
            <w:r>
              <w:rPr>
                <w:sz w:val="4"/>
                <w:szCs w:val="4"/>
              </w:rPr>
            </w:r>
          </w:p>
        </w:tc>
        <w:tc>
          <w:tcPr>
            <w:tcW w:w="127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4" w:type="dxa"/>
            <w:gridSpan w:val="3"/>
            <w:tcBorders/>
            <w:shd w:fill="auto" w:val="clear"/>
            <w:vAlign w:val="center"/>
          </w:tcPr>
          <w:p>
            <w:pPr>
              <w:pStyle w:val="TableContents"/>
              <w:spacing w:before="0" w:after="283"/>
              <w:rPr>
                <w:sz w:val="4"/>
                <w:szCs w:val="4"/>
              </w:rPr>
            </w:pPr>
            <w:r>
              <w:rPr>
                <w:sz w:val="4"/>
                <w:szCs w:val="4"/>
              </w:rPr>
            </w:r>
          </w:p>
        </w:tc>
        <w:tc>
          <w:tcPr>
            <w:tcW w:w="127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4" w:type="dxa"/>
            <w:gridSpan w:val="3"/>
            <w:tcBorders/>
            <w:shd w:fill="auto" w:val="clear"/>
            <w:vAlign w:val="center"/>
          </w:tcPr>
          <w:p>
            <w:pPr>
              <w:pStyle w:val="TableContents"/>
              <w:spacing w:before="0" w:after="283"/>
              <w:rPr>
                <w:sz w:val="4"/>
                <w:szCs w:val="4"/>
              </w:rPr>
            </w:pPr>
            <w:r>
              <w:rPr>
                <w:sz w:val="4"/>
                <w:szCs w:val="4"/>
              </w:rPr>
            </w:r>
          </w:p>
        </w:tc>
        <w:tc>
          <w:tcPr>
            <w:tcW w:w="127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4" w:type="dxa"/>
            <w:gridSpan w:val="3"/>
            <w:tcBorders/>
            <w:shd w:fill="auto" w:val="clear"/>
            <w:vAlign w:val="center"/>
          </w:tcPr>
          <w:p>
            <w:pPr>
              <w:pStyle w:val="TableContents"/>
              <w:spacing w:before="0" w:after="283"/>
              <w:rPr>
                <w:sz w:val="4"/>
                <w:szCs w:val="4"/>
              </w:rPr>
            </w:pPr>
            <w:r>
              <w:rPr>
                <w:sz w:val="4"/>
                <w:szCs w:val="4"/>
              </w:rPr>
            </w:r>
          </w:p>
        </w:tc>
        <w:tc>
          <w:tcPr>
            <w:tcW w:w="127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4" w:type="dxa"/>
            <w:gridSpan w:val="3"/>
            <w:tcBorders/>
            <w:shd w:fill="auto" w:val="clear"/>
            <w:vAlign w:val="center"/>
          </w:tcPr>
          <w:p>
            <w:pPr>
              <w:pStyle w:val="TableContents"/>
              <w:spacing w:before="0" w:after="283"/>
              <w:rPr>
                <w:sz w:val="4"/>
                <w:szCs w:val="4"/>
              </w:rPr>
            </w:pPr>
            <w:r>
              <w:rPr>
                <w:sz w:val="4"/>
                <w:szCs w:val="4"/>
              </w:rPr>
            </w:r>
          </w:p>
        </w:tc>
        <w:tc>
          <w:tcPr>
            <w:tcW w:w="127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4" w:type="dxa"/>
            <w:gridSpan w:val="3"/>
            <w:tcBorders/>
            <w:shd w:fill="auto" w:val="clear"/>
            <w:vAlign w:val="center"/>
          </w:tcPr>
          <w:p>
            <w:pPr>
              <w:pStyle w:val="TableContents"/>
              <w:spacing w:before="0" w:after="283"/>
              <w:rPr>
                <w:sz w:val="4"/>
                <w:szCs w:val="4"/>
              </w:rPr>
            </w:pPr>
            <w:r>
              <w:rPr>
                <w:sz w:val="4"/>
                <w:szCs w:val="4"/>
              </w:rPr>
            </w:r>
          </w:p>
        </w:tc>
        <w:tc>
          <w:tcPr>
            <w:tcW w:w="127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4" w:type="dxa"/>
            <w:gridSpan w:val="3"/>
            <w:tcBorders/>
            <w:shd w:fill="auto" w:val="clear"/>
            <w:vAlign w:val="center"/>
          </w:tcPr>
          <w:p>
            <w:pPr>
              <w:pStyle w:val="TableContents"/>
              <w:spacing w:before="0" w:after="283"/>
              <w:rPr>
                <w:sz w:val="4"/>
                <w:szCs w:val="4"/>
              </w:rPr>
            </w:pPr>
            <w:r>
              <w:rPr>
                <w:sz w:val="4"/>
                <w:szCs w:val="4"/>
              </w:rPr>
            </w:r>
          </w:p>
        </w:tc>
        <w:tc>
          <w:tcPr>
            <w:tcW w:w="127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4" w:type="dxa"/>
            <w:gridSpan w:val="3"/>
            <w:tcBorders/>
            <w:shd w:fill="auto" w:val="clear"/>
            <w:vAlign w:val="center"/>
          </w:tcPr>
          <w:p>
            <w:pPr>
              <w:pStyle w:val="TableContents"/>
              <w:spacing w:before="0" w:after="283"/>
              <w:rPr>
                <w:sz w:val="4"/>
                <w:szCs w:val="4"/>
              </w:rPr>
            </w:pPr>
            <w:r>
              <w:rPr>
                <w:sz w:val="4"/>
                <w:szCs w:val="4"/>
              </w:rPr>
            </w:r>
          </w:p>
        </w:tc>
        <w:tc>
          <w:tcPr>
            <w:tcW w:w="127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4" w:type="dxa"/>
            <w:gridSpan w:val="3"/>
            <w:tcBorders/>
            <w:shd w:fill="auto" w:val="clear"/>
            <w:vAlign w:val="center"/>
          </w:tcPr>
          <w:p>
            <w:pPr>
              <w:pStyle w:val="TableContents"/>
              <w:spacing w:before="0" w:after="283"/>
              <w:rPr>
                <w:sz w:val="4"/>
                <w:szCs w:val="4"/>
              </w:rPr>
            </w:pPr>
            <w:r>
              <w:rPr>
                <w:sz w:val="4"/>
                <w:szCs w:val="4"/>
              </w:rPr>
            </w:r>
          </w:p>
        </w:tc>
        <w:tc>
          <w:tcPr>
            <w:tcW w:w="127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4" w:type="dxa"/>
            <w:gridSpan w:val="3"/>
            <w:tcBorders/>
            <w:shd w:fill="auto" w:val="clear"/>
            <w:vAlign w:val="center"/>
          </w:tcPr>
          <w:p>
            <w:pPr>
              <w:pStyle w:val="TableContents"/>
              <w:spacing w:before="0" w:after="283"/>
              <w:rPr>
                <w:sz w:val="4"/>
                <w:szCs w:val="4"/>
              </w:rPr>
            </w:pPr>
            <w:r>
              <w:rPr>
                <w:sz w:val="4"/>
                <w:szCs w:val="4"/>
              </w:rPr>
            </w:r>
          </w:p>
        </w:tc>
        <w:tc>
          <w:tcPr>
            <w:tcW w:w="127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4" w:type="dxa"/>
            <w:gridSpan w:val="3"/>
            <w:tcBorders/>
            <w:shd w:fill="auto" w:val="clear"/>
            <w:vAlign w:val="center"/>
          </w:tcPr>
          <w:p>
            <w:pPr>
              <w:pStyle w:val="TableContents"/>
              <w:spacing w:before="0" w:after="283"/>
              <w:rPr>
                <w:sz w:val="4"/>
                <w:szCs w:val="4"/>
              </w:rPr>
            </w:pPr>
            <w:r>
              <w:rPr>
                <w:sz w:val="4"/>
                <w:szCs w:val="4"/>
              </w:rPr>
            </w:r>
          </w:p>
        </w:tc>
        <w:tc>
          <w:tcPr>
            <w:tcW w:w="127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4" w:type="dxa"/>
            <w:gridSpan w:val="3"/>
            <w:tcBorders/>
            <w:shd w:fill="auto" w:val="clear"/>
            <w:vAlign w:val="center"/>
          </w:tcPr>
          <w:p>
            <w:pPr>
              <w:pStyle w:val="TableContents"/>
              <w:spacing w:before="0" w:after="283"/>
              <w:rPr>
                <w:sz w:val="4"/>
                <w:szCs w:val="4"/>
              </w:rPr>
            </w:pPr>
            <w:r>
              <w:rPr>
                <w:sz w:val="4"/>
                <w:szCs w:val="4"/>
              </w:rPr>
            </w:r>
          </w:p>
        </w:tc>
        <w:tc>
          <w:tcPr>
            <w:tcW w:w="127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4" w:type="dxa"/>
            <w:gridSpan w:val="3"/>
            <w:tcBorders/>
            <w:shd w:fill="auto" w:val="clear"/>
            <w:vAlign w:val="center"/>
          </w:tcPr>
          <w:p>
            <w:pPr>
              <w:pStyle w:val="TableContents"/>
              <w:spacing w:before="0" w:after="283"/>
              <w:rPr>
                <w:sz w:val="4"/>
                <w:szCs w:val="4"/>
              </w:rPr>
            </w:pPr>
            <w:r>
              <w:rPr>
                <w:sz w:val="4"/>
                <w:szCs w:val="4"/>
              </w:rPr>
            </w:r>
          </w:p>
        </w:tc>
        <w:tc>
          <w:tcPr>
            <w:tcW w:w="127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4" w:type="dxa"/>
            <w:gridSpan w:val="3"/>
            <w:tcBorders/>
            <w:shd w:fill="auto" w:val="clear"/>
            <w:vAlign w:val="center"/>
          </w:tcPr>
          <w:p>
            <w:pPr>
              <w:pStyle w:val="TableContents"/>
              <w:spacing w:before="0" w:after="283"/>
              <w:rPr>
                <w:sz w:val="4"/>
                <w:szCs w:val="4"/>
              </w:rPr>
            </w:pPr>
            <w:r>
              <w:rPr>
                <w:sz w:val="4"/>
                <w:szCs w:val="4"/>
              </w:rPr>
            </w:r>
          </w:p>
        </w:tc>
        <w:tc>
          <w:tcPr>
            <w:tcW w:w="127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4" w:type="dxa"/>
            <w:gridSpan w:val="3"/>
            <w:tcBorders/>
            <w:shd w:fill="auto" w:val="clear"/>
            <w:vAlign w:val="center"/>
          </w:tcPr>
          <w:p>
            <w:pPr>
              <w:pStyle w:val="TableContents"/>
              <w:spacing w:before="0" w:after="283"/>
              <w:rPr>
                <w:sz w:val="4"/>
                <w:szCs w:val="4"/>
              </w:rPr>
            </w:pPr>
            <w:r>
              <w:rPr>
                <w:sz w:val="4"/>
                <w:szCs w:val="4"/>
              </w:rPr>
            </w:r>
          </w:p>
        </w:tc>
        <w:tc>
          <w:tcPr>
            <w:tcW w:w="127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4" w:type="dxa"/>
            <w:gridSpan w:val="3"/>
            <w:tcBorders/>
            <w:shd w:fill="auto" w:val="clear"/>
            <w:vAlign w:val="center"/>
          </w:tcPr>
          <w:p>
            <w:pPr>
              <w:pStyle w:val="TableContents"/>
              <w:spacing w:before="0" w:after="283"/>
              <w:rPr>
                <w:sz w:val="4"/>
                <w:szCs w:val="4"/>
              </w:rPr>
            </w:pPr>
            <w:r>
              <w:rPr>
                <w:sz w:val="4"/>
                <w:szCs w:val="4"/>
              </w:rPr>
            </w:r>
          </w:p>
        </w:tc>
        <w:tc>
          <w:tcPr>
            <w:tcW w:w="127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4" w:type="dxa"/>
            <w:gridSpan w:val="3"/>
            <w:tcBorders/>
            <w:shd w:fill="auto" w:val="clear"/>
            <w:vAlign w:val="center"/>
          </w:tcPr>
          <w:p>
            <w:pPr>
              <w:pStyle w:val="TableContents"/>
              <w:spacing w:before="0" w:after="283"/>
              <w:rPr>
                <w:sz w:val="4"/>
                <w:szCs w:val="4"/>
              </w:rPr>
            </w:pPr>
            <w:r>
              <w:rPr>
                <w:sz w:val="4"/>
                <w:szCs w:val="4"/>
              </w:rPr>
            </w:r>
          </w:p>
        </w:tc>
        <w:tc>
          <w:tcPr>
            <w:tcW w:w="127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4" w:type="dxa"/>
            <w:gridSpan w:val="3"/>
            <w:tcBorders/>
            <w:shd w:fill="auto" w:val="clear"/>
            <w:vAlign w:val="center"/>
          </w:tcPr>
          <w:p>
            <w:pPr>
              <w:pStyle w:val="TableContents"/>
              <w:spacing w:before="0" w:after="283"/>
              <w:rPr>
                <w:sz w:val="4"/>
                <w:szCs w:val="4"/>
              </w:rPr>
            </w:pPr>
            <w:r>
              <w:rPr>
                <w:sz w:val="4"/>
                <w:szCs w:val="4"/>
              </w:rPr>
            </w:r>
          </w:p>
        </w:tc>
        <w:tc>
          <w:tcPr>
            <w:tcW w:w="127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4" w:type="dxa"/>
            <w:gridSpan w:val="3"/>
            <w:tcBorders/>
            <w:shd w:fill="auto" w:val="clear"/>
            <w:vAlign w:val="center"/>
          </w:tcPr>
          <w:p>
            <w:pPr>
              <w:pStyle w:val="TableContents"/>
              <w:spacing w:before="0" w:after="283"/>
              <w:rPr>
                <w:sz w:val="4"/>
                <w:szCs w:val="4"/>
              </w:rPr>
            </w:pPr>
            <w:r>
              <w:rPr>
                <w:sz w:val="4"/>
                <w:szCs w:val="4"/>
              </w:rPr>
            </w:r>
          </w:p>
        </w:tc>
        <w:tc>
          <w:tcPr>
            <w:tcW w:w="127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4" w:type="dxa"/>
            <w:gridSpan w:val="3"/>
            <w:tcBorders/>
            <w:shd w:fill="auto" w:val="clear"/>
            <w:vAlign w:val="center"/>
          </w:tcPr>
          <w:p>
            <w:pPr>
              <w:pStyle w:val="TableContents"/>
              <w:spacing w:before="0" w:after="283"/>
              <w:rPr>
                <w:sz w:val="4"/>
                <w:szCs w:val="4"/>
              </w:rPr>
            </w:pPr>
            <w:r>
              <w:rPr>
                <w:sz w:val="4"/>
                <w:szCs w:val="4"/>
              </w:rPr>
            </w:r>
          </w:p>
        </w:tc>
        <w:tc>
          <w:tcPr>
            <w:tcW w:w="127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4" w:type="dxa"/>
            <w:gridSpan w:val="3"/>
            <w:tcBorders/>
            <w:shd w:fill="auto" w:val="clear"/>
            <w:vAlign w:val="center"/>
          </w:tcPr>
          <w:p>
            <w:pPr>
              <w:pStyle w:val="TableContents"/>
              <w:spacing w:before="0" w:after="283"/>
              <w:rPr>
                <w:sz w:val="4"/>
                <w:szCs w:val="4"/>
              </w:rPr>
            </w:pPr>
            <w:r>
              <w:rPr>
                <w:sz w:val="4"/>
                <w:szCs w:val="4"/>
              </w:rPr>
            </w:r>
          </w:p>
        </w:tc>
        <w:tc>
          <w:tcPr>
            <w:tcW w:w="127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4" w:type="dxa"/>
            <w:gridSpan w:val="3"/>
            <w:tcBorders/>
            <w:shd w:fill="auto" w:val="clear"/>
            <w:vAlign w:val="center"/>
          </w:tcPr>
          <w:p>
            <w:pPr>
              <w:pStyle w:val="TableContents"/>
              <w:spacing w:before="0" w:after="283"/>
              <w:rPr>
                <w:sz w:val="4"/>
                <w:szCs w:val="4"/>
              </w:rPr>
            </w:pPr>
            <w:r>
              <w:rPr>
                <w:sz w:val="4"/>
                <w:szCs w:val="4"/>
              </w:rPr>
            </w:r>
          </w:p>
        </w:tc>
        <w:tc>
          <w:tcPr>
            <w:tcW w:w="127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4" w:type="dxa"/>
            <w:gridSpan w:val="3"/>
            <w:tcBorders/>
            <w:shd w:fill="auto" w:val="clear"/>
            <w:vAlign w:val="center"/>
          </w:tcPr>
          <w:p>
            <w:pPr>
              <w:pStyle w:val="TableContents"/>
              <w:spacing w:before="0" w:after="283"/>
              <w:rPr>
                <w:sz w:val="4"/>
                <w:szCs w:val="4"/>
              </w:rPr>
            </w:pPr>
            <w:r>
              <w:rPr>
                <w:sz w:val="4"/>
                <w:szCs w:val="4"/>
              </w:rPr>
            </w:r>
          </w:p>
        </w:tc>
        <w:tc>
          <w:tcPr>
            <w:tcW w:w="127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4" w:type="dxa"/>
            <w:gridSpan w:val="3"/>
            <w:tcBorders/>
            <w:shd w:fill="auto" w:val="clear"/>
            <w:vAlign w:val="center"/>
          </w:tcPr>
          <w:p>
            <w:pPr>
              <w:pStyle w:val="TableContents"/>
              <w:spacing w:before="0" w:after="283"/>
              <w:rPr>
                <w:sz w:val="4"/>
                <w:szCs w:val="4"/>
              </w:rPr>
            </w:pPr>
            <w:r>
              <w:rPr>
                <w:sz w:val="4"/>
                <w:szCs w:val="4"/>
              </w:rPr>
            </w:r>
          </w:p>
        </w:tc>
        <w:tc>
          <w:tcPr>
            <w:tcW w:w="127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4" w:type="dxa"/>
            <w:gridSpan w:val="3"/>
            <w:tcBorders/>
            <w:shd w:fill="auto" w:val="clear"/>
            <w:vAlign w:val="center"/>
          </w:tcPr>
          <w:p>
            <w:pPr>
              <w:pStyle w:val="TableContents"/>
              <w:spacing w:before="0" w:after="283"/>
              <w:rPr>
                <w:sz w:val="4"/>
                <w:szCs w:val="4"/>
              </w:rPr>
            </w:pPr>
            <w:r>
              <w:rPr>
                <w:sz w:val="4"/>
                <w:szCs w:val="4"/>
              </w:rPr>
            </w:r>
          </w:p>
        </w:tc>
        <w:tc>
          <w:tcPr>
            <w:tcW w:w="127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4" w:type="dxa"/>
            <w:gridSpan w:val="3"/>
            <w:tcBorders/>
            <w:shd w:fill="auto" w:val="clear"/>
            <w:vAlign w:val="center"/>
          </w:tcPr>
          <w:p>
            <w:pPr>
              <w:pStyle w:val="TableContents"/>
              <w:spacing w:before="0" w:after="283"/>
              <w:rPr>
                <w:sz w:val="4"/>
                <w:szCs w:val="4"/>
              </w:rPr>
            </w:pPr>
            <w:r>
              <w:rPr>
                <w:sz w:val="4"/>
                <w:szCs w:val="4"/>
              </w:rPr>
            </w:r>
          </w:p>
        </w:tc>
        <w:tc>
          <w:tcPr>
            <w:tcW w:w="127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4" w:type="dxa"/>
            <w:gridSpan w:val="3"/>
            <w:tcBorders/>
            <w:shd w:fill="auto" w:val="clear"/>
            <w:vAlign w:val="center"/>
          </w:tcPr>
          <w:p>
            <w:pPr>
              <w:pStyle w:val="TableContents"/>
              <w:spacing w:before="0" w:after="283"/>
              <w:rPr>
                <w:sz w:val="4"/>
                <w:szCs w:val="4"/>
              </w:rPr>
            </w:pPr>
            <w:r>
              <w:rPr>
                <w:sz w:val="4"/>
                <w:szCs w:val="4"/>
              </w:rPr>
            </w:r>
          </w:p>
        </w:tc>
        <w:tc>
          <w:tcPr>
            <w:tcW w:w="127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4" w:type="dxa"/>
            <w:gridSpan w:val="3"/>
            <w:tcBorders/>
            <w:shd w:fill="auto" w:val="clear"/>
            <w:vAlign w:val="center"/>
          </w:tcPr>
          <w:p>
            <w:pPr>
              <w:pStyle w:val="TableContents"/>
              <w:spacing w:before="0" w:after="283"/>
              <w:rPr>
                <w:sz w:val="4"/>
                <w:szCs w:val="4"/>
              </w:rPr>
            </w:pPr>
            <w:r>
              <w:rPr>
                <w:sz w:val="4"/>
                <w:szCs w:val="4"/>
              </w:rPr>
            </w:r>
          </w:p>
        </w:tc>
        <w:tc>
          <w:tcPr>
            <w:tcW w:w="127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4" w:type="dxa"/>
            <w:gridSpan w:val="3"/>
            <w:tcBorders/>
            <w:shd w:fill="auto" w:val="clear"/>
            <w:vAlign w:val="center"/>
          </w:tcPr>
          <w:p>
            <w:pPr>
              <w:pStyle w:val="TableContents"/>
              <w:spacing w:before="0" w:after="283"/>
              <w:rPr>
                <w:sz w:val="4"/>
                <w:szCs w:val="4"/>
              </w:rPr>
            </w:pPr>
            <w:r>
              <w:rPr>
                <w:sz w:val="4"/>
                <w:szCs w:val="4"/>
              </w:rPr>
            </w:r>
          </w:p>
        </w:tc>
        <w:tc>
          <w:tcPr>
            <w:tcW w:w="127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4" w:type="dxa"/>
            <w:gridSpan w:val="3"/>
            <w:tcBorders/>
            <w:shd w:fill="auto" w:val="clear"/>
            <w:vAlign w:val="center"/>
          </w:tcPr>
          <w:p>
            <w:pPr>
              <w:pStyle w:val="TableContents"/>
              <w:spacing w:before="0" w:after="283"/>
              <w:rPr>
                <w:sz w:val="4"/>
                <w:szCs w:val="4"/>
              </w:rPr>
            </w:pPr>
            <w:r>
              <w:rPr>
                <w:sz w:val="4"/>
                <w:szCs w:val="4"/>
              </w:rPr>
            </w:r>
          </w:p>
        </w:tc>
        <w:tc>
          <w:tcPr>
            <w:tcW w:w="127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4" w:type="dxa"/>
            <w:gridSpan w:val="3"/>
            <w:tcBorders/>
            <w:shd w:fill="auto" w:val="clear"/>
            <w:vAlign w:val="center"/>
          </w:tcPr>
          <w:p>
            <w:pPr>
              <w:pStyle w:val="TableContents"/>
              <w:spacing w:before="0" w:after="283"/>
              <w:rPr>
                <w:sz w:val="4"/>
                <w:szCs w:val="4"/>
              </w:rPr>
            </w:pPr>
            <w:r>
              <w:rPr>
                <w:sz w:val="4"/>
                <w:szCs w:val="4"/>
              </w:rPr>
            </w:r>
          </w:p>
        </w:tc>
        <w:tc>
          <w:tcPr>
            <w:tcW w:w="127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4" w:type="dxa"/>
            <w:gridSpan w:val="3"/>
            <w:tcBorders/>
            <w:shd w:fill="auto" w:val="clear"/>
            <w:vAlign w:val="center"/>
          </w:tcPr>
          <w:p>
            <w:pPr>
              <w:pStyle w:val="TableContents"/>
              <w:spacing w:before="0" w:after="283"/>
              <w:rPr>
                <w:sz w:val="4"/>
                <w:szCs w:val="4"/>
              </w:rPr>
            </w:pPr>
            <w:r>
              <w:rPr>
                <w:sz w:val="4"/>
                <w:szCs w:val="4"/>
              </w:rPr>
            </w:r>
          </w:p>
        </w:tc>
        <w:tc>
          <w:tcPr>
            <w:tcW w:w="127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4" w:type="dxa"/>
            <w:gridSpan w:val="3"/>
            <w:tcBorders/>
            <w:shd w:fill="auto" w:val="clear"/>
            <w:vAlign w:val="center"/>
          </w:tcPr>
          <w:p>
            <w:pPr>
              <w:pStyle w:val="TableContents"/>
              <w:spacing w:before="0" w:after="283"/>
              <w:rPr>
                <w:sz w:val="4"/>
                <w:szCs w:val="4"/>
              </w:rPr>
            </w:pPr>
            <w:r>
              <w:rPr>
                <w:sz w:val="4"/>
                <w:szCs w:val="4"/>
              </w:rPr>
            </w:r>
          </w:p>
        </w:tc>
        <w:tc>
          <w:tcPr>
            <w:tcW w:w="127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Charges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Other (Charges) Credits</w:t>
            </w:r>
            <w:r>
              <w:rPr>
                <w:color w:val="000000"/>
              </w:rPr>
              <w:t xml:space="preserve"> </w:t>
            </w:r>
            <w:r>
              <w:rPr>
                <w:rFonts w:ascii="Times New Roman;sans-serif" w:hAnsi="Times New Roman;sans-serif"/>
                <w:b w:val="false"/>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4" w:type="dxa"/>
            <w:gridSpan w:val="3"/>
            <w:tcBorders/>
            <w:shd w:fill="auto" w:val="clear"/>
            <w:vAlign w:val="center"/>
          </w:tcPr>
          <w:p>
            <w:pPr>
              <w:pStyle w:val="TableContents"/>
              <w:spacing w:before="0" w:after="283"/>
              <w:rPr>
                <w:sz w:val="4"/>
                <w:szCs w:val="4"/>
              </w:rPr>
            </w:pPr>
            <w:r>
              <w:rPr>
                <w:sz w:val="4"/>
                <w:szCs w:val="4"/>
              </w:rPr>
            </w:r>
          </w:p>
        </w:tc>
        <w:tc>
          <w:tcPr>
            <w:tcW w:w="127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4" w:type="dxa"/>
            <w:gridSpan w:val="3"/>
            <w:tcBorders/>
            <w:shd w:fill="auto" w:val="clear"/>
            <w:vAlign w:val="center"/>
          </w:tcPr>
          <w:p>
            <w:pPr>
              <w:pStyle w:val="TableContents"/>
              <w:spacing w:before="0" w:after="283"/>
              <w:rPr>
                <w:sz w:val="4"/>
                <w:szCs w:val="4"/>
              </w:rPr>
            </w:pPr>
            <w:r>
              <w:rPr>
                <w:sz w:val="4"/>
                <w:szCs w:val="4"/>
              </w:rPr>
            </w:r>
          </w:p>
        </w:tc>
        <w:tc>
          <w:tcPr>
            <w:tcW w:w="127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4" w:type="dxa"/>
            <w:gridSpan w:val="3"/>
            <w:tcBorders/>
            <w:shd w:fill="auto" w:val="clear"/>
            <w:vAlign w:val="center"/>
          </w:tcPr>
          <w:p>
            <w:pPr>
              <w:pStyle w:val="TableContents"/>
              <w:spacing w:before="0" w:after="283"/>
              <w:rPr>
                <w:sz w:val="4"/>
                <w:szCs w:val="4"/>
              </w:rPr>
            </w:pPr>
            <w:r>
              <w:rPr>
                <w:sz w:val="4"/>
                <w:szCs w:val="4"/>
              </w:rPr>
            </w:r>
          </w:p>
        </w:tc>
        <w:tc>
          <w:tcPr>
            <w:tcW w:w="127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4" w:type="dxa"/>
            <w:gridSpan w:val="3"/>
            <w:tcBorders/>
            <w:shd w:fill="auto" w:val="clear"/>
            <w:vAlign w:val="center"/>
          </w:tcPr>
          <w:p>
            <w:pPr>
              <w:pStyle w:val="TableContents"/>
              <w:spacing w:before="0" w:after="283"/>
              <w:rPr>
                <w:sz w:val="4"/>
                <w:szCs w:val="4"/>
              </w:rPr>
            </w:pPr>
            <w:r>
              <w:rPr>
                <w:sz w:val="4"/>
                <w:szCs w:val="4"/>
              </w:rPr>
            </w:r>
          </w:p>
        </w:tc>
        <w:tc>
          <w:tcPr>
            <w:tcW w:w="127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4" w:type="dxa"/>
            <w:gridSpan w:val="3"/>
            <w:tcBorders/>
            <w:shd w:fill="auto" w:val="clear"/>
            <w:vAlign w:val="center"/>
          </w:tcPr>
          <w:p>
            <w:pPr>
              <w:pStyle w:val="TableContents"/>
              <w:spacing w:before="0" w:after="283"/>
              <w:rPr>
                <w:sz w:val="4"/>
                <w:szCs w:val="4"/>
              </w:rPr>
            </w:pPr>
            <w:r>
              <w:rPr>
                <w:sz w:val="4"/>
                <w:szCs w:val="4"/>
              </w:rPr>
            </w:r>
          </w:p>
        </w:tc>
        <w:tc>
          <w:tcPr>
            <w:tcW w:w="127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4" w:type="dxa"/>
            <w:gridSpan w:val="3"/>
            <w:tcBorders/>
            <w:shd w:fill="auto" w:val="clear"/>
            <w:vAlign w:val="center"/>
          </w:tcPr>
          <w:p>
            <w:pPr>
              <w:pStyle w:val="TableContents"/>
              <w:spacing w:before="0" w:after="283"/>
              <w:rPr>
                <w:sz w:val="4"/>
                <w:szCs w:val="4"/>
              </w:rPr>
            </w:pPr>
            <w:r>
              <w:rPr>
                <w:sz w:val="4"/>
                <w:szCs w:val="4"/>
              </w:rPr>
            </w:r>
          </w:p>
        </w:tc>
        <w:tc>
          <w:tcPr>
            <w:tcW w:w="127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4" w:type="dxa"/>
            <w:gridSpan w:val="3"/>
            <w:tcBorders/>
            <w:shd w:fill="auto" w:val="clear"/>
            <w:vAlign w:val="center"/>
          </w:tcPr>
          <w:p>
            <w:pPr>
              <w:pStyle w:val="TableContents"/>
              <w:spacing w:before="0" w:after="283"/>
              <w:rPr>
                <w:sz w:val="4"/>
                <w:szCs w:val="4"/>
              </w:rPr>
            </w:pPr>
            <w:r>
              <w:rPr>
                <w:sz w:val="4"/>
                <w:szCs w:val="4"/>
              </w:rPr>
            </w:r>
          </w:p>
        </w:tc>
        <w:tc>
          <w:tcPr>
            <w:tcW w:w="127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4" w:type="dxa"/>
            <w:gridSpan w:val="3"/>
            <w:tcBorders/>
            <w:shd w:fill="auto" w:val="clear"/>
            <w:vAlign w:val="center"/>
          </w:tcPr>
          <w:p>
            <w:pPr>
              <w:pStyle w:val="TableContents"/>
              <w:spacing w:before="0" w:after="283"/>
              <w:rPr>
                <w:sz w:val="4"/>
                <w:szCs w:val="4"/>
              </w:rPr>
            </w:pPr>
            <w:r>
              <w:rPr>
                <w:sz w:val="4"/>
                <w:szCs w:val="4"/>
              </w:rPr>
            </w:r>
          </w:p>
        </w:tc>
        <w:tc>
          <w:tcPr>
            <w:tcW w:w="127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4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3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185</w:t>
            </w:r>
            <w:r>
              <w:rPr>
                <w:color w:val="000000"/>
              </w:rPr>
              <w:t>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18</w:t>
            </w:r>
            <w:r>
              <w:rPr>
                <w:color w:val="000000"/>
              </w:rPr>
              <w:t>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4" w:type="dxa"/>
            <w:gridSpan w:val="3"/>
            <w:tcBorders/>
            <w:shd w:fill="auto" w:val="clear"/>
            <w:vAlign w:val="center"/>
          </w:tcPr>
          <w:p>
            <w:pPr>
              <w:pStyle w:val="TableContents"/>
              <w:spacing w:before="0" w:after="283"/>
              <w:rPr>
                <w:sz w:val="4"/>
                <w:szCs w:val="4"/>
              </w:rPr>
            </w:pPr>
            <w:r>
              <w:rPr>
                <w:sz w:val="4"/>
                <w:szCs w:val="4"/>
              </w:rPr>
            </w:r>
          </w:p>
        </w:tc>
        <w:tc>
          <w:tcPr>
            <w:tcW w:w="127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4" w:type="dxa"/>
            <w:gridSpan w:val="3"/>
            <w:tcBorders/>
            <w:shd w:fill="auto" w:val="clear"/>
            <w:vAlign w:val="center"/>
          </w:tcPr>
          <w:p>
            <w:pPr>
              <w:pStyle w:val="TableContents"/>
              <w:spacing w:before="0" w:after="283"/>
              <w:rPr>
                <w:sz w:val="4"/>
                <w:szCs w:val="4"/>
              </w:rPr>
            </w:pPr>
            <w:r>
              <w:rPr>
                <w:sz w:val="4"/>
                <w:szCs w:val="4"/>
              </w:rPr>
            </w:r>
          </w:p>
        </w:tc>
        <w:tc>
          <w:tcPr>
            <w:tcW w:w="127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4" w:type="dxa"/>
            <w:gridSpan w:val="3"/>
            <w:tcBorders/>
            <w:shd w:fill="auto" w:val="clear"/>
            <w:vAlign w:val="center"/>
          </w:tcPr>
          <w:p>
            <w:pPr>
              <w:pStyle w:val="TableContents"/>
              <w:spacing w:before="0" w:after="283"/>
              <w:rPr>
                <w:sz w:val="4"/>
                <w:szCs w:val="4"/>
              </w:rPr>
            </w:pPr>
            <w:r>
              <w:rPr>
                <w:sz w:val="4"/>
                <w:szCs w:val="4"/>
              </w:rPr>
            </w:r>
          </w:p>
        </w:tc>
        <w:tc>
          <w:tcPr>
            <w:tcW w:w="127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4" w:type="dxa"/>
            <w:gridSpan w:val="3"/>
            <w:tcBorders/>
            <w:shd w:fill="auto" w:val="clear"/>
            <w:vAlign w:val="center"/>
          </w:tcPr>
          <w:p>
            <w:pPr>
              <w:pStyle w:val="TableContents"/>
              <w:spacing w:before="0" w:after="283"/>
              <w:rPr>
                <w:sz w:val="4"/>
                <w:szCs w:val="4"/>
              </w:rPr>
            </w:pPr>
            <w:r>
              <w:rPr>
                <w:sz w:val="4"/>
                <w:szCs w:val="4"/>
              </w:rPr>
            </w:r>
          </w:p>
        </w:tc>
        <w:tc>
          <w:tcPr>
            <w:tcW w:w="127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4" w:type="dxa"/>
            <w:gridSpan w:val="3"/>
            <w:tcBorders/>
            <w:shd w:fill="auto" w:val="clear"/>
            <w:vAlign w:val="center"/>
          </w:tcPr>
          <w:p>
            <w:pPr>
              <w:pStyle w:val="TableContents"/>
              <w:spacing w:before="0" w:after="283"/>
              <w:rPr>
                <w:sz w:val="4"/>
                <w:szCs w:val="4"/>
              </w:rPr>
            </w:pPr>
            <w:r>
              <w:rPr>
                <w:sz w:val="4"/>
                <w:szCs w:val="4"/>
              </w:rPr>
            </w:r>
          </w:p>
        </w:tc>
        <w:tc>
          <w:tcPr>
            <w:tcW w:w="127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4" w:type="dxa"/>
            <w:gridSpan w:val="3"/>
            <w:tcBorders/>
            <w:shd w:fill="auto" w:val="clear"/>
            <w:vAlign w:val="center"/>
          </w:tcPr>
          <w:p>
            <w:pPr>
              <w:pStyle w:val="TableContents"/>
              <w:spacing w:before="0" w:after="283"/>
              <w:rPr>
                <w:sz w:val="4"/>
                <w:szCs w:val="4"/>
              </w:rPr>
            </w:pPr>
            <w:r>
              <w:rPr>
                <w:sz w:val="4"/>
                <w:szCs w:val="4"/>
              </w:rPr>
            </w:r>
          </w:p>
        </w:tc>
        <w:tc>
          <w:tcPr>
            <w:tcW w:w="127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4" w:type="dxa"/>
            <w:gridSpan w:val="3"/>
            <w:tcBorders/>
            <w:shd w:fill="auto" w:val="clear"/>
            <w:vAlign w:val="center"/>
          </w:tcPr>
          <w:p>
            <w:pPr>
              <w:pStyle w:val="TableContents"/>
              <w:spacing w:before="0" w:after="283"/>
              <w:rPr>
                <w:sz w:val="4"/>
                <w:szCs w:val="4"/>
              </w:rPr>
            </w:pPr>
            <w:r>
              <w:rPr>
                <w:sz w:val="4"/>
                <w:szCs w:val="4"/>
              </w:rPr>
            </w:r>
          </w:p>
        </w:tc>
        <w:tc>
          <w:tcPr>
            <w:tcW w:w="127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4" w:type="dxa"/>
            <w:gridSpan w:val="3"/>
            <w:tcBorders/>
            <w:shd w:fill="auto" w:val="clear"/>
            <w:vAlign w:val="center"/>
          </w:tcPr>
          <w:p>
            <w:pPr>
              <w:pStyle w:val="TableContents"/>
              <w:spacing w:before="0" w:after="283"/>
              <w:rPr>
                <w:sz w:val="4"/>
                <w:szCs w:val="4"/>
              </w:rPr>
            </w:pPr>
            <w:r>
              <w:rPr>
                <w:sz w:val="4"/>
                <w:szCs w:val="4"/>
              </w:rPr>
            </w:r>
          </w:p>
        </w:tc>
        <w:tc>
          <w:tcPr>
            <w:tcW w:w="127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4" w:type="dxa"/>
            <w:gridSpan w:val="3"/>
            <w:tcBorders/>
            <w:shd w:fill="auto" w:val="clear"/>
            <w:vAlign w:val="center"/>
          </w:tcPr>
          <w:p>
            <w:pPr>
              <w:pStyle w:val="TableContents"/>
              <w:spacing w:before="0" w:after="283"/>
              <w:rPr>
                <w:sz w:val="4"/>
                <w:szCs w:val="4"/>
              </w:rPr>
            </w:pPr>
            <w:r>
              <w:rPr>
                <w:sz w:val="4"/>
                <w:szCs w:val="4"/>
              </w:rPr>
            </w:r>
          </w:p>
        </w:tc>
        <w:tc>
          <w:tcPr>
            <w:tcW w:w="127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4" w:type="dxa"/>
            <w:gridSpan w:val="3"/>
            <w:tcBorders/>
            <w:shd w:fill="auto" w:val="clear"/>
            <w:vAlign w:val="center"/>
          </w:tcPr>
          <w:p>
            <w:pPr>
              <w:pStyle w:val="TableContents"/>
              <w:spacing w:before="0" w:after="283"/>
              <w:rPr>
                <w:sz w:val="4"/>
                <w:szCs w:val="4"/>
              </w:rPr>
            </w:pPr>
            <w:r>
              <w:rPr>
                <w:sz w:val="4"/>
                <w:szCs w:val="4"/>
              </w:rPr>
            </w:r>
          </w:p>
        </w:tc>
        <w:tc>
          <w:tcPr>
            <w:tcW w:w="127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4" w:type="dxa"/>
            <w:gridSpan w:val="3"/>
            <w:tcBorders/>
            <w:shd w:fill="auto" w:val="clear"/>
            <w:vAlign w:val="center"/>
          </w:tcPr>
          <w:p>
            <w:pPr>
              <w:pStyle w:val="TableContents"/>
              <w:spacing w:before="0" w:after="283"/>
              <w:rPr>
                <w:sz w:val="4"/>
                <w:szCs w:val="4"/>
              </w:rPr>
            </w:pPr>
            <w:r>
              <w:rPr>
                <w:sz w:val="4"/>
                <w:szCs w:val="4"/>
              </w:rPr>
            </w:r>
          </w:p>
        </w:tc>
        <w:tc>
          <w:tcPr>
            <w:tcW w:w="127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4" w:type="dxa"/>
            <w:gridSpan w:val="3"/>
            <w:tcBorders/>
            <w:shd w:fill="auto" w:val="clear"/>
            <w:vAlign w:val="center"/>
          </w:tcPr>
          <w:p>
            <w:pPr>
              <w:pStyle w:val="TableContents"/>
              <w:spacing w:before="0" w:after="283"/>
              <w:rPr>
                <w:sz w:val="4"/>
                <w:szCs w:val="4"/>
              </w:rPr>
            </w:pPr>
            <w:r>
              <w:rPr>
                <w:sz w:val="4"/>
                <w:szCs w:val="4"/>
              </w:rPr>
            </w:r>
          </w:p>
        </w:tc>
        <w:tc>
          <w:tcPr>
            <w:tcW w:w="127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4" w:type="dxa"/>
            <w:gridSpan w:val="3"/>
            <w:tcBorders/>
            <w:shd w:fill="auto" w:val="clear"/>
            <w:vAlign w:val="center"/>
          </w:tcPr>
          <w:p>
            <w:pPr>
              <w:pStyle w:val="TableContents"/>
              <w:spacing w:before="0" w:after="283"/>
              <w:rPr>
                <w:sz w:val="4"/>
                <w:szCs w:val="4"/>
              </w:rPr>
            </w:pPr>
            <w:r>
              <w:rPr>
                <w:sz w:val="4"/>
                <w:szCs w:val="4"/>
              </w:rPr>
            </w:r>
          </w:p>
        </w:tc>
        <w:tc>
          <w:tcPr>
            <w:tcW w:w="127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270"/>
        <w:jc w:val="both"/>
        <w:rPr/>
      </w:pPr>
      <w:r>
        <w:rPr>
          <w:rFonts w:ascii="Times New Roman;sans-serif" w:hAnsi="Times New Roman;sans-serif"/>
          <w:b w:val="false"/>
          <w:color w:val="000000"/>
          <w:sz w:val="12"/>
        </w:rPr>
        <w:t>(a)</w:t>
      </w:r>
      <w:r>
        <w:rPr>
          <w:rFonts w:ascii="Times New Roman;sans-serif" w:hAnsi="Times New Roman;sans-serif"/>
          <w:b w:val="false"/>
          <w:color w:val="000000"/>
          <w:sz w:val="18"/>
        </w:rPr>
        <w:t>Other (charges) credits relate to miscellaneous charges and credits including write-downs of certain assets.</w:t>
      </w:r>
    </w:p>
    <w:p>
      <w:pPr>
        <w:pStyle w:val="TextBody"/>
        <w:spacing w:before="0" w:after="0"/>
        <w:ind w:left="0" w:right="0" w:firstLine="3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firstLine="360"/>
        <w:rPr>
          <w:rFonts w:ascii="Times New Roman;sans-serif" w:hAnsi="Times New Roman;sans-serif"/>
          <w:b/>
          <w:color w:val="000000"/>
          <w:sz w:val="20"/>
        </w:rPr>
      </w:pPr>
      <w:r>
        <w:rPr>
          <w:rFonts w:ascii="Times New Roman;sans-serif" w:hAnsi="Times New Roman;sans-serif"/>
          <w:b/>
          <w:color w:val="000000"/>
          <w:sz w:val="20"/>
        </w:rPr>
        <w:t>3 – Revenues</w:t>
      </w:r>
    </w:p>
    <w:p>
      <w:pPr>
        <w:pStyle w:val="TextBody"/>
        <w:spacing w:before="0" w:after="0"/>
        <w:ind w:left="0" w:right="0" w:firstLine="360"/>
        <w:rPr/>
      </w:pPr>
      <w:r>
        <w:rPr/>
      </w:r>
    </w:p>
    <w:p>
      <w:pPr>
        <w:pStyle w:val="TextBody"/>
        <w:spacing w:lineRule="auto" w:line="288" w:before="0" w:after="0"/>
        <w:ind w:left="0" w:right="0" w:firstLine="360"/>
        <w:rPr>
          <w:rFonts w:ascii="Times New Roman;sans-serif" w:hAnsi="Times New Roman;sans-serif"/>
          <w:b/>
          <w:i/>
          <w:color w:val="000000"/>
          <w:sz w:val="20"/>
        </w:rPr>
      </w:pPr>
      <w:r>
        <w:rPr>
          <w:rFonts w:ascii="Times New Roman;sans-serif" w:hAnsi="Times New Roman;sans-serif"/>
          <w:b/>
          <w:i/>
          <w:color w:val="000000"/>
          <w:sz w:val="20"/>
        </w:rPr>
        <w:t xml:space="preserve">Disaggregated Revenue </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Revenues are recognized when control of the promised goods or services is transferred to our customers in an amount that reflects the consideration we expect to be entitled to receive in exchange for those goods or services. The majority of our revenue is derived from short term contracts. Our products and services are generally sold based upon purchase orders, contracts or other legally enforceable arrangements with our customers that include fixed or determinable prices but do not generally include right of return provisions or other significant post-delivery obligations.</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lease drilling tools, artificial lift pumping equipment and other unmanned equipment to customers as operating leases. These equipment rental revenues are generally provided based on call-out work orders that include fixed per unit prices and are derived from short-term contracts. Equipment rental revenues were $33 million for the three months ended March 31, 2023 and $31 million for the three months ended March 31, 2022.</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disaggregates our revenues from contracts with customers by geographic region and includes equipment rental revenues. North America in the table below consists of the U.S. and Canada.</w:t>
      </w:r>
    </w:p>
    <w:tbl>
      <w:tblPr>
        <w:tblW w:w="5979" w:type="dxa"/>
        <w:jc w:val="center"/>
        <w:tblInd w:w="0" w:type="dxa"/>
        <w:tblCellMar>
          <w:top w:w="28" w:type="dxa"/>
          <w:left w:w="28" w:type="dxa"/>
          <w:bottom w:w="28" w:type="dxa"/>
          <w:right w:w="28" w:type="dxa"/>
        </w:tblCellMar>
      </w:tblPr>
      <w:tblGrid>
        <w:gridCol w:w="1020"/>
        <w:gridCol w:w="896"/>
        <w:gridCol w:w="904"/>
        <w:gridCol w:w="341"/>
        <w:gridCol w:w="998"/>
        <w:gridCol w:w="176"/>
        <w:gridCol w:w="341"/>
        <w:gridCol w:w="755"/>
        <w:gridCol w:w="176"/>
        <w:gridCol w:w="109"/>
        <w:gridCol w:w="109"/>
        <w:gridCol w:w="154"/>
      </w:tblGrid>
      <w:tr>
        <w:trPr/>
        <w:tc>
          <w:tcPr>
            <w:tcW w:w="1020" w:type="dxa"/>
            <w:tcBorders/>
            <w:shd w:fill="auto" w:val="clear"/>
            <w:vAlign w:val="center"/>
          </w:tcPr>
          <w:p>
            <w:pPr>
              <w:pStyle w:val="TableContents"/>
              <w:spacing w:before="0" w:after="283"/>
              <w:rPr>
                <w:sz w:val="4"/>
                <w:szCs w:val="4"/>
              </w:rPr>
            </w:pPr>
            <w:r>
              <w:rPr>
                <w:sz w:val="4"/>
                <w:szCs w:val="4"/>
              </w:rPr>
            </w:r>
          </w:p>
        </w:tc>
        <w:tc>
          <w:tcPr>
            <w:tcW w:w="896" w:type="dxa"/>
            <w:tcBorders/>
            <w:shd w:fill="auto" w:val="clear"/>
            <w:vAlign w:val="center"/>
          </w:tcPr>
          <w:p>
            <w:pPr>
              <w:pStyle w:val="TableContents"/>
              <w:spacing w:before="0" w:after="283"/>
              <w:rPr>
                <w:sz w:val="4"/>
                <w:szCs w:val="4"/>
              </w:rPr>
            </w:pPr>
            <w:r>
              <w:rPr>
                <w:sz w:val="4"/>
                <w:szCs w:val="4"/>
              </w:rPr>
            </w:r>
          </w:p>
        </w:tc>
        <w:tc>
          <w:tcPr>
            <w:tcW w:w="904"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998"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7"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28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(Dollars in millions)</w:t>
            </w:r>
          </w:p>
        </w:tc>
        <w:tc>
          <w:tcPr>
            <w:tcW w:w="15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27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20" w:type="dxa"/>
            <w:gridSpan w:val="3"/>
            <w:tcBorders/>
            <w:shd w:fill="auto" w:val="clear"/>
            <w:vAlign w:val="center"/>
          </w:tcPr>
          <w:p>
            <w:pPr>
              <w:pStyle w:val="TableContents"/>
              <w:spacing w:before="0" w:after="283"/>
              <w:rPr>
                <w:sz w:val="4"/>
                <w:szCs w:val="4"/>
              </w:rPr>
            </w:pPr>
            <w:r>
              <w:rPr>
                <w:sz w:val="4"/>
                <w:szCs w:val="4"/>
              </w:rPr>
            </w:r>
          </w:p>
        </w:tc>
        <w:tc>
          <w:tcPr>
            <w:tcW w:w="1515" w:type="dxa"/>
            <w:gridSpan w:val="3"/>
            <w:tcBorders/>
            <w:shd w:fill="auto" w:val="clear"/>
            <w:vAlign w:val="center"/>
          </w:tcPr>
          <w:p>
            <w:pPr>
              <w:pStyle w:val="TableContents"/>
              <w:spacing w:before="0" w:after="283"/>
              <w:rPr>
                <w:sz w:val="4"/>
                <w:szCs w:val="4"/>
              </w:rPr>
            </w:pPr>
            <w:r>
              <w:rPr>
                <w:sz w:val="4"/>
                <w:szCs w:val="4"/>
              </w:rPr>
            </w:r>
          </w:p>
        </w:tc>
        <w:tc>
          <w:tcPr>
            <w:tcW w:w="127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20" w:type="dxa"/>
            <w:gridSpan w:val="3"/>
            <w:tcBorders/>
            <w:shd w:fill="auto" w:val="clear"/>
            <w:vAlign w:val="center"/>
          </w:tcPr>
          <w:p>
            <w:pPr>
              <w:pStyle w:val="TableContents"/>
              <w:spacing w:before="0" w:after="283"/>
              <w:rPr>
                <w:sz w:val="4"/>
                <w:szCs w:val="4"/>
              </w:rPr>
            </w:pPr>
            <w:r>
              <w:rPr>
                <w:sz w:val="4"/>
                <w:szCs w:val="4"/>
              </w:rPr>
            </w:r>
          </w:p>
        </w:tc>
        <w:tc>
          <w:tcPr>
            <w:tcW w:w="1515" w:type="dxa"/>
            <w:gridSpan w:val="3"/>
            <w:tcBorders/>
            <w:shd w:fill="auto" w:val="clear"/>
            <w:vAlign w:val="center"/>
          </w:tcPr>
          <w:p>
            <w:pPr>
              <w:pStyle w:val="TableContents"/>
              <w:spacing w:before="0" w:after="283"/>
              <w:rPr>
                <w:sz w:val="4"/>
                <w:szCs w:val="4"/>
              </w:rPr>
            </w:pPr>
            <w:r>
              <w:rPr>
                <w:sz w:val="4"/>
                <w:szCs w:val="4"/>
              </w:rPr>
            </w:r>
          </w:p>
        </w:tc>
        <w:tc>
          <w:tcPr>
            <w:tcW w:w="127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20" w:type="dxa"/>
            <w:gridSpan w:val="3"/>
            <w:tcBorders/>
            <w:shd w:fill="auto" w:val="clear"/>
            <w:vAlign w:val="center"/>
          </w:tcPr>
          <w:p>
            <w:pPr>
              <w:pStyle w:val="TableContents"/>
              <w:spacing w:before="0" w:after="283"/>
              <w:rPr>
                <w:sz w:val="4"/>
                <w:szCs w:val="4"/>
              </w:rPr>
            </w:pPr>
            <w:r>
              <w:rPr>
                <w:sz w:val="4"/>
                <w:szCs w:val="4"/>
              </w:rPr>
            </w:r>
          </w:p>
        </w:tc>
        <w:tc>
          <w:tcPr>
            <w:tcW w:w="1515" w:type="dxa"/>
            <w:gridSpan w:val="3"/>
            <w:tcBorders/>
            <w:shd w:fill="auto" w:val="clear"/>
            <w:vAlign w:val="center"/>
          </w:tcPr>
          <w:p>
            <w:pPr>
              <w:pStyle w:val="TableContents"/>
              <w:spacing w:before="0" w:after="283"/>
              <w:rPr>
                <w:sz w:val="4"/>
                <w:szCs w:val="4"/>
              </w:rPr>
            </w:pPr>
            <w:r>
              <w:rPr>
                <w:sz w:val="4"/>
                <w:szCs w:val="4"/>
              </w:rPr>
            </w:r>
          </w:p>
        </w:tc>
        <w:tc>
          <w:tcPr>
            <w:tcW w:w="127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20" w:type="dxa"/>
            <w:gridSpan w:val="3"/>
            <w:tcBorders/>
            <w:shd w:fill="auto" w:val="clear"/>
            <w:vAlign w:val="center"/>
          </w:tcPr>
          <w:p>
            <w:pPr>
              <w:pStyle w:val="TableContents"/>
              <w:spacing w:before="0" w:after="283"/>
              <w:rPr>
                <w:sz w:val="4"/>
                <w:szCs w:val="4"/>
              </w:rPr>
            </w:pPr>
            <w:r>
              <w:rPr>
                <w:sz w:val="4"/>
                <w:szCs w:val="4"/>
              </w:rPr>
            </w:r>
          </w:p>
        </w:tc>
        <w:tc>
          <w:tcPr>
            <w:tcW w:w="1515" w:type="dxa"/>
            <w:gridSpan w:val="3"/>
            <w:tcBorders/>
            <w:shd w:fill="auto" w:val="clear"/>
            <w:vAlign w:val="center"/>
          </w:tcPr>
          <w:p>
            <w:pPr>
              <w:pStyle w:val="TableContents"/>
              <w:spacing w:before="0" w:after="283"/>
              <w:rPr>
                <w:sz w:val="4"/>
                <w:szCs w:val="4"/>
              </w:rPr>
            </w:pPr>
            <w:r>
              <w:rPr>
                <w:sz w:val="4"/>
                <w:szCs w:val="4"/>
              </w:rPr>
            </w:r>
          </w:p>
        </w:tc>
        <w:tc>
          <w:tcPr>
            <w:tcW w:w="127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20" w:type="dxa"/>
            <w:gridSpan w:val="3"/>
            <w:tcBorders/>
            <w:shd w:fill="auto" w:val="clear"/>
            <w:vAlign w:val="center"/>
          </w:tcPr>
          <w:p>
            <w:pPr>
              <w:pStyle w:val="TableContents"/>
              <w:spacing w:before="0" w:after="283"/>
              <w:rPr>
                <w:sz w:val="4"/>
                <w:szCs w:val="4"/>
              </w:rPr>
            </w:pPr>
            <w:r>
              <w:rPr>
                <w:sz w:val="4"/>
                <w:szCs w:val="4"/>
              </w:rPr>
            </w:r>
          </w:p>
        </w:tc>
        <w:tc>
          <w:tcPr>
            <w:tcW w:w="1515" w:type="dxa"/>
            <w:gridSpan w:val="3"/>
            <w:tcBorders/>
            <w:shd w:fill="auto" w:val="clear"/>
            <w:vAlign w:val="center"/>
          </w:tcPr>
          <w:p>
            <w:pPr>
              <w:pStyle w:val="TableContents"/>
              <w:spacing w:before="0" w:after="283"/>
              <w:rPr>
                <w:sz w:val="4"/>
                <w:szCs w:val="4"/>
              </w:rPr>
            </w:pPr>
            <w:r>
              <w:rPr>
                <w:sz w:val="4"/>
                <w:szCs w:val="4"/>
              </w:rPr>
            </w:r>
          </w:p>
        </w:tc>
        <w:tc>
          <w:tcPr>
            <w:tcW w:w="127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20" w:type="dxa"/>
            <w:gridSpan w:val="3"/>
            <w:tcBorders/>
            <w:shd w:fill="auto" w:val="clear"/>
            <w:vAlign w:val="center"/>
          </w:tcPr>
          <w:p>
            <w:pPr>
              <w:pStyle w:val="TableContents"/>
              <w:spacing w:before="0" w:after="283"/>
              <w:rPr>
                <w:sz w:val="4"/>
                <w:szCs w:val="4"/>
              </w:rPr>
            </w:pPr>
            <w:r>
              <w:rPr>
                <w:sz w:val="4"/>
                <w:szCs w:val="4"/>
              </w:rPr>
            </w:r>
          </w:p>
        </w:tc>
        <w:tc>
          <w:tcPr>
            <w:tcW w:w="1515" w:type="dxa"/>
            <w:gridSpan w:val="3"/>
            <w:tcBorders/>
            <w:shd w:fill="auto" w:val="clear"/>
            <w:vAlign w:val="center"/>
          </w:tcPr>
          <w:p>
            <w:pPr>
              <w:pStyle w:val="TableContents"/>
              <w:spacing w:before="0" w:after="283"/>
              <w:rPr>
                <w:sz w:val="4"/>
                <w:szCs w:val="4"/>
              </w:rPr>
            </w:pPr>
            <w:r>
              <w:rPr>
                <w:sz w:val="4"/>
                <w:szCs w:val="4"/>
              </w:rPr>
            </w:r>
          </w:p>
        </w:tc>
        <w:tc>
          <w:tcPr>
            <w:tcW w:w="127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20" w:type="dxa"/>
            <w:gridSpan w:val="3"/>
            <w:tcBorders/>
            <w:shd w:fill="auto" w:val="clear"/>
            <w:vAlign w:val="center"/>
          </w:tcPr>
          <w:p>
            <w:pPr>
              <w:pStyle w:val="TableContents"/>
              <w:spacing w:before="0" w:after="283"/>
              <w:rPr>
                <w:sz w:val="4"/>
                <w:szCs w:val="4"/>
              </w:rPr>
            </w:pPr>
            <w:r>
              <w:rPr>
                <w:sz w:val="4"/>
                <w:szCs w:val="4"/>
              </w:rPr>
            </w:r>
          </w:p>
        </w:tc>
        <w:tc>
          <w:tcPr>
            <w:tcW w:w="1515" w:type="dxa"/>
            <w:gridSpan w:val="3"/>
            <w:tcBorders/>
            <w:shd w:fill="auto" w:val="clear"/>
            <w:vAlign w:val="center"/>
          </w:tcPr>
          <w:p>
            <w:pPr>
              <w:pStyle w:val="TableContents"/>
              <w:spacing w:before="0" w:after="283"/>
              <w:rPr>
                <w:sz w:val="4"/>
                <w:szCs w:val="4"/>
              </w:rPr>
            </w:pPr>
            <w:r>
              <w:rPr>
                <w:sz w:val="4"/>
                <w:szCs w:val="4"/>
              </w:rPr>
            </w:r>
          </w:p>
        </w:tc>
        <w:tc>
          <w:tcPr>
            <w:tcW w:w="127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20" w:type="dxa"/>
            <w:gridSpan w:val="3"/>
            <w:tcBorders/>
            <w:shd w:fill="auto" w:val="clear"/>
            <w:vAlign w:val="center"/>
          </w:tcPr>
          <w:p>
            <w:pPr>
              <w:pStyle w:val="TableContents"/>
              <w:spacing w:before="0" w:after="283"/>
              <w:rPr>
                <w:sz w:val="4"/>
                <w:szCs w:val="4"/>
              </w:rPr>
            </w:pPr>
            <w:r>
              <w:rPr>
                <w:sz w:val="4"/>
                <w:szCs w:val="4"/>
              </w:rPr>
            </w:r>
          </w:p>
        </w:tc>
        <w:tc>
          <w:tcPr>
            <w:tcW w:w="1515" w:type="dxa"/>
            <w:gridSpan w:val="3"/>
            <w:tcBorders/>
            <w:shd w:fill="auto" w:val="clear"/>
            <w:vAlign w:val="center"/>
          </w:tcPr>
          <w:p>
            <w:pPr>
              <w:pStyle w:val="TableContents"/>
              <w:spacing w:before="0" w:after="283"/>
              <w:rPr>
                <w:sz w:val="4"/>
                <w:szCs w:val="4"/>
              </w:rPr>
            </w:pPr>
            <w:r>
              <w:rPr>
                <w:sz w:val="4"/>
                <w:szCs w:val="4"/>
              </w:rPr>
            </w:r>
          </w:p>
        </w:tc>
        <w:tc>
          <w:tcPr>
            <w:tcW w:w="127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2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 by Geographic Areas:</w:t>
            </w:r>
          </w:p>
        </w:tc>
        <w:tc>
          <w:tcPr>
            <w:tcW w:w="151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Middle East/North Africa/Asia</w:t>
            </w:r>
          </w:p>
        </w:tc>
        <w:tc>
          <w:tcPr>
            <w:tcW w:w="34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 America</w:t>
            </w:r>
          </w:p>
        </w:tc>
        <w:tc>
          <w:tcPr>
            <w:tcW w:w="13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Latin America</w:t>
            </w:r>
          </w:p>
        </w:tc>
        <w:tc>
          <w:tcPr>
            <w:tcW w:w="13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Europe/Sub-Sahara Africa/Russia</w:t>
            </w:r>
          </w:p>
        </w:tc>
        <w:tc>
          <w:tcPr>
            <w:tcW w:w="13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20" w:type="dxa"/>
            <w:gridSpan w:val="3"/>
            <w:tcBorders/>
            <w:shd w:fill="auto" w:val="clear"/>
            <w:vAlign w:val="center"/>
          </w:tcPr>
          <w:p>
            <w:pPr>
              <w:pStyle w:val="TableContents"/>
              <w:spacing w:before="0" w:after="283"/>
              <w:rPr>
                <w:sz w:val="4"/>
                <w:szCs w:val="4"/>
              </w:rPr>
            </w:pPr>
            <w:r>
              <w:rPr>
                <w:sz w:val="4"/>
                <w:szCs w:val="4"/>
              </w:rPr>
            </w:r>
          </w:p>
        </w:tc>
        <w:tc>
          <w:tcPr>
            <w:tcW w:w="1515" w:type="dxa"/>
            <w:gridSpan w:val="3"/>
            <w:tcBorders/>
            <w:shd w:fill="auto" w:val="clear"/>
            <w:vAlign w:val="center"/>
          </w:tcPr>
          <w:p>
            <w:pPr>
              <w:pStyle w:val="TableContents"/>
              <w:spacing w:before="0" w:after="283"/>
              <w:rPr>
                <w:sz w:val="4"/>
                <w:szCs w:val="4"/>
              </w:rPr>
            </w:pPr>
            <w:r>
              <w:rPr>
                <w:sz w:val="4"/>
                <w:szCs w:val="4"/>
              </w:rPr>
            </w:r>
          </w:p>
        </w:tc>
        <w:tc>
          <w:tcPr>
            <w:tcW w:w="127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2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Revenues</w:t>
            </w:r>
          </w:p>
        </w:tc>
        <w:tc>
          <w:tcPr>
            <w:tcW w:w="3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20" w:type="dxa"/>
            <w:gridSpan w:val="3"/>
            <w:tcBorders/>
            <w:shd w:fill="auto" w:val="clear"/>
            <w:vAlign w:val="center"/>
          </w:tcPr>
          <w:p>
            <w:pPr>
              <w:pStyle w:val="TableContents"/>
              <w:spacing w:before="0" w:after="283"/>
              <w:rPr>
                <w:sz w:val="4"/>
                <w:szCs w:val="4"/>
              </w:rPr>
            </w:pPr>
            <w:r>
              <w:rPr>
                <w:sz w:val="4"/>
                <w:szCs w:val="4"/>
              </w:rPr>
            </w:r>
          </w:p>
        </w:tc>
        <w:tc>
          <w:tcPr>
            <w:tcW w:w="1515" w:type="dxa"/>
            <w:gridSpan w:val="3"/>
            <w:tcBorders/>
            <w:shd w:fill="auto" w:val="clear"/>
            <w:vAlign w:val="center"/>
          </w:tcPr>
          <w:p>
            <w:pPr>
              <w:pStyle w:val="TableContents"/>
              <w:spacing w:before="0" w:after="283"/>
              <w:rPr>
                <w:sz w:val="4"/>
                <w:szCs w:val="4"/>
              </w:rPr>
            </w:pPr>
            <w:r>
              <w:rPr>
                <w:sz w:val="4"/>
                <w:szCs w:val="4"/>
              </w:rPr>
            </w:r>
          </w:p>
        </w:tc>
        <w:tc>
          <w:tcPr>
            <w:tcW w:w="127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20" w:type="dxa"/>
            <w:gridSpan w:val="3"/>
            <w:tcBorders/>
            <w:shd w:fill="auto" w:val="clear"/>
            <w:vAlign w:val="center"/>
          </w:tcPr>
          <w:p>
            <w:pPr>
              <w:pStyle w:val="TableContents"/>
              <w:spacing w:before="0" w:after="283"/>
              <w:rPr>
                <w:sz w:val="4"/>
                <w:szCs w:val="4"/>
              </w:rPr>
            </w:pPr>
            <w:r>
              <w:rPr>
                <w:sz w:val="4"/>
                <w:szCs w:val="4"/>
              </w:rPr>
            </w:r>
          </w:p>
        </w:tc>
        <w:tc>
          <w:tcPr>
            <w:tcW w:w="1515" w:type="dxa"/>
            <w:gridSpan w:val="3"/>
            <w:tcBorders/>
            <w:shd w:fill="auto" w:val="clear"/>
            <w:vAlign w:val="center"/>
          </w:tcPr>
          <w:p>
            <w:pPr>
              <w:pStyle w:val="TableContents"/>
              <w:spacing w:before="0" w:after="283"/>
              <w:rPr>
                <w:sz w:val="4"/>
                <w:szCs w:val="4"/>
              </w:rPr>
            </w:pPr>
            <w:r>
              <w:rPr>
                <w:sz w:val="4"/>
                <w:szCs w:val="4"/>
              </w:rPr>
            </w:r>
          </w:p>
        </w:tc>
        <w:tc>
          <w:tcPr>
            <w:tcW w:w="127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20" w:type="dxa"/>
            <w:gridSpan w:val="3"/>
            <w:tcBorders/>
            <w:shd w:fill="auto" w:val="clear"/>
            <w:vAlign w:val="center"/>
          </w:tcPr>
          <w:p>
            <w:pPr>
              <w:pStyle w:val="TableContents"/>
              <w:spacing w:before="0" w:after="283"/>
              <w:rPr>
                <w:sz w:val="4"/>
                <w:szCs w:val="4"/>
              </w:rPr>
            </w:pPr>
            <w:r>
              <w:rPr>
                <w:sz w:val="4"/>
                <w:szCs w:val="4"/>
              </w:rPr>
            </w:r>
          </w:p>
        </w:tc>
        <w:tc>
          <w:tcPr>
            <w:tcW w:w="1515" w:type="dxa"/>
            <w:gridSpan w:val="3"/>
            <w:tcBorders/>
            <w:shd w:fill="auto" w:val="clear"/>
            <w:vAlign w:val="center"/>
          </w:tcPr>
          <w:p>
            <w:pPr>
              <w:pStyle w:val="TableContents"/>
              <w:spacing w:before="0" w:after="283"/>
              <w:rPr>
                <w:sz w:val="4"/>
                <w:szCs w:val="4"/>
              </w:rPr>
            </w:pPr>
            <w:r>
              <w:rPr>
                <w:sz w:val="4"/>
                <w:szCs w:val="4"/>
              </w:rPr>
            </w:r>
          </w:p>
        </w:tc>
        <w:tc>
          <w:tcPr>
            <w:tcW w:w="127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20" w:type="dxa"/>
            <w:gridSpan w:val="3"/>
            <w:tcBorders/>
            <w:shd w:fill="auto" w:val="clear"/>
            <w:vAlign w:val="center"/>
          </w:tcPr>
          <w:p>
            <w:pPr>
              <w:pStyle w:val="TableContents"/>
              <w:spacing w:before="0" w:after="283"/>
              <w:rPr>
                <w:sz w:val="4"/>
                <w:szCs w:val="4"/>
              </w:rPr>
            </w:pPr>
            <w:r>
              <w:rPr>
                <w:sz w:val="4"/>
                <w:szCs w:val="4"/>
              </w:rPr>
            </w:r>
          </w:p>
        </w:tc>
        <w:tc>
          <w:tcPr>
            <w:tcW w:w="1515" w:type="dxa"/>
            <w:gridSpan w:val="3"/>
            <w:tcBorders/>
            <w:shd w:fill="auto" w:val="clear"/>
            <w:vAlign w:val="center"/>
          </w:tcPr>
          <w:p>
            <w:pPr>
              <w:pStyle w:val="TableContents"/>
              <w:spacing w:before="0" w:after="283"/>
              <w:rPr>
                <w:sz w:val="4"/>
                <w:szCs w:val="4"/>
              </w:rPr>
            </w:pPr>
            <w:r>
              <w:rPr>
                <w:sz w:val="4"/>
                <w:szCs w:val="4"/>
              </w:rPr>
            </w:r>
          </w:p>
        </w:tc>
        <w:tc>
          <w:tcPr>
            <w:tcW w:w="127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20" w:type="dxa"/>
            <w:gridSpan w:val="3"/>
            <w:tcBorders/>
            <w:shd w:fill="auto" w:val="clear"/>
            <w:vAlign w:val="center"/>
          </w:tcPr>
          <w:p>
            <w:pPr>
              <w:pStyle w:val="TableContents"/>
              <w:spacing w:before="0" w:after="283"/>
              <w:rPr>
                <w:sz w:val="4"/>
                <w:szCs w:val="4"/>
              </w:rPr>
            </w:pPr>
            <w:r>
              <w:rPr>
                <w:sz w:val="4"/>
                <w:szCs w:val="4"/>
              </w:rPr>
            </w:r>
          </w:p>
        </w:tc>
        <w:tc>
          <w:tcPr>
            <w:tcW w:w="1515" w:type="dxa"/>
            <w:gridSpan w:val="3"/>
            <w:tcBorders/>
            <w:shd w:fill="auto" w:val="clear"/>
            <w:vAlign w:val="center"/>
          </w:tcPr>
          <w:p>
            <w:pPr>
              <w:pStyle w:val="TableContents"/>
              <w:spacing w:before="0" w:after="283"/>
              <w:rPr>
                <w:sz w:val="4"/>
                <w:szCs w:val="4"/>
              </w:rPr>
            </w:pPr>
            <w:r>
              <w:rPr>
                <w:sz w:val="4"/>
                <w:szCs w:val="4"/>
              </w:rPr>
            </w:r>
          </w:p>
        </w:tc>
        <w:tc>
          <w:tcPr>
            <w:tcW w:w="127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20" w:type="dxa"/>
            <w:gridSpan w:val="3"/>
            <w:tcBorders/>
            <w:shd w:fill="auto" w:val="clear"/>
            <w:vAlign w:val="center"/>
          </w:tcPr>
          <w:p>
            <w:pPr>
              <w:pStyle w:val="TableContents"/>
              <w:spacing w:before="0" w:after="283"/>
              <w:rPr>
                <w:sz w:val="4"/>
                <w:szCs w:val="4"/>
              </w:rPr>
            </w:pPr>
            <w:r>
              <w:rPr>
                <w:sz w:val="4"/>
                <w:szCs w:val="4"/>
              </w:rPr>
            </w:r>
          </w:p>
        </w:tc>
        <w:tc>
          <w:tcPr>
            <w:tcW w:w="1515" w:type="dxa"/>
            <w:gridSpan w:val="3"/>
            <w:tcBorders/>
            <w:shd w:fill="auto" w:val="clear"/>
            <w:vAlign w:val="center"/>
          </w:tcPr>
          <w:p>
            <w:pPr>
              <w:pStyle w:val="TableContents"/>
              <w:spacing w:before="0" w:after="283"/>
              <w:rPr>
                <w:sz w:val="4"/>
                <w:szCs w:val="4"/>
              </w:rPr>
            </w:pPr>
            <w:r>
              <w:rPr>
                <w:sz w:val="4"/>
                <w:szCs w:val="4"/>
              </w:rPr>
            </w:r>
          </w:p>
        </w:tc>
        <w:tc>
          <w:tcPr>
            <w:tcW w:w="127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20" w:type="dxa"/>
            <w:gridSpan w:val="3"/>
            <w:tcBorders/>
            <w:shd w:fill="auto" w:val="clear"/>
            <w:vAlign w:val="center"/>
          </w:tcPr>
          <w:p>
            <w:pPr>
              <w:pStyle w:val="TableContents"/>
              <w:spacing w:before="0" w:after="283"/>
              <w:rPr>
                <w:sz w:val="4"/>
                <w:szCs w:val="4"/>
              </w:rPr>
            </w:pPr>
            <w:r>
              <w:rPr>
                <w:sz w:val="4"/>
                <w:szCs w:val="4"/>
              </w:rPr>
            </w:r>
          </w:p>
        </w:tc>
        <w:tc>
          <w:tcPr>
            <w:tcW w:w="1515" w:type="dxa"/>
            <w:gridSpan w:val="3"/>
            <w:tcBorders/>
            <w:shd w:fill="auto" w:val="clear"/>
            <w:vAlign w:val="center"/>
          </w:tcPr>
          <w:p>
            <w:pPr>
              <w:pStyle w:val="TableContents"/>
              <w:spacing w:before="0" w:after="283"/>
              <w:rPr>
                <w:sz w:val="4"/>
                <w:szCs w:val="4"/>
              </w:rPr>
            </w:pPr>
            <w:r>
              <w:rPr>
                <w:sz w:val="4"/>
                <w:szCs w:val="4"/>
              </w:rPr>
            </w:r>
          </w:p>
        </w:tc>
        <w:tc>
          <w:tcPr>
            <w:tcW w:w="127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before="60" w:after="283"/>
        <w:ind w:left="0" w:right="0" w:firstLine="360"/>
        <w:rPr/>
      </w:pPr>
      <w:r>
        <w:rPr/>
      </w:r>
    </w:p>
    <w:p>
      <w:pPr>
        <w:pStyle w:val="TextBody"/>
        <w:spacing w:lineRule="auto" w:line="288" w:before="60" w:after="283"/>
        <w:ind w:left="0" w:right="0" w:firstLine="360"/>
        <w:rPr/>
      </w:pPr>
      <w:hyperlink w:anchor="i6cc7e3401d8a485198d3a93c25e5b7bf_7">
        <w:r>
          <w:rPr>
            <w:rStyle w:val="InternetLink"/>
          </w:rPr>
          <w:t xml:space="preserve">Table of </w:t>
        </w:r>
      </w:hyperlink>
      <w:hyperlink w:anchor="i6cc7e3401d8a485198d3a93c25e5b7bf_7">
        <w:r>
          <w:rPr>
            <w:rStyle w:val="InternetLink"/>
          </w:rPr>
          <w:t>Contents</w:t>
        </w:r>
      </w:hyperlink>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Contract Balances</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timing of our revenue recognition, billings and cash collections results in the recording of accounts receivable, contract assets, and contract liabilities. The following table summarizes these balances as of March 31, 2023 and December 31, 2022:</w:t>
      </w:r>
    </w:p>
    <w:tbl>
      <w:tblPr>
        <w:tblW w:w="8683" w:type="dxa"/>
        <w:jc w:val="left"/>
        <w:tblInd w:w="0" w:type="dxa"/>
        <w:tblCellMar>
          <w:top w:w="28" w:type="dxa"/>
          <w:left w:w="28" w:type="dxa"/>
          <w:bottom w:w="28" w:type="dxa"/>
          <w:right w:w="28" w:type="dxa"/>
        </w:tblCellMar>
      </w:tblPr>
      <w:tblGrid>
        <w:gridCol w:w="1981"/>
        <w:gridCol w:w="1739"/>
        <w:gridCol w:w="1755"/>
        <w:gridCol w:w="324"/>
        <w:gridCol w:w="948"/>
        <w:gridCol w:w="167"/>
        <w:gridCol w:w="448"/>
        <w:gridCol w:w="992"/>
        <w:gridCol w:w="329"/>
      </w:tblGrid>
      <w:tr>
        <w:trPr/>
        <w:tc>
          <w:tcPr>
            <w:tcW w:w="1981" w:type="dxa"/>
            <w:tcBorders/>
            <w:shd w:fill="auto" w:val="clear"/>
            <w:vAlign w:val="center"/>
          </w:tcPr>
          <w:p>
            <w:pPr>
              <w:pStyle w:val="TableContents"/>
              <w:spacing w:before="0" w:after="283"/>
              <w:rPr>
                <w:sz w:val="4"/>
                <w:szCs w:val="4"/>
              </w:rPr>
            </w:pPr>
            <w:r>
              <w:rPr>
                <w:sz w:val="4"/>
                <w:szCs w:val="4"/>
              </w:rPr>
            </w:r>
          </w:p>
        </w:tc>
        <w:tc>
          <w:tcPr>
            <w:tcW w:w="1739" w:type="dxa"/>
            <w:tcBorders/>
            <w:shd w:fill="auto" w:val="clear"/>
            <w:vAlign w:val="center"/>
          </w:tcPr>
          <w:p>
            <w:pPr>
              <w:pStyle w:val="TableContents"/>
              <w:spacing w:before="0" w:after="283"/>
              <w:rPr>
                <w:sz w:val="4"/>
                <w:szCs w:val="4"/>
              </w:rPr>
            </w:pPr>
            <w:r>
              <w:rPr>
                <w:sz w:val="4"/>
                <w:szCs w:val="4"/>
              </w:rPr>
            </w:r>
          </w:p>
        </w:tc>
        <w:tc>
          <w:tcPr>
            <w:tcW w:w="1755"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948"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448" w:type="dxa"/>
            <w:tcBorders/>
            <w:shd w:fill="auto" w:val="clear"/>
            <w:vAlign w:val="center"/>
          </w:tcPr>
          <w:p>
            <w:pPr>
              <w:pStyle w:val="TableContents"/>
              <w:spacing w:before="0" w:after="283"/>
              <w:rPr>
                <w:sz w:val="4"/>
                <w:szCs w:val="4"/>
              </w:rPr>
            </w:pPr>
            <w:r>
              <w:rPr>
                <w:sz w:val="4"/>
                <w:szCs w:val="4"/>
              </w:rPr>
            </w:r>
          </w:p>
        </w:tc>
        <w:tc>
          <w:tcPr>
            <w:tcW w:w="992"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r>
      <w:tr>
        <w:trPr/>
        <w:tc>
          <w:tcPr>
            <w:tcW w:w="54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(Dollars in millions)</w:t>
            </w:r>
          </w:p>
        </w:tc>
        <w:tc>
          <w:tcPr>
            <w:tcW w:w="14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17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547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for Product and Services in Accounts Receivable, Net</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954 </w:t>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for Equipment Rentals in Account Receivable, Net</w:t>
            </w:r>
          </w:p>
        </w:tc>
        <w:tc>
          <w:tcPr>
            <w:tcW w:w="32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3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7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989 </w:t>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7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 in Other Current Assets</w:t>
            </w:r>
          </w:p>
        </w:tc>
        <w:tc>
          <w:tcPr>
            <w:tcW w:w="32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3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 in Other Non-Current Assets</w:t>
            </w:r>
          </w:p>
        </w:tc>
        <w:tc>
          <w:tcPr>
            <w:tcW w:w="32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3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Contract Liabilities in Other Current Liabilities </w:t>
            </w:r>
            <w:r>
              <w:rPr>
                <w:rFonts w:ascii="Times New Roman;sans-serif" w:hAnsi="Times New Roman;sans-serif"/>
                <w:b w:val="false"/>
                <w:color w:val="000000"/>
                <w:sz w:val="13"/>
              </w:rPr>
              <w:t>(a)</w:t>
            </w:r>
          </w:p>
        </w:tc>
        <w:tc>
          <w:tcPr>
            <w:tcW w:w="32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3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 in Other Non-Current Liabilities</w:t>
            </w:r>
          </w:p>
        </w:tc>
        <w:tc>
          <w:tcPr>
            <w:tcW w:w="32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2"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00" w:after="283"/>
        <w:ind w:left="0" w:right="0" w:hanging="270"/>
        <w:jc w:val="both"/>
        <w:rPr/>
      </w:pPr>
      <w:r>
        <w:rPr>
          <w:rFonts w:ascii="Times New Roman;sans-serif" w:hAnsi="Times New Roman;sans-serif"/>
          <w:b w:val="false"/>
          <w:color w:val="000000"/>
          <w:sz w:val="12"/>
        </w:rPr>
        <w:t>(a)</w:t>
      </w:r>
      <w:r>
        <w:rPr>
          <w:rFonts w:ascii="Times New Roman;sans-serif" w:hAnsi="Times New Roman;sans-serif"/>
          <w:b w:val="false"/>
          <w:color w:val="000000"/>
          <w:sz w:val="20"/>
        </w:rPr>
        <w:t>Revenues recognized during the three months ended March 31, 2023 and March 31, 2022 that were included in the contract liabilities balance at the beginning of the year was approximately $20 million and $22 million, respectively.</w:t>
      </w:r>
    </w:p>
    <w:p>
      <w:pPr>
        <w:pStyle w:val="TextBody"/>
        <w:spacing w:before="0" w:after="0"/>
        <w:ind w:left="0" w:right="0" w:firstLine="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4 – Restructuring Charges</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Restructuring charges were zero and $20 million in the three months ended March 31, 2023 and in the three months ended March 31, 2022, respectively, and presented as “Restructuring Charges” on the accompanying Condensed Consolidated Statements of Operations. The 2022 charges were primarily related to the launch of a multi-year footprint consolidation and workforce efficiency initiative aimed at improving fulfillment operations and included $14 million in severance and $6 million in asset retirement obligations.</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Restructuring liabilities were $21 million and $25 million as of March 31, 2023 and December 31, 2022, respectively, of which $12 million and $16 million are recorded in “Other Current Liabilities” as of March 31, 2023 and December 31, 2022, respectively, and $9 million are recorded in “Other Non-current Liabilities” as of both March 31, 2023 and December 31, 2022, on the accompanying Consolidated Balance Sheets. A change in liabilities will include restructuring charges, primarily offset by cash payments.</w:t>
      </w:r>
    </w:p>
    <w:tbl>
      <w:tblPr>
        <w:tblW w:w="2349"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9" w:type="dxa"/>
            <w:gridSpan w:val="6"/>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total restructuring charges by segment and All Other in the three months ended March 31, 2023 and 2022:</w:t>
      </w:r>
    </w:p>
    <w:tbl>
      <w:tblPr>
        <w:tblW w:w="5576" w:type="dxa"/>
        <w:jc w:val="center"/>
        <w:tblInd w:w="0" w:type="dxa"/>
        <w:tblCellMar>
          <w:top w:w="28" w:type="dxa"/>
          <w:left w:w="28" w:type="dxa"/>
          <w:bottom w:w="28" w:type="dxa"/>
          <w:right w:w="28" w:type="dxa"/>
        </w:tblCellMar>
      </w:tblPr>
      <w:tblGrid>
        <w:gridCol w:w="874"/>
        <w:gridCol w:w="767"/>
        <w:gridCol w:w="774"/>
        <w:gridCol w:w="418"/>
        <w:gridCol w:w="805"/>
        <w:gridCol w:w="216"/>
        <w:gridCol w:w="418"/>
        <w:gridCol w:w="716"/>
        <w:gridCol w:w="216"/>
        <w:gridCol w:w="109"/>
        <w:gridCol w:w="109"/>
        <w:gridCol w:w="154"/>
      </w:tblGrid>
      <w:tr>
        <w:trPr/>
        <w:tc>
          <w:tcPr>
            <w:tcW w:w="874" w:type="dxa"/>
            <w:tcBorders/>
            <w:shd w:fill="auto" w:val="clear"/>
            <w:vAlign w:val="center"/>
          </w:tcPr>
          <w:p>
            <w:pPr>
              <w:pStyle w:val="TableContents"/>
              <w:spacing w:before="0" w:after="283"/>
              <w:rPr>
                <w:sz w:val="4"/>
                <w:szCs w:val="4"/>
              </w:rPr>
            </w:pPr>
            <w:r>
              <w:rPr>
                <w:sz w:val="4"/>
                <w:szCs w:val="4"/>
              </w:rPr>
            </w:r>
          </w:p>
        </w:tc>
        <w:tc>
          <w:tcPr>
            <w:tcW w:w="767" w:type="dxa"/>
            <w:tcBorders/>
            <w:shd w:fill="auto" w:val="clear"/>
            <w:vAlign w:val="center"/>
          </w:tcPr>
          <w:p>
            <w:pPr>
              <w:pStyle w:val="TableContents"/>
              <w:spacing w:before="0" w:after="283"/>
              <w:rPr>
                <w:sz w:val="4"/>
                <w:szCs w:val="4"/>
              </w:rPr>
            </w:pPr>
            <w:r>
              <w:rPr>
                <w:sz w:val="4"/>
                <w:szCs w:val="4"/>
              </w:rPr>
            </w:r>
          </w:p>
        </w:tc>
        <w:tc>
          <w:tcPr>
            <w:tcW w:w="774" w:type="dxa"/>
            <w:tcBorders/>
            <w:shd w:fill="auto" w:val="clear"/>
            <w:vAlign w:val="center"/>
          </w:tcPr>
          <w:p>
            <w:pPr>
              <w:pStyle w:val="TableContents"/>
              <w:spacing w:before="0" w:after="283"/>
              <w:rPr>
                <w:sz w:val="4"/>
                <w:szCs w:val="4"/>
              </w:rPr>
            </w:pPr>
            <w:r>
              <w:rPr>
                <w:sz w:val="4"/>
                <w:szCs w:val="4"/>
              </w:rPr>
            </w:r>
          </w:p>
        </w:tc>
        <w:tc>
          <w:tcPr>
            <w:tcW w:w="418" w:type="dxa"/>
            <w:tcBorders/>
            <w:shd w:fill="auto" w:val="clear"/>
            <w:vAlign w:val="center"/>
          </w:tcPr>
          <w:p>
            <w:pPr>
              <w:pStyle w:val="TableContents"/>
              <w:spacing w:before="0" w:after="283"/>
              <w:rPr>
                <w:sz w:val="4"/>
                <w:szCs w:val="4"/>
              </w:rPr>
            </w:pPr>
            <w:r>
              <w:rPr>
                <w:sz w:val="4"/>
                <w:szCs w:val="4"/>
              </w:rPr>
            </w:r>
          </w:p>
        </w:tc>
        <w:tc>
          <w:tcPr>
            <w:tcW w:w="805"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418" w:type="dxa"/>
            <w:tcBorders/>
            <w:shd w:fill="auto" w:val="clear"/>
            <w:vAlign w:val="center"/>
          </w:tcPr>
          <w:p>
            <w:pPr>
              <w:pStyle w:val="TableContents"/>
              <w:spacing w:before="0" w:after="283"/>
              <w:rPr>
                <w:sz w:val="4"/>
                <w:szCs w:val="4"/>
              </w:rPr>
            </w:pPr>
            <w:r>
              <w:rPr>
                <w:sz w:val="4"/>
                <w:szCs w:val="4"/>
              </w:rPr>
            </w:r>
          </w:p>
        </w:tc>
        <w:tc>
          <w:tcPr>
            <w:tcW w:w="716"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15" w:type="dxa"/>
            <w:gridSpan w:val="3"/>
            <w:tcBorders/>
            <w:shd w:fill="auto" w:val="clear"/>
            <w:vAlign w:val="center"/>
          </w:tcPr>
          <w:p>
            <w:pPr>
              <w:pStyle w:val="TableContents"/>
              <w:spacing w:before="0" w:after="283"/>
              <w:rPr>
                <w:sz w:val="4"/>
                <w:szCs w:val="4"/>
              </w:rPr>
            </w:pPr>
            <w:r>
              <w:rPr>
                <w:sz w:val="4"/>
                <w:szCs w:val="4"/>
              </w:rPr>
            </w:r>
          </w:p>
        </w:tc>
        <w:tc>
          <w:tcPr>
            <w:tcW w:w="1439" w:type="dxa"/>
            <w:gridSpan w:val="3"/>
            <w:tcBorders/>
            <w:shd w:fill="auto" w:val="clear"/>
            <w:vAlign w:val="center"/>
          </w:tcPr>
          <w:p>
            <w:pPr>
              <w:pStyle w:val="TableContents"/>
              <w:spacing w:before="0" w:after="283"/>
              <w:rPr>
                <w:sz w:val="4"/>
                <w:szCs w:val="4"/>
              </w:rPr>
            </w:pPr>
            <w:r>
              <w:rPr>
                <w:sz w:val="4"/>
                <w:szCs w:val="4"/>
              </w:rPr>
            </w:r>
          </w:p>
        </w:tc>
        <w:tc>
          <w:tcPr>
            <w:tcW w:w="135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15" w:type="dxa"/>
            <w:gridSpan w:val="3"/>
            <w:tcBorders/>
            <w:shd w:fill="auto" w:val="clear"/>
            <w:vAlign w:val="center"/>
          </w:tcPr>
          <w:p>
            <w:pPr>
              <w:pStyle w:val="TableContents"/>
              <w:spacing w:before="0" w:after="283"/>
              <w:rPr>
                <w:sz w:val="4"/>
                <w:szCs w:val="4"/>
              </w:rPr>
            </w:pPr>
            <w:r>
              <w:rPr>
                <w:sz w:val="4"/>
                <w:szCs w:val="4"/>
              </w:rPr>
            </w:r>
          </w:p>
        </w:tc>
        <w:tc>
          <w:tcPr>
            <w:tcW w:w="1439" w:type="dxa"/>
            <w:gridSpan w:val="3"/>
            <w:tcBorders/>
            <w:shd w:fill="auto" w:val="clear"/>
            <w:vAlign w:val="center"/>
          </w:tcPr>
          <w:p>
            <w:pPr>
              <w:pStyle w:val="TableContents"/>
              <w:spacing w:before="0" w:after="283"/>
              <w:rPr>
                <w:sz w:val="4"/>
                <w:szCs w:val="4"/>
              </w:rPr>
            </w:pPr>
            <w:r>
              <w:rPr>
                <w:sz w:val="4"/>
                <w:szCs w:val="4"/>
              </w:rPr>
            </w:r>
          </w:p>
        </w:tc>
        <w:tc>
          <w:tcPr>
            <w:tcW w:w="135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15" w:type="dxa"/>
            <w:gridSpan w:val="3"/>
            <w:tcBorders/>
            <w:shd w:fill="auto" w:val="clear"/>
            <w:vAlign w:val="center"/>
          </w:tcPr>
          <w:p>
            <w:pPr>
              <w:pStyle w:val="TableContents"/>
              <w:spacing w:before="0" w:after="283"/>
              <w:rPr>
                <w:sz w:val="4"/>
                <w:szCs w:val="4"/>
              </w:rPr>
            </w:pPr>
            <w:r>
              <w:rPr>
                <w:sz w:val="4"/>
                <w:szCs w:val="4"/>
              </w:rPr>
            </w:r>
          </w:p>
        </w:tc>
        <w:tc>
          <w:tcPr>
            <w:tcW w:w="1439" w:type="dxa"/>
            <w:gridSpan w:val="3"/>
            <w:tcBorders/>
            <w:shd w:fill="auto" w:val="clear"/>
            <w:vAlign w:val="center"/>
          </w:tcPr>
          <w:p>
            <w:pPr>
              <w:pStyle w:val="TableContents"/>
              <w:spacing w:before="0" w:after="283"/>
              <w:rPr>
                <w:sz w:val="4"/>
                <w:szCs w:val="4"/>
              </w:rPr>
            </w:pPr>
            <w:r>
              <w:rPr>
                <w:sz w:val="4"/>
                <w:szCs w:val="4"/>
              </w:rPr>
            </w:r>
          </w:p>
        </w:tc>
        <w:tc>
          <w:tcPr>
            <w:tcW w:w="135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15" w:type="dxa"/>
            <w:gridSpan w:val="3"/>
            <w:tcBorders/>
            <w:shd w:fill="auto" w:val="clear"/>
            <w:vAlign w:val="center"/>
          </w:tcPr>
          <w:p>
            <w:pPr>
              <w:pStyle w:val="TableContents"/>
              <w:spacing w:before="0" w:after="283"/>
              <w:rPr>
                <w:sz w:val="4"/>
                <w:szCs w:val="4"/>
              </w:rPr>
            </w:pPr>
            <w:r>
              <w:rPr>
                <w:sz w:val="4"/>
                <w:szCs w:val="4"/>
              </w:rPr>
            </w:r>
          </w:p>
        </w:tc>
        <w:tc>
          <w:tcPr>
            <w:tcW w:w="1439" w:type="dxa"/>
            <w:gridSpan w:val="3"/>
            <w:tcBorders/>
            <w:shd w:fill="auto" w:val="clear"/>
            <w:vAlign w:val="center"/>
          </w:tcPr>
          <w:p>
            <w:pPr>
              <w:pStyle w:val="TableContents"/>
              <w:spacing w:before="0" w:after="283"/>
              <w:rPr>
                <w:sz w:val="4"/>
                <w:szCs w:val="4"/>
              </w:rPr>
            </w:pPr>
            <w:r>
              <w:rPr>
                <w:sz w:val="4"/>
                <w:szCs w:val="4"/>
              </w:rPr>
            </w:r>
          </w:p>
        </w:tc>
        <w:tc>
          <w:tcPr>
            <w:tcW w:w="135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15" w:type="dxa"/>
            <w:gridSpan w:val="3"/>
            <w:tcBorders/>
            <w:shd w:fill="auto" w:val="clear"/>
            <w:vAlign w:val="center"/>
          </w:tcPr>
          <w:p>
            <w:pPr>
              <w:pStyle w:val="TableContents"/>
              <w:spacing w:before="0" w:after="283"/>
              <w:rPr>
                <w:sz w:val="4"/>
                <w:szCs w:val="4"/>
              </w:rPr>
            </w:pPr>
            <w:r>
              <w:rPr>
                <w:sz w:val="4"/>
                <w:szCs w:val="4"/>
              </w:rPr>
            </w:r>
          </w:p>
        </w:tc>
        <w:tc>
          <w:tcPr>
            <w:tcW w:w="1439" w:type="dxa"/>
            <w:gridSpan w:val="3"/>
            <w:tcBorders/>
            <w:shd w:fill="auto" w:val="clear"/>
            <w:vAlign w:val="center"/>
          </w:tcPr>
          <w:p>
            <w:pPr>
              <w:pStyle w:val="TableContents"/>
              <w:spacing w:before="0" w:after="283"/>
              <w:rPr>
                <w:sz w:val="4"/>
                <w:szCs w:val="4"/>
              </w:rPr>
            </w:pPr>
            <w:r>
              <w:rPr>
                <w:sz w:val="4"/>
                <w:szCs w:val="4"/>
              </w:rPr>
            </w:r>
          </w:p>
        </w:tc>
        <w:tc>
          <w:tcPr>
            <w:tcW w:w="135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15" w:type="dxa"/>
            <w:gridSpan w:val="3"/>
            <w:tcBorders/>
            <w:shd w:fill="auto" w:val="clear"/>
            <w:vAlign w:val="center"/>
          </w:tcPr>
          <w:p>
            <w:pPr>
              <w:pStyle w:val="TableContents"/>
              <w:spacing w:before="0" w:after="283"/>
              <w:rPr>
                <w:sz w:val="4"/>
                <w:szCs w:val="4"/>
              </w:rPr>
            </w:pPr>
            <w:r>
              <w:rPr>
                <w:sz w:val="4"/>
                <w:szCs w:val="4"/>
              </w:rPr>
            </w:r>
          </w:p>
        </w:tc>
        <w:tc>
          <w:tcPr>
            <w:tcW w:w="1439" w:type="dxa"/>
            <w:gridSpan w:val="3"/>
            <w:tcBorders/>
            <w:shd w:fill="auto" w:val="clear"/>
            <w:vAlign w:val="center"/>
          </w:tcPr>
          <w:p>
            <w:pPr>
              <w:pStyle w:val="TableContents"/>
              <w:spacing w:before="0" w:after="283"/>
              <w:rPr>
                <w:sz w:val="4"/>
                <w:szCs w:val="4"/>
              </w:rPr>
            </w:pPr>
            <w:r>
              <w:rPr>
                <w:sz w:val="4"/>
                <w:szCs w:val="4"/>
              </w:rPr>
            </w:r>
          </w:p>
        </w:tc>
        <w:tc>
          <w:tcPr>
            <w:tcW w:w="135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15" w:type="dxa"/>
            <w:gridSpan w:val="3"/>
            <w:tcBorders/>
            <w:shd w:fill="auto" w:val="clear"/>
            <w:vAlign w:val="center"/>
          </w:tcPr>
          <w:p>
            <w:pPr>
              <w:pStyle w:val="TableContents"/>
              <w:spacing w:before="0" w:after="283"/>
              <w:rPr>
                <w:sz w:val="4"/>
                <w:szCs w:val="4"/>
              </w:rPr>
            </w:pPr>
            <w:r>
              <w:rPr>
                <w:sz w:val="4"/>
                <w:szCs w:val="4"/>
              </w:rPr>
            </w:r>
          </w:p>
        </w:tc>
        <w:tc>
          <w:tcPr>
            <w:tcW w:w="1439" w:type="dxa"/>
            <w:gridSpan w:val="3"/>
            <w:tcBorders/>
            <w:shd w:fill="auto" w:val="clear"/>
            <w:vAlign w:val="center"/>
          </w:tcPr>
          <w:p>
            <w:pPr>
              <w:pStyle w:val="TableContents"/>
              <w:spacing w:before="0" w:after="283"/>
              <w:rPr>
                <w:sz w:val="4"/>
                <w:szCs w:val="4"/>
              </w:rPr>
            </w:pPr>
            <w:r>
              <w:rPr>
                <w:sz w:val="4"/>
                <w:szCs w:val="4"/>
              </w:rPr>
            </w:r>
          </w:p>
        </w:tc>
        <w:tc>
          <w:tcPr>
            <w:tcW w:w="135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15" w:type="dxa"/>
            <w:gridSpan w:val="3"/>
            <w:tcBorders/>
            <w:shd w:fill="auto" w:val="clear"/>
            <w:vAlign w:val="center"/>
          </w:tcPr>
          <w:p>
            <w:pPr>
              <w:pStyle w:val="TableContents"/>
              <w:spacing w:before="0" w:after="283"/>
              <w:rPr>
                <w:sz w:val="4"/>
                <w:szCs w:val="4"/>
              </w:rPr>
            </w:pPr>
            <w:r>
              <w:rPr>
                <w:sz w:val="4"/>
                <w:szCs w:val="4"/>
              </w:rPr>
            </w:r>
          </w:p>
        </w:tc>
        <w:tc>
          <w:tcPr>
            <w:tcW w:w="1439" w:type="dxa"/>
            <w:gridSpan w:val="3"/>
            <w:tcBorders/>
            <w:shd w:fill="auto" w:val="clear"/>
            <w:vAlign w:val="center"/>
          </w:tcPr>
          <w:p>
            <w:pPr>
              <w:pStyle w:val="TableContents"/>
              <w:spacing w:before="0" w:after="283"/>
              <w:rPr>
                <w:sz w:val="4"/>
                <w:szCs w:val="4"/>
              </w:rPr>
            </w:pPr>
            <w:r>
              <w:rPr>
                <w:sz w:val="4"/>
                <w:szCs w:val="4"/>
              </w:rPr>
            </w:r>
          </w:p>
        </w:tc>
        <w:tc>
          <w:tcPr>
            <w:tcW w:w="135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9"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24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(Dollars in millions)</w:t>
            </w:r>
          </w:p>
        </w:tc>
        <w:tc>
          <w:tcPr>
            <w:tcW w:w="14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35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1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DRE</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WCC</w:t>
            </w:r>
          </w:p>
        </w:tc>
        <w:tc>
          <w:tcPr>
            <w:tcW w:w="12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w:t>
            </w:r>
          </w:p>
        </w:tc>
        <w:tc>
          <w:tcPr>
            <w:tcW w:w="12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Other</w:t>
            </w:r>
          </w:p>
        </w:tc>
        <w:tc>
          <w:tcPr>
            <w:tcW w:w="12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1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Restructuring Charges</w:t>
            </w:r>
          </w:p>
        </w:tc>
        <w:tc>
          <w:tcPr>
            <w:tcW w:w="4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15" w:type="dxa"/>
            <w:gridSpan w:val="3"/>
            <w:tcBorders/>
            <w:shd w:fill="auto" w:val="clear"/>
            <w:vAlign w:val="center"/>
          </w:tcPr>
          <w:p>
            <w:pPr>
              <w:pStyle w:val="TableContents"/>
              <w:spacing w:before="0" w:after="283"/>
              <w:rPr>
                <w:sz w:val="4"/>
                <w:szCs w:val="4"/>
              </w:rPr>
            </w:pPr>
            <w:r>
              <w:rPr>
                <w:sz w:val="4"/>
                <w:szCs w:val="4"/>
              </w:rPr>
            </w:r>
          </w:p>
        </w:tc>
        <w:tc>
          <w:tcPr>
            <w:tcW w:w="1439" w:type="dxa"/>
            <w:gridSpan w:val="3"/>
            <w:tcBorders/>
            <w:shd w:fill="auto" w:val="clear"/>
            <w:vAlign w:val="center"/>
          </w:tcPr>
          <w:p>
            <w:pPr>
              <w:pStyle w:val="TableContents"/>
              <w:spacing w:before="0" w:after="283"/>
              <w:rPr>
                <w:sz w:val="4"/>
                <w:szCs w:val="4"/>
              </w:rPr>
            </w:pPr>
            <w:r>
              <w:rPr>
                <w:sz w:val="4"/>
                <w:szCs w:val="4"/>
              </w:rPr>
            </w:r>
          </w:p>
        </w:tc>
        <w:tc>
          <w:tcPr>
            <w:tcW w:w="135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15" w:type="dxa"/>
            <w:gridSpan w:val="3"/>
            <w:tcBorders/>
            <w:shd w:fill="auto" w:val="clear"/>
            <w:vAlign w:val="center"/>
          </w:tcPr>
          <w:p>
            <w:pPr>
              <w:pStyle w:val="TableContents"/>
              <w:spacing w:before="0" w:after="283"/>
              <w:rPr>
                <w:sz w:val="4"/>
                <w:szCs w:val="4"/>
              </w:rPr>
            </w:pPr>
            <w:r>
              <w:rPr>
                <w:sz w:val="4"/>
                <w:szCs w:val="4"/>
              </w:rPr>
            </w:r>
          </w:p>
        </w:tc>
        <w:tc>
          <w:tcPr>
            <w:tcW w:w="1439" w:type="dxa"/>
            <w:gridSpan w:val="3"/>
            <w:tcBorders/>
            <w:shd w:fill="auto" w:val="clear"/>
            <w:vAlign w:val="center"/>
          </w:tcPr>
          <w:p>
            <w:pPr>
              <w:pStyle w:val="TableContents"/>
              <w:spacing w:before="0" w:after="283"/>
              <w:rPr>
                <w:sz w:val="4"/>
                <w:szCs w:val="4"/>
              </w:rPr>
            </w:pPr>
            <w:r>
              <w:rPr>
                <w:sz w:val="4"/>
                <w:szCs w:val="4"/>
              </w:rPr>
            </w:r>
          </w:p>
        </w:tc>
        <w:tc>
          <w:tcPr>
            <w:tcW w:w="135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15" w:type="dxa"/>
            <w:gridSpan w:val="3"/>
            <w:tcBorders/>
            <w:shd w:fill="auto" w:val="clear"/>
            <w:vAlign w:val="center"/>
          </w:tcPr>
          <w:p>
            <w:pPr>
              <w:pStyle w:val="TableContents"/>
              <w:spacing w:before="0" w:after="283"/>
              <w:rPr>
                <w:sz w:val="4"/>
                <w:szCs w:val="4"/>
              </w:rPr>
            </w:pPr>
            <w:r>
              <w:rPr>
                <w:sz w:val="4"/>
                <w:szCs w:val="4"/>
              </w:rPr>
            </w:r>
          </w:p>
        </w:tc>
        <w:tc>
          <w:tcPr>
            <w:tcW w:w="1439" w:type="dxa"/>
            <w:gridSpan w:val="3"/>
            <w:tcBorders/>
            <w:shd w:fill="auto" w:val="clear"/>
            <w:vAlign w:val="center"/>
          </w:tcPr>
          <w:p>
            <w:pPr>
              <w:pStyle w:val="TableContents"/>
              <w:spacing w:before="0" w:after="283"/>
              <w:rPr>
                <w:sz w:val="4"/>
                <w:szCs w:val="4"/>
              </w:rPr>
            </w:pPr>
            <w:r>
              <w:rPr>
                <w:sz w:val="4"/>
                <w:szCs w:val="4"/>
              </w:rPr>
            </w:r>
          </w:p>
        </w:tc>
        <w:tc>
          <w:tcPr>
            <w:tcW w:w="135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15" w:type="dxa"/>
            <w:gridSpan w:val="3"/>
            <w:tcBorders/>
            <w:shd w:fill="auto" w:val="clear"/>
            <w:vAlign w:val="center"/>
          </w:tcPr>
          <w:p>
            <w:pPr>
              <w:pStyle w:val="TableContents"/>
              <w:spacing w:before="0" w:after="283"/>
              <w:rPr>
                <w:sz w:val="4"/>
                <w:szCs w:val="4"/>
              </w:rPr>
            </w:pPr>
            <w:r>
              <w:rPr>
                <w:sz w:val="4"/>
                <w:szCs w:val="4"/>
              </w:rPr>
            </w:r>
          </w:p>
        </w:tc>
        <w:tc>
          <w:tcPr>
            <w:tcW w:w="1439" w:type="dxa"/>
            <w:gridSpan w:val="3"/>
            <w:tcBorders/>
            <w:shd w:fill="auto" w:val="clear"/>
            <w:vAlign w:val="center"/>
          </w:tcPr>
          <w:p>
            <w:pPr>
              <w:pStyle w:val="TableContents"/>
              <w:spacing w:before="0" w:after="283"/>
              <w:rPr>
                <w:sz w:val="4"/>
                <w:szCs w:val="4"/>
              </w:rPr>
            </w:pPr>
            <w:r>
              <w:rPr>
                <w:sz w:val="4"/>
                <w:szCs w:val="4"/>
              </w:rPr>
            </w:r>
          </w:p>
        </w:tc>
        <w:tc>
          <w:tcPr>
            <w:tcW w:w="135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15" w:type="dxa"/>
            <w:gridSpan w:val="3"/>
            <w:tcBorders/>
            <w:shd w:fill="auto" w:val="clear"/>
            <w:vAlign w:val="center"/>
          </w:tcPr>
          <w:p>
            <w:pPr>
              <w:pStyle w:val="TableContents"/>
              <w:spacing w:before="0" w:after="283"/>
              <w:rPr>
                <w:sz w:val="4"/>
                <w:szCs w:val="4"/>
              </w:rPr>
            </w:pPr>
            <w:r>
              <w:rPr>
                <w:sz w:val="4"/>
                <w:szCs w:val="4"/>
              </w:rPr>
            </w:r>
          </w:p>
        </w:tc>
        <w:tc>
          <w:tcPr>
            <w:tcW w:w="1439" w:type="dxa"/>
            <w:gridSpan w:val="3"/>
            <w:tcBorders/>
            <w:shd w:fill="auto" w:val="clear"/>
            <w:vAlign w:val="center"/>
          </w:tcPr>
          <w:p>
            <w:pPr>
              <w:pStyle w:val="TableContents"/>
              <w:spacing w:before="0" w:after="283"/>
              <w:rPr>
                <w:sz w:val="4"/>
                <w:szCs w:val="4"/>
              </w:rPr>
            </w:pPr>
            <w:r>
              <w:rPr>
                <w:sz w:val="4"/>
                <w:szCs w:val="4"/>
              </w:rPr>
            </w:r>
          </w:p>
        </w:tc>
        <w:tc>
          <w:tcPr>
            <w:tcW w:w="135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15" w:type="dxa"/>
            <w:gridSpan w:val="3"/>
            <w:tcBorders/>
            <w:shd w:fill="auto" w:val="clear"/>
            <w:vAlign w:val="center"/>
          </w:tcPr>
          <w:p>
            <w:pPr>
              <w:pStyle w:val="TableContents"/>
              <w:spacing w:before="0" w:after="283"/>
              <w:rPr>
                <w:sz w:val="4"/>
                <w:szCs w:val="4"/>
              </w:rPr>
            </w:pPr>
            <w:r>
              <w:rPr>
                <w:sz w:val="4"/>
                <w:szCs w:val="4"/>
              </w:rPr>
            </w:r>
          </w:p>
        </w:tc>
        <w:tc>
          <w:tcPr>
            <w:tcW w:w="1439" w:type="dxa"/>
            <w:gridSpan w:val="3"/>
            <w:tcBorders/>
            <w:shd w:fill="auto" w:val="clear"/>
            <w:vAlign w:val="center"/>
          </w:tcPr>
          <w:p>
            <w:pPr>
              <w:pStyle w:val="TableContents"/>
              <w:spacing w:before="0" w:after="283"/>
              <w:rPr>
                <w:sz w:val="4"/>
                <w:szCs w:val="4"/>
              </w:rPr>
            </w:pPr>
            <w:r>
              <w:rPr>
                <w:sz w:val="4"/>
                <w:szCs w:val="4"/>
              </w:rPr>
            </w:r>
          </w:p>
        </w:tc>
        <w:tc>
          <w:tcPr>
            <w:tcW w:w="135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15" w:type="dxa"/>
            <w:gridSpan w:val="3"/>
            <w:tcBorders/>
            <w:shd w:fill="auto" w:val="clear"/>
            <w:vAlign w:val="center"/>
          </w:tcPr>
          <w:p>
            <w:pPr>
              <w:pStyle w:val="TableContents"/>
              <w:spacing w:before="0" w:after="283"/>
              <w:rPr>
                <w:sz w:val="4"/>
                <w:szCs w:val="4"/>
              </w:rPr>
            </w:pPr>
            <w:r>
              <w:rPr>
                <w:sz w:val="4"/>
                <w:szCs w:val="4"/>
              </w:rPr>
            </w:r>
          </w:p>
        </w:tc>
        <w:tc>
          <w:tcPr>
            <w:tcW w:w="1439" w:type="dxa"/>
            <w:gridSpan w:val="3"/>
            <w:tcBorders/>
            <w:shd w:fill="auto" w:val="clear"/>
            <w:vAlign w:val="center"/>
          </w:tcPr>
          <w:p>
            <w:pPr>
              <w:pStyle w:val="TableContents"/>
              <w:spacing w:before="0" w:after="283"/>
              <w:rPr>
                <w:sz w:val="4"/>
                <w:szCs w:val="4"/>
              </w:rPr>
            </w:pPr>
            <w:r>
              <w:rPr>
                <w:sz w:val="4"/>
                <w:szCs w:val="4"/>
              </w:rPr>
            </w:r>
          </w:p>
        </w:tc>
        <w:tc>
          <w:tcPr>
            <w:tcW w:w="135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15" w:type="dxa"/>
            <w:gridSpan w:val="3"/>
            <w:tcBorders/>
            <w:shd w:fill="auto" w:val="clear"/>
            <w:vAlign w:val="center"/>
          </w:tcPr>
          <w:p>
            <w:pPr>
              <w:pStyle w:val="TableContents"/>
              <w:spacing w:before="0" w:after="283"/>
              <w:rPr>
                <w:sz w:val="4"/>
                <w:szCs w:val="4"/>
              </w:rPr>
            </w:pPr>
            <w:r>
              <w:rPr>
                <w:sz w:val="4"/>
                <w:szCs w:val="4"/>
              </w:rPr>
            </w:r>
          </w:p>
        </w:tc>
        <w:tc>
          <w:tcPr>
            <w:tcW w:w="1439" w:type="dxa"/>
            <w:gridSpan w:val="3"/>
            <w:tcBorders/>
            <w:shd w:fill="auto" w:val="clear"/>
            <w:vAlign w:val="center"/>
          </w:tcPr>
          <w:p>
            <w:pPr>
              <w:pStyle w:val="TableContents"/>
              <w:spacing w:before="0" w:after="283"/>
              <w:rPr>
                <w:sz w:val="4"/>
                <w:szCs w:val="4"/>
              </w:rPr>
            </w:pPr>
            <w:r>
              <w:rPr>
                <w:sz w:val="4"/>
                <w:szCs w:val="4"/>
              </w:rPr>
            </w:r>
          </w:p>
        </w:tc>
        <w:tc>
          <w:tcPr>
            <w:tcW w:w="135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15" w:type="dxa"/>
            <w:gridSpan w:val="3"/>
            <w:tcBorders/>
            <w:shd w:fill="auto" w:val="clear"/>
            <w:vAlign w:val="center"/>
          </w:tcPr>
          <w:p>
            <w:pPr>
              <w:pStyle w:val="TableContents"/>
              <w:spacing w:before="0" w:after="283"/>
              <w:rPr>
                <w:sz w:val="4"/>
                <w:szCs w:val="4"/>
              </w:rPr>
            </w:pPr>
            <w:r>
              <w:rPr>
                <w:sz w:val="4"/>
                <w:szCs w:val="4"/>
              </w:rPr>
            </w:r>
          </w:p>
        </w:tc>
        <w:tc>
          <w:tcPr>
            <w:tcW w:w="1439" w:type="dxa"/>
            <w:gridSpan w:val="3"/>
            <w:tcBorders/>
            <w:shd w:fill="auto" w:val="clear"/>
            <w:vAlign w:val="center"/>
          </w:tcPr>
          <w:p>
            <w:pPr>
              <w:pStyle w:val="TableContents"/>
              <w:spacing w:before="0" w:after="283"/>
              <w:rPr>
                <w:sz w:val="4"/>
                <w:szCs w:val="4"/>
              </w:rPr>
            </w:pPr>
            <w:r>
              <w:rPr>
                <w:sz w:val="4"/>
                <w:szCs w:val="4"/>
              </w:rPr>
            </w:r>
          </w:p>
        </w:tc>
        <w:tc>
          <w:tcPr>
            <w:tcW w:w="135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15" w:type="dxa"/>
            <w:gridSpan w:val="3"/>
            <w:tcBorders/>
            <w:shd w:fill="auto" w:val="clear"/>
            <w:vAlign w:val="center"/>
          </w:tcPr>
          <w:p>
            <w:pPr>
              <w:pStyle w:val="TableContents"/>
              <w:spacing w:before="0" w:after="283"/>
              <w:rPr>
                <w:sz w:val="4"/>
                <w:szCs w:val="4"/>
              </w:rPr>
            </w:pPr>
            <w:r>
              <w:rPr>
                <w:sz w:val="4"/>
                <w:szCs w:val="4"/>
              </w:rPr>
            </w:r>
          </w:p>
        </w:tc>
        <w:tc>
          <w:tcPr>
            <w:tcW w:w="1439" w:type="dxa"/>
            <w:gridSpan w:val="3"/>
            <w:tcBorders/>
            <w:shd w:fill="auto" w:val="clear"/>
            <w:vAlign w:val="center"/>
          </w:tcPr>
          <w:p>
            <w:pPr>
              <w:pStyle w:val="TableContents"/>
              <w:spacing w:before="0" w:after="283"/>
              <w:rPr>
                <w:sz w:val="4"/>
                <w:szCs w:val="4"/>
              </w:rPr>
            </w:pPr>
            <w:r>
              <w:rPr>
                <w:sz w:val="4"/>
                <w:szCs w:val="4"/>
              </w:rPr>
            </w:r>
          </w:p>
        </w:tc>
        <w:tc>
          <w:tcPr>
            <w:tcW w:w="1350"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tcPr>
          <w:p>
            <w:pPr>
              <w:pStyle w:val="TableContents"/>
              <w:spacing w:before="0" w:after="283"/>
              <w:rPr>
                <w:sz w:val="4"/>
                <w:szCs w:val="4"/>
              </w:rPr>
            </w:pPr>
            <w:r>
              <w:rPr>
                <w:sz w:val="4"/>
                <w:szCs w:val="4"/>
              </w:rPr>
            </w:r>
          </w:p>
        </w:tc>
      </w:tr>
      <w:tr>
        <w:trPr/>
        <w:tc>
          <w:tcPr>
            <w:tcW w:w="2415" w:type="dxa"/>
            <w:gridSpan w:val="3"/>
            <w:tcBorders/>
            <w:shd w:fill="auto" w:val="clear"/>
            <w:vAlign w:val="center"/>
          </w:tcPr>
          <w:p>
            <w:pPr>
              <w:pStyle w:val="TableContents"/>
              <w:spacing w:before="0" w:after="283"/>
              <w:rPr>
                <w:sz w:val="4"/>
                <w:szCs w:val="4"/>
              </w:rPr>
            </w:pPr>
            <w:r>
              <w:rPr>
                <w:sz w:val="4"/>
                <w:szCs w:val="4"/>
              </w:rPr>
            </w:r>
          </w:p>
        </w:tc>
        <w:tc>
          <w:tcPr>
            <w:tcW w:w="1439" w:type="dxa"/>
            <w:gridSpan w:val="3"/>
            <w:tcBorders/>
            <w:shd w:fill="auto" w:val="clear"/>
            <w:vAlign w:val="center"/>
          </w:tcPr>
          <w:p>
            <w:pPr>
              <w:pStyle w:val="TableContents"/>
              <w:spacing w:before="0" w:after="283"/>
              <w:rPr>
                <w:sz w:val="4"/>
                <w:szCs w:val="4"/>
              </w:rPr>
            </w:pPr>
            <w:r>
              <w:rPr>
                <w:sz w:val="4"/>
                <w:szCs w:val="4"/>
              </w:rPr>
            </w:r>
          </w:p>
        </w:tc>
        <w:tc>
          <w:tcPr>
            <w:tcW w:w="135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15" w:type="dxa"/>
            <w:gridSpan w:val="3"/>
            <w:tcBorders/>
            <w:shd w:fill="auto" w:val="clear"/>
            <w:vAlign w:val="center"/>
          </w:tcPr>
          <w:p>
            <w:pPr>
              <w:pStyle w:val="TableContents"/>
              <w:spacing w:before="0" w:after="283"/>
              <w:rPr>
                <w:sz w:val="4"/>
                <w:szCs w:val="4"/>
              </w:rPr>
            </w:pPr>
            <w:r>
              <w:rPr>
                <w:sz w:val="4"/>
                <w:szCs w:val="4"/>
              </w:rPr>
            </w:r>
          </w:p>
        </w:tc>
        <w:tc>
          <w:tcPr>
            <w:tcW w:w="1439" w:type="dxa"/>
            <w:gridSpan w:val="3"/>
            <w:tcBorders/>
            <w:shd w:fill="auto" w:val="clear"/>
            <w:vAlign w:val="center"/>
          </w:tcPr>
          <w:p>
            <w:pPr>
              <w:pStyle w:val="TableContents"/>
              <w:spacing w:before="0" w:after="283"/>
              <w:rPr>
                <w:sz w:val="4"/>
                <w:szCs w:val="4"/>
              </w:rPr>
            </w:pPr>
            <w:r>
              <w:rPr>
                <w:sz w:val="4"/>
                <w:szCs w:val="4"/>
              </w:rPr>
            </w:r>
          </w:p>
        </w:tc>
        <w:tc>
          <w:tcPr>
            <w:tcW w:w="135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15" w:type="dxa"/>
            <w:gridSpan w:val="3"/>
            <w:tcBorders/>
            <w:shd w:fill="auto" w:val="clear"/>
            <w:vAlign w:val="center"/>
          </w:tcPr>
          <w:p>
            <w:pPr>
              <w:pStyle w:val="TableContents"/>
              <w:spacing w:before="0" w:after="283"/>
              <w:rPr>
                <w:sz w:val="4"/>
                <w:szCs w:val="4"/>
              </w:rPr>
            </w:pPr>
            <w:r>
              <w:rPr>
                <w:sz w:val="4"/>
                <w:szCs w:val="4"/>
              </w:rPr>
            </w:r>
          </w:p>
        </w:tc>
        <w:tc>
          <w:tcPr>
            <w:tcW w:w="1439" w:type="dxa"/>
            <w:gridSpan w:val="3"/>
            <w:tcBorders/>
            <w:shd w:fill="auto" w:val="clear"/>
            <w:vAlign w:val="center"/>
          </w:tcPr>
          <w:p>
            <w:pPr>
              <w:pStyle w:val="TableContents"/>
              <w:spacing w:before="0" w:after="283"/>
              <w:rPr>
                <w:sz w:val="4"/>
                <w:szCs w:val="4"/>
              </w:rPr>
            </w:pPr>
            <w:r>
              <w:rPr>
                <w:sz w:val="4"/>
                <w:szCs w:val="4"/>
              </w:rPr>
            </w:r>
          </w:p>
        </w:tc>
        <w:tc>
          <w:tcPr>
            <w:tcW w:w="135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15" w:type="dxa"/>
            <w:gridSpan w:val="3"/>
            <w:tcBorders/>
            <w:shd w:fill="auto" w:val="clear"/>
            <w:vAlign w:val="center"/>
          </w:tcPr>
          <w:p>
            <w:pPr>
              <w:pStyle w:val="TableContents"/>
              <w:spacing w:before="0" w:after="283"/>
              <w:rPr>
                <w:sz w:val="4"/>
                <w:szCs w:val="4"/>
              </w:rPr>
            </w:pPr>
            <w:r>
              <w:rPr>
                <w:sz w:val="4"/>
                <w:szCs w:val="4"/>
              </w:rPr>
            </w:r>
          </w:p>
        </w:tc>
        <w:tc>
          <w:tcPr>
            <w:tcW w:w="1439" w:type="dxa"/>
            <w:gridSpan w:val="3"/>
            <w:tcBorders/>
            <w:shd w:fill="auto" w:val="clear"/>
            <w:vAlign w:val="center"/>
          </w:tcPr>
          <w:p>
            <w:pPr>
              <w:pStyle w:val="TableContents"/>
              <w:spacing w:before="0" w:after="283"/>
              <w:rPr>
                <w:sz w:val="4"/>
                <w:szCs w:val="4"/>
              </w:rPr>
            </w:pPr>
            <w:r>
              <w:rPr>
                <w:sz w:val="4"/>
                <w:szCs w:val="4"/>
              </w:rPr>
            </w:r>
          </w:p>
        </w:tc>
        <w:tc>
          <w:tcPr>
            <w:tcW w:w="135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15" w:type="dxa"/>
            <w:gridSpan w:val="3"/>
            <w:tcBorders/>
            <w:shd w:fill="auto" w:val="clear"/>
            <w:vAlign w:val="center"/>
          </w:tcPr>
          <w:p>
            <w:pPr>
              <w:pStyle w:val="TableContents"/>
              <w:spacing w:before="0" w:after="283"/>
              <w:rPr>
                <w:sz w:val="4"/>
                <w:szCs w:val="4"/>
              </w:rPr>
            </w:pPr>
            <w:r>
              <w:rPr>
                <w:sz w:val="4"/>
                <w:szCs w:val="4"/>
              </w:rPr>
            </w:r>
          </w:p>
        </w:tc>
        <w:tc>
          <w:tcPr>
            <w:tcW w:w="1439" w:type="dxa"/>
            <w:gridSpan w:val="3"/>
            <w:tcBorders/>
            <w:shd w:fill="auto" w:val="clear"/>
            <w:vAlign w:val="center"/>
          </w:tcPr>
          <w:p>
            <w:pPr>
              <w:pStyle w:val="TableContents"/>
              <w:spacing w:before="0" w:after="283"/>
              <w:rPr>
                <w:sz w:val="4"/>
                <w:szCs w:val="4"/>
              </w:rPr>
            </w:pPr>
            <w:r>
              <w:rPr>
                <w:sz w:val="4"/>
                <w:szCs w:val="4"/>
              </w:rPr>
            </w:r>
          </w:p>
        </w:tc>
        <w:tc>
          <w:tcPr>
            <w:tcW w:w="135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15" w:type="dxa"/>
            <w:gridSpan w:val="3"/>
            <w:tcBorders/>
            <w:shd w:fill="auto" w:val="clear"/>
            <w:vAlign w:val="center"/>
          </w:tcPr>
          <w:p>
            <w:pPr>
              <w:pStyle w:val="TableContents"/>
              <w:spacing w:before="0" w:after="283"/>
              <w:rPr>
                <w:sz w:val="4"/>
                <w:szCs w:val="4"/>
              </w:rPr>
            </w:pPr>
            <w:r>
              <w:rPr>
                <w:sz w:val="4"/>
                <w:szCs w:val="4"/>
              </w:rPr>
            </w:r>
          </w:p>
        </w:tc>
        <w:tc>
          <w:tcPr>
            <w:tcW w:w="1439" w:type="dxa"/>
            <w:gridSpan w:val="3"/>
            <w:tcBorders/>
            <w:shd w:fill="auto" w:val="clear"/>
            <w:vAlign w:val="center"/>
          </w:tcPr>
          <w:p>
            <w:pPr>
              <w:pStyle w:val="TableContents"/>
              <w:spacing w:before="0" w:after="283"/>
              <w:rPr>
                <w:sz w:val="4"/>
                <w:szCs w:val="4"/>
              </w:rPr>
            </w:pPr>
            <w:r>
              <w:rPr>
                <w:sz w:val="4"/>
                <w:szCs w:val="4"/>
              </w:rPr>
            </w:r>
          </w:p>
        </w:tc>
        <w:tc>
          <w:tcPr>
            <w:tcW w:w="135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15" w:type="dxa"/>
            <w:gridSpan w:val="3"/>
            <w:tcBorders/>
            <w:shd w:fill="auto" w:val="clear"/>
            <w:vAlign w:val="center"/>
          </w:tcPr>
          <w:p>
            <w:pPr>
              <w:pStyle w:val="TableContents"/>
              <w:spacing w:before="0" w:after="283"/>
              <w:rPr>
                <w:sz w:val="4"/>
                <w:szCs w:val="4"/>
              </w:rPr>
            </w:pPr>
            <w:r>
              <w:rPr>
                <w:sz w:val="4"/>
                <w:szCs w:val="4"/>
              </w:rPr>
            </w:r>
          </w:p>
        </w:tc>
        <w:tc>
          <w:tcPr>
            <w:tcW w:w="1439" w:type="dxa"/>
            <w:gridSpan w:val="3"/>
            <w:tcBorders/>
            <w:shd w:fill="auto" w:val="clear"/>
            <w:vAlign w:val="center"/>
          </w:tcPr>
          <w:p>
            <w:pPr>
              <w:pStyle w:val="TableContents"/>
              <w:spacing w:before="0" w:after="283"/>
              <w:rPr>
                <w:sz w:val="4"/>
                <w:szCs w:val="4"/>
              </w:rPr>
            </w:pPr>
            <w:r>
              <w:rPr>
                <w:sz w:val="4"/>
                <w:szCs w:val="4"/>
              </w:rPr>
            </w:r>
          </w:p>
        </w:tc>
        <w:tc>
          <w:tcPr>
            <w:tcW w:w="135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firstLine="360"/>
        <w:jc w:val="both"/>
        <w:rPr/>
      </w:pPr>
      <w:r>
        <w:rPr/>
      </w:r>
    </w:p>
    <w:p>
      <w:pPr>
        <w:pStyle w:val="TextBody"/>
        <w:spacing w:before="0" w:after="0"/>
        <w:ind w:left="0" w:right="0" w:firstLine="3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before="60" w:after="283"/>
        <w:ind w:left="0" w:right="0" w:firstLine="360"/>
        <w:rPr/>
      </w:pPr>
      <w:r>
        <w:rPr/>
      </w:r>
    </w:p>
    <w:p>
      <w:pPr>
        <w:pStyle w:val="TextBody"/>
        <w:spacing w:lineRule="auto" w:line="288" w:before="60" w:after="283"/>
        <w:ind w:left="0" w:right="0" w:firstLine="360"/>
        <w:rPr/>
      </w:pPr>
      <w:hyperlink w:anchor="i6cc7e3401d8a485198d3a93c25e5b7bf_7">
        <w:r>
          <w:rPr>
            <w:rStyle w:val="InternetLink"/>
          </w:rPr>
          <w:t xml:space="preserve">Table of </w:t>
        </w:r>
      </w:hyperlink>
      <w:hyperlink w:anchor="i6cc7e3401d8a485198d3a93c25e5b7bf_7">
        <w:r>
          <w:rPr>
            <w:rStyle w:val="InternetLink"/>
          </w:rPr>
          <w:t>Contents</w:t>
        </w:r>
      </w:hyperlink>
    </w:p>
    <w:p>
      <w:pPr>
        <w:pStyle w:val="TextBody"/>
        <w:spacing w:lineRule="auto" w:line="288"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 xml:space="preserve">5 – Inventories, Net </w:t>
      </w:r>
    </w:p>
    <w:p>
      <w:pPr>
        <w:pStyle w:val="TextBody"/>
        <w:spacing w:before="0" w:after="0"/>
        <w:ind w:left="0" w:right="0" w:firstLine="360"/>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Inventories, net of reserves of $131 million and $129 million as of March 31, 2023 and December 31, 2022, respectively, are presented by category in the table below: </w:t>
      </w:r>
    </w:p>
    <w:tbl>
      <w:tblPr>
        <w:tblW w:w="8739" w:type="dxa"/>
        <w:jc w:val="center"/>
        <w:tblInd w:w="0" w:type="dxa"/>
        <w:tblCellMar>
          <w:top w:w="28" w:type="dxa"/>
          <w:left w:w="28" w:type="dxa"/>
          <w:bottom w:w="28" w:type="dxa"/>
          <w:right w:w="28" w:type="dxa"/>
        </w:tblCellMar>
      </w:tblPr>
      <w:tblGrid>
        <w:gridCol w:w="1883"/>
        <w:gridCol w:w="1653"/>
        <w:gridCol w:w="1668"/>
        <w:gridCol w:w="386"/>
        <w:gridCol w:w="854"/>
        <w:gridCol w:w="199"/>
        <w:gridCol w:w="109"/>
        <w:gridCol w:w="109"/>
        <w:gridCol w:w="109"/>
        <w:gridCol w:w="448"/>
        <w:gridCol w:w="992"/>
        <w:gridCol w:w="329"/>
      </w:tblGrid>
      <w:tr>
        <w:trPr/>
        <w:tc>
          <w:tcPr>
            <w:tcW w:w="1883" w:type="dxa"/>
            <w:tcBorders/>
            <w:shd w:fill="auto" w:val="clear"/>
            <w:vAlign w:val="center"/>
          </w:tcPr>
          <w:p>
            <w:pPr>
              <w:pStyle w:val="TableContents"/>
              <w:spacing w:before="0" w:after="283"/>
              <w:rPr>
                <w:sz w:val="4"/>
                <w:szCs w:val="4"/>
              </w:rPr>
            </w:pPr>
            <w:r>
              <w:rPr>
                <w:sz w:val="4"/>
                <w:szCs w:val="4"/>
              </w:rPr>
            </w:r>
          </w:p>
        </w:tc>
        <w:tc>
          <w:tcPr>
            <w:tcW w:w="1653" w:type="dxa"/>
            <w:tcBorders/>
            <w:shd w:fill="auto" w:val="clear"/>
            <w:vAlign w:val="center"/>
          </w:tcPr>
          <w:p>
            <w:pPr>
              <w:pStyle w:val="TableContents"/>
              <w:spacing w:before="0" w:after="283"/>
              <w:rPr>
                <w:sz w:val="4"/>
                <w:szCs w:val="4"/>
              </w:rPr>
            </w:pPr>
            <w:r>
              <w:rPr>
                <w:sz w:val="4"/>
                <w:szCs w:val="4"/>
              </w:rPr>
            </w:r>
          </w:p>
        </w:tc>
        <w:tc>
          <w:tcPr>
            <w:tcW w:w="1668"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center"/>
          </w:tcPr>
          <w:p>
            <w:pPr>
              <w:pStyle w:val="TableContents"/>
              <w:spacing w:before="0" w:after="283"/>
              <w:rPr>
                <w:sz w:val="4"/>
                <w:szCs w:val="4"/>
              </w:rPr>
            </w:pPr>
            <w:r>
              <w:rPr>
                <w:sz w:val="4"/>
                <w:szCs w:val="4"/>
              </w:rPr>
            </w:r>
          </w:p>
        </w:tc>
        <w:tc>
          <w:tcPr>
            <w:tcW w:w="854"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8" w:type="dxa"/>
            <w:tcBorders/>
            <w:shd w:fill="auto" w:val="clear"/>
            <w:vAlign w:val="center"/>
          </w:tcPr>
          <w:p>
            <w:pPr>
              <w:pStyle w:val="TableContents"/>
              <w:spacing w:before="0" w:after="283"/>
              <w:rPr>
                <w:sz w:val="4"/>
                <w:szCs w:val="4"/>
              </w:rPr>
            </w:pPr>
            <w:r>
              <w:rPr>
                <w:sz w:val="4"/>
                <w:szCs w:val="4"/>
              </w:rPr>
            </w:r>
          </w:p>
        </w:tc>
        <w:tc>
          <w:tcPr>
            <w:tcW w:w="992"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r>
      <w:tr>
        <w:trPr/>
        <w:tc>
          <w:tcPr>
            <w:tcW w:w="52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(Dollars in millions)</w:t>
            </w:r>
          </w:p>
        </w:tc>
        <w:tc>
          <w:tcPr>
            <w:tcW w:w="14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520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601 </w:t>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 in Process and Raw Materials, Components and Supplies</w:t>
            </w:r>
          </w:p>
        </w:tc>
        <w:tc>
          <w:tcPr>
            <w:tcW w:w="12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3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04" w:type="dxa"/>
            <w:gridSpan w:val="3"/>
            <w:tcBorders/>
            <w:shd w:fill="auto" w:val="clear"/>
            <w:vAlign w:val="center"/>
          </w:tcPr>
          <w:p>
            <w:pPr>
              <w:pStyle w:val="TableContents"/>
              <w:spacing w:before="0" w:after="283"/>
              <w:rPr>
                <w:sz w:val="4"/>
                <w:szCs w:val="4"/>
              </w:rPr>
            </w:pPr>
            <w:r>
              <w:rPr>
                <w:sz w:val="4"/>
                <w:szCs w:val="4"/>
              </w:rPr>
            </w:r>
          </w:p>
        </w:tc>
        <w:tc>
          <w:tcPr>
            <w:tcW w:w="14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69" w:type="dxa"/>
            <w:gridSpan w:val="3"/>
            <w:tcBorders/>
            <w:shd w:fill="auto" w:val="clear"/>
            <w:vAlign w:val="center"/>
          </w:tcPr>
          <w:p>
            <w:pPr>
              <w:pStyle w:val="TableContents"/>
              <w:spacing w:before="0" w:after="283"/>
              <w:rPr>
                <w:sz w:val="4"/>
                <w:szCs w:val="4"/>
              </w:rPr>
            </w:pPr>
            <w:r>
              <w:rPr>
                <w:sz w:val="4"/>
                <w:szCs w:val="4"/>
              </w:rPr>
            </w:r>
          </w:p>
        </w:tc>
      </w:tr>
      <w:tr>
        <w:trPr/>
        <w:tc>
          <w:tcPr>
            <w:tcW w:w="5204" w:type="dxa"/>
            <w:gridSpan w:val="3"/>
            <w:tcBorders/>
            <w:shd w:fill="auto" w:val="clear"/>
            <w:vAlign w:val="center"/>
          </w:tcPr>
          <w:p>
            <w:pPr>
              <w:pStyle w:val="TableContents"/>
              <w:spacing w:before="0" w:after="283"/>
              <w:rPr>
                <w:sz w:val="4"/>
                <w:szCs w:val="4"/>
              </w:rPr>
            </w:pPr>
            <w:r>
              <w:rPr>
                <w:sz w:val="4"/>
                <w:szCs w:val="4"/>
              </w:rPr>
            </w:r>
          </w:p>
        </w:tc>
        <w:tc>
          <w:tcPr>
            <w:tcW w:w="14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69" w:type="dxa"/>
            <w:gridSpan w:val="3"/>
            <w:tcBorders/>
            <w:shd w:fill="auto" w:val="clear"/>
            <w:vAlign w:val="center"/>
          </w:tcPr>
          <w:p>
            <w:pPr>
              <w:pStyle w:val="TableContents"/>
              <w:spacing w:before="0" w:after="283"/>
              <w:rPr>
                <w:sz w:val="4"/>
                <w:szCs w:val="4"/>
              </w:rPr>
            </w:pPr>
            <w:r>
              <w:rPr>
                <w:sz w:val="4"/>
                <w:szCs w:val="4"/>
              </w:rPr>
            </w:r>
          </w:p>
        </w:tc>
      </w:tr>
      <w:tr>
        <w:trPr/>
        <w:tc>
          <w:tcPr>
            <w:tcW w:w="520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Net</w:t>
            </w:r>
          </w:p>
        </w:tc>
        <w:tc>
          <w:tcPr>
            <w:tcW w:w="3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4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689 </w:t>
            </w:r>
          </w:p>
        </w:tc>
        <w:tc>
          <w:tcPr>
            <w:tcW w:w="3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00" w:after="283"/>
        <w:ind w:left="0" w:right="0" w:firstLine="360"/>
        <w:jc w:val="center"/>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change in inventory reserves includes the inventory charges below, primarily offset by the disposal of inventory previously reserved. Inventory charges were recognized in the following captions on our Condensed Consolidated Statements of Operations:</w:t>
      </w:r>
    </w:p>
    <w:tbl>
      <w:tblPr>
        <w:tblW w:w="7010" w:type="dxa"/>
        <w:jc w:val="center"/>
        <w:tblInd w:w="0" w:type="dxa"/>
        <w:tblCellMar>
          <w:top w:w="28" w:type="dxa"/>
          <w:left w:w="28" w:type="dxa"/>
          <w:bottom w:w="28" w:type="dxa"/>
          <w:right w:w="28" w:type="dxa"/>
        </w:tblCellMar>
      </w:tblPr>
      <w:tblGrid>
        <w:gridCol w:w="1432"/>
        <w:gridCol w:w="1258"/>
        <w:gridCol w:w="1269"/>
        <w:gridCol w:w="432"/>
        <w:gridCol w:w="739"/>
        <w:gridCol w:w="223"/>
        <w:gridCol w:w="432"/>
        <w:gridCol w:w="739"/>
        <w:gridCol w:w="223"/>
        <w:gridCol w:w="109"/>
        <w:gridCol w:w="154"/>
      </w:tblGrid>
      <w:tr>
        <w:trPr/>
        <w:tc>
          <w:tcPr>
            <w:tcW w:w="1432" w:type="dxa"/>
            <w:tcBorders/>
            <w:shd w:fill="auto" w:val="clear"/>
            <w:vAlign w:val="center"/>
          </w:tcPr>
          <w:p>
            <w:pPr>
              <w:pStyle w:val="TableContents"/>
              <w:spacing w:before="0" w:after="283"/>
              <w:rPr>
                <w:sz w:val="4"/>
                <w:szCs w:val="4"/>
              </w:rPr>
            </w:pPr>
            <w:r>
              <w:rPr>
                <w:sz w:val="4"/>
                <w:szCs w:val="4"/>
              </w:rPr>
            </w:r>
          </w:p>
        </w:tc>
        <w:tc>
          <w:tcPr>
            <w:tcW w:w="1258" w:type="dxa"/>
            <w:tcBorders/>
            <w:shd w:fill="auto" w:val="clear"/>
            <w:vAlign w:val="center"/>
          </w:tcPr>
          <w:p>
            <w:pPr>
              <w:pStyle w:val="TableContents"/>
              <w:spacing w:before="0" w:after="283"/>
              <w:rPr>
                <w:sz w:val="4"/>
                <w:szCs w:val="4"/>
              </w:rPr>
            </w:pPr>
            <w:r>
              <w:rPr>
                <w:sz w:val="4"/>
                <w:szCs w:val="4"/>
              </w:rPr>
            </w:r>
          </w:p>
        </w:tc>
        <w:tc>
          <w:tcPr>
            <w:tcW w:w="1269" w:type="dxa"/>
            <w:tcBorders/>
            <w:shd w:fill="auto" w:val="clear"/>
            <w:vAlign w:val="center"/>
          </w:tcPr>
          <w:p>
            <w:pPr>
              <w:pStyle w:val="TableContents"/>
              <w:spacing w:before="0" w:after="283"/>
              <w:rPr>
                <w:sz w:val="4"/>
                <w:szCs w:val="4"/>
              </w:rPr>
            </w:pPr>
            <w:r>
              <w:rPr>
                <w:sz w:val="4"/>
                <w:szCs w:val="4"/>
              </w:rPr>
            </w:r>
          </w:p>
        </w:tc>
        <w:tc>
          <w:tcPr>
            <w:tcW w:w="432"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432"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8"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39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(Dollars in millions)</w:t>
            </w:r>
          </w:p>
        </w:tc>
        <w:tc>
          <w:tcPr>
            <w:tcW w:w="13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3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5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Charges in “Cost of Products”</w:t>
            </w:r>
          </w:p>
        </w:tc>
        <w:tc>
          <w:tcPr>
            <w:tcW w:w="4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Charges in “Other Charges (Credits)”</w:t>
            </w:r>
          </w:p>
        </w:tc>
        <w:tc>
          <w:tcPr>
            <w:tcW w:w="11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5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Inventory Charges</w:t>
            </w:r>
          </w:p>
        </w:tc>
        <w:tc>
          <w:tcPr>
            <w:tcW w:w="4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360"/>
        <w:rPr/>
      </w:pPr>
      <w:r>
        <w:rPr/>
      </w:r>
    </w:p>
    <w:p>
      <w:pPr>
        <w:pStyle w:val="TextBody"/>
        <w:spacing w:lineRule="auto" w:line="288" w:before="0" w:after="0"/>
        <w:ind w:left="0" w:right="0" w:firstLine="360"/>
        <w:rPr>
          <w:rFonts w:ascii="Times New Roman;sans-serif" w:hAnsi="Times New Roman;sans-serif"/>
          <w:b/>
          <w:color w:val="000000"/>
          <w:sz w:val="20"/>
        </w:rPr>
      </w:pPr>
      <w:r>
        <w:rPr>
          <w:rFonts w:ascii="Times New Roman;sans-serif" w:hAnsi="Times New Roman;sans-serif"/>
          <w:b/>
          <w:color w:val="000000"/>
          <w:sz w:val="20"/>
        </w:rPr>
        <w:t>6 – Intangibles, Net</w:t>
      </w:r>
    </w:p>
    <w:p>
      <w:pPr>
        <w:pStyle w:val="TextBody"/>
        <w:spacing w:before="0" w:after="0"/>
        <w:ind w:left="0" w:right="0" w:firstLine="360"/>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intangible assets, net were as follows:</w:t>
      </w:r>
    </w:p>
    <w:tbl>
      <w:tblPr>
        <w:tblW w:w="10205" w:type="dxa"/>
        <w:jc w:val="center"/>
        <w:tblInd w:w="0" w:type="dxa"/>
        <w:tblCellMar>
          <w:top w:w="28" w:type="dxa"/>
          <w:left w:w="28" w:type="dxa"/>
          <w:bottom w:w="28" w:type="dxa"/>
          <w:right w:w="28" w:type="dxa"/>
        </w:tblCellMar>
      </w:tblPr>
      <w:tblGrid>
        <w:gridCol w:w="2683"/>
        <w:gridCol w:w="2260"/>
        <w:gridCol w:w="2260"/>
        <w:gridCol w:w="319"/>
        <w:gridCol w:w="707"/>
        <w:gridCol w:w="165"/>
        <w:gridCol w:w="109"/>
        <w:gridCol w:w="109"/>
        <w:gridCol w:w="109"/>
        <w:gridCol w:w="375"/>
        <w:gridCol w:w="830"/>
        <w:gridCol w:w="279"/>
      </w:tblGrid>
      <w:tr>
        <w:trPr/>
        <w:tc>
          <w:tcPr>
            <w:tcW w:w="2683" w:type="dxa"/>
            <w:tcBorders/>
            <w:shd w:fill="auto" w:val="clear"/>
            <w:vAlign w:val="center"/>
          </w:tcPr>
          <w:p>
            <w:pPr>
              <w:pStyle w:val="TableContents"/>
              <w:spacing w:before="0" w:after="283"/>
              <w:rPr>
                <w:sz w:val="4"/>
                <w:szCs w:val="4"/>
              </w:rPr>
            </w:pPr>
            <w:r>
              <w:rPr>
                <w:sz w:val="4"/>
                <w:szCs w:val="4"/>
              </w:rPr>
            </w:r>
          </w:p>
        </w:tc>
        <w:tc>
          <w:tcPr>
            <w:tcW w:w="2260" w:type="dxa"/>
            <w:tcBorders/>
            <w:shd w:fill="auto" w:val="clear"/>
            <w:vAlign w:val="center"/>
          </w:tcPr>
          <w:p>
            <w:pPr>
              <w:pStyle w:val="TableContents"/>
              <w:spacing w:before="0" w:after="283"/>
              <w:rPr>
                <w:sz w:val="4"/>
                <w:szCs w:val="4"/>
              </w:rPr>
            </w:pPr>
            <w:r>
              <w:rPr>
                <w:sz w:val="4"/>
                <w:szCs w:val="4"/>
              </w:rPr>
            </w:r>
          </w:p>
        </w:tc>
        <w:tc>
          <w:tcPr>
            <w:tcW w:w="2260"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r>
      <w:tr>
        <w:trPr/>
        <w:tc>
          <w:tcPr>
            <w:tcW w:w="720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(Dollars in millions)</w:t>
            </w:r>
          </w:p>
        </w:tc>
        <w:tc>
          <w:tcPr>
            <w:tcW w:w="11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720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Developed and Acquired Technology, Net of Accumulated Amortization of $389 at March 31, 2023 and $359 at December 31, 2022</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03"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Trade Names, Net of Accumulated Amortization of $131 at March 31, 2023 and $121 at December 31, 2022</w:t>
            </w:r>
          </w:p>
        </w:tc>
        <w:tc>
          <w:tcPr>
            <w:tcW w:w="10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274 </w:t>
            </w:r>
          </w:p>
        </w:tc>
        <w:tc>
          <w:tcPr>
            <w:tcW w:w="2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03"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 of Accumulated Amortization of $520 at March 31, 2023 and $480 at December 31, 2022</w:t>
            </w:r>
          </w:p>
        </w:tc>
        <w:tc>
          <w:tcPr>
            <w:tcW w:w="3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3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506 </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00" w:after="283"/>
        <w:ind w:left="0" w:right="0" w:firstLine="360"/>
        <w:jc w:val="center"/>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expense was $40 million and $39 million for the three months ended March 31, 2023 and March 31, 2022, respectively, and is reported in “Selling, General and Administrative” on our Condensed Consolidated Statements of Operations. </w:t>
      </w:r>
    </w:p>
    <w:p>
      <w:pPr>
        <w:pStyle w:val="TextBody"/>
        <w:spacing w:before="0" w:after="0"/>
        <w:ind w:left="0" w:right="0" w:firstLine="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before="60" w:after="283"/>
        <w:ind w:left="0" w:right="0" w:firstLine="360"/>
        <w:rPr/>
      </w:pPr>
      <w:r>
        <w:rPr/>
      </w:r>
    </w:p>
    <w:p>
      <w:pPr>
        <w:pStyle w:val="TextBody"/>
        <w:spacing w:lineRule="auto" w:line="288" w:before="60" w:after="283"/>
        <w:ind w:left="0" w:right="0" w:firstLine="360"/>
        <w:rPr/>
      </w:pPr>
      <w:hyperlink w:anchor="i6cc7e3401d8a485198d3a93c25e5b7bf_7">
        <w:r>
          <w:rPr>
            <w:rStyle w:val="InternetLink"/>
          </w:rPr>
          <w:t xml:space="preserve">Table of </w:t>
        </w:r>
      </w:hyperlink>
      <w:hyperlink w:anchor="i6cc7e3401d8a485198d3a93c25e5b7bf_7">
        <w:r>
          <w:rPr>
            <w:rStyle w:val="InternetLink"/>
          </w:rPr>
          <w:t>Contents</w:t>
        </w:r>
      </w:hyperlink>
    </w:p>
    <w:p>
      <w:pPr>
        <w:pStyle w:val="TextBody"/>
        <w:spacing w:lineRule="auto" w:line="288"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7 – Borrowings and Other Debt Obligations</w:t>
      </w:r>
    </w:p>
    <w:tbl>
      <w:tblPr>
        <w:tblW w:w="10205" w:type="dxa"/>
        <w:jc w:val="center"/>
        <w:tblInd w:w="0" w:type="dxa"/>
        <w:tblCellMar>
          <w:top w:w="28" w:type="dxa"/>
          <w:left w:w="28" w:type="dxa"/>
          <w:bottom w:w="28" w:type="dxa"/>
          <w:right w:w="28" w:type="dxa"/>
        </w:tblCellMar>
      </w:tblPr>
      <w:tblGrid>
        <w:gridCol w:w="2450"/>
        <w:gridCol w:w="2141"/>
        <w:gridCol w:w="2160"/>
        <w:gridCol w:w="316"/>
        <w:gridCol w:w="926"/>
        <w:gridCol w:w="163"/>
        <w:gridCol w:w="109"/>
        <w:gridCol w:w="109"/>
        <w:gridCol w:w="109"/>
        <w:gridCol w:w="369"/>
        <w:gridCol w:w="1078"/>
        <w:gridCol w:w="275"/>
      </w:tblGrid>
      <w:tr>
        <w:trPr/>
        <w:tc>
          <w:tcPr>
            <w:tcW w:w="2450" w:type="dxa"/>
            <w:tcBorders/>
            <w:shd w:fill="auto" w:val="clear"/>
            <w:vAlign w:val="center"/>
          </w:tcPr>
          <w:p>
            <w:pPr>
              <w:pStyle w:val="TableContents"/>
              <w:spacing w:before="0" w:after="283"/>
              <w:rPr>
                <w:sz w:val="4"/>
                <w:szCs w:val="4"/>
              </w:rPr>
            </w:pPr>
            <w:r>
              <w:rPr>
                <w:sz w:val="4"/>
                <w:szCs w:val="4"/>
              </w:rPr>
            </w:r>
          </w:p>
        </w:tc>
        <w:tc>
          <w:tcPr>
            <w:tcW w:w="2141" w:type="dxa"/>
            <w:tcBorders/>
            <w:shd w:fill="auto" w:val="clear"/>
            <w:vAlign w:val="center"/>
          </w:tcPr>
          <w:p>
            <w:pPr>
              <w:pStyle w:val="TableContents"/>
              <w:spacing w:before="0" w:after="283"/>
              <w:rPr>
                <w:sz w:val="4"/>
                <w:szCs w:val="4"/>
              </w:rPr>
            </w:pPr>
            <w:r>
              <w:rPr>
                <w:sz w:val="4"/>
                <w:szCs w:val="4"/>
              </w:rPr>
            </w:r>
          </w:p>
        </w:tc>
        <w:tc>
          <w:tcPr>
            <w:tcW w:w="2160"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926"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rPr>
                <w:sz w:val="4"/>
                <w:szCs w:val="4"/>
              </w:rPr>
            </w:pPr>
            <w:r>
              <w:rPr>
                <w:sz w:val="4"/>
                <w:szCs w:val="4"/>
              </w:rPr>
            </w:r>
          </w:p>
        </w:tc>
        <w:tc>
          <w:tcPr>
            <w:tcW w:w="1078"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r>
      <w:tr>
        <w:trPr/>
        <w:tc>
          <w:tcPr>
            <w:tcW w:w="67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(Dollars in millions)</w:t>
            </w:r>
          </w:p>
        </w:tc>
        <w:tc>
          <w:tcPr>
            <w:tcW w:w="14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6751" w:type="dxa"/>
            <w:gridSpan w:val="3"/>
            <w:tcBorders/>
            <w:shd w:fill="auto" w:val="clear"/>
            <w:vAlign w:val="center"/>
          </w:tcPr>
          <w:p>
            <w:pPr>
              <w:pStyle w:val="TableContents"/>
              <w:spacing w:before="0" w:after="283"/>
              <w:rPr>
                <w:sz w:val="4"/>
                <w:szCs w:val="4"/>
              </w:rPr>
            </w:pPr>
            <w:r>
              <w:rPr>
                <w:sz w:val="4"/>
                <w:szCs w:val="4"/>
              </w:rPr>
            </w:r>
          </w:p>
        </w:tc>
        <w:tc>
          <w:tcPr>
            <w:tcW w:w="14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22" w:type="dxa"/>
            <w:gridSpan w:val="3"/>
            <w:tcBorders/>
            <w:shd w:fill="auto" w:val="clear"/>
            <w:vAlign w:val="center"/>
          </w:tcPr>
          <w:p>
            <w:pPr>
              <w:pStyle w:val="TableContents"/>
              <w:spacing w:before="0" w:after="283"/>
              <w:rPr>
                <w:sz w:val="4"/>
                <w:szCs w:val="4"/>
              </w:rPr>
            </w:pPr>
            <w:r>
              <w:rPr>
                <w:sz w:val="4"/>
                <w:szCs w:val="4"/>
              </w:rPr>
            </w:r>
          </w:p>
        </w:tc>
      </w:tr>
      <w:tr>
        <w:trPr/>
        <w:tc>
          <w:tcPr>
            <w:tcW w:w="6751" w:type="dxa"/>
            <w:gridSpan w:val="3"/>
            <w:tcBorders/>
            <w:shd w:fill="auto" w:val="clear"/>
            <w:vAlign w:val="center"/>
          </w:tcPr>
          <w:p>
            <w:pPr>
              <w:pStyle w:val="TableContents"/>
              <w:spacing w:before="0" w:after="283"/>
              <w:rPr>
                <w:sz w:val="4"/>
                <w:szCs w:val="4"/>
              </w:rPr>
            </w:pPr>
            <w:r>
              <w:rPr>
                <w:sz w:val="4"/>
                <w:szCs w:val="4"/>
              </w:rPr>
            </w:r>
          </w:p>
        </w:tc>
        <w:tc>
          <w:tcPr>
            <w:tcW w:w="14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22" w:type="dxa"/>
            <w:gridSpan w:val="3"/>
            <w:tcBorders/>
            <w:shd w:fill="auto" w:val="clear"/>
            <w:vAlign w:val="center"/>
          </w:tcPr>
          <w:p>
            <w:pPr>
              <w:pStyle w:val="TableContents"/>
              <w:spacing w:before="0" w:after="283"/>
              <w:rPr>
                <w:sz w:val="4"/>
                <w:szCs w:val="4"/>
              </w:rPr>
            </w:pPr>
            <w:r>
              <w:rPr>
                <w:sz w:val="4"/>
                <w:szCs w:val="4"/>
              </w:rPr>
            </w:r>
          </w:p>
        </w:tc>
      </w:tr>
      <w:tr>
        <w:trPr/>
        <w:tc>
          <w:tcPr>
            <w:tcW w:w="6751" w:type="dxa"/>
            <w:gridSpan w:val="3"/>
            <w:tcBorders/>
            <w:shd w:fill="auto" w:val="clear"/>
            <w:vAlign w:val="center"/>
          </w:tcPr>
          <w:p>
            <w:pPr>
              <w:pStyle w:val="TableContents"/>
              <w:spacing w:before="0" w:after="283"/>
              <w:rPr>
                <w:sz w:val="4"/>
                <w:szCs w:val="4"/>
              </w:rPr>
            </w:pPr>
            <w:r>
              <w:rPr>
                <w:sz w:val="4"/>
                <w:szCs w:val="4"/>
              </w:rPr>
            </w:r>
          </w:p>
        </w:tc>
        <w:tc>
          <w:tcPr>
            <w:tcW w:w="14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22" w:type="dxa"/>
            <w:gridSpan w:val="3"/>
            <w:tcBorders/>
            <w:shd w:fill="auto" w:val="clear"/>
            <w:vAlign w:val="center"/>
          </w:tcPr>
          <w:p>
            <w:pPr>
              <w:pStyle w:val="TableContents"/>
              <w:spacing w:before="0" w:after="283"/>
              <w:rPr>
                <w:sz w:val="4"/>
                <w:szCs w:val="4"/>
              </w:rPr>
            </w:pPr>
            <w:r>
              <w:rPr>
                <w:sz w:val="4"/>
                <w:szCs w:val="4"/>
              </w:rPr>
            </w:r>
          </w:p>
        </w:tc>
      </w:tr>
      <w:tr>
        <w:trPr/>
        <w:tc>
          <w:tcPr>
            <w:tcW w:w="6751" w:type="dxa"/>
            <w:gridSpan w:val="3"/>
            <w:tcBorders/>
            <w:shd w:fill="auto" w:val="clear"/>
            <w:vAlign w:val="center"/>
          </w:tcPr>
          <w:p>
            <w:pPr>
              <w:pStyle w:val="TableContents"/>
              <w:spacing w:before="0" w:after="283"/>
              <w:rPr>
                <w:sz w:val="4"/>
                <w:szCs w:val="4"/>
              </w:rPr>
            </w:pPr>
            <w:r>
              <w:rPr>
                <w:sz w:val="4"/>
                <w:szCs w:val="4"/>
              </w:rPr>
            </w:r>
          </w:p>
        </w:tc>
        <w:tc>
          <w:tcPr>
            <w:tcW w:w="14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22" w:type="dxa"/>
            <w:gridSpan w:val="3"/>
            <w:tcBorders/>
            <w:shd w:fill="auto" w:val="clear"/>
            <w:vAlign w:val="center"/>
          </w:tcPr>
          <w:p>
            <w:pPr>
              <w:pStyle w:val="TableContents"/>
              <w:spacing w:before="0" w:after="283"/>
              <w:rPr>
                <w:sz w:val="4"/>
                <w:szCs w:val="4"/>
              </w:rPr>
            </w:pPr>
            <w:r>
              <w:rPr>
                <w:sz w:val="4"/>
                <w:szCs w:val="4"/>
              </w:rPr>
            </w:r>
          </w:p>
        </w:tc>
      </w:tr>
      <w:tr>
        <w:trPr/>
        <w:tc>
          <w:tcPr>
            <w:tcW w:w="675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Finance Leases</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5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6.50% Senior Secured Notes due 2028 “2028 Senior Secured Notes”</w:t>
            </w:r>
          </w:p>
        </w:tc>
        <w:tc>
          <w:tcPr>
            <w:tcW w:w="12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5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11.00% Exit Notes due 2024 “Exit Notes”</w:t>
            </w:r>
          </w:p>
        </w:tc>
        <w:tc>
          <w:tcPr>
            <w:tcW w:w="12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51" w:type="dxa"/>
            <w:gridSpan w:val="3"/>
            <w:tcBorders/>
            <w:shd w:fill="auto" w:val="clear"/>
            <w:vAlign w:val="center"/>
          </w:tcPr>
          <w:p>
            <w:pPr>
              <w:pStyle w:val="TableContents"/>
              <w:spacing w:before="0" w:after="283"/>
              <w:rPr>
                <w:sz w:val="4"/>
                <w:szCs w:val="4"/>
              </w:rPr>
            </w:pPr>
            <w:r>
              <w:rPr>
                <w:sz w:val="4"/>
                <w:szCs w:val="4"/>
              </w:rPr>
            </w:r>
          </w:p>
        </w:tc>
        <w:tc>
          <w:tcPr>
            <w:tcW w:w="14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22" w:type="dxa"/>
            <w:gridSpan w:val="3"/>
            <w:tcBorders/>
            <w:shd w:fill="auto" w:val="clear"/>
            <w:vAlign w:val="center"/>
          </w:tcPr>
          <w:p>
            <w:pPr>
              <w:pStyle w:val="TableContents"/>
              <w:spacing w:before="0" w:after="283"/>
              <w:rPr>
                <w:sz w:val="4"/>
                <w:szCs w:val="4"/>
              </w:rPr>
            </w:pPr>
            <w:r>
              <w:rPr>
                <w:sz w:val="4"/>
                <w:szCs w:val="4"/>
              </w:rPr>
            </w:r>
          </w:p>
        </w:tc>
      </w:tr>
      <w:tr>
        <w:trPr/>
        <w:tc>
          <w:tcPr>
            <w:tcW w:w="675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Long-term Debt</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6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5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40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72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75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11.00% Exit Notes due 2024 “Exit Notes”</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2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51" w:type="dxa"/>
            <w:gridSpan w:val="3"/>
            <w:tcBorders/>
            <w:shd w:fill="CCEEFF"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6.50% Senior Secured Notes due 2028 “2028 Senior Secured Notes”</w:t>
            </w:r>
          </w:p>
        </w:tc>
        <w:tc>
          <w:tcPr>
            <w:tcW w:w="12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471 </w:t>
            </w:r>
          </w:p>
        </w:tc>
        <w:tc>
          <w:tcPr>
            <w:tcW w:w="2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5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8.625% Senior Notes due 2030 “2030 Senior Notes”</w:t>
            </w:r>
          </w:p>
        </w:tc>
        <w:tc>
          <w:tcPr>
            <w:tcW w:w="12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1,586 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1,586 </w:t>
            </w:r>
          </w:p>
        </w:tc>
        <w:tc>
          <w:tcPr>
            <w:tcW w:w="2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Long-term Portion Finance Leases </w:t>
            </w:r>
          </w:p>
        </w:tc>
        <w:tc>
          <w:tcPr>
            <w:tcW w:w="12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2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5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2,067 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3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2,203 </w:t>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Exit Notes</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13, 2019, Weatherford International Ltd., a Bermuda exempted company (“Weatherford Bermuda”) issued 11.00% senior unsecured notes in aggregate principal amount of $2.1 billion maturing December 1, 2024 (the “Exit Notes”). Interest is payable semiannually on June 1 and December 1 of each year. The Exit Notes have been refinanced or redeemed in the years since issuance and in the first quarter of 2023, we redeemed $20 million in principal, leaving a remaining unpaid principal of $105 million at March 31, 2023, which also represents the carrying value. On April 20, 2023, we announced our intent to redeem the remaining principal of $105 million of our Exit Notes for a redemption price of 102.75% on May 22, 2023, plus accrued and unpaid interest.</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2028 Senior Secured Notes</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30, 2021, Weatherford Bermuda issued 6.50% senior secured notes in aggregate principal amount of $500 million maturing September 15, 2028 (the “2028 Senior Secured Notes”). Interest is payable semiannually on September 15 and March 15 of each year, and commenced on March 15, 2022. In the first quarter of 2023, we repurchased $42 million in principal of our 2028 Senior Secured Notes. At March 31, 2023, the carrying value represents the remaining unpaid principal of $450 million offset by unamortized deferred issuance cost of $9 million. On April 19, 2023, Weatherford Bermuda, the Company and Weatherford International, LLC, a Delaware limited liability company (“Weatherford Delaware”), entered into a Second Supplemental Indenture relating to the 2028 Senior Secured Notes which amended the “Limitation on Restricted Payments” covenant to permit the purchase, repurchase, redemption, defeasance or other acquisition or retirement of the Exit Notes.</w:t>
      </w:r>
    </w:p>
    <w:p>
      <w:pPr>
        <w:pStyle w:val="TextBody"/>
        <w:spacing w:before="0" w:after="0"/>
        <w:rPr/>
      </w:pPr>
      <w:r>
        <w:rPr/>
      </w:r>
    </w:p>
    <w:p>
      <w:pPr>
        <w:pStyle w:val="TextBody"/>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2030 Senior Notes</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27, 2021, Weatherford Bermuda issued 8.625% senior notes in aggregate principal amount of $1.6 billion maturing April 30, 2030 (the “2030 Senior Notes”). Interest is payable semiannually on June 1 and December 1 of each year, and commenced on June 1, 2022. At March 31, 2023, the carrying value represents the remaining unpaid principal of $1.6 billion offset by unamortized deferred issuance cost of $14 million.</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Credit Agreement</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Weatherford Bermuda, Weatherford Delaware, and Weatherford Canada Ltd. (“Weatherford Canada”), together, as borrowers, and the Company as parent, have an amended and restated credit agreement (the “Credit Agreement”). The Credit Agreement allows for a total commitment amount of $400 million maturing on October 17, 2026 (subject to a $250 million minimum liquidity covenant and a minimum interest coverage ratio and maximum ratio of funded debt), provided that no more than $50 million of our Exit Notes are outstanding on August 30, 2024 (otherwise the maturity date becomes August 30, 2024). On March 24, 2023, we further amended the Credit Agreement to permit unlimited prepayments and other redemptions of </w:t>
      </w: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before="60" w:after="283"/>
        <w:ind w:left="0" w:right="0" w:firstLine="360"/>
        <w:rPr/>
      </w:pPr>
      <w:r>
        <w:rPr/>
      </w:r>
    </w:p>
    <w:p>
      <w:pPr>
        <w:pStyle w:val="TextBody"/>
        <w:spacing w:lineRule="auto" w:line="288" w:before="60" w:after="283"/>
        <w:ind w:left="0" w:right="0" w:firstLine="360"/>
        <w:rPr/>
      </w:pPr>
      <w:hyperlink w:anchor="i6cc7e3401d8a485198d3a93c25e5b7bf_7">
        <w:r>
          <w:rPr>
            <w:rStyle w:val="InternetLink"/>
          </w:rPr>
          <w:t xml:space="preserve">Table of </w:t>
        </w:r>
      </w:hyperlink>
      <w:hyperlink w:anchor="i6cc7e3401d8a485198d3a93c25e5b7bf_7">
        <w:r>
          <w:rPr>
            <w:rStyle w:val="InternetLink"/>
          </w:rPr>
          <w:t>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indebtedness subject to (i) the ratio of funded debt (net of unrestricted cash in excess of $400 million) to consolidated adjusted EBITDA as defined in the Credit Agreement, not exceeding 2.50 to 1.00, (ii) no default or event of default existing and (iii) aggregate proforma liquidity in the event of a debt reduction equaling or exceeding $300 million (which previously was $350 million). The material terms of the Credit Agreement are otherwise unchanged. The obligations under the Credit Agreement are guaranteed by the Company and certain of our subsidiaries and secured by substantially all of the personal property of the Company and those subsidiaries. </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we had $405 million of letters of credit outstanding, consisting of the $253 million under the Credit Agreement and another $152 million under various uncommitted bi-lateral facilities (of which there was $146 million in cash collateral held and recorded in “Restricted Cash” on the Condensed Consolidated Balance Sheets). At March 31, 2023, we had $147 million remaining letters of credit available under our Credit Agreement.</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Accrued Interest</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and December 31, 2022, we had accrued interest of approximately $51 million and $22 million, respectively, in “Other Current Liabilities” primarily related to the Exit Notes, 2028 Senior Secured Notes and 2030 Senior Notes.</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Fair Value </w:t>
      </w:r>
    </w:p>
    <w:p>
      <w:pPr>
        <w:pStyle w:val="TextBody"/>
        <w:spacing w:before="0" w:after="0"/>
        <w:ind w:left="0" w:right="0" w:firstLine="360"/>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carrying value of our short-term borrowings, when applicable, approximates their fair value due to their short maturities. </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our long-term debt fluctuates with changes in applicable interest rates among other factors. Fair value will exceed carrying value when the current market interest rate is lower than the interest rate at which the debt was originally issued and will be less than the carrying value when the market rate is greater than the interest rate at which the debt was originally issued. The fair value of our long-term debt is classified as Level 2 in the fair value hierarchy and is established based on observable inputs in less active markets. The table below presents the fair value and carrying value of our long-term debt (excluding finance leases).</w:t>
      </w:r>
    </w:p>
    <w:tbl>
      <w:tblPr>
        <w:tblW w:w="9023" w:type="dxa"/>
        <w:jc w:val="center"/>
        <w:tblInd w:w="0" w:type="dxa"/>
        <w:tblCellMar>
          <w:top w:w="28" w:type="dxa"/>
          <w:left w:w="28" w:type="dxa"/>
          <w:bottom w:w="28" w:type="dxa"/>
          <w:right w:w="28" w:type="dxa"/>
        </w:tblCellMar>
      </w:tblPr>
      <w:tblGrid>
        <w:gridCol w:w="1350"/>
        <w:gridCol w:w="1187"/>
        <w:gridCol w:w="1197"/>
        <w:gridCol w:w="324"/>
        <w:gridCol w:w="948"/>
        <w:gridCol w:w="167"/>
        <w:gridCol w:w="230"/>
        <w:gridCol w:w="671"/>
        <w:gridCol w:w="118"/>
        <w:gridCol w:w="109"/>
        <w:gridCol w:w="109"/>
        <w:gridCol w:w="109"/>
        <w:gridCol w:w="324"/>
        <w:gridCol w:w="948"/>
        <w:gridCol w:w="167"/>
        <w:gridCol w:w="229"/>
        <w:gridCol w:w="669"/>
        <w:gridCol w:w="167"/>
      </w:tblGrid>
      <w:tr>
        <w:trPr/>
        <w:tc>
          <w:tcPr>
            <w:tcW w:w="1350" w:type="dxa"/>
            <w:tcBorders/>
            <w:shd w:fill="auto" w:val="clear"/>
            <w:vAlign w:val="center"/>
          </w:tcPr>
          <w:p>
            <w:pPr>
              <w:pStyle w:val="TableContents"/>
              <w:spacing w:before="0" w:after="283"/>
              <w:rPr>
                <w:sz w:val="4"/>
                <w:szCs w:val="4"/>
              </w:rPr>
            </w:pPr>
            <w:r>
              <w:rPr>
                <w:sz w:val="4"/>
                <w:szCs w:val="4"/>
              </w:rPr>
            </w:r>
          </w:p>
        </w:tc>
        <w:tc>
          <w:tcPr>
            <w:tcW w:w="1187" w:type="dxa"/>
            <w:tcBorders/>
            <w:shd w:fill="auto" w:val="clear"/>
            <w:vAlign w:val="center"/>
          </w:tcPr>
          <w:p>
            <w:pPr>
              <w:pStyle w:val="TableContents"/>
              <w:spacing w:before="0" w:after="283"/>
              <w:rPr>
                <w:sz w:val="4"/>
                <w:szCs w:val="4"/>
              </w:rPr>
            </w:pPr>
            <w:r>
              <w:rPr>
                <w:sz w:val="4"/>
                <w:szCs w:val="4"/>
              </w:rPr>
            </w:r>
          </w:p>
        </w:tc>
        <w:tc>
          <w:tcPr>
            <w:tcW w:w="1197"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948"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948"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669"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r>
      <w:tr>
        <w:trPr/>
        <w:tc>
          <w:tcPr>
            <w:tcW w:w="37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8"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4"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37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(Dollars in millions)</w:t>
            </w:r>
          </w:p>
        </w:tc>
        <w:tc>
          <w:tcPr>
            <w:tcW w:w="14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Carrying Value</w:t>
            </w:r>
          </w:p>
        </w:tc>
        <w:tc>
          <w:tcPr>
            <w:tcW w:w="10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Carrying Value</w:t>
            </w:r>
          </w:p>
        </w:tc>
        <w:tc>
          <w:tcPr>
            <w:tcW w:w="10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r>
      <w:tr>
        <w:trPr/>
        <w:tc>
          <w:tcPr>
            <w:tcW w:w="373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11.00% Exit Notes due 2024 </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6.50% Senior Secured Notes due 2028</w:t>
            </w:r>
          </w:p>
        </w:tc>
        <w:tc>
          <w:tcPr>
            <w:tcW w:w="12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8.625% Senior Notes due 2030</w:t>
            </w:r>
          </w:p>
        </w:tc>
        <w:tc>
          <w:tcPr>
            <w:tcW w:w="12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1,586 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1,626 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1,586 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1,544 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3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Long-Term Debt (excluding Finance Leases)</w:t>
            </w:r>
          </w:p>
        </w:tc>
        <w:tc>
          <w:tcPr>
            <w:tcW w:w="3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2,132 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2,186 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3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2,193 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2,154 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3734" w:type="dxa"/>
            <w:gridSpan w:val="3"/>
            <w:tcBorders/>
            <w:shd w:fill="auto" w:val="clear"/>
            <w:vAlign w:val="center"/>
          </w:tcPr>
          <w:p>
            <w:pPr>
              <w:pStyle w:val="TableContents"/>
              <w:spacing w:before="0" w:after="283"/>
              <w:rPr>
                <w:sz w:val="4"/>
                <w:szCs w:val="4"/>
              </w:rPr>
            </w:pPr>
            <w:r>
              <w:rPr>
                <w:sz w:val="4"/>
                <w:szCs w:val="4"/>
              </w:rPr>
            </w:r>
          </w:p>
        </w:tc>
        <w:tc>
          <w:tcPr>
            <w:tcW w:w="1439" w:type="dxa"/>
            <w:gridSpan w:val="3"/>
            <w:tcBorders/>
            <w:shd w:fill="auto" w:val="clear"/>
            <w:vAlign w:val="center"/>
          </w:tcPr>
          <w:p>
            <w:pPr>
              <w:pStyle w:val="TableContents"/>
              <w:spacing w:before="0" w:after="283"/>
              <w:rPr>
                <w:sz w:val="4"/>
                <w:szCs w:val="4"/>
              </w:rPr>
            </w:pPr>
            <w:r>
              <w:rPr>
                <w:sz w:val="4"/>
                <w:szCs w:val="4"/>
              </w:rPr>
            </w:r>
          </w:p>
        </w:tc>
        <w:tc>
          <w:tcPr>
            <w:tcW w:w="10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9" w:type="dxa"/>
            <w:gridSpan w:val="3"/>
            <w:tcBorders/>
            <w:shd w:fill="auto" w:val="clear"/>
            <w:vAlign w:val="center"/>
          </w:tcPr>
          <w:p>
            <w:pPr>
              <w:pStyle w:val="TableContents"/>
              <w:spacing w:before="0" w:after="283"/>
              <w:rPr>
                <w:sz w:val="4"/>
                <w:szCs w:val="4"/>
              </w:rPr>
            </w:pPr>
            <w:r>
              <w:rPr>
                <w:sz w:val="4"/>
                <w:szCs w:val="4"/>
              </w:rPr>
            </w:r>
          </w:p>
        </w:tc>
        <w:tc>
          <w:tcPr>
            <w:tcW w:w="1065" w:type="dxa"/>
            <w:gridSpan w:val="3"/>
            <w:tcBorders/>
            <w:shd w:fill="auto" w:val="clear"/>
            <w:vAlign w:val="center"/>
          </w:tcPr>
          <w:p>
            <w:pPr>
              <w:pStyle w:val="TableContents"/>
              <w:spacing w:before="0" w:after="283"/>
              <w:rPr>
                <w:sz w:val="4"/>
                <w:szCs w:val="4"/>
              </w:rPr>
            </w:pPr>
            <w:r>
              <w:rPr>
                <w:sz w:val="4"/>
                <w:szCs w:val="4"/>
              </w:rPr>
            </w:r>
          </w:p>
        </w:tc>
      </w:tr>
      <w:tr>
        <w:trPr/>
        <w:tc>
          <w:tcPr>
            <w:tcW w:w="3734" w:type="dxa"/>
            <w:gridSpan w:val="3"/>
            <w:tcBorders/>
            <w:shd w:fill="auto" w:val="clear"/>
            <w:vAlign w:val="center"/>
          </w:tcPr>
          <w:p>
            <w:pPr>
              <w:pStyle w:val="TableContents"/>
              <w:spacing w:before="0" w:after="283"/>
              <w:rPr>
                <w:sz w:val="4"/>
                <w:szCs w:val="4"/>
              </w:rPr>
            </w:pPr>
            <w:r>
              <w:rPr>
                <w:sz w:val="4"/>
                <w:szCs w:val="4"/>
              </w:rPr>
            </w:r>
          </w:p>
        </w:tc>
        <w:tc>
          <w:tcPr>
            <w:tcW w:w="1439" w:type="dxa"/>
            <w:gridSpan w:val="3"/>
            <w:tcBorders/>
            <w:shd w:fill="auto" w:val="clear"/>
            <w:vAlign w:val="center"/>
          </w:tcPr>
          <w:p>
            <w:pPr>
              <w:pStyle w:val="TableContents"/>
              <w:spacing w:before="0" w:after="283"/>
              <w:rPr>
                <w:sz w:val="4"/>
                <w:szCs w:val="4"/>
              </w:rPr>
            </w:pPr>
            <w:r>
              <w:rPr>
                <w:sz w:val="4"/>
                <w:szCs w:val="4"/>
              </w:rPr>
            </w:r>
          </w:p>
        </w:tc>
        <w:tc>
          <w:tcPr>
            <w:tcW w:w="10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9" w:type="dxa"/>
            <w:gridSpan w:val="3"/>
            <w:tcBorders/>
            <w:shd w:fill="auto" w:val="clear"/>
            <w:vAlign w:val="center"/>
          </w:tcPr>
          <w:p>
            <w:pPr>
              <w:pStyle w:val="TableContents"/>
              <w:spacing w:before="0" w:after="283"/>
              <w:rPr>
                <w:sz w:val="4"/>
                <w:szCs w:val="4"/>
              </w:rPr>
            </w:pPr>
            <w:r>
              <w:rPr>
                <w:sz w:val="4"/>
                <w:szCs w:val="4"/>
              </w:rPr>
            </w:r>
          </w:p>
        </w:tc>
        <w:tc>
          <w:tcPr>
            <w:tcW w:w="1065" w:type="dxa"/>
            <w:gridSpan w:val="3"/>
            <w:tcBorders/>
            <w:shd w:fill="auto" w:val="clear"/>
            <w:vAlign w:val="center"/>
          </w:tcPr>
          <w:p>
            <w:pPr>
              <w:pStyle w:val="TableContents"/>
              <w:spacing w:before="0" w:after="283"/>
              <w:rPr>
                <w:sz w:val="4"/>
                <w:szCs w:val="4"/>
              </w:rPr>
            </w:pPr>
            <w:r>
              <w:rPr>
                <w:sz w:val="4"/>
                <w:szCs w:val="4"/>
              </w:rPr>
            </w:r>
          </w:p>
        </w:tc>
      </w:tr>
      <w:tr>
        <w:trPr/>
        <w:tc>
          <w:tcPr>
            <w:tcW w:w="3734" w:type="dxa"/>
            <w:gridSpan w:val="3"/>
            <w:tcBorders/>
            <w:shd w:fill="auto" w:val="clear"/>
            <w:vAlign w:val="center"/>
          </w:tcPr>
          <w:p>
            <w:pPr>
              <w:pStyle w:val="TableContents"/>
              <w:spacing w:before="0" w:after="283"/>
              <w:rPr>
                <w:sz w:val="4"/>
                <w:szCs w:val="4"/>
              </w:rPr>
            </w:pPr>
            <w:r>
              <w:rPr>
                <w:sz w:val="4"/>
                <w:szCs w:val="4"/>
              </w:rPr>
            </w:r>
          </w:p>
        </w:tc>
        <w:tc>
          <w:tcPr>
            <w:tcW w:w="1439" w:type="dxa"/>
            <w:gridSpan w:val="3"/>
            <w:tcBorders/>
            <w:shd w:fill="auto" w:val="clear"/>
            <w:vAlign w:val="center"/>
          </w:tcPr>
          <w:p>
            <w:pPr>
              <w:pStyle w:val="TableContents"/>
              <w:spacing w:before="0" w:after="283"/>
              <w:rPr>
                <w:sz w:val="4"/>
                <w:szCs w:val="4"/>
              </w:rPr>
            </w:pPr>
            <w:r>
              <w:rPr>
                <w:sz w:val="4"/>
                <w:szCs w:val="4"/>
              </w:rPr>
            </w:r>
          </w:p>
        </w:tc>
        <w:tc>
          <w:tcPr>
            <w:tcW w:w="10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9" w:type="dxa"/>
            <w:gridSpan w:val="3"/>
            <w:tcBorders/>
            <w:shd w:fill="auto" w:val="clear"/>
            <w:vAlign w:val="center"/>
          </w:tcPr>
          <w:p>
            <w:pPr>
              <w:pStyle w:val="TableContents"/>
              <w:spacing w:before="0" w:after="283"/>
              <w:rPr>
                <w:sz w:val="4"/>
                <w:szCs w:val="4"/>
              </w:rPr>
            </w:pPr>
            <w:r>
              <w:rPr>
                <w:sz w:val="4"/>
                <w:szCs w:val="4"/>
              </w:rPr>
            </w:r>
          </w:p>
        </w:tc>
        <w:tc>
          <w:tcPr>
            <w:tcW w:w="1065"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firstLine="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before="60" w:after="283"/>
        <w:ind w:left="0" w:right="0" w:firstLine="360"/>
        <w:rPr/>
      </w:pPr>
      <w:r>
        <w:rPr/>
      </w:r>
    </w:p>
    <w:p>
      <w:pPr>
        <w:pStyle w:val="TextBody"/>
        <w:spacing w:lineRule="auto" w:line="288" w:before="60" w:after="283"/>
        <w:ind w:left="0" w:right="0" w:firstLine="360"/>
        <w:rPr/>
      </w:pPr>
      <w:hyperlink w:anchor="i6cc7e3401d8a485198d3a93c25e5b7bf_7">
        <w:r>
          <w:rPr>
            <w:rStyle w:val="InternetLink"/>
          </w:rPr>
          <w:t xml:space="preserve">Table of </w:t>
        </w:r>
      </w:hyperlink>
      <w:hyperlink w:anchor="i6cc7e3401d8a485198d3a93c25e5b7bf_7">
        <w:r>
          <w:rPr>
            <w:rStyle w:val="InternetLink"/>
          </w:rPr>
          <w:t>Contents</w:t>
        </w:r>
      </w:hyperlink>
    </w:p>
    <w:p>
      <w:pPr>
        <w:pStyle w:val="TextBody"/>
        <w:spacing w:lineRule="auto" w:line="288" w:before="0" w:after="0"/>
        <w:ind w:left="0" w:right="0" w:firstLine="360"/>
        <w:rPr>
          <w:rFonts w:ascii="Times New Roman;sans-serif" w:hAnsi="Times New Roman;sans-serif"/>
          <w:b/>
          <w:color w:val="000000"/>
          <w:sz w:val="20"/>
        </w:rPr>
      </w:pPr>
      <w:r>
        <w:rPr>
          <w:rFonts w:ascii="Times New Roman;sans-serif" w:hAnsi="Times New Roman;sans-serif"/>
          <w:b/>
          <w:color w:val="000000"/>
          <w:sz w:val="20"/>
        </w:rPr>
        <w:t xml:space="preserve">8 – Disputes, Litigation and Legal Contingencies </w:t>
      </w:r>
    </w:p>
    <w:p>
      <w:pPr>
        <w:pStyle w:val="TextBody"/>
        <w:spacing w:before="0" w:after="0"/>
        <w:ind w:left="0" w:right="0" w:firstLine="360"/>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lawsuits and claims arising out of the nature of our business. We have certain claims, disputes and pending litigation for which we do not believe a negative outcome is probable or for which we can only estimate a range of liability. It is possible, however, that an unexpected judgment could be rendered against us, or we could decide to resolve a case or cases, that would result in a liability that could be uninsured and beyond the amounts we currently have reserved and in some cases those losses could be material. If one or more negative outcomes were to occur relative to these cases, the aggregate impact to our financial condition could be material. </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Accrued litigation and settlements recorded in “Other Current Liabilities” on the accompanying Condensed Consolidated Balance Sheets as of March 31, 2023 and December 31, 2022 were $44 million and $41 million, respectively.</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GAMCO Shareholder Litigation</w:t>
      </w:r>
    </w:p>
    <w:p>
      <w:pPr>
        <w:pStyle w:val="TextBody"/>
        <w:spacing w:before="0" w:after="0"/>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6, 2019, GAMCO Asset Management, Inc. (“GAMCO”), purportedly on behalf of itself and other similarly situated shareholders, filed a lawsuit asserting violations of the federal securities laws against certain then-current and former officers and directors of the Company. GAMCO alleges violations of Sections 10(b) and 20(b) of the Securities Exchange Act of 1934, and violations of Sections 11 and 15 of the Securities Act of 1933, as amended (the “Securities Act”) based on allegations that the Company and certain of its officers made false and/or misleading statements, and alleged non-disclosure of material facts, regarding our business, operations, prospects and performance. GAMCO seeks damages on behalf of purchasers of the Company’s ordinary shares from October 26, 2016 through May 10, 2019. GAMCO’s lawsuit was filed in the United States District Court for the Southern District of Texas, Houston Division, and it is captioned GAMCO Asset Management, Inc. v. McCollum, et al., Case No. 4:19-cv-03363. The District Court Judge appointed Utah Retirement Systems (“URS”) as Lead Plaintiff, and on March 16, 2020, URS filed its Amended Complaint. URS added the Company as a defendant but dropped the claims against non-officer board members and all the claims under the Securities Act. The defendants filed their motion to dismiss on May 18, 2020, and the Court granted the motion on May 14, 2021. URS appealed the Court’s Opinion on Dismissal to the Court of Appeals for the Fifth Circuit, and the parties are continuing to await a decision. We cannot reliably predict the outcome of the claims, including the amount of any possible loss.</w:t>
      </w:r>
    </w:p>
    <w:p>
      <w:pPr>
        <w:pStyle w:val="TextBody"/>
        <w:spacing w:before="0" w:after="0"/>
        <w:ind w:left="0" w:right="0" w:firstLine="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before="60" w:after="283"/>
        <w:ind w:left="0" w:right="0" w:firstLine="360"/>
        <w:rPr/>
      </w:pPr>
      <w:r>
        <w:rPr/>
      </w:r>
    </w:p>
    <w:p>
      <w:pPr>
        <w:pStyle w:val="TextBody"/>
        <w:spacing w:lineRule="auto" w:line="288" w:before="60" w:after="283"/>
        <w:ind w:left="0" w:right="0" w:firstLine="360"/>
        <w:rPr/>
      </w:pPr>
      <w:hyperlink w:anchor="i6cc7e3401d8a485198d3a93c25e5b7bf_7">
        <w:r>
          <w:rPr>
            <w:rStyle w:val="InternetLink"/>
          </w:rPr>
          <w:t xml:space="preserve">Table of </w:t>
        </w:r>
      </w:hyperlink>
      <w:hyperlink w:anchor="i6cc7e3401d8a485198d3a93c25e5b7bf_7">
        <w:r>
          <w:rPr>
            <w:rStyle w:val="InternetLink"/>
          </w:rPr>
          <w:t>Contents</w:t>
        </w:r>
      </w:hyperlink>
    </w:p>
    <w:p>
      <w:pPr>
        <w:pStyle w:val="TextBody"/>
        <w:spacing w:lineRule="auto" w:line="288"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 xml:space="preserve">9 – Shareholders’ Equity </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change in shares issued and outstanding on our Condensed Consolidated Balance Sheets from 71 million as of December 31, 2022 to 72 million as of March 31, 2023, was due to equity awards granted, vested, and exercised, net of shares withheld for taxes. The following summarizes our shareholders’ equity activity for the three months ended March 31, 2023 and 2022:</w:t>
      </w:r>
    </w:p>
    <w:tbl>
      <w:tblPr>
        <w:tblW w:w="10205" w:type="dxa"/>
        <w:jc w:val="left"/>
        <w:tblInd w:w="0" w:type="dxa"/>
        <w:tblCellMar>
          <w:top w:w="28" w:type="dxa"/>
          <w:left w:w="28" w:type="dxa"/>
          <w:bottom w:w="28" w:type="dxa"/>
          <w:right w:w="28" w:type="dxa"/>
        </w:tblCellMar>
      </w:tblPr>
      <w:tblGrid>
        <w:gridCol w:w="1039"/>
        <w:gridCol w:w="438"/>
        <w:gridCol w:w="442"/>
        <w:gridCol w:w="109"/>
        <w:gridCol w:w="109"/>
        <w:gridCol w:w="109"/>
        <w:gridCol w:w="250"/>
        <w:gridCol w:w="731"/>
        <w:gridCol w:w="129"/>
        <w:gridCol w:w="109"/>
        <w:gridCol w:w="109"/>
        <w:gridCol w:w="109"/>
        <w:gridCol w:w="211"/>
        <w:gridCol w:w="637"/>
        <w:gridCol w:w="109"/>
        <w:gridCol w:w="109"/>
        <w:gridCol w:w="109"/>
        <w:gridCol w:w="109"/>
        <w:gridCol w:w="469"/>
        <w:gridCol w:w="836"/>
        <w:gridCol w:w="243"/>
        <w:gridCol w:w="109"/>
        <w:gridCol w:w="109"/>
        <w:gridCol w:w="109"/>
        <w:gridCol w:w="455"/>
        <w:gridCol w:w="780"/>
        <w:gridCol w:w="236"/>
        <w:gridCol w:w="109"/>
        <w:gridCol w:w="109"/>
        <w:gridCol w:w="109"/>
        <w:gridCol w:w="376"/>
        <w:gridCol w:w="832"/>
        <w:gridCol w:w="195"/>
        <w:gridCol w:w="162"/>
      </w:tblGrid>
      <w:tr>
        <w:trPr/>
        <w:tc>
          <w:tcPr>
            <w:tcW w:w="1039"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731"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836"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5" w:type="dxa"/>
            <w:tcBorders/>
            <w:shd w:fill="auto" w:val="clear"/>
            <w:vAlign w:val="center"/>
          </w:tcPr>
          <w:p>
            <w:pPr>
              <w:pStyle w:val="TableContents"/>
              <w:spacing w:before="0" w:after="283"/>
              <w:rPr>
                <w:sz w:val="4"/>
                <w:szCs w:val="4"/>
              </w:rPr>
            </w:pPr>
            <w:r>
              <w:rPr>
                <w:sz w:val="4"/>
                <w:szCs w:val="4"/>
              </w:rPr>
            </w:r>
          </w:p>
        </w:tc>
        <w:tc>
          <w:tcPr>
            <w:tcW w:w="780"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832"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(Dollars in millions)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Capital in Excess of Par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Retained </w:t>
              <w:br/>
              <w:t>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w:t>
              <w:br/>
              <w:t>Other</w:t>
              <w:br/>
              <w:t>Comprehensive Income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Noncontrolling Interests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Shareholders’ Equity</w:t>
            </w:r>
          </w:p>
        </w:tc>
        <w:tc>
          <w:tcPr>
            <w:tcW w:w="162" w:type="dxa"/>
            <w:tcBorders/>
            <w:shd w:fill="auto" w:val="clear"/>
            <w:vAlign w:val="center"/>
          </w:tcPr>
          <w:p>
            <w:pPr>
              <w:pStyle w:val="TableContents"/>
              <w:spacing w:before="0" w:after="283"/>
              <w:rPr>
                <w:sz w:val="4"/>
                <w:szCs w:val="4"/>
              </w:rPr>
            </w:pPr>
            <w:r>
              <w:rPr>
                <w:sz w:val="4"/>
                <w:szCs w:val="4"/>
              </w:rPr>
            </w:r>
          </w:p>
        </w:tc>
      </w:tr>
      <w:tr>
        <w:trPr/>
        <w:tc>
          <w:tcPr>
            <w:tcW w:w="191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19"/>
              </w:rPr>
            </w:pPr>
            <w:r>
              <w:rPr>
                <w:rFonts w:ascii="Times New Roman;sans-serif" w:hAnsi="Times New Roman;sans-serif"/>
                <w:b/>
                <w:color w:val="000000"/>
                <w:sz w:val="19"/>
              </w:rPr>
              <w:t>Balance at December 31, 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2,928 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5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Dividends to Noncontrolling Interests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2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Equity Awards Granted, Vested and Exercised, Net of Shares Withheld for Taxes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Comprehensive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191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03" w:type="dxa"/>
            <w:gridSpan w:val="3"/>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191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19"/>
              </w:rPr>
            </w:pPr>
            <w:r>
              <w:rPr>
                <w:rFonts w:ascii="Times New Roman;sans-serif" w:hAnsi="Times New Roman;sans-serif"/>
                <w:b/>
                <w:color w:val="000000"/>
                <w:sz w:val="19"/>
              </w:rPr>
              <w:t>Balance at March 31, 2023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2,885 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6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5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191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03" w:type="dxa"/>
            <w:gridSpan w:val="3"/>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191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03" w:type="dxa"/>
            <w:gridSpan w:val="3"/>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191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03" w:type="dxa"/>
            <w:gridSpan w:val="3"/>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191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03" w:type="dxa"/>
            <w:gridSpan w:val="3"/>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191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03" w:type="dxa"/>
            <w:gridSpan w:val="3"/>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191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03" w:type="dxa"/>
            <w:gridSpan w:val="3"/>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191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03" w:type="dxa"/>
            <w:gridSpan w:val="3"/>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191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03" w:type="dxa"/>
            <w:gridSpan w:val="3"/>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191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03" w:type="dxa"/>
            <w:gridSpan w:val="3"/>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191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03" w:type="dxa"/>
            <w:gridSpan w:val="3"/>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191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03" w:type="dxa"/>
            <w:gridSpan w:val="3"/>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191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03" w:type="dxa"/>
            <w:gridSpan w:val="3"/>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191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1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5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54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47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19"/>
              </w:rPr>
            </w:pPr>
            <w:r>
              <w:rPr>
                <w:rFonts w:ascii="Times New Roman;sans-serif" w:hAnsi="Times New Roman;sans-serif"/>
                <w:b/>
                <w:color w:val="000000"/>
                <w:sz w:val="19"/>
              </w:rPr>
              <w:t>Balance at December 31, 2021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2,904 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2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2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496 </w:t>
            </w:r>
          </w:p>
        </w:tc>
        <w:tc>
          <w:tcPr>
            <w:tcW w:w="1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Income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1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Equity Awards Granted, Vested and Exercised, Net of Shares Withheld for Taxes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191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03" w:type="dxa"/>
            <w:gridSpan w:val="3"/>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191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03" w:type="dxa"/>
            <w:gridSpan w:val="3"/>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191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03" w:type="dxa"/>
            <w:gridSpan w:val="3"/>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191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0"/>
              <w:jc w:val="left"/>
              <w:rPr>
                <w:rFonts w:ascii="Times New Roman;sans-serif" w:hAnsi="Times New Roman;sans-serif"/>
                <w:b/>
                <w:color w:val="000000"/>
                <w:sz w:val="19"/>
              </w:rPr>
            </w:pPr>
            <w:r>
              <w:rPr>
                <w:rFonts w:ascii="Times New Roman;sans-serif" w:hAnsi="Times New Roman;sans-serif"/>
                <w:b/>
                <w:color w:val="000000"/>
                <w:sz w:val="19"/>
              </w:rPr>
              <w:t>Balance at March 31, 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2,908 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4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4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426 </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191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03" w:type="dxa"/>
            <w:gridSpan w:val="3"/>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191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03" w:type="dxa"/>
            <w:gridSpan w:val="3"/>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191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03" w:type="dxa"/>
            <w:gridSpan w:val="3"/>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191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03" w:type="dxa"/>
            <w:gridSpan w:val="3"/>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191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03" w:type="dxa"/>
            <w:gridSpan w:val="3"/>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191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03" w:type="dxa"/>
            <w:gridSpan w:val="3"/>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191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03" w:type="dxa"/>
            <w:gridSpan w:val="3"/>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191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03" w:type="dxa"/>
            <w:gridSpan w:val="3"/>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191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03" w:type="dxa"/>
            <w:gridSpan w:val="3"/>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191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03" w:type="dxa"/>
            <w:gridSpan w:val="3"/>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191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03" w:type="dxa"/>
            <w:gridSpan w:val="3"/>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191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03" w:type="dxa"/>
            <w:gridSpan w:val="3"/>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changes in our accumulated other comprehensive income (loss) by component for the three months ended March 31, 2023 and 2022:</w:t>
      </w:r>
    </w:p>
    <w:tbl>
      <w:tblPr>
        <w:tblW w:w="8771" w:type="dxa"/>
        <w:jc w:val="center"/>
        <w:tblInd w:w="0" w:type="dxa"/>
        <w:tblCellMar>
          <w:top w:w="28" w:type="dxa"/>
          <w:left w:w="28" w:type="dxa"/>
          <w:bottom w:w="28" w:type="dxa"/>
          <w:right w:w="28" w:type="dxa"/>
        </w:tblCellMar>
      </w:tblPr>
      <w:tblGrid>
        <w:gridCol w:w="971"/>
        <w:gridCol w:w="853"/>
        <w:gridCol w:w="860"/>
        <w:gridCol w:w="898"/>
        <w:gridCol w:w="1604"/>
        <w:gridCol w:w="467"/>
        <w:gridCol w:w="636"/>
        <w:gridCol w:w="1132"/>
        <w:gridCol w:w="331"/>
        <w:gridCol w:w="109"/>
        <w:gridCol w:w="109"/>
        <w:gridCol w:w="211"/>
        <w:gridCol w:w="436"/>
        <w:gridCol w:w="154"/>
      </w:tblGrid>
      <w:tr>
        <w:trPr/>
        <w:tc>
          <w:tcPr>
            <w:tcW w:w="971" w:type="dxa"/>
            <w:tcBorders/>
            <w:shd w:fill="auto" w:val="clear"/>
            <w:vAlign w:val="center"/>
          </w:tcPr>
          <w:p>
            <w:pPr>
              <w:pStyle w:val="TableContents"/>
              <w:spacing w:before="0" w:after="283"/>
              <w:rPr>
                <w:sz w:val="4"/>
                <w:szCs w:val="4"/>
              </w:rPr>
            </w:pPr>
            <w:r>
              <w:rPr>
                <w:sz w:val="4"/>
                <w:szCs w:val="4"/>
              </w:rPr>
            </w:r>
          </w:p>
        </w:tc>
        <w:tc>
          <w:tcPr>
            <w:tcW w:w="853" w:type="dxa"/>
            <w:tcBorders/>
            <w:shd w:fill="auto" w:val="clear"/>
            <w:vAlign w:val="center"/>
          </w:tcPr>
          <w:p>
            <w:pPr>
              <w:pStyle w:val="TableContents"/>
              <w:spacing w:before="0" w:after="283"/>
              <w:rPr>
                <w:sz w:val="4"/>
                <w:szCs w:val="4"/>
              </w:rPr>
            </w:pPr>
            <w:r>
              <w:rPr>
                <w:sz w:val="4"/>
                <w:szCs w:val="4"/>
              </w:rPr>
            </w:r>
          </w:p>
        </w:tc>
        <w:tc>
          <w:tcPr>
            <w:tcW w:w="860" w:type="dxa"/>
            <w:tcBorders/>
            <w:shd w:fill="auto" w:val="clear"/>
            <w:vAlign w:val="center"/>
          </w:tcPr>
          <w:p>
            <w:pPr>
              <w:pStyle w:val="TableContents"/>
              <w:spacing w:before="0" w:after="283"/>
              <w:rPr>
                <w:sz w:val="4"/>
                <w:szCs w:val="4"/>
              </w:rPr>
            </w:pPr>
            <w:r>
              <w:rPr>
                <w:sz w:val="4"/>
                <w:szCs w:val="4"/>
              </w:rPr>
            </w:r>
          </w:p>
        </w:tc>
        <w:tc>
          <w:tcPr>
            <w:tcW w:w="898" w:type="dxa"/>
            <w:tcBorders/>
            <w:shd w:fill="auto" w:val="clear"/>
            <w:vAlign w:val="center"/>
          </w:tcPr>
          <w:p>
            <w:pPr>
              <w:pStyle w:val="TableContents"/>
              <w:spacing w:before="0" w:after="283"/>
              <w:rPr>
                <w:sz w:val="4"/>
                <w:szCs w:val="4"/>
              </w:rPr>
            </w:pPr>
            <w:r>
              <w:rPr>
                <w:sz w:val="4"/>
                <w:szCs w:val="4"/>
              </w:rPr>
            </w:r>
          </w:p>
        </w:tc>
        <w:tc>
          <w:tcPr>
            <w:tcW w:w="1604"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center"/>
          </w:tcPr>
          <w:p>
            <w:pPr>
              <w:pStyle w:val="TableContents"/>
              <w:spacing w:before="0" w:after="283"/>
              <w:rPr>
                <w:sz w:val="4"/>
                <w:szCs w:val="4"/>
              </w:rPr>
            </w:pPr>
            <w:r>
              <w:rPr>
                <w:sz w:val="4"/>
                <w:szCs w:val="4"/>
              </w:rPr>
            </w:r>
          </w:p>
        </w:tc>
        <w:tc>
          <w:tcPr>
            <w:tcW w:w="636" w:type="dxa"/>
            <w:tcBorders/>
            <w:shd w:fill="auto" w:val="clear"/>
            <w:vAlign w:val="center"/>
          </w:tcPr>
          <w:p>
            <w:pPr>
              <w:pStyle w:val="TableContents"/>
              <w:spacing w:before="0" w:after="283"/>
              <w:rPr>
                <w:sz w:val="4"/>
                <w:szCs w:val="4"/>
              </w:rPr>
            </w:pPr>
            <w:r>
              <w:rPr>
                <w:sz w:val="4"/>
                <w:szCs w:val="4"/>
              </w:rPr>
            </w:r>
          </w:p>
        </w:tc>
        <w:tc>
          <w:tcPr>
            <w:tcW w:w="1132"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(Dollars in millions)</w:t>
            </w:r>
          </w:p>
        </w:tc>
        <w:tc>
          <w:tcPr>
            <w:tcW w:w="29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Currency Translation Adjustment</w:t>
            </w:r>
          </w:p>
        </w:tc>
        <w:tc>
          <w:tcPr>
            <w:tcW w:w="20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Defined Benefit Pension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68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Balance at December 31, 2022</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6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(41)</w:t>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19</w:t>
            </w:r>
            <w:r>
              <w:rPr>
                <w:color w:val="000000"/>
              </w:rPr>
              <w:t>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4" w:type="dxa"/>
            <w:gridSpan w:val="3"/>
            <w:tcBorders/>
            <w:shd w:fill="auto" w:val="clear"/>
            <w:vAlign w:val="center"/>
          </w:tcPr>
          <w:p>
            <w:pPr>
              <w:pStyle w:val="TableContents"/>
              <w:spacing w:before="0" w:after="283"/>
              <w:rPr>
                <w:sz w:val="4"/>
                <w:szCs w:val="4"/>
              </w:rPr>
            </w:pPr>
            <w:r>
              <w:rPr>
                <w:sz w:val="4"/>
                <w:szCs w:val="4"/>
              </w:rPr>
            </w:r>
          </w:p>
        </w:tc>
        <w:tc>
          <w:tcPr>
            <w:tcW w:w="2969" w:type="dxa"/>
            <w:gridSpan w:val="3"/>
            <w:tcBorders/>
            <w:shd w:fill="auto" w:val="clear"/>
            <w:vAlign w:val="center"/>
          </w:tcPr>
          <w:p>
            <w:pPr>
              <w:pStyle w:val="TableContents"/>
              <w:spacing w:before="0" w:after="283"/>
              <w:rPr>
                <w:sz w:val="4"/>
                <w:szCs w:val="4"/>
              </w:rPr>
            </w:pPr>
            <w:r>
              <w:rPr>
                <w:sz w:val="4"/>
                <w:szCs w:val="4"/>
              </w:rPr>
            </w:r>
          </w:p>
        </w:tc>
        <w:tc>
          <w:tcPr>
            <w:tcW w:w="209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25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4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4" w:type="dxa"/>
            <w:gridSpan w:val="3"/>
            <w:tcBorders/>
            <w:shd w:fill="auto" w:val="clear"/>
            <w:vAlign w:val="center"/>
          </w:tcPr>
          <w:p>
            <w:pPr>
              <w:pStyle w:val="TableContents"/>
              <w:spacing w:before="0" w:after="283"/>
              <w:rPr>
                <w:sz w:val="4"/>
                <w:szCs w:val="4"/>
              </w:rPr>
            </w:pPr>
            <w:r>
              <w:rPr>
                <w:sz w:val="4"/>
                <w:szCs w:val="4"/>
              </w:rPr>
            </w:r>
          </w:p>
        </w:tc>
        <w:tc>
          <w:tcPr>
            <w:tcW w:w="2969" w:type="dxa"/>
            <w:gridSpan w:val="3"/>
            <w:tcBorders/>
            <w:shd w:fill="auto" w:val="clear"/>
            <w:vAlign w:val="center"/>
          </w:tcPr>
          <w:p>
            <w:pPr>
              <w:pStyle w:val="TableContents"/>
              <w:spacing w:before="0" w:after="283"/>
              <w:rPr>
                <w:sz w:val="4"/>
                <w:szCs w:val="4"/>
              </w:rPr>
            </w:pPr>
            <w:r>
              <w:rPr>
                <w:sz w:val="4"/>
                <w:szCs w:val="4"/>
              </w:rPr>
            </w:r>
          </w:p>
        </w:tc>
        <w:tc>
          <w:tcPr>
            <w:tcW w:w="209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r>
      <w:tr>
        <w:trPr/>
        <w:tc>
          <w:tcPr>
            <w:tcW w:w="2684" w:type="dxa"/>
            <w:gridSpan w:val="3"/>
            <w:tcBorders/>
            <w:shd w:fill="auto" w:val="clear"/>
            <w:vAlign w:val="center"/>
          </w:tcPr>
          <w:p>
            <w:pPr>
              <w:pStyle w:val="TableContents"/>
              <w:spacing w:before="0" w:after="283"/>
              <w:rPr>
                <w:sz w:val="4"/>
                <w:szCs w:val="4"/>
              </w:rPr>
            </w:pPr>
            <w:r>
              <w:rPr>
                <w:sz w:val="4"/>
                <w:szCs w:val="4"/>
              </w:rPr>
            </w:r>
          </w:p>
        </w:tc>
        <w:tc>
          <w:tcPr>
            <w:tcW w:w="2969" w:type="dxa"/>
            <w:gridSpan w:val="3"/>
            <w:tcBorders/>
            <w:shd w:fill="auto" w:val="clear"/>
            <w:vAlign w:val="center"/>
          </w:tcPr>
          <w:p>
            <w:pPr>
              <w:pStyle w:val="TableContents"/>
              <w:spacing w:before="0" w:after="283"/>
              <w:rPr>
                <w:sz w:val="4"/>
                <w:szCs w:val="4"/>
              </w:rPr>
            </w:pPr>
            <w:r>
              <w:rPr>
                <w:sz w:val="4"/>
                <w:szCs w:val="4"/>
              </w:rPr>
            </w:r>
          </w:p>
        </w:tc>
        <w:tc>
          <w:tcPr>
            <w:tcW w:w="209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r>
      <w:tr>
        <w:trPr/>
        <w:tc>
          <w:tcPr>
            <w:tcW w:w="2684" w:type="dxa"/>
            <w:gridSpan w:val="3"/>
            <w:tcBorders/>
            <w:shd w:fill="auto" w:val="clear"/>
            <w:vAlign w:val="center"/>
          </w:tcPr>
          <w:p>
            <w:pPr>
              <w:pStyle w:val="TableContents"/>
              <w:spacing w:before="0" w:after="283"/>
              <w:rPr>
                <w:sz w:val="4"/>
                <w:szCs w:val="4"/>
              </w:rPr>
            </w:pPr>
            <w:r>
              <w:rPr>
                <w:sz w:val="4"/>
                <w:szCs w:val="4"/>
              </w:rPr>
            </w:r>
          </w:p>
        </w:tc>
        <w:tc>
          <w:tcPr>
            <w:tcW w:w="2969" w:type="dxa"/>
            <w:gridSpan w:val="3"/>
            <w:tcBorders/>
            <w:shd w:fill="auto" w:val="clear"/>
            <w:vAlign w:val="center"/>
          </w:tcPr>
          <w:p>
            <w:pPr>
              <w:pStyle w:val="TableContents"/>
              <w:spacing w:before="0" w:after="283"/>
              <w:rPr>
                <w:sz w:val="4"/>
                <w:szCs w:val="4"/>
              </w:rPr>
            </w:pPr>
            <w:r>
              <w:rPr>
                <w:sz w:val="4"/>
                <w:szCs w:val="4"/>
              </w:rPr>
            </w:r>
          </w:p>
        </w:tc>
        <w:tc>
          <w:tcPr>
            <w:tcW w:w="209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r>
      <w:tr>
        <w:trPr/>
        <w:tc>
          <w:tcPr>
            <w:tcW w:w="268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Balance at March 31, 2023</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6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(38)</w:t>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19</w:t>
            </w:r>
            <w:r>
              <w:rPr>
                <w:color w:val="000000"/>
              </w:rPr>
              <w:t>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96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09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0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Balance at December 31, 2021</w:t>
            </w:r>
          </w:p>
        </w:tc>
        <w:tc>
          <w:tcPr>
            <w:tcW w:w="89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60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(36)</w:t>
            </w:r>
          </w:p>
        </w:tc>
        <w:tc>
          <w:tcPr>
            <w:tcW w:w="4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32"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w:t>
            </w:r>
            <w:r>
              <w:rPr>
                <w:color w:val="000000"/>
              </w:rPr>
              <w:t> </w:t>
            </w:r>
          </w:p>
        </w:tc>
        <w:tc>
          <w:tcPr>
            <w:tcW w:w="3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4" w:type="dxa"/>
            <w:gridSpan w:val="3"/>
            <w:tcBorders/>
            <w:shd w:fill="auto" w:val="clear"/>
            <w:vAlign w:val="center"/>
          </w:tcPr>
          <w:p>
            <w:pPr>
              <w:pStyle w:val="TableContents"/>
              <w:spacing w:before="0" w:after="283"/>
              <w:rPr>
                <w:sz w:val="4"/>
                <w:szCs w:val="4"/>
              </w:rPr>
            </w:pPr>
            <w:r>
              <w:rPr>
                <w:sz w:val="4"/>
                <w:szCs w:val="4"/>
              </w:rPr>
            </w:r>
          </w:p>
        </w:tc>
        <w:tc>
          <w:tcPr>
            <w:tcW w:w="2969" w:type="dxa"/>
            <w:gridSpan w:val="3"/>
            <w:tcBorders/>
            <w:shd w:fill="auto" w:val="clear"/>
            <w:vAlign w:val="center"/>
          </w:tcPr>
          <w:p>
            <w:pPr>
              <w:pStyle w:val="TableContents"/>
              <w:spacing w:before="0" w:after="283"/>
              <w:rPr>
                <w:sz w:val="4"/>
                <w:szCs w:val="4"/>
              </w:rPr>
            </w:pPr>
            <w:r>
              <w:rPr>
                <w:sz w:val="4"/>
                <w:szCs w:val="4"/>
              </w:rPr>
            </w:r>
          </w:p>
        </w:tc>
        <w:tc>
          <w:tcPr>
            <w:tcW w:w="209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25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4" w:type="dxa"/>
            <w:gridSpan w:val="3"/>
            <w:tcBorders/>
            <w:shd w:fill="auto" w:val="clear"/>
            <w:vAlign w:val="center"/>
          </w:tcPr>
          <w:p>
            <w:pPr>
              <w:pStyle w:val="TableContents"/>
              <w:spacing w:before="0" w:after="283"/>
              <w:rPr>
                <w:sz w:val="4"/>
                <w:szCs w:val="4"/>
              </w:rPr>
            </w:pPr>
            <w:r>
              <w:rPr>
                <w:sz w:val="4"/>
                <w:szCs w:val="4"/>
              </w:rPr>
            </w:r>
          </w:p>
        </w:tc>
        <w:tc>
          <w:tcPr>
            <w:tcW w:w="2969" w:type="dxa"/>
            <w:gridSpan w:val="3"/>
            <w:tcBorders/>
            <w:shd w:fill="auto" w:val="clear"/>
            <w:vAlign w:val="center"/>
          </w:tcPr>
          <w:p>
            <w:pPr>
              <w:pStyle w:val="TableContents"/>
              <w:spacing w:before="0" w:after="283"/>
              <w:rPr>
                <w:sz w:val="4"/>
                <w:szCs w:val="4"/>
              </w:rPr>
            </w:pPr>
            <w:r>
              <w:rPr>
                <w:sz w:val="4"/>
                <w:szCs w:val="4"/>
              </w:rPr>
            </w:r>
          </w:p>
        </w:tc>
        <w:tc>
          <w:tcPr>
            <w:tcW w:w="209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r>
      <w:tr>
        <w:trPr/>
        <w:tc>
          <w:tcPr>
            <w:tcW w:w="2684" w:type="dxa"/>
            <w:gridSpan w:val="3"/>
            <w:tcBorders/>
            <w:shd w:fill="auto" w:val="clear"/>
            <w:vAlign w:val="center"/>
          </w:tcPr>
          <w:p>
            <w:pPr>
              <w:pStyle w:val="TableContents"/>
              <w:spacing w:before="0" w:after="283"/>
              <w:rPr>
                <w:sz w:val="4"/>
                <w:szCs w:val="4"/>
              </w:rPr>
            </w:pPr>
            <w:r>
              <w:rPr>
                <w:sz w:val="4"/>
                <w:szCs w:val="4"/>
              </w:rPr>
            </w:r>
          </w:p>
        </w:tc>
        <w:tc>
          <w:tcPr>
            <w:tcW w:w="2969" w:type="dxa"/>
            <w:gridSpan w:val="3"/>
            <w:tcBorders/>
            <w:shd w:fill="auto" w:val="clear"/>
            <w:vAlign w:val="center"/>
          </w:tcPr>
          <w:p>
            <w:pPr>
              <w:pStyle w:val="TableContents"/>
              <w:spacing w:before="0" w:after="283"/>
              <w:rPr>
                <w:sz w:val="4"/>
                <w:szCs w:val="4"/>
              </w:rPr>
            </w:pPr>
            <w:r>
              <w:rPr>
                <w:sz w:val="4"/>
                <w:szCs w:val="4"/>
              </w:rPr>
            </w:r>
          </w:p>
        </w:tc>
        <w:tc>
          <w:tcPr>
            <w:tcW w:w="209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r>
      <w:tr>
        <w:trPr/>
        <w:tc>
          <w:tcPr>
            <w:tcW w:w="2684" w:type="dxa"/>
            <w:gridSpan w:val="3"/>
            <w:tcBorders/>
            <w:shd w:fill="auto" w:val="clear"/>
            <w:vAlign w:val="center"/>
          </w:tcPr>
          <w:p>
            <w:pPr>
              <w:pStyle w:val="TableContents"/>
              <w:spacing w:before="0" w:after="283"/>
              <w:rPr>
                <w:sz w:val="4"/>
                <w:szCs w:val="4"/>
              </w:rPr>
            </w:pPr>
            <w:r>
              <w:rPr>
                <w:sz w:val="4"/>
                <w:szCs w:val="4"/>
              </w:rPr>
            </w:r>
          </w:p>
        </w:tc>
        <w:tc>
          <w:tcPr>
            <w:tcW w:w="2969" w:type="dxa"/>
            <w:gridSpan w:val="3"/>
            <w:tcBorders/>
            <w:shd w:fill="auto" w:val="clear"/>
            <w:vAlign w:val="center"/>
          </w:tcPr>
          <w:p>
            <w:pPr>
              <w:pStyle w:val="TableContents"/>
              <w:spacing w:before="0" w:after="283"/>
              <w:rPr>
                <w:sz w:val="4"/>
                <w:szCs w:val="4"/>
              </w:rPr>
            </w:pPr>
            <w:r>
              <w:rPr>
                <w:sz w:val="4"/>
                <w:szCs w:val="4"/>
              </w:rPr>
            </w:r>
          </w:p>
        </w:tc>
        <w:tc>
          <w:tcPr>
            <w:tcW w:w="209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r>
      <w:tr>
        <w:trPr/>
        <w:tc>
          <w:tcPr>
            <w:tcW w:w="268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Balance at March 31, 2022</w:t>
            </w:r>
          </w:p>
        </w:tc>
        <w:tc>
          <w:tcPr>
            <w:tcW w:w="8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6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(36)</w:t>
            </w:r>
          </w:p>
        </w:tc>
        <w:tc>
          <w:tcPr>
            <w:tcW w:w="4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6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w:t>
            </w:r>
            <w:r>
              <w:rPr>
                <w:color w:val="000000"/>
              </w:rPr>
              <w:t> </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(35)</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2684" w:type="dxa"/>
            <w:gridSpan w:val="3"/>
            <w:tcBorders/>
            <w:shd w:fill="auto" w:val="clear"/>
            <w:vAlign w:val="center"/>
          </w:tcPr>
          <w:p>
            <w:pPr>
              <w:pStyle w:val="TableContents"/>
              <w:spacing w:before="0" w:after="283"/>
              <w:rPr>
                <w:sz w:val="4"/>
                <w:szCs w:val="4"/>
              </w:rPr>
            </w:pPr>
            <w:r>
              <w:rPr>
                <w:sz w:val="4"/>
                <w:szCs w:val="4"/>
              </w:rPr>
            </w:r>
          </w:p>
        </w:tc>
        <w:tc>
          <w:tcPr>
            <w:tcW w:w="2969" w:type="dxa"/>
            <w:gridSpan w:val="3"/>
            <w:tcBorders/>
            <w:shd w:fill="auto" w:val="clear"/>
            <w:vAlign w:val="center"/>
          </w:tcPr>
          <w:p>
            <w:pPr>
              <w:pStyle w:val="TableContents"/>
              <w:spacing w:before="0" w:after="283"/>
              <w:rPr>
                <w:sz w:val="4"/>
                <w:szCs w:val="4"/>
              </w:rPr>
            </w:pPr>
            <w:r>
              <w:rPr>
                <w:sz w:val="4"/>
                <w:szCs w:val="4"/>
              </w:rPr>
            </w:r>
          </w:p>
        </w:tc>
        <w:tc>
          <w:tcPr>
            <w:tcW w:w="209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r>
      <w:tr>
        <w:trPr/>
        <w:tc>
          <w:tcPr>
            <w:tcW w:w="2684" w:type="dxa"/>
            <w:gridSpan w:val="3"/>
            <w:tcBorders/>
            <w:shd w:fill="auto" w:val="clear"/>
            <w:vAlign w:val="center"/>
          </w:tcPr>
          <w:p>
            <w:pPr>
              <w:pStyle w:val="TableContents"/>
              <w:spacing w:before="0" w:after="283"/>
              <w:rPr>
                <w:sz w:val="4"/>
                <w:szCs w:val="4"/>
              </w:rPr>
            </w:pPr>
            <w:r>
              <w:rPr>
                <w:sz w:val="4"/>
                <w:szCs w:val="4"/>
              </w:rPr>
            </w:r>
          </w:p>
        </w:tc>
        <w:tc>
          <w:tcPr>
            <w:tcW w:w="2969" w:type="dxa"/>
            <w:gridSpan w:val="3"/>
            <w:tcBorders/>
            <w:shd w:fill="auto" w:val="clear"/>
            <w:vAlign w:val="center"/>
          </w:tcPr>
          <w:p>
            <w:pPr>
              <w:pStyle w:val="TableContents"/>
              <w:spacing w:before="0" w:after="283"/>
              <w:rPr>
                <w:sz w:val="4"/>
                <w:szCs w:val="4"/>
              </w:rPr>
            </w:pPr>
            <w:r>
              <w:rPr>
                <w:sz w:val="4"/>
                <w:szCs w:val="4"/>
              </w:rPr>
            </w:r>
          </w:p>
        </w:tc>
        <w:tc>
          <w:tcPr>
            <w:tcW w:w="209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r>
      <w:tr>
        <w:trPr/>
        <w:tc>
          <w:tcPr>
            <w:tcW w:w="2684" w:type="dxa"/>
            <w:gridSpan w:val="3"/>
            <w:tcBorders/>
            <w:shd w:fill="auto" w:val="clear"/>
            <w:vAlign w:val="center"/>
          </w:tcPr>
          <w:p>
            <w:pPr>
              <w:pStyle w:val="TableContents"/>
              <w:spacing w:before="0" w:after="283"/>
              <w:rPr>
                <w:sz w:val="4"/>
                <w:szCs w:val="4"/>
              </w:rPr>
            </w:pPr>
            <w:r>
              <w:rPr>
                <w:sz w:val="4"/>
                <w:szCs w:val="4"/>
              </w:rPr>
            </w:r>
          </w:p>
        </w:tc>
        <w:tc>
          <w:tcPr>
            <w:tcW w:w="2969" w:type="dxa"/>
            <w:gridSpan w:val="3"/>
            <w:tcBorders/>
            <w:shd w:fill="auto" w:val="clear"/>
            <w:vAlign w:val="center"/>
          </w:tcPr>
          <w:p>
            <w:pPr>
              <w:pStyle w:val="TableContents"/>
              <w:spacing w:before="0" w:after="283"/>
              <w:rPr>
                <w:sz w:val="4"/>
                <w:szCs w:val="4"/>
              </w:rPr>
            </w:pPr>
            <w:r>
              <w:rPr>
                <w:sz w:val="4"/>
                <w:szCs w:val="4"/>
              </w:rPr>
            </w:r>
          </w:p>
        </w:tc>
        <w:tc>
          <w:tcPr>
            <w:tcW w:w="209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r>
      <w:tr>
        <w:trPr/>
        <w:tc>
          <w:tcPr>
            <w:tcW w:w="2684" w:type="dxa"/>
            <w:gridSpan w:val="3"/>
            <w:tcBorders/>
            <w:shd w:fill="auto" w:val="clear"/>
            <w:vAlign w:val="center"/>
          </w:tcPr>
          <w:p>
            <w:pPr>
              <w:pStyle w:val="TableContents"/>
              <w:spacing w:before="0" w:after="283"/>
              <w:rPr>
                <w:sz w:val="4"/>
                <w:szCs w:val="4"/>
              </w:rPr>
            </w:pPr>
            <w:r>
              <w:rPr>
                <w:sz w:val="4"/>
                <w:szCs w:val="4"/>
              </w:rPr>
            </w:r>
          </w:p>
        </w:tc>
        <w:tc>
          <w:tcPr>
            <w:tcW w:w="2969" w:type="dxa"/>
            <w:gridSpan w:val="3"/>
            <w:tcBorders/>
            <w:shd w:fill="auto" w:val="clear"/>
            <w:vAlign w:val="center"/>
          </w:tcPr>
          <w:p>
            <w:pPr>
              <w:pStyle w:val="TableContents"/>
              <w:spacing w:before="0" w:after="283"/>
              <w:rPr>
                <w:sz w:val="4"/>
                <w:szCs w:val="4"/>
              </w:rPr>
            </w:pPr>
            <w:r>
              <w:rPr>
                <w:sz w:val="4"/>
                <w:szCs w:val="4"/>
              </w:rPr>
            </w:r>
          </w:p>
        </w:tc>
        <w:tc>
          <w:tcPr>
            <w:tcW w:w="209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r>
      <w:tr>
        <w:trPr/>
        <w:tc>
          <w:tcPr>
            <w:tcW w:w="2684" w:type="dxa"/>
            <w:gridSpan w:val="3"/>
            <w:tcBorders/>
            <w:shd w:fill="auto" w:val="clear"/>
            <w:vAlign w:val="center"/>
          </w:tcPr>
          <w:p>
            <w:pPr>
              <w:pStyle w:val="TableContents"/>
              <w:spacing w:before="0" w:after="283"/>
              <w:rPr>
                <w:sz w:val="4"/>
                <w:szCs w:val="4"/>
              </w:rPr>
            </w:pPr>
            <w:r>
              <w:rPr>
                <w:sz w:val="4"/>
                <w:szCs w:val="4"/>
              </w:rPr>
            </w:r>
          </w:p>
        </w:tc>
        <w:tc>
          <w:tcPr>
            <w:tcW w:w="2969" w:type="dxa"/>
            <w:gridSpan w:val="3"/>
            <w:tcBorders/>
            <w:shd w:fill="auto" w:val="clear"/>
            <w:vAlign w:val="center"/>
          </w:tcPr>
          <w:p>
            <w:pPr>
              <w:pStyle w:val="TableContents"/>
              <w:spacing w:before="0" w:after="283"/>
              <w:rPr>
                <w:sz w:val="4"/>
                <w:szCs w:val="4"/>
              </w:rPr>
            </w:pPr>
            <w:r>
              <w:rPr>
                <w:sz w:val="4"/>
                <w:szCs w:val="4"/>
              </w:rPr>
            </w:r>
          </w:p>
        </w:tc>
        <w:tc>
          <w:tcPr>
            <w:tcW w:w="209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r>
      <w:tr>
        <w:trPr/>
        <w:tc>
          <w:tcPr>
            <w:tcW w:w="2684" w:type="dxa"/>
            <w:gridSpan w:val="3"/>
            <w:tcBorders/>
            <w:shd w:fill="auto" w:val="clear"/>
            <w:vAlign w:val="center"/>
          </w:tcPr>
          <w:p>
            <w:pPr>
              <w:pStyle w:val="TableContents"/>
              <w:spacing w:before="0" w:after="283"/>
              <w:rPr>
                <w:sz w:val="4"/>
                <w:szCs w:val="4"/>
              </w:rPr>
            </w:pPr>
            <w:r>
              <w:rPr>
                <w:sz w:val="4"/>
                <w:szCs w:val="4"/>
              </w:rPr>
            </w:r>
          </w:p>
        </w:tc>
        <w:tc>
          <w:tcPr>
            <w:tcW w:w="2969" w:type="dxa"/>
            <w:gridSpan w:val="3"/>
            <w:tcBorders/>
            <w:shd w:fill="auto" w:val="clear"/>
            <w:vAlign w:val="center"/>
          </w:tcPr>
          <w:p>
            <w:pPr>
              <w:pStyle w:val="TableContents"/>
              <w:spacing w:before="0" w:after="283"/>
              <w:rPr>
                <w:sz w:val="4"/>
                <w:szCs w:val="4"/>
              </w:rPr>
            </w:pPr>
            <w:r>
              <w:rPr>
                <w:sz w:val="4"/>
                <w:szCs w:val="4"/>
              </w:rPr>
            </w:r>
          </w:p>
        </w:tc>
        <w:tc>
          <w:tcPr>
            <w:tcW w:w="209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r>
      <w:tr>
        <w:trPr/>
        <w:tc>
          <w:tcPr>
            <w:tcW w:w="2684" w:type="dxa"/>
            <w:gridSpan w:val="3"/>
            <w:tcBorders/>
            <w:shd w:fill="auto" w:val="clear"/>
            <w:vAlign w:val="center"/>
          </w:tcPr>
          <w:p>
            <w:pPr>
              <w:pStyle w:val="TableContents"/>
              <w:spacing w:before="0" w:after="283"/>
              <w:rPr>
                <w:sz w:val="4"/>
                <w:szCs w:val="4"/>
              </w:rPr>
            </w:pPr>
            <w:r>
              <w:rPr>
                <w:sz w:val="4"/>
                <w:szCs w:val="4"/>
              </w:rPr>
            </w:r>
          </w:p>
        </w:tc>
        <w:tc>
          <w:tcPr>
            <w:tcW w:w="2969" w:type="dxa"/>
            <w:gridSpan w:val="3"/>
            <w:tcBorders/>
            <w:shd w:fill="auto" w:val="clear"/>
            <w:vAlign w:val="center"/>
          </w:tcPr>
          <w:p>
            <w:pPr>
              <w:pStyle w:val="TableContents"/>
              <w:spacing w:before="0" w:after="283"/>
              <w:rPr>
                <w:sz w:val="4"/>
                <w:szCs w:val="4"/>
              </w:rPr>
            </w:pPr>
            <w:r>
              <w:rPr>
                <w:sz w:val="4"/>
                <w:szCs w:val="4"/>
              </w:rPr>
            </w:r>
          </w:p>
        </w:tc>
        <w:tc>
          <w:tcPr>
            <w:tcW w:w="209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r>
      <w:tr>
        <w:trPr/>
        <w:tc>
          <w:tcPr>
            <w:tcW w:w="2684" w:type="dxa"/>
            <w:gridSpan w:val="3"/>
            <w:tcBorders/>
            <w:shd w:fill="auto" w:val="clear"/>
            <w:vAlign w:val="center"/>
          </w:tcPr>
          <w:p>
            <w:pPr>
              <w:pStyle w:val="TableContents"/>
              <w:spacing w:before="0" w:after="283"/>
              <w:rPr>
                <w:sz w:val="4"/>
                <w:szCs w:val="4"/>
              </w:rPr>
            </w:pPr>
            <w:r>
              <w:rPr>
                <w:sz w:val="4"/>
                <w:szCs w:val="4"/>
              </w:rPr>
            </w:r>
          </w:p>
        </w:tc>
        <w:tc>
          <w:tcPr>
            <w:tcW w:w="2969" w:type="dxa"/>
            <w:gridSpan w:val="3"/>
            <w:tcBorders/>
            <w:shd w:fill="auto" w:val="clear"/>
            <w:vAlign w:val="center"/>
          </w:tcPr>
          <w:p>
            <w:pPr>
              <w:pStyle w:val="TableContents"/>
              <w:spacing w:before="0" w:after="283"/>
              <w:rPr>
                <w:sz w:val="4"/>
                <w:szCs w:val="4"/>
              </w:rPr>
            </w:pPr>
            <w:r>
              <w:rPr>
                <w:sz w:val="4"/>
                <w:szCs w:val="4"/>
              </w:rPr>
            </w:r>
          </w:p>
        </w:tc>
        <w:tc>
          <w:tcPr>
            <w:tcW w:w="209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firstLine="360"/>
        <w:rPr/>
      </w:pPr>
      <w:r>
        <w:rPr/>
      </w:r>
    </w:p>
    <w:p>
      <w:pPr>
        <w:pStyle w:val="TextBody"/>
        <w:spacing w:before="0" w:after="0"/>
        <w:ind w:left="0" w:right="0" w:firstLine="3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before="60" w:after="283"/>
        <w:ind w:left="0" w:right="0" w:firstLine="360"/>
        <w:rPr/>
      </w:pPr>
      <w:r>
        <w:rPr/>
      </w:r>
    </w:p>
    <w:p>
      <w:pPr>
        <w:pStyle w:val="TextBody"/>
        <w:spacing w:lineRule="auto" w:line="288" w:before="60" w:after="283"/>
        <w:ind w:left="0" w:right="0" w:firstLine="360"/>
        <w:rPr/>
      </w:pPr>
      <w:hyperlink w:anchor="i6cc7e3401d8a485198d3a93c25e5b7bf_7">
        <w:r>
          <w:rPr>
            <w:rStyle w:val="InternetLink"/>
          </w:rPr>
          <w:t xml:space="preserve">Table of </w:t>
        </w:r>
      </w:hyperlink>
      <w:hyperlink w:anchor="i6cc7e3401d8a485198d3a93c25e5b7bf_7">
        <w:r>
          <w:rPr>
            <w:rStyle w:val="InternetLink"/>
          </w:rPr>
          <w:t>Contents</w:t>
        </w:r>
      </w:hyperlink>
    </w:p>
    <w:p>
      <w:pPr>
        <w:pStyle w:val="TextBody"/>
        <w:spacing w:lineRule="auto" w:line="288" w:before="0" w:after="0"/>
        <w:ind w:left="0" w:right="0" w:firstLine="360"/>
        <w:rPr>
          <w:rFonts w:ascii="Times New Roman;sans-serif" w:hAnsi="Times New Roman;sans-serif"/>
          <w:b/>
          <w:color w:val="000000"/>
          <w:sz w:val="20"/>
        </w:rPr>
      </w:pPr>
      <w:r>
        <w:rPr>
          <w:rFonts w:ascii="Times New Roman;sans-serif" w:hAnsi="Times New Roman;sans-serif"/>
          <w:b/>
          <w:color w:val="000000"/>
          <w:sz w:val="20"/>
        </w:rPr>
        <w:t>10 – Income (Loss) per Share</w:t>
      </w:r>
    </w:p>
    <w:p>
      <w:pPr>
        <w:pStyle w:val="TextBody"/>
        <w:spacing w:before="0" w:after="0"/>
        <w:ind w:left="0" w:right="0" w:firstLine="360"/>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Basic income (loss) per share for all periods presented equals net income (loss) divided by our weighted average shares outstanding during the period. Diluted income (loss) per share is computed by dividing net income (loss) by our weighted average shares outstanding during the period including potential dilutive ordinary shares. Antidilutive shares represent potentially dilutive securities which are excluded from the computation of diluted income or loss per share as their impact was antidilutive. These include potential ordinary shares issuable for restricted share units, performance share units, phantom restricted share units, and outstanding warrants. Our basic and dilutive weighted average shares outstanding for periods presented with a net loss are equivalent as the inclusion of potential dilutive securities is antidilutive. A reconciliation of the number of shares used for the basic and diluted income (loss) per share calculation was as follows:</w:t>
      </w:r>
    </w:p>
    <w:tbl>
      <w:tblPr>
        <w:tblW w:w="8172" w:type="dxa"/>
        <w:jc w:val="left"/>
        <w:tblInd w:w="0" w:type="dxa"/>
        <w:tblCellMar>
          <w:top w:w="28" w:type="dxa"/>
          <w:left w:w="28" w:type="dxa"/>
          <w:bottom w:w="28" w:type="dxa"/>
          <w:right w:w="28" w:type="dxa"/>
        </w:tblCellMar>
      </w:tblPr>
      <w:tblGrid>
        <w:gridCol w:w="1814"/>
        <w:gridCol w:w="1595"/>
        <w:gridCol w:w="1601"/>
        <w:gridCol w:w="339"/>
        <w:gridCol w:w="821"/>
        <w:gridCol w:w="175"/>
        <w:gridCol w:w="339"/>
        <w:gridCol w:w="941"/>
        <w:gridCol w:w="175"/>
        <w:gridCol w:w="109"/>
        <w:gridCol w:w="109"/>
        <w:gridCol w:w="154"/>
      </w:tblGrid>
      <w:tr>
        <w:trPr/>
        <w:tc>
          <w:tcPr>
            <w:tcW w:w="1814" w:type="dxa"/>
            <w:tcBorders/>
            <w:shd w:fill="auto" w:val="clear"/>
            <w:vAlign w:val="center"/>
          </w:tcPr>
          <w:p>
            <w:pPr>
              <w:pStyle w:val="TableContents"/>
              <w:spacing w:before="0" w:after="283"/>
              <w:rPr>
                <w:sz w:val="4"/>
                <w:szCs w:val="4"/>
              </w:rPr>
            </w:pPr>
            <w:r>
              <w:rPr>
                <w:sz w:val="4"/>
                <w:szCs w:val="4"/>
              </w:rPr>
            </w:r>
          </w:p>
        </w:tc>
        <w:tc>
          <w:tcPr>
            <w:tcW w:w="1595" w:type="dxa"/>
            <w:tcBorders/>
            <w:shd w:fill="auto" w:val="clear"/>
            <w:vAlign w:val="center"/>
          </w:tcPr>
          <w:p>
            <w:pPr>
              <w:pStyle w:val="TableContents"/>
              <w:spacing w:before="0" w:after="283"/>
              <w:rPr>
                <w:sz w:val="4"/>
                <w:szCs w:val="4"/>
              </w:rPr>
            </w:pPr>
            <w:r>
              <w:rPr>
                <w:sz w:val="4"/>
                <w:szCs w:val="4"/>
              </w:rPr>
            </w:r>
          </w:p>
        </w:tc>
        <w:tc>
          <w:tcPr>
            <w:tcW w:w="1601"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c>
          <w:tcPr>
            <w:tcW w:w="821"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c>
          <w:tcPr>
            <w:tcW w:w="941"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0"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50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(Dollars and shares in millions, except per share amounts)</w:t>
            </w:r>
          </w:p>
        </w:tc>
        <w:tc>
          <w:tcPr>
            <w:tcW w:w="13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45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1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Weatherford</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Weighted Average Shares Outstanding</w:t>
            </w:r>
          </w:p>
        </w:tc>
        <w:tc>
          <w:tcPr>
            <w:tcW w:w="11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Effect of Awards Granted in Stock Incentive Plans</w:t>
            </w:r>
          </w:p>
        </w:tc>
        <w:tc>
          <w:tcPr>
            <w:tcW w:w="11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1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Weighted Average Shares Outstanding</w:t>
            </w:r>
          </w:p>
        </w:tc>
        <w:tc>
          <w:tcPr>
            <w:tcW w:w="116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28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1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45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Antidilutive Shares</w:t>
            </w:r>
          </w:p>
        </w:tc>
        <w:tc>
          <w:tcPr>
            <w:tcW w:w="11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Income (Loss) Per Share Attributable to Weatherford</w:t>
            </w:r>
          </w:p>
        </w:tc>
        <w:tc>
          <w:tcPr>
            <w:tcW w:w="33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Income (Loss) Per Share Attributable to Weatherford</w:t>
            </w:r>
          </w:p>
        </w:tc>
        <w:tc>
          <w:tcPr>
            <w:tcW w:w="33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0.97 </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10" w:type="dxa"/>
            <w:gridSpan w:val="3"/>
            <w:tcBorders/>
            <w:shd w:fill="auto" w:val="clear"/>
            <w:vAlign w:val="center"/>
          </w:tcPr>
          <w:p>
            <w:pPr>
              <w:pStyle w:val="TableContents"/>
              <w:spacing w:before="0" w:after="283"/>
              <w:rPr>
                <w:sz w:val="4"/>
                <w:szCs w:val="4"/>
              </w:rPr>
            </w:pPr>
            <w:r>
              <w:rPr>
                <w:sz w:val="4"/>
                <w:szCs w:val="4"/>
              </w:rPr>
            </w:r>
          </w:p>
        </w:tc>
        <w:tc>
          <w:tcPr>
            <w:tcW w:w="1335" w:type="dxa"/>
            <w:gridSpan w:val="3"/>
            <w:tcBorders/>
            <w:shd w:fill="auto" w:val="clear"/>
            <w:vAlign w:val="center"/>
          </w:tcPr>
          <w:p>
            <w:pPr>
              <w:pStyle w:val="TableContents"/>
              <w:spacing w:before="0" w:after="283"/>
              <w:rPr>
                <w:sz w:val="4"/>
                <w:szCs w:val="4"/>
              </w:rPr>
            </w:pPr>
            <w:r>
              <w:rPr>
                <w:sz w:val="4"/>
                <w:szCs w:val="4"/>
              </w:rPr>
            </w:r>
          </w:p>
        </w:tc>
        <w:tc>
          <w:tcPr>
            <w:tcW w:w="145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100" w:after="283"/>
        <w:ind w:left="0" w:right="0" w:firstLine="72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 xml:space="preserve">11 – Income Taxes </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Effective for the three months ended March 31, 2023, the Company changed to calculating the income tax provision using the estimated annual effective tax rate method in accordance with Accounting Standards Codification “ASC” 740 - Income Taxes and is no longer applying the exception, which allowed the use of the year-to-date effective tax rate method. The Company believes the change is appropriate as it is able to reliably calculate the estimated annual effective tax rate due to sustained profitability and confidence in future earnings. </w:t>
      </w:r>
    </w:p>
    <w:p>
      <w:pPr>
        <w:pStyle w:val="TextBody"/>
        <w:spacing w:before="0" w:after="0"/>
        <w:ind w:left="0" w:right="0" w:firstLine="360"/>
        <w:rPr/>
      </w:pPr>
      <w:r>
        <w:rPr/>
      </w:r>
    </w:p>
    <w:p>
      <w:pPr>
        <w:pStyle w:val="TextBody"/>
        <w:spacing w:lineRule="auto" w:line="28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2022, we determined our quarterly tax provision using the year-to-date effective tax rate method because the estimated annual approach was not reliable given that small changes in estimated ordinary annual income resulted in significant changes in our estimated annual effective tax rate. </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three months ended March 31, 2023, we recognized tax expense of $38 million compared to the three months ended March 31, 2022 where we recognized tax expense of $28 million. The relationship between our pre-tax income or loss and our income tax provision or benefit varies from period to period due to various factors which include changes in total pre-tax income or loss, the jurisdictions in which our income is earned, the tax laws in those jurisdictions and in our operating structure. We provide for income taxes based on the laws and rates in effect in the countries in which operations are conducted, or in which we or our subsidiaries are considered residents for income tax purposes. Our income tax provisions are primarily driven by income in certain jurisdictions, deemed profit countries and withholding taxes on intercompany and third-party transactions that do not directly correlate to ordinary income or loss and other adjustments. Certain charges and impairments recognized do not result in significant tax benefit as a result of being attributed to a non-income tax jurisdiction or our inability to forecast realization of the tax benefit of such losses. This is partially offset by the utilization of previously unbenefited deferred tax assets, such as net operating loss carryforwards. </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routinely undergo tax examination in various jurisdictions. We cannot predict the timing or outcome regarding resolution of these tax examinations or if they will have a material impact on our financial statements. As of March 31, 2023, we anticipate that it is reasonably possible that our uncertain tax positions of $261 million, including interest and penalties, may decrease by up to $34 million in the next twelve months due to expiration of statutes of limitations, settlements and/or conclusions of tax examinations.</w:t>
      </w:r>
    </w:p>
    <w:p>
      <w:pPr>
        <w:pStyle w:val="TextBody"/>
        <w:spacing w:before="0" w:after="0"/>
        <w:ind w:left="0" w:right="0" w:firstLine="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before="60" w:after="283"/>
        <w:ind w:left="0" w:right="0" w:firstLine="360"/>
        <w:rPr/>
      </w:pPr>
      <w:r>
        <w:rPr/>
      </w:r>
    </w:p>
    <w:p>
      <w:pPr>
        <w:pStyle w:val="TextBody"/>
        <w:spacing w:lineRule="auto" w:line="288" w:before="60" w:after="283"/>
        <w:ind w:left="0" w:right="0" w:firstLine="360"/>
        <w:rPr/>
      </w:pPr>
      <w:hyperlink w:anchor="i6cc7e3401d8a485198d3a93c25e5b7bf_7">
        <w:r>
          <w:rPr>
            <w:rStyle w:val="InternetLink"/>
          </w:rPr>
          <w:t xml:space="preserve">Table of </w:t>
        </w:r>
      </w:hyperlink>
      <w:hyperlink w:anchor="i6cc7e3401d8a485198d3a93c25e5b7bf_7">
        <w:r>
          <w:rPr>
            <w:rStyle w:val="InternetLink"/>
          </w:rPr>
          <w:t>Contents</w:t>
        </w:r>
      </w:hyperlink>
    </w:p>
    <w:p>
      <w:pPr>
        <w:pStyle w:val="TextBody"/>
        <w:spacing w:lineRule="auto" w:line="288"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 xml:space="preserve">12 – Subsequent Events </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April 19, 2023, Weatherford Bermuda, the Company and Weatherford Delaware, entered into a Second Supplemental Indenture relating to the 2028 Senior Secured Notes which amended the “Limitation on Restricted Payments” covenant to permit the purchase, repurchase, redemption, defeasance or other acquisition or retirement of the Exit Notes.</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April 20, 2023, we announced our intent to redeem the remaining principal of $105 million of our Exit Notes for a redemption price of 102.75% on May 22, 2023, plus accrued and unpaid interest.</w:t>
      </w:r>
    </w:p>
    <w:p>
      <w:pPr>
        <w:pStyle w:val="TextBody"/>
        <w:spacing w:before="0" w:after="0"/>
        <w:ind w:left="0" w:right="0" w:firstLine="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before="60" w:after="283"/>
        <w:ind w:left="0" w:right="0" w:firstLine="360"/>
        <w:rPr/>
      </w:pPr>
      <w:r>
        <w:rPr/>
      </w:r>
    </w:p>
    <w:p>
      <w:pPr>
        <w:pStyle w:val="TextBody"/>
        <w:spacing w:lineRule="auto" w:line="288" w:before="60" w:after="283"/>
        <w:ind w:left="0" w:right="0" w:firstLine="360"/>
        <w:rPr/>
      </w:pPr>
      <w:hyperlink w:anchor="i6cc7e3401d8a485198d3a93c25e5b7bf_7">
        <w:r>
          <w:rPr>
            <w:rStyle w:val="InternetLink"/>
          </w:rPr>
          <w:t xml:space="preserve">Table of </w:t>
        </w:r>
      </w:hyperlink>
      <w:hyperlink w:anchor="i6cc7e3401d8a485198d3a93c25e5b7bf_7">
        <w:r>
          <w:rPr>
            <w:rStyle w:val="InternetLink"/>
          </w:rPr>
          <w:t>Contents</w:t>
        </w:r>
      </w:hyperlink>
    </w:p>
    <w:p>
      <w:pPr>
        <w:pStyle w:val="TextBody"/>
        <w:spacing w:lineRule="auto" w:line="288"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used in this item, “Weatherford”, “the Company,” “we,” “us” and “our” refer to Weatherford International plc, a public limited company organized under the laws of Ireland, and its subsidiaries on a consolidated basis. The following discussion should be read in conjunction with the Condensed Consolidated Financial Statements and Notes thereto included in “Item 1. Financial Statements.” Our discussion includes various forward-looking statements about our markets, the demand for our products and services and our future results. These statements include assumptions, certain risks and uncertainties. For information about these assumptions, risks and uncertainties, refer to the section “Forward-Looking Statements” and the section “PART II - Other Information - Item 1A. Risk Factors.”</w:t>
      </w:r>
    </w:p>
    <w:p>
      <w:pPr>
        <w:pStyle w:val="TextBody"/>
        <w:spacing w:before="0" w:after="0"/>
        <w:ind w:left="0" w:right="0" w:firstLine="3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firstLine="360"/>
        <w:rPr>
          <w:rFonts w:ascii="Times New Roman;sans-serif" w:hAnsi="Times New Roman;sans-serif"/>
          <w:b/>
          <w:color w:val="000000"/>
          <w:sz w:val="20"/>
        </w:rPr>
      </w:pPr>
      <w:r>
        <w:rPr>
          <w:rFonts w:ascii="Times New Roman;sans-serif" w:hAnsi="Times New Roman;sans-serif"/>
          <w:b/>
          <w:color w:val="000000"/>
          <w:sz w:val="20"/>
        </w:rPr>
        <w:t>Business</w:t>
      </w:r>
    </w:p>
    <w:p>
      <w:pPr>
        <w:pStyle w:val="TextBody"/>
        <w:spacing w:before="0" w:after="0"/>
        <w:ind w:left="0" w:right="0" w:firstLine="360"/>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Weatherford is a leading global energy services company providing equipment and services used in the drilling, evaluation, well construction, completion, production, intervention and responsible abandonment of wells in the oil and natural gas exploration and production industry as well as new energy platforms. </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conduct operations in approximately 75 countries, answering the challenges of the energy industry with 345 operating locations including manufacturing, research and development, service, and training facilities. Our operational performance is reviewed and managed across the life cycle of the wellbore and we report in three segments (1) Drilling and Evaluation, (2) Well Construction and Completions, and (3) Production and Intervention.</w:t>
      </w:r>
    </w:p>
    <w:p>
      <w:pPr>
        <w:pStyle w:val="TextBody"/>
        <w:spacing w:before="0" w:after="0"/>
        <w:ind w:left="0" w:right="0" w:firstLine="360"/>
        <w:jc w:val="both"/>
        <w:rPr/>
      </w:pPr>
      <w:r>
        <w:rPr/>
      </w:r>
    </w:p>
    <w:p>
      <w:pPr>
        <w:pStyle w:val="TextBody"/>
        <w:spacing w:lineRule="auto" w:line="288" w:before="0" w:after="0"/>
        <w:ind w:left="0" w:right="0" w:firstLine="360"/>
        <w:jc w:val="both"/>
        <w:rPr/>
      </w:pPr>
      <w:r>
        <w:rPr>
          <w:rFonts w:ascii="Times New Roman;sans-serif" w:hAnsi="Times New Roman;sans-serif"/>
          <w:b/>
          <w:i/>
          <w:color w:val="000000"/>
          <w:sz w:val="20"/>
        </w:rPr>
        <w:t>Drilling and Evaluation</w:t>
      </w:r>
      <w:r>
        <w:rPr>
          <w:color w:val="000000"/>
        </w:rPr>
        <w:t xml:space="preserve"> </w:t>
      </w:r>
      <w:r>
        <w:rPr>
          <w:rFonts w:ascii="Times New Roman;sans-serif" w:hAnsi="Times New Roman;sans-serif"/>
          <w:b/>
          <w:i/>
          <w:color w:val="000000"/>
          <w:sz w:val="20"/>
        </w:rPr>
        <w:t>(“DRE”)</w:t>
      </w:r>
      <w:r>
        <w:rPr>
          <w:color w:val="000000"/>
        </w:rPr>
        <w:t xml:space="preserve"> </w:t>
      </w:r>
      <w:r>
        <w:rPr>
          <w:rFonts w:ascii="Times New Roman;sans-serif" w:hAnsi="Times New Roman;sans-serif"/>
          <w:b w:val="false"/>
          <w:color w:val="000000"/>
          <w:sz w:val="20"/>
        </w:rPr>
        <w:t xml:space="preserve">offers a suite of services including managed pressure drilling, drilling services, wireline and drilling fluids. DRE offerings range from early well planning to reservoir management through innovative tools and expert engineering to optimize reservoir access and productivity. </w:t>
      </w:r>
    </w:p>
    <w:p>
      <w:pPr>
        <w:pStyle w:val="TextBody"/>
        <w:spacing w:before="0" w:after="0"/>
        <w:ind w:left="0" w:right="0" w:firstLine="360"/>
        <w:jc w:val="both"/>
        <w:rPr/>
      </w:pPr>
      <w:r>
        <w:rPr/>
      </w:r>
    </w:p>
    <w:p>
      <w:pPr>
        <w:pStyle w:val="TextBody"/>
        <w:spacing w:lineRule="auto" w:line="288" w:before="0" w:after="0"/>
        <w:ind w:left="0" w:right="0" w:firstLine="360"/>
        <w:jc w:val="both"/>
        <w:rPr/>
      </w:pPr>
      <w:r>
        <w:rPr>
          <w:rFonts w:ascii="Times New Roman;sans-serif" w:hAnsi="Times New Roman;sans-serif"/>
          <w:b/>
          <w:i/>
          <w:color w:val="000000"/>
          <w:sz w:val="20"/>
        </w:rPr>
        <w:t>Well Construction and Completions (“WCC”)</w:t>
      </w:r>
      <w:r>
        <w:rPr>
          <w:color w:val="000000"/>
        </w:rPr>
        <w:t xml:space="preserve"> </w:t>
      </w:r>
      <w:r>
        <w:rPr>
          <w:rFonts w:ascii="Times New Roman;sans-serif" w:hAnsi="Times New Roman;sans-serif"/>
          <w:b w:val="false"/>
          <w:color w:val="000000"/>
          <w:sz w:val="20"/>
        </w:rPr>
        <w:t>offers products and services for well integrity assurance across the full life cycle of the well. The primary offerings are tubular running services, cementation products, completions, liner hangers and well services. WCC deploys conventional to advanced technologies, providing safe and efficient services in any environment during the well construction phase.</w:t>
      </w:r>
    </w:p>
    <w:p>
      <w:pPr>
        <w:pStyle w:val="TextBody"/>
        <w:spacing w:before="0" w:after="0"/>
        <w:ind w:left="0" w:right="0" w:firstLine="360"/>
        <w:jc w:val="both"/>
        <w:rPr/>
      </w:pPr>
      <w:r>
        <w:rPr/>
      </w:r>
    </w:p>
    <w:p>
      <w:pPr>
        <w:pStyle w:val="TextBody"/>
        <w:spacing w:lineRule="auto" w:line="288" w:before="0" w:after="0"/>
        <w:ind w:left="0" w:right="0" w:firstLine="360"/>
        <w:jc w:val="both"/>
        <w:rPr/>
      </w:pPr>
      <w:r>
        <w:rPr>
          <w:rFonts w:ascii="Times New Roman;sans-serif" w:hAnsi="Times New Roman;sans-serif"/>
          <w:b/>
          <w:i/>
          <w:color w:val="000000"/>
          <w:sz w:val="20"/>
        </w:rPr>
        <w:t>Production and Intervention (“PRI”)</w:t>
      </w:r>
      <w:r>
        <w:rPr>
          <w:color w:val="000000"/>
        </w:rPr>
        <w:t xml:space="preserve"> </w:t>
      </w:r>
      <w:r>
        <w:rPr>
          <w:rFonts w:ascii="Times New Roman;sans-serif" w:hAnsi="Times New Roman;sans-serif"/>
          <w:b w:val="false"/>
          <w:color w:val="000000"/>
          <w:sz w:val="20"/>
        </w:rPr>
        <w:t>offers production optimization technologies through the Company’s ability to design and deliver a complete production ecosystem ranging from boosting productivity to responsible end of life well abandonment for our customers. The primary offerings are intervention services &amp; drilling tools, artificial lift, digital solutions (previously production automation &amp; software), sub-sea intervention and pressure pumping services in select markets. PRI utilizes a suite of reservoir stimulation designs, and engineering capabilities that help isolate zones and unlock reserves in conventional and unconventional wells, deep water, and aging reservoirs.</w:t>
      </w:r>
    </w:p>
    <w:p>
      <w:pPr>
        <w:pStyle w:val="TextBody"/>
        <w:spacing w:before="0" w:after="0"/>
        <w:ind w:left="0" w:right="0" w:firstLine="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firstLine="360"/>
        <w:rPr>
          <w:rFonts w:ascii="Times New Roman;sans-serif" w:hAnsi="Times New Roman;sans-serif"/>
          <w:b/>
          <w:color w:val="000000"/>
          <w:sz w:val="20"/>
        </w:rPr>
      </w:pPr>
      <w:r>
        <w:rPr>
          <w:rFonts w:ascii="Times New Roman;sans-serif" w:hAnsi="Times New Roman;sans-serif"/>
          <w:b/>
          <w:color w:val="000000"/>
          <w:sz w:val="20"/>
        </w:rPr>
        <w:t>Industry Trends</w:t>
      </w:r>
    </w:p>
    <w:p>
      <w:pPr>
        <w:pStyle w:val="TextBody"/>
        <w:spacing w:before="0" w:after="0"/>
        <w:ind w:left="0" w:right="0" w:firstLine="360"/>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Demand for our industry’s products and services is driven by many factors, including commodity prices, the number of oil and gas rigs and wells drilled, depth and drilling conditions of wells, number of well completions, age of existing wells, reservoir depletion, regulatory environment and the level of workover activity worldwide.</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Lower oil and natural gas prices and lower rig count generally correlate to lower exploration and production spending and higher oil and natural gas prices and higher rig count generally correlate to higher exploration and production spending. Therefore, our financial results are significantly affected by oil and natural gas prices as well as rig counts.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before="60" w:after="283"/>
        <w:ind w:left="0" w:right="0" w:firstLine="360"/>
        <w:rPr/>
      </w:pPr>
      <w:r>
        <w:rPr/>
      </w:r>
    </w:p>
    <w:p>
      <w:pPr>
        <w:pStyle w:val="TextBody"/>
        <w:spacing w:lineRule="auto" w:line="288" w:before="60" w:after="283"/>
        <w:ind w:left="0" w:right="0" w:firstLine="360"/>
        <w:rPr/>
      </w:pPr>
      <w:hyperlink w:anchor="i6cc7e3401d8a485198d3a93c25e5b7bf_7">
        <w:r>
          <w:rPr>
            <w:rStyle w:val="InternetLink"/>
          </w:rPr>
          <w:t xml:space="preserve">Table of </w:t>
        </w:r>
      </w:hyperlink>
      <w:hyperlink w:anchor="i6cc7e3401d8a485198d3a93c25e5b7bf_7">
        <w:r>
          <w:rPr>
            <w:rStyle w:val="InternetLink"/>
          </w:rPr>
          <w:t>Contents</w:t>
        </w:r>
      </w:hyperlink>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table below shows the average oil and natural gas prices for West Texas Intermediate (“WTI”) and Brent North Sea (“Brent”) crude oil and Henry Hub natural gas. </w:t>
      </w:r>
    </w:p>
    <w:tbl>
      <w:tblPr>
        <w:tblW w:w="9228" w:type="dxa"/>
        <w:jc w:val="center"/>
        <w:tblInd w:w="0" w:type="dxa"/>
        <w:tblCellMar>
          <w:top w:w="28" w:type="dxa"/>
          <w:left w:w="28" w:type="dxa"/>
          <w:bottom w:w="28" w:type="dxa"/>
          <w:right w:w="28" w:type="dxa"/>
        </w:tblCellMar>
      </w:tblPr>
      <w:tblGrid>
        <w:gridCol w:w="124"/>
        <w:gridCol w:w="109"/>
        <w:gridCol w:w="1362"/>
        <w:gridCol w:w="1362"/>
        <w:gridCol w:w="1369"/>
        <w:gridCol w:w="163"/>
        <w:gridCol w:w="163"/>
        <w:gridCol w:w="163"/>
        <w:gridCol w:w="706"/>
        <w:gridCol w:w="706"/>
        <w:gridCol w:w="706"/>
        <w:gridCol w:w="706"/>
        <w:gridCol w:w="258"/>
        <w:gridCol w:w="258"/>
        <w:gridCol w:w="265"/>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62" w:type="dxa"/>
            <w:tcBorders/>
            <w:shd w:fill="auto" w:val="clear"/>
            <w:vAlign w:val="center"/>
          </w:tcPr>
          <w:p>
            <w:pPr>
              <w:pStyle w:val="TableContents"/>
              <w:spacing w:before="0" w:after="283"/>
              <w:rPr>
                <w:sz w:val="4"/>
                <w:szCs w:val="4"/>
              </w:rPr>
            </w:pPr>
            <w:r>
              <w:rPr>
                <w:sz w:val="4"/>
                <w:szCs w:val="4"/>
              </w:rPr>
            </w:r>
          </w:p>
        </w:tc>
        <w:tc>
          <w:tcPr>
            <w:tcW w:w="1362" w:type="dxa"/>
            <w:tcBorders/>
            <w:shd w:fill="auto" w:val="clear"/>
            <w:vAlign w:val="center"/>
          </w:tcPr>
          <w:p>
            <w:pPr>
              <w:pStyle w:val="TableContents"/>
              <w:spacing w:before="0" w:after="283"/>
              <w:rPr>
                <w:sz w:val="4"/>
                <w:szCs w:val="4"/>
              </w:rPr>
            </w:pPr>
            <w:r>
              <w:rPr>
                <w:sz w:val="4"/>
                <w:szCs w:val="4"/>
              </w:rPr>
            </w:r>
          </w:p>
        </w:tc>
        <w:tc>
          <w:tcPr>
            <w:tcW w:w="136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4" w:type="dxa"/>
            <w:gridSpan w:val="4"/>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78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4" w:type="dxa"/>
            <w:gridSpan w:val="4"/>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78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tcPr>
          <w:p>
            <w:pPr>
              <w:pStyle w:val="TableContents"/>
              <w:spacing w:before="0" w:after="283"/>
              <w:rPr>
                <w:sz w:val="4"/>
                <w:szCs w:val="4"/>
              </w:rPr>
            </w:pPr>
            <w:r>
              <w:rPr>
                <w:sz w:val="4"/>
                <w:szCs w:val="4"/>
              </w:rPr>
            </w:r>
          </w:p>
        </w:tc>
      </w:tr>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706" w:type="dxa"/>
            <w:tcBorders/>
            <w:shd w:fill="auto" w:val="clear"/>
            <w:vAlign w:val="center"/>
          </w:tcPr>
          <w:p>
            <w:pPr>
              <w:pStyle w:val="TableContents"/>
              <w:spacing w:before="0" w:after="283"/>
              <w:rPr>
                <w:sz w:val="4"/>
                <w:szCs w:val="4"/>
              </w:rPr>
            </w:pPr>
            <w:r>
              <w:rPr>
                <w:sz w:val="4"/>
                <w:szCs w:val="4"/>
              </w:rPr>
            </w:r>
          </w:p>
        </w:tc>
        <w:tc>
          <w:tcPr>
            <w:tcW w:w="7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9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Oil price - WTI </w:t>
            </w:r>
            <w:r>
              <w:rPr>
                <w:rFonts w:ascii="Times New Roman;sans-serif" w:hAnsi="Times New Roman;sans-serif"/>
                <w:b w:val="false"/>
                <w:color w:val="000000"/>
                <w:sz w:val="13"/>
              </w:rPr>
              <w:t>(1)</w:t>
            </w:r>
          </w:p>
        </w:tc>
        <w:tc>
          <w:tcPr>
            <w:tcW w:w="48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$76.08</w:t>
            </w:r>
          </w:p>
        </w:tc>
        <w:tc>
          <w:tcPr>
            <w:tcW w:w="706" w:type="dxa"/>
            <w:tcBorders/>
            <w:shd w:fill="auto" w:val="clear"/>
            <w:vAlign w:val="center"/>
          </w:tcPr>
          <w:p>
            <w:pPr>
              <w:pStyle w:val="TableContents"/>
              <w:spacing w:before="0" w:after="283"/>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$94.45</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93"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Oil price - Brent </w:t>
            </w:r>
            <w:r>
              <w:rPr>
                <w:rFonts w:ascii="Times New Roman;sans-serif" w:hAnsi="Times New Roman;sans-serif"/>
                <w:b w:val="false"/>
                <w:color w:val="000000"/>
                <w:sz w:val="13"/>
              </w:rPr>
              <w:t>(1)</w:t>
            </w:r>
          </w:p>
        </w:tc>
        <w:tc>
          <w:tcPr>
            <w:tcW w:w="4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$81.17</w:t>
            </w:r>
          </w:p>
        </w:tc>
        <w:tc>
          <w:tcPr>
            <w:tcW w:w="706"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$100.30</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93"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Natural gas price - Henry Hub </w:t>
            </w:r>
            <w:r>
              <w:rPr>
                <w:rFonts w:ascii="Times New Roman;sans-serif" w:hAnsi="Times New Roman;sans-serif"/>
                <w:b w:val="false"/>
                <w:color w:val="000000"/>
                <w:sz w:val="13"/>
              </w:rPr>
              <w:t>(2)</w:t>
            </w:r>
          </w:p>
        </w:tc>
        <w:tc>
          <w:tcPr>
            <w:tcW w:w="489"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2118" w:type="dxa"/>
            <w:gridSpan w:val="3"/>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w:t>
            </w:r>
          </w:p>
        </w:tc>
        <w:tc>
          <w:tcPr>
            <w:tcW w:w="706" w:type="dxa"/>
            <w:tcBorders/>
            <w:shd w:fill="auto" w:val="clear"/>
            <w:vAlign w:val="center"/>
          </w:tcPr>
          <w:p>
            <w:pPr>
              <w:pStyle w:val="TableContents"/>
              <w:spacing w:before="0" w:after="283"/>
              <w:rPr>
                <w:sz w:val="4"/>
                <w:szCs w:val="4"/>
              </w:rPr>
            </w:pPr>
            <w:r>
              <w:rPr>
                <w:sz w:val="4"/>
                <w:szCs w:val="4"/>
              </w:rPr>
            </w:r>
          </w:p>
        </w:tc>
        <w:tc>
          <w:tcPr>
            <w:tcW w:w="781" w:type="dxa"/>
            <w:gridSpan w:val="3"/>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406" w:type="dxa"/>
            <w:gridSpan w:val="10"/>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Oil price measured in dollars per barrel (rounded to the nearest $0.01)</w:t>
            </w:r>
          </w:p>
        </w:tc>
        <w:tc>
          <w:tcPr>
            <w:tcW w:w="781" w:type="dxa"/>
            <w:gridSpan w:val="3"/>
            <w:tcBorders/>
            <w:shd w:fill="auto" w:val="clear"/>
            <w:vAlign w:val="center"/>
          </w:tcPr>
          <w:p>
            <w:pPr>
              <w:pStyle w:val="TableContents"/>
              <w:spacing w:before="0" w:after="283"/>
              <w:rPr>
                <w:sz w:val="4"/>
                <w:szCs w:val="4"/>
              </w:rPr>
            </w:pPr>
            <w:r>
              <w:rPr>
                <w:sz w:val="4"/>
                <w:szCs w:val="4"/>
              </w:rPr>
            </w:r>
          </w:p>
        </w:tc>
        <w:tc>
          <w:tcPr>
            <w:tcW w:w="808" w:type="dxa"/>
            <w:gridSpan w:val="7"/>
            <w:tcBorders/>
            <w:shd w:fill="auto" w:val="clear"/>
          </w:tcPr>
          <w:p>
            <w:pPr>
              <w:pStyle w:val="TableContents"/>
              <w:spacing w:before="0" w:after="283"/>
              <w:rPr>
                <w:sz w:val="4"/>
                <w:szCs w:val="4"/>
              </w:rPr>
            </w:pPr>
            <w:r>
              <w:rPr>
                <w:sz w:val="4"/>
                <w:szCs w:val="4"/>
              </w:rPr>
            </w:r>
          </w:p>
        </w:tc>
      </w:tr>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406" w:type="dxa"/>
            <w:gridSpan w:val="10"/>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Times New Roman;sans-serif" w:hAnsi="Times New Roman;sans-serif"/>
                <w:b w:val="false"/>
                <w:color w:val="000000"/>
                <w:sz w:val="12"/>
              </w:rPr>
              <w:t>(2)</w:t>
            </w:r>
            <w:r>
              <w:rPr>
                <w:color w:val="000000"/>
              </w:rPr>
              <w:t xml:space="preserve"> </w:t>
            </w:r>
            <w:r>
              <w:rPr>
                <w:rFonts w:ascii="Times New Roman;sans-serif" w:hAnsi="Times New Roman;sans-serif"/>
                <w:b w:val="false"/>
                <w:color w:val="000000"/>
                <w:sz w:val="18"/>
              </w:rPr>
              <w:t>Natural gas price measured in dollars per million British thermal units (rounded to the nearest $0.01)</w:t>
            </w:r>
          </w:p>
        </w:tc>
        <w:tc>
          <w:tcPr>
            <w:tcW w:w="781" w:type="dxa"/>
            <w:gridSpan w:val="3"/>
            <w:tcBorders/>
            <w:shd w:fill="auto" w:val="clear"/>
            <w:vAlign w:val="center"/>
          </w:tcPr>
          <w:p>
            <w:pPr>
              <w:pStyle w:val="TableContents"/>
              <w:spacing w:before="0" w:after="283"/>
              <w:rPr>
                <w:sz w:val="4"/>
                <w:szCs w:val="4"/>
              </w:rPr>
            </w:pPr>
            <w:r>
              <w:rPr>
                <w:sz w:val="4"/>
                <w:szCs w:val="4"/>
              </w:rPr>
            </w:r>
          </w:p>
        </w:tc>
        <w:tc>
          <w:tcPr>
            <w:tcW w:w="808" w:type="dxa"/>
            <w:gridSpan w:val="7"/>
            <w:tcBorders/>
            <w:shd w:fill="auto" w:val="clear"/>
          </w:tcPr>
          <w:p>
            <w:pPr>
              <w:pStyle w:val="TableContents"/>
              <w:spacing w:before="0" w:after="283"/>
              <w:rPr>
                <w:sz w:val="4"/>
                <w:szCs w:val="4"/>
              </w:rPr>
            </w:pPr>
            <w:r>
              <w:rPr>
                <w:sz w:val="4"/>
                <w:szCs w:val="4"/>
              </w:rPr>
            </w:r>
          </w:p>
        </w:tc>
      </w:tr>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93" w:type="dxa"/>
            <w:gridSpan w:val="3"/>
            <w:tcBorders/>
            <w:shd w:fill="auto" w:val="clear"/>
            <w:vAlign w:val="center"/>
          </w:tcPr>
          <w:p>
            <w:pPr>
              <w:pStyle w:val="TableContents"/>
              <w:spacing w:before="0" w:after="283"/>
              <w:rPr>
                <w:sz w:val="4"/>
                <w:szCs w:val="4"/>
              </w:rPr>
            </w:pPr>
            <w:r>
              <w:rPr>
                <w:sz w:val="4"/>
                <w:szCs w:val="4"/>
              </w:rPr>
            </w:r>
          </w:p>
        </w:tc>
        <w:tc>
          <w:tcPr>
            <w:tcW w:w="489" w:type="dxa"/>
            <w:gridSpan w:val="3"/>
            <w:tcBorders/>
            <w:shd w:fill="auto" w:val="clear"/>
            <w:vAlign w:val="center"/>
          </w:tcPr>
          <w:p>
            <w:pPr>
              <w:pStyle w:val="TableContents"/>
              <w:spacing w:before="0" w:after="283"/>
              <w:rPr>
                <w:sz w:val="4"/>
                <w:szCs w:val="4"/>
              </w:rPr>
            </w:pPr>
            <w:r>
              <w:rPr>
                <w:sz w:val="4"/>
                <w:szCs w:val="4"/>
              </w:rPr>
            </w:r>
          </w:p>
        </w:tc>
        <w:tc>
          <w:tcPr>
            <w:tcW w:w="2118" w:type="dxa"/>
            <w:gridSpan w:val="3"/>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table below shows historical average rig counts based on the weekly Baker Hughes Company rig count information. </w:t>
      </w:r>
    </w:p>
    <w:tbl>
      <w:tblPr>
        <w:tblW w:w="5885" w:type="dxa"/>
        <w:jc w:val="center"/>
        <w:tblInd w:w="0" w:type="dxa"/>
        <w:tblCellMar>
          <w:top w:w="28" w:type="dxa"/>
          <w:left w:w="28" w:type="dxa"/>
          <w:bottom w:w="28" w:type="dxa"/>
          <w:right w:w="28" w:type="dxa"/>
        </w:tblCellMar>
      </w:tblPr>
      <w:tblGrid>
        <w:gridCol w:w="472"/>
        <w:gridCol w:w="415"/>
        <w:gridCol w:w="418"/>
        <w:gridCol w:w="109"/>
        <w:gridCol w:w="109"/>
        <w:gridCol w:w="109"/>
        <w:gridCol w:w="938"/>
        <w:gridCol w:w="938"/>
        <w:gridCol w:w="322"/>
        <w:gridCol w:w="294"/>
        <w:gridCol w:w="244"/>
        <w:gridCol w:w="244"/>
        <w:gridCol w:w="308"/>
        <w:gridCol w:w="308"/>
        <w:gridCol w:w="176"/>
        <w:gridCol w:w="109"/>
        <w:gridCol w:w="109"/>
        <w:gridCol w:w="109"/>
        <w:gridCol w:w="154"/>
      </w:tblGrid>
      <w:tr>
        <w:trPr/>
        <w:tc>
          <w:tcPr>
            <w:tcW w:w="472"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4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8" w:type="dxa"/>
            <w:tcBorders/>
            <w:shd w:fill="auto" w:val="clear"/>
            <w:vAlign w:val="center"/>
          </w:tcPr>
          <w:p>
            <w:pPr>
              <w:pStyle w:val="TableContents"/>
              <w:spacing w:before="0" w:after="283"/>
              <w:rPr>
                <w:sz w:val="4"/>
                <w:szCs w:val="4"/>
              </w:rPr>
            </w:pPr>
            <w:r>
              <w:rPr>
                <w:sz w:val="4"/>
                <w:szCs w:val="4"/>
              </w:rPr>
            </w:r>
          </w:p>
        </w:tc>
        <w:tc>
          <w:tcPr>
            <w:tcW w:w="938"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76" w:type="dxa"/>
            <w:gridSpan w:val="2"/>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860" w:type="dxa"/>
            <w:gridSpan w:val="3"/>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792" w:type="dxa"/>
            <w:gridSpan w:val="3"/>
            <w:tcBorders/>
            <w:shd w:fill="auto" w:val="cle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1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8" w:type="dxa"/>
            <w:tcBorders/>
            <w:shd w:fill="auto" w:val="clear"/>
            <w:vAlign w:val="center"/>
          </w:tcPr>
          <w:p>
            <w:pPr>
              <w:pStyle w:val="TableContents"/>
              <w:spacing w:before="0" w:after="283"/>
              <w:rPr>
                <w:sz w:val="4"/>
                <w:szCs w:val="4"/>
              </w:rPr>
            </w:pPr>
            <w:r>
              <w:rPr>
                <w:sz w:val="4"/>
                <w:szCs w:val="4"/>
              </w:rPr>
            </w:r>
          </w:p>
        </w:tc>
        <w:tc>
          <w:tcPr>
            <w:tcW w:w="938" w:type="dxa"/>
            <w:tcBorders/>
            <w:shd w:fill="auto" w:val="clear"/>
            <w:vAlign w:val="center"/>
          </w:tcPr>
          <w:p>
            <w:pPr>
              <w:pStyle w:val="TableContents"/>
              <w:spacing w:before="0" w:after="283"/>
              <w:rPr>
                <w:sz w:val="4"/>
                <w:szCs w:val="4"/>
              </w:rPr>
            </w:pPr>
            <w:r>
              <w:rPr>
                <w:sz w:val="4"/>
                <w:szCs w:val="4"/>
              </w:rPr>
            </w:r>
          </w:p>
        </w:tc>
        <w:tc>
          <w:tcPr>
            <w:tcW w:w="1104" w:type="dxa"/>
            <w:gridSpan w:val="4"/>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79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1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8" w:type="dxa"/>
            <w:tcBorders/>
            <w:shd w:fill="auto" w:val="clear"/>
            <w:vAlign w:val="center"/>
          </w:tcPr>
          <w:p>
            <w:pPr>
              <w:pStyle w:val="TableContents"/>
              <w:spacing w:before="0" w:after="283"/>
              <w:rPr>
                <w:sz w:val="4"/>
                <w:szCs w:val="4"/>
              </w:rPr>
            </w:pPr>
            <w:r>
              <w:rPr>
                <w:sz w:val="4"/>
                <w:szCs w:val="4"/>
              </w:rPr>
            </w:r>
          </w:p>
        </w:tc>
        <w:tc>
          <w:tcPr>
            <w:tcW w:w="938" w:type="dxa"/>
            <w:tcBorders/>
            <w:shd w:fill="auto" w:val="clear"/>
            <w:vAlign w:val="center"/>
          </w:tcPr>
          <w:p>
            <w:pPr>
              <w:pStyle w:val="TableContents"/>
              <w:spacing w:before="0" w:after="283"/>
              <w:rPr>
                <w:sz w:val="4"/>
                <w:szCs w:val="4"/>
              </w:rPr>
            </w:pPr>
            <w:r>
              <w:rPr>
                <w:sz w:val="4"/>
                <w:szCs w:val="4"/>
              </w:rPr>
            </w:r>
          </w:p>
        </w:tc>
        <w:tc>
          <w:tcPr>
            <w:tcW w:w="8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244" w:type="dxa"/>
            <w:tcBorders/>
            <w:shd w:fill="auto" w:val="clear"/>
            <w:vAlign w:val="center"/>
          </w:tcPr>
          <w:p>
            <w:pPr>
              <w:pStyle w:val="TableContents"/>
              <w:spacing w:before="0" w:after="283"/>
              <w:rPr>
                <w:sz w:val="4"/>
                <w:szCs w:val="4"/>
              </w:rPr>
            </w:pPr>
            <w:r>
              <w:rPr>
                <w:sz w:val="4"/>
                <w:szCs w:val="4"/>
              </w:rPr>
            </w:r>
          </w:p>
        </w:tc>
        <w:tc>
          <w:tcPr>
            <w:tcW w:w="79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0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 America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8" w:type="dxa"/>
            <w:tcBorders/>
            <w:shd w:fill="auto" w:val="clear"/>
            <w:vAlign w:val="center"/>
          </w:tcPr>
          <w:p>
            <w:pPr>
              <w:pStyle w:val="TableContents"/>
              <w:spacing w:before="0" w:after="283"/>
              <w:rPr>
                <w:sz w:val="4"/>
                <w:szCs w:val="4"/>
              </w:rPr>
            </w:pPr>
            <w:r>
              <w:rPr>
                <w:sz w:val="4"/>
                <w:szCs w:val="4"/>
              </w:rPr>
            </w:r>
          </w:p>
        </w:tc>
        <w:tc>
          <w:tcPr>
            <w:tcW w:w="938" w:type="dxa"/>
            <w:tcBorders/>
            <w:shd w:fill="auto" w:val="cle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8" w:type="dxa"/>
            <w:tcBorders/>
            <w:shd w:fill="auto" w:val="clear"/>
            <w:vAlign w:val="center"/>
          </w:tcPr>
          <w:p>
            <w:pPr>
              <w:pStyle w:val="TableContents"/>
              <w:spacing w:before="0" w:after="283"/>
              <w:rPr>
                <w:sz w:val="4"/>
                <w:szCs w:val="4"/>
              </w:rPr>
            </w:pPr>
            <w:r>
              <w:rPr>
                <w:sz w:val="4"/>
                <w:szCs w:val="4"/>
              </w:rPr>
            </w:r>
          </w:p>
        </w:tc>
        <w:tc>
          <w:tcPr>
            <w:tcW w:w="938" w:type="dxa"/>
            <w:tcBorders/>
            <w:shd w:fill="auto" w:val="cle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915 </w:t>
            </w:r>
          </w:p>
        </w:tc>
        <w:tc>
          <w:tcPr>
            <w:tcW w:w="2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0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Worldwide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8" w:type="dxa"/>
            <w:tcBorders/>
            <w:shd w:fill="auto" w:val="clear"/>
            <w:vAlign w:val="center"/>
          </w:tcPr>
          <w:p>
            <w:pPr>
              <w:pStyle w:val="TableContents"/>
              <w:spacing w:before="0" w:after="283"/>
              <w:rPr>
                <w:sz w:val="4"/>
                <w:szCs w:val="4"/>
              </w:rPr>
            </w:pPr>
            <w:r>
              <w:rPr>
                <w:sz w:val="4"/>
                <w:szCs w:val="4"/>
              </w:rPr>
            </w:r>
          </w:p>
        </w:tc>
        <w:tc>
          <w:tcPr>
            <w:tcW w:w="938" w:type="dxa"/>
            <w:tcBorders/>
            <w:shd w:fill="auto" w:val="clear"/>
            <w:vAlign w:val="center"/>
          </w:tcPr>
          <w:p>
            <w:pPr>
              <w:pStyle w:val="TableContents"/>
              <w:spacing w:before="0" w:after="283"/>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1,896 </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1,654 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0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8" w:type="dxa"/>
            <w:tcBorders/>
            <w:shd w:fill="auto" w:val="clear"/>
            <w:vAlign w:val="center"/>
          </w:tcPr>
          <w:p>
            <w:pPr>
              <w:pStyle w:val="TableContents"/>
              <w:spacing w:before="0" w:after="283"/>
              <w:rPr>
                <w:sz w:val="4"/>
                <w:szCs w:val="4"/>
              </w:rPr>
            </w:pPr>
            <w:r>
              <w:rPr>
                <w:sz w:val="4"/>
                <w:szCs w:val="4"/>
              </w:rPr>
            </w:r>
          </w:p>
        </w:tc>
        <w:tc>
          <w:tcPr>
            <w:tcW w:w="938" w:type="dxa"/>
            <w:tcBorders/>
            <w:shd w:fill="auto" w:val="clear"/>
            <w:vAlign w:val="center"/>
          </w:tcPr>
          <w:p>
            <w:pPr>
              <w:pStyle w:val="TableContents"/>
              <w:spacing w:before="0" w:after="283"/>
              <w:rPr>
                <w:sz w:val="4"/>
                <w:szCs w:val="4"/>
              </w:rPr>
            </w:pPr>
            <w:r>
              <w:rPr>
                <w:sz w:val="4"/>
                <w:szCs w:val="4"/>
              </w:rPr>
            </w:r>
          </w:p>
        </w:tc>
        <w:tc>
          <w:tcPr>
            <w:tcW w:w="860" w:type="dxa"/>
            <w:gridSpan w:val="3"/>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79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60"/>
        <w:ind w:left="0" w:right="0" w:firstLine="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Russia Ukraine Conflict</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24, 2022, the military conflict between Russia and Ukraine (“Russia Ukraine Conflict”) began and in response we evaluated, and continue to evaluate, our operations, with the immediate priority being centered on the safety and well-being of our employees in the impacted regions, as well as operating in full compliance with applicable international laws and sanctions.</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response to the Russia Ukraine Conflict, the United States, the European Union, the United Kingdom, Switzerland and other countries have imposed certain restrictions and broad sanctions against Russia, certain Russian individuals and entities and certain activities involving Russia or such persons or entities. We continue to monitor and intend to remain in full compliance with the evolving sanctions landscape and will continue to fulfill existing contractual obligations within applicable laws and sanctions.</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Revenues in Russia were approximately 6% of our total revenues for the three months ended March 31, 2023 and 2022. As of March 31, 2023, our Russia operations include $42 million in cash, $96 million in other current assets, $58 million in property, plant and equipment and other non-current assets, and $45 million in liabilities. As the Russia Ukraine Conflict and related sanctions persist or are escalated, our business may be negatively impacted, potentially lowering revenues or triggering asset impairments in Russia.</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before="60" w:after="283"/>
        <w:ind w:left="0" w:right="0" w:firstLine="360"/>
        <w:rPr/>
      </w:pPr>
      <w:r>
        <w:rPr/>
      </w:r>
    </w:p>
    <w:p>
      <w:pPr>
        <w:pStyle w:val="TextBody"/>
        <w:spacing w:lineRule="auto" w:line="288" w:before="60" w:after="283"/>
        <w:ind w:left="0" w:right="0" w:firstLine="360"/>
        <w:rPr/>
      </w:pPr>
      <w:hyperlink w:anchor="i6cc7e3401d8a485198d3a93c25e5b7bf_7">
        <w:r>
          <w:rPr>
            <w:rStyle w:val="InternetLink"/>
          </w:rPr>
          <w:t xml:space="preserve">Table of </w:t>
        </w:r>
      </w:hyperlink>
      <w:hyperlink w:anchor="i6cc7e3401d8a485198d3a93c25e5b7bf_7">
        <w:r>
          <w:rPr>
            <w:rStyle w:val="InternetLink"/>
          </w:rPr>
          <w:t>Contents</w:t>
        </w:r>
      </w:hyperlink>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Consolidated Statements of Operations - Operating Income Summary</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Revenues of $1.2 billion in the three months ended March 31, 2023, increased 26% compared to $938 million in the three months ended March 31, 2022. Year-over-year product revenues increased 29% and service revenues increased 25%. DRE, WCC, and PRI contributed to 32%, 31% and 25% of the increase in revenues, respectively. Geographically, revenue growth was led by improvements in Latin America, Middle East/North Africa/Asia, North America and Europe/Sub-Sahara Africa/Russia which contributed to 36%, 27%, 19% and 18%, of the increase, respectively. Approximately 80% of our revenue increase is due to increased customer demand, which management believes is attributable to greater investment in oil and gas production capacity on a global basis, caused by a desire to drive energy security and to meet global consumption needs. The production capacity increase is consistent with the increase in global rig counts, which increased by 15% year-over-year. Covid-19 and related impacts like travel restrictions were still impacting demand in the three months ended March 31, 2022. </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Cost of products and services of $790 million in the three months ended March 31, 2023, increased $108 million, or 16% compared to the three months ended March 31, 2022. Approximately 80% of the increase in cost of products and services was attributable to cost increases necessary to meet increased demand, with the remainder of the increase equally attributable to a shift in service and product mix and inflation in the cost of labor and materials. Our cost of products and services as a percentage of revenues was 67% in the three months ended March 31, 2023, compared to 73% in the three months ended March 31, 2022. The improvement was primarily driven by improved utilization of service-related resources.</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Selling, general, administrative and research and development costs of $216 million in the three months ended March 31, 2023, increased $17 million, or 9% compared to $199 million in the three months ended March 31, 2022, primarily reflecting an increase in research and development investment in newer technologies. These costs as a percentage of revenues were 18% in the three months ended March 31, 2023, a decrease compared to 21% in the three months ended March 31, 2022, reflecting our focus on cost control and efficiency.</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 restructuring charges were incurred in the three months ended March 31, 2023 and $20 million was incurred in the three months ended March 31, 2022. See “Note 4 – Restructuring Charges” for additional information. </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charges (credits) in the three months ended March 31, 2023 were a net credit of $5 million and a net charge of $19 million in the three months ended March 31, 2022 related to miscellaneous charges and credits.</w:t>
      </w:r>
    </w:p>
    <w:p>
      <w:pPr>
        <w:pStyle w:val="TextBody"/>
        <w:spacing w:before="0" w:after="0"/>
        <w:ind w:left="0" w:right="0" w:firstLine="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Consolidated Statements of Operations - Non-Operating Summary</w:t>
      </w:r>
    </w:p>
    <w:p>
      <w:pPr>
        <w:pStyle w:val="TextBody"/>
        <w:spacing w:before="0" w:after="0"/>
        <w:ind w:left="0" w:right="0" w:firstLine="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Interest Expense, Net</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net was $31 million and $48 million in the three months ended March 31, 2023 and 2022, respectively. Interest expense, net primarily represents interest on our outstanding long-term debt offset by interest income. The year-over-year decrease was due in part to lower interest expense after partial repayments of principal since March 31, 2022 and partly due to the increase in interest income, as we reinvest our cash in certain short-term demand deposits. See “Note 7 – Borrowings and Other Debt Obligations” to our Condensed Consolidated Financial Statements for additional details on the long-term debt.</w:t>
      </w:r>
    </w:p>
    <w:p>
      <w:pPr>
        <w:pStyle w:val="TextBody"/>
        <w:spacing w:before="0" w:after="0"/>
        <w:ind w:left="0" w:right="0" w:firstLine="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Other Expense, Net </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expense, net was $35 million and $16 million in the three months ended March 31, 2023 and 2022, respectively. Other expense, net primarily represents foreign exchange losses attributed to currency losses in countries with no or limited markets to hedge, letter of credit fees and other financing charges. When economically advantageous, we enter into foreign currency forward contracts to mitigate the risk of future cash flows denominated in a foreign currency. Additionally, we enter into certain short-term investments to offset our foreign exchange losses, the gains of which are recorded in “Other Expense, Net”.</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expense, net in the three months ended March 31, 2023 was primarily attributable to foreign exchange losses in the Argentinian Peso. Other expense, net in the three months ended March 31, 2022 was primarily attributed to changes in fair value and settlements of certain foreign currency forward contracts.</w:t>
      </w:r>
    </w:p>
    <w:p>
      <w:pPr>
        <w:pStyle w:val="TextBody"/>
        <w:spacing w:before="0" w:after="0"/>
        <w:ind w:left="0" w:right="0" w:firstLine="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before="60" w:after="283"/>
        <w:ind w:left="0" w:right="0" w:firstLine="360"/>
        <w:rPr/>
      </w:pPr>
      <w:r>
        <w:rPr/>
      </w:r>
    </w:p>
    <w:p>
      <w:pPr>
        <w:pStyle w:val="TextBody"/>
        <w:spacing w:lineRule="auto" w:line="288" w:before="60" w:after="283"/>
        <w:ind w:left="0" w:right="0" w:firstLine="360"/>
        <w:rPr/>
      </w:pPr>
      <w:hyperlink w:anchor="i6cc7e3401d8a485198d3a93c25e5b7bf_7">
        <w:r>
          <w:rPr>
            <w:rStyle w:val="InternetLink"/>
          </w:rPr>
          <w:t xml:space="preserve">Table of </w:t>
        </w:r>
      </w:hyperlink>
      <w:hyperlink w:anchor="i6cc7e3401d8a485198d3a93c25e5b7bf_7">
        <w:r>
          <w:rPr>
            <w:rStyle w:val="InternetLink"/>
          </w:rPr>
          <w:t>Contents</w:t>
        </w:r>
      </w:hyperlink>
    </w:p>
    <w:p>
      <w:pPr>
        <w:pStyle w:val="TextBody"/>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Income Taxes </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provide for income taxes based on the laws and rates in effect in the countries in which operations are conducted, or in which we or our subsidiaries are considered residents for income tax purposes. The relationship between our pre-tax income or loss from continuing operations and our income tax benefit or provision varies from period to period as a result of various factors, which include changes in total pre-tax income or loss, the jurisdictions in which our income is earned, the tax laws in those jurisdictions, the impacts of tax planning activities and the resolution of tax audits. Our effective rate differs from the Irish statutory tax rate as the majority of our operations are taxed in jurisdictions with different tax rates. In addition, certain charges do not result in significant tax benefit as a result of being attributed to a non-income tax jurisdiction or our inability to forecast realization of the tax benefit of such losses. This is partially offset by the utilization of previously unbenefited deferred tax assets, such as net operating loss carryforwards. Please see “Note 11 – Income Taxes” to our Condensed Consolidated Financial Statements for additional details.</w:t>
      </w:r>
    </w:p>
    <w:p>
      <w:pPr>
        <w:pStyle w:val="TextBody"/>
        <w:spacing w:before="0" w:after="0"/>
        <w:ind w:left="0" w:right="0" w:firstLine="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firstLine="360"/>
        <w:rPr>
          <w:rFonts w:ascii="Times New Roman;sans-serif" w:hAnsi="Times New Roman;sans-serif"/>
          <w:b/>
          <w:color w:val="000000"/>
          <w:sz w:val="20"/>
        </w:rPr>
      </w:pPr>
      <w:r>
        <w:rPr>
          <w:rFonts w:ascii="Times New Roman;sans-serif" w:hAnsi="Times New Roman;sans-serif"/>
          <w:b/>
          <w:color w:val="000000"/>
          <w:sz w:val="20"/>
        </w:rPr>
        <w:t>Results of Operations by Segment</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Financial information by segment is summarized below. </w:t>
      </w:r>
    </w:p>
    <w:tbl>
      <w:tblPr>
        <w:tblW w:w="8111" w:type="dxa"/>
        <w:jc w:val="center"/>
        <w:tblInd w:w="0" w:type="dxa"/>
        <w:tblCellMar>
          <w:top w:w="28" w:type="dxa"/>
          <w:left w:w="28" w:type="dxa"/>
          <w:bottom w:w="28" w:type="dxa"/>
          <w:right w:w="28" w:type="dxa"/>
        </w:tblCellMar>
      </w:tblPr>
      <w:tblGrid>
        <w:gridCol w:w="1267"/>
        <w:gridCol w:w="1110"/>
        <w:gridCol w:w="1118"/>
        <w:gridCol w:w="211"/>
        <w:gridCol w:w="631"/>
        <w:gridCol w:w="271"/>
        <w:gridCol w:w="211"/>
        <w:gridCol w:w="481"/>
        <w:gridCol w:w="271"/>
        <w:gridCol w:w="109"/>
        <w:gridCol w:w="109"/>
        <w:gridCol w:w="109"/>
        <w:gridCol w:w="211"/>
        <w:gridCol w:w="481"/>
        <w:gridCol w:w="109"/>
        <w:gridCol w:w="239"/>
        <w:gridCol w:w="242"/>
        <w:gridCol w:w="559"/>
        <w:gridCol w:w="109"/>
        <w:gridCol w:w="109"/>
        <w:gridCol w:w="154"/>
      </w:tblGrid>
      <w:tr>
        <w:trPr/>
        <w:tc>
          <w:tcPr>
            <w:tcW w:w="1267" w:type="dxa"/>
            <w:tcBorders/>
            <w:shd w:fill="auto" w:val="clear"/>
            <w:vAlign w:val="center"/>
          </w:tcPr>
          <w:p>
            <w:pPr>
              <w:pStyle w:val="TableContents"/>
              <w:spacing w:before="0" w:after="283"/>
              <w:rPr>
                <w:sz w:val="4"/>
                <w:szCs w:val="4"/>
              </w:rPr>
            </w:pPr>
            <w:r>
              <w:rPr>
                <w:sz w:val="4"/>
                <w:szCs w:val="4"/>
              </w:rPr>
            </w:r>
          </w:p>
        </w:tc>
        <w:tc>
          <w:tcPr>
            <w:tcW w:w="1110"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5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1"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Favorable</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6"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1"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(Unfavorable)</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40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8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104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or bps</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i/>
                <w:color w:val="000000"/>
                <w:sz w:val="20"/>
              </w:rPr>
              <w:t>(Dollars in millions)</w:t>
            </w:r>
          </w:p>
        </w:tc>
        <w:tc>
          <w:tcPr>
            <w:tcW w:w="111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96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1"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Revenues:</w:t>
            </w:r>
          </w:p>
        </w:tc>
        <w:tc>
          <w:tcPr>
            <w:tcW w:w="111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4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DRE Revenues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55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WCC Revenues</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55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 Revenues</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55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5" w:type="dxa"/>
            <w:gridSpan w:val="3"/>
            <w:tcBorders/>
            <w:shd w:fill="auto" w:val="clear"/>
            <w:vAlign w:val="center"/>
          </w:tcPr>
          <w:p>
            <w:pPr>
              <w:pStyle w:val="TableContents"/>
              <w:spacing w:before="0" w:after="283"/>
              <w:rPr>
                <w:sz w:val="4"/>
                <w:szCs w:val="4"/>
              </w:rPr>
            </w:pPr>
            <w:r>
              <w:rPr>
                <w:sz w:val="4"/>
                <w:szCs w:val="4"/>
              </w:rPr>
            </w:r>
          </w:p>
        </w:tc>
        <w:tc>
          <w:tcPr>
            <w:tcW w:w="1113" w:type="dxa"/>
            <w:gridSpan w:val="3"/>
            <w:tcBorders/>
            <w:shd w:fill="auto" w:val="clear"/>
            <w:vAlign w:val="center"/>
          </w:tcPr>
          <w:p>
            <w:pPr>
              <w:pStyle w:val="TableContents"/>
              <w:spacing w:before="0" w:after="283"/>
              <w:rPr>
                <w:sz w:val="4"/>
                <w:szCs w:val="4"/>
              </w:rPr>
            </w:pPr>
            <w:r>
              <w:rPr>
                <w:sz w:val="4"/>
                <w:szCs w:val="4"/>
              </w:rPr>
            </w:r>
          </w:p>
        </w:tc>
        <w:tc>
          <w:tcPr>
            <w:tcW w:w="9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1040"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Other</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55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1,186</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938</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248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26</w:t>
            </w:r>
            <w:r>
              <w:rPr>
                <w:color w:val="000000"/>
              </w:rPr>
              <w:t> </w:t>
            </w:r>
          </w:p>
        </w:tc>
        <w:tc>
          <w:tcPr>
            <w:tcW w:w="55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Operating Income:</w:t>
            </w:r>
          </w:p>
        </w:tc>
        <w:tc>
          <w:tcPr>
            <w:tcW w:w="11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DRE Segment Adjusted EBITDA</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55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WCC Segment Adjusted EBITDA</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55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 Segment Adjusted EBITDA</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55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5" w:type="dxa"/>
            <w:gridSpan w:val="3"/>
            <w:tcBorders/>
            <w:shd w:fill="auto" w:val="clear"/>
            <w:vAlign w:val="center"/>
          </w:tcPr>
          <w:p>
            <w:pPr>
              <w:pStyle w:val="TableContents"/>
              <w:spacing w:before="0" w:after="283"/>
              <w:rPr>
                <w:sz w:val="4"/>
                <w:szCs w:val="4"/>
              </w:rPr>
            </w:pPr>
            <w:r>
              <w:rPr>
                <w:sz w:val="4"/>
                <w:szCs w:val="4"/>
              </w:rPr>
            </w:r>
          </w:p>
        </w:tc>
        <w:tc>
          <w:tcPr>
            <w:tcW w:w="1113" w:type="dxa"/>
            <w:gridSpan w:val="3"/>
            <w:tcBorders/>
            <w:shd w:fill="auto" w:val="clear"/>
            <w:vAlign w:val="center"/>
          </w:tcPr>
          <w:p>
            <w:pPr>
              <w:pStyle w:val="TableContents"/>
              <w:spacing w:before="0" w:after="283"/>
              <w:rPr>
                <w:sz w:val="4"/>
                <w:szCs w:val="4"/>
              </w:rPr>
            </w:pPr>
            <w:r>
              <w:rPr>
                <w:sz w:val="4"/>
                <w:szCs w:val="4"/>
              </w:rPr>
            </w:r>
          </w:p>
        </w:tc>
        <w:tc>
          <w:tcPr>
            <w:tcW w:w="9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1040"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55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and Amortization </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55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Share-Based Compensation </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55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5" w:type="dxa"/>
            <w:gridSpan w:val="3"/>
            <w:tcBorders/>
            <w:shd w:fill="auto" w:val="clear"/>
            <w:vAlign w:val="center"/>
          </w:tcPr>
          <w:p>
            <w:pPr>
              <w:pStyle w:val="TableContents"/>
              <w:spacing w:before="0" w:after="283"/>
              <w:rPr>
                <w:sz w:val="4"/>
                <w:szCs w:val="4"/>
              </w:rPr>
            </w:pPr>
            <w:r>
              <w:rPr>
                <w:sz w:val="4"/>
                <w:szCs w:val="4"/>
              </w:rPr>
            </w:r>
          </w:p>
        </w:tc>
        <w:tc>
          <w:tcPr>
            <w:tcW w:w="1113" w:type="dxa"/>
            <w:gridSpan w:val="3"/>
            <w:tcBorders/>
            <w:shd w:fill="auto" w:val="clear"/>
            <w:vAlign w:val="center"/>
          </w:tcPr>
          <w:p>
            <w:pPr>
              <w:pStyle w:val="TableContents"/>
              <w:spacing w:before="0" w:after="283"/>
              <w:rPr>
                <w:sz w:val="4"/>
                <w:szCs w:val="4"/>
              </w:rPr>
            </w:pPr>
            <w:r>
              <w:rPr>
                <w:sz w:val="4"/>
                <w:szCs w:val="4"/>
              </w:rPr>
            </w:r>
          </w:p>
        </w:tc>
        <w:tc>
          <w:tcPr>
            <w:tcW w:w="9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1040"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95" w:type="dxa"/>
            <w:gridSpan w:val="3"/>
            <w:tcBorders/>
            <w:shd w:fill="auto" w:val="clear"/>
            <w:vAlign w:val="center"/>
          </w:tcPr>
          <w:p>
            <w:pPr>
              <w:pStyle w:val="TableContents"/>
              <w:spacing w:before="0" w:after="283"/>
              <w:rPr>
                <w:sz w:val="4"/>
                <w:szCs w:val="4"/>
              </w:rPr>
            </w:pPr>
            <w:r>
              <w:rPr>
                <w:sz w:val="4"/>
                <w:szCs w:val="4"/>
              </w:rPr>
            </w:r>
          </w:p>
        </w:tc>
        <w:tc>
          <w:tcPr>
            <w:tcW w:w="1113" w:type="dxa"/>
            <w:gridSpan w:val="3"/>
            <w:tcBorders/>
            <w:shd w:fill="auto" w:val="clear"/>
            <w:vAlign w:val="center"/>
          </w:tcPr>
          <w:p>
            <w:pPr>
              <w:pStyle w:val="TableContents"/>
              <w:spacing w:before="0" w:after="283"/>
              <w:rPr>
                <w:sz w:val="4"/>
                <w:szCs w:val="4"/>
              </w:rPr>
            </w:pPr>
            <w:r>
              <w:rPr>
                <w:sz w:val="4"/>
                <w:szCs w:val="4"/>
              </w:rPr>
            </w:r>
          </w:p>
        </w:tc>
        <w:tc>
          <w:tcPr>
            <w:tcW w:w="9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1040"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95" w:type="dxa"/>
            <w:gridSpan w:val="3"/>
            <w:tcBorders/>
            <w:shd w:fill="auto" w:val="clear"/>
            <w:vAlign w:val="center"/>
          </w:tcPr>
          <w:p>
            <w:pPr>
              <w:pStyle w:val="TableContents"/>
              <w:spacing w:before="0" w:after="283"/>
              <w:rPr>
                <w:sz w:val="4"/>
                <w:szCs w:val="4"/>
              </w:rPr>
            </w:pPr>
            <w:r>
              <w:rPr>
                <w:sz w:val="4"/>
                <w:szCs w:val="4"/>
              </w:rPr>
            </w:r>
          </w:p>
        </w:tc>
        <w:tc>
          <w:tcPr>
            <w:tcW w:w="1113" w:type="dxa"/>
            <w:gridSpan w:val="3"/>
            <w:tcBorders/>
            <w:shd w:fill="auto" w:val="clear"/>
            <w:vAlign w:val="center"/>
          </w:tcPr>
          <w:p>
            <w:pPr>
              <w:pStyle w:val="TableContents"/>
              <w:spacing w:before="0" w:after="283"/>
              <w:rPr>
                <w:sz w:val="4"/>
                <w:szCs w:val="4"/>
              </w:rPr>
            </w:pPr>
            <w:r>
              <w:rPr>
                <w:sz w:val="4"/>
                <w:szCs w:val="4"/>
              </w:rPr>
            </w:r>
          </w:p>
        </w:tc>
        <w:tc>
          <w:tcPr>
            <w:tcW w:w="9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1040"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Charges</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5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(Charges) Credits</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55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5" w:type="dxa"/>
            <w:gridSpan w:val="3"/>
            <w:tcBorders/>
            <w:shd w:fill="auto" w:val="clear"/>
            <w:vAlign w:val="center"/>
          </w:tcPr>
          <w:p>
            <w:pPr>
              <w:pStyle w:val="TableContents"/>
              <w:spacing w:before="0" w:after="283"/>
              <w:rPr>
                <w:sz w:val="4"/>
                <w:szCs w:val="4"/>
              </w:rPr>
            </w:pPr>
            <w:r>
              <w:rPr>
                <w:sz w:val="4"/>
                <w:szCs w:val="4"/>
              </w:rPr>
            </w:r>
          </w:p>
        </w:tc>
        <w:tc>
          <w:tcPr>
            <w:tcW w:w="1113" w:type="dxa"/>
            <w:gridSpan w:val="3"/>
            <w:tcBorders/>
            <w:shd w:fill="auto" w:val="clear"/>
            <w:vAlign w:val="center"/>
          </w:tcPr>
          <w:p>
            <w:pPr>
              <w:pStyle w:val="TableContents"/>
              <w:spacing w:before="0" w:after="283"/>
              <w:rPr>
                <w:sz w:val="4"/>
                <w:szCs w:val="4"/>
              </w:rPr>
            </w:pPr>
            <w:r>
              <w:rPr>
                <w:sz w:val="4"/>
                <w:szCs w:val="4"/>
              </w:rPr>
            </w:r>
          </w:p>
        </w:tc>
        <w:tc>
          <w:tcPr>
            <w:tcW w:w="9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1040"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95" w:type="dxa"/>
            <w:gridSpan w:val="3"/>
            <w:tcBorders/>
            <w:shd w:fill="auto" w:val="clear"/>
            <w:vAlign w:val="center"/>
          </w:tcPr>
          <w:p>
            <w:pPr>
              <w:pStyle w:val="TableContents"/>
              <w:spacing w:before="0" w:after="283"/>
              <w:rPr>
                <w:sz w:val="4"/>
                <w:szCs w:val="4"/>
              </w:rPr>
            </w:pPr>
            <w:r>
              <w:rPr>
                <w:sz w:val="4"/>
                <w:szCs w:val="4"/>
              </w:rPr>
            </w:r>
          </w:p>
        </w:tc>
        <w:tc>
          <w:tcPr>
            <w:tcW w:w="1113" w:type="dxa"/>
            <w:gridSpan w:val="3"/>
            <w:tcBorders/>
            <w:shd w:fill="auto" w:val="clear"/>
            <w:vAlign w:val="center"/>
          </w:tcPr>
          <w:p>
            <w:pPr>
              <w:pStyle w:val="TableContents"/>
              <w:spacing w:before="0" w:after="283"/>
              <w:rPr>
                <w:sz w:val="4"/>
                <w:szCs w:val="4"/>
              </w:rPr>
            </w:pPr>
            <w:r>
              <w:rPr>
                <w:sz w:val="4"/>
                <w:szCs w:val="4"/>
              </w:rPr>
            </w:r>
          </w:p>
        </w:tc>
        <w:tc>
          <w:tcPr>
            <w:tcW w:w="9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1040"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95" w:type="dxa"/>
            <w:gridSpan w:val="3"/>
            <w:tcBorders/>
            <w:shd w:fill="auto" w:val="clear"/>
            <w:vAlign w:val="center"/>
          </w:tcPr>
          <w:p>
            <w:pPr>
              <w:pStyle w:val="TableContents"/>
              <w:spacing w:before="0" w:after="283"/>
              <w:rPr>
                <w:sz w:val="4"/>
                <w:szCs w:val="4"/>
              </w:rPr>
            </w:pPr>
            <w:r>
              <w:rPr>
                <w:sz w:val="4"/>
                <w:szCs w:val="4"/>
              </w:rPr>
            </w:r>
          </w:p>
        </w:tc>
        <w:tc>
          <w:tcPr>
            <w:tcW w:w="1113" w:type="dxa"/>
            <w:gridSpan w:val="3"/>
            <w:tcBorders/>
            <w:shd w:fill="auto" w:val="clear"/>
            <w:vAlign w:val="center"/>
          </w:tcPr>
          <w:p>
            <w:pPr>
              <w:pStyle w:val="TableContents"/>
              <w:spacing w:before="0" w:after="283"/>
              <w:rPr>
                <w:sz w:val="4"/>
                <w:szCs w:val="4"/>
              </w:rPr>
            </w:pPr>
            <w:r>
              <w:rPr>
                <w:sz w:val="4"/>
                <w:szCs w:val="4"/>
              </w:rPr>
            </w:r>
          </w:p>
        </w:tc>
        <w:tc>
          <w:tcPr>
            <w:tcW w:w="9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1040"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95" w:type="dxa"/>
            <w:gridSpan w:val="3"/>
            <w:tcBorders/>
            <w:shd w:fill="auto" w:val="clear"/>
            <w:vAlign w:val="center"/>
          </w:tcPr>
          <w:p>
            <w:pPr>
              <w:pStyle w:val="TableContents"/>
              <w:spacing w:before="0" w:after="283"/>
              <w:rPr>
                <w:sz w:val="4"/>
                <w:szCs w:val="4"/>
              </w:rPr>
            </w:pPr>
            <w:r>
              <w:rPr>
                <w:sz w:val="4"/>
                <w:szCs w:val="4"/>
              </w:rPr>
            </w:r>
          </w:p>
        </w:tc>
        <w:tc>
          <w:tcPr>
            <w:tcW w:w="1113" w:type="dxa"/>
            <w:gridSpan w:val="3"/>
            <w:tcBorders/>
            <w:shd w:fill="auto" w:val="clear"/>
            <w:vAlign w:val="center"/>
          </w:tcPr>
          <w:p>
            <w:pPr>
              <w:pStyle w:val="TableContents"/>
              <w:spacing w:before="0" w:after="283"/>
              <w:rPr>
                <w:sz w:val="4"/>
                <w:szCs w:val="4"/>
              </w:rPr>
            </w:pPr>
            <w:r>
              <w:rPr>
                <w:sz w:val="4"/>
                <w:szCs w:val="4"/>
              </w:rPr>
            </w:r>
          </w:p>
        </w:tc>
        <w:tc>
          <w:tcPr>
            <w:tcW w:w="9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1040"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95" w:type="dxa"/>
            <w:gridSpan w:val="3"/>
            <w:tcBorders/>
            <w:shd w:fill="auto" w:val="clear"/>
            <w:vAlign w:val="center"/>
          </w:tcPr>
          <w:p>
            <w:pPr>
              <w:pStyle w:val="TableContents"/>
              <w:spacing w:before="0" w:after="283"/>
              <w:rPr>
                <w:sz w:val="4"/>
                <w:szCs w:val="4"/>
              </w:rPr>
            </w:pPr>
            <w:r>
              <w:rPr>
                <w:sz w:val="4"/>
                <w:szCs w:val="4"/>
              </w:rPr>
            </w:r>
          </w:p>
        </w:tc>
        <w:tc>
          <w:tcPr>
            <w:tcW w:w="1113" w:type="dxa"/>
            <w:gridSpan w:val="3"/>
            <w:tcBorders/>
            <w:shd w:fill="auto" w:val="clear"/>
            <w:vAlign w:val="center"/>
          </w:tcPr>
          <w:p>
            <w:pPr>
              <w:pStyle w:val="TableContents"/>
              <w:spacing w:before="0" w:after="283"/>
              <w:rPr>
                <w:sz w:val="4"/>
                <w:szCs w:val="4"/>
              </w:rPr>
            </w:pPr>
            <w:r>
              <w:rPr>
                <w:sz w:val="4"/>
                <w:szCs w:val="4"/>
              </w:rPr>
            </w:r>
          </w:p>
        </w:tc>
        <w:tc>
          <w:tcPr>
            <w:tcW w:w="9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1040"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9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185</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18</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167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928</w:t>
            </w:r>
            <w:r>
              <w:rPr>
                <w:color w:val="000000"/>
              </w:rPr>
              <w:t> </w:t>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5" w:type="dxa"/>
            <w:gridSpan w:val="3"/>
            <w:tcBorders/>
            <w:shd w:fill="auto" w:val="clear"/>
            <w:vAlign w:val="center"/>
          </w:tcPr>
          <w:p>
            <w:pPr>
              <w:pStyle w:val="TableContents"/>
              <w:spacing w:before="0" w:after="283"/>
              <w:rPr>
                <w:sz w:val="4"/>
                <w:szCs w:val="4"/>
              </w:rPr>
            </w:pPr>
            <w:r>
              <w:rPr>
                <w:sz w:val="4"/>
                <w:szCs w:val="4"/>
              </w:rPr>
            </w:r>
          </w:p>
        </w:tc>
        <w:tc>
          <w:tcPr>
            <w:tcW w:w="1113" w:type="dxa"/>
            <w:gridSpan w:val="3"/>
            <w:tcBorders/>
            <w:shd w:fill="auto" w:val="clear"/>
            <w:vAlign w:val="center"/>
          </w:tcPr>
          <w:p>
            <w:pPr>
              <w:pStyle w:val="TableContents"/>
              <w:spacing w:before="0" w:after="283"/>
              <w:rPr>
                <w:sz w:val="4"/>
                <w:szCs w:val="4"/>
              </w:rPr>
            </w:pPr>
            <w:r>
              <w:rPr>
                <w:sz w:val="4"/>
                <w:szCs w:val="4"/>
              </w:rPr>
            </w:r>
          </w:p>
        </w:tc>
        <w:tc>
          <w:tcPr>
            <w:tcW w:w="9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1040"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95" w:type="dxa"/>
            <w:gridSpan w:val="3"/>
            <w:tcBorders/>
            <w:shd w:fill="auto" w:val="clear"/>
            <w:vAlign w:val="center"/>
          </w:tcPr>
          <w:p>
            <w:pPr>
              <w:pStyle w:val="TableContents"/>
              <w:spacing w:before="0" w:after="283"/>
              <w:rPr>
                <w:sz w:val="4"/>
                <w:szCs w:val="4"/>
              </w:rPr>
            </w:pPr>
            <w:r>
              <w:rPr>
                <w:sz w:val="4"/>
                <w:szCs w:val="4"/>
              </w:rPr>
            </w:r>
          </w:p>
        </w:tc>
        <w:tc>
          <w:tcPr>
            <w:tcW w:w="1113" w:type="dxa"/>
            <w:gridSpan w:val="3"/>
            <w:tcBorders/>
            <w:shd w:fill="auto" w:val="clear"/>
            <w:vAlign w:val="center"/>
          </w:tcPr>
          <w:p>
            <w:pPr>
              <w:pStyle w:val="TableContents"/>
              <w:spacing w:before="0" w:after="283"/>
              <w:rPr>
                <w:sz w:val="4"/>
                <w:szCs w:val="4"/>
              </w:rPr>
            </w:pPr>
            <w:r>
              <w:rPr>
                <w:sz w:val="4"/>
                <w:szCs w:val="4"/>
              </w:rPr>
            </w:r>
          </w:p>
        </w:tc>
        <w:tc>
          <w:tcPr>
            <w:tcW w:w="9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1040"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95" w:type="dxa"/>
            <w:gridSpan w:val="3"/>
            <w:tcBorders/>
            <w:shd w:fill="auto" w:val="clear"/>
            <w:vAlign w:val="center"/>
          </w:tcPr>
          <w:p>
            <w:pPr>
              <w:pStyle w:val="TableContents"/>
              <w:spacing w:before="0" w:after="283"/>
              <w:rPr>
                <w:sz w:val="4"/>
                <w:szCs w:val="4"/>
              </w:rPr>
            </w:pPr>
            <w:r>
              <w:rPr>
                <w:sz w:val="4"/>
                <w:szCs w:val="4"/>
              </w:rPr>
            </w:r>
          </w:p>
        </w:tc>
        <w:tc>
          <w:tcPr>
            <w:tcW w:w="1113" w:type="dxa"/>
            <w:gridSpan w:val="3"/>
            <w:tcBorders/>
            <w:shd w:fill="auto" w:val="clear"/>
            <w:vAlign w:val="center"/>
          </w:tcPr>
          <w:p>
            <w:pPr>
              <w:pStyle w:val="TableContents"/>
              <w:spacing w:before="0" w:after="283"/>
              <w:rPr>
                <w:sz w:val="4"/>
                <w:szCs w:val="4"/>
              </w:rPr>
            </w:pPr>
            <w:r>
              <w:rPr>
                <w:sz w:val="4"/>
                <w:szCs w:val="4"/>
              </w:rPr>
            </w:r>
          </w:p>
        </w:tc>
        <w:tc>
          <w:tcPr>
            <w:tcW w:w="9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1040"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95" w:type="dxa"/>
            <w:gridSpan w:val="3"/>
            <w:tcBorders/>
            <w:shd w:fill="auto" w:val="clear"/>
            <w:vAlign w:val="center"/>
          </w:tcPr>
          <w:p>
            <w:pPr>
              <w:pStyle w:val="TableContents"/>
              <w:spacing w:before="0" w:after="283"/>
              <w:rPr>
                <w:sz w:val="4"/>
                <w:szCs w:val="4"/>
              </w:rPr>
            </w:pPr>
            <w:r>
              <w:rPr>
                <w:sz w:val="4"/>
                <w:szCs w:val="4"/>
              </w:rPr>
            </w:r>
          </w:p>
        </w:tc>
        <w:tc>
          <w:tcPr>
            <w:tcW w:w="1113" w:type="dxa"/>
            <w:gridSpan w:val="3"/>
            <w:tcBorders/>
            <w:shd w:fill="auto" w:val="clear"/>
            <w:vAlign w:val="center"/>
          </w:tcPr>
          <w:p>
            <w:pPr>
              <w:pStyle w:val="TableContents"/>
              <w:spacing w:before="0" w:after="283"/>
              <w:rPr>
                <w:sz w:val="4"/>
                <w:szCs w:val="4"/>
              </w:rPr>
            </w:pPr>
            <w:r>
              <w:rPr>
                <w:sz w:val="4"/>
                <w:szCs w:val="4"/>
              </w:rPr>
            </w:r>
          </w:p>
        </w:tc>
        <w:tc>
          <w:tcPr>
            <w:tcW w:w="9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1040"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95" w:type="dxa"/>
            <w:gridSpan w:val="3"/>
            <w:tcBorders/>
            <w:shd w:fill="auto" w:val="clear"/>
            <w:vAlign w:val="center"/>
          </w:tcPr>
          <w:p>
            <w:pPr>
              <w:pStyle w:val="TableContents"/>
              <w:spacing w:before="0" w:after="283"/>
              <w:rPr>
                <w:sz w:val="4"/>
                <w:szCs w:val="4"/>
              </w:rPr>
            </w:pPr>
            <w:r>
              <w:rPr>
                <w:sz w:val="4"/>
                <w:szCs w:val="4"/>
              </w:rPr>
            </w:r>
          </w:p>
        </w:tc>
        <w:tc>
          <w:tcPr>
            <w:tcW w:w="1113" w:type="dxa"/>
            <w:gridSpan w:val="3"/>
            <w:tcBorders/>
            <w:shd w:fill="auto" w:val="clear"/>
            <w:vAlign w:val="center"/>
          </w:tcPr>
          <w:p>
            <w:pPr>
              <w:pStyle w:val="TableContents"/>
              <w:spacing w:before="0" w:after="283"/>
              <w:rPr>
                <w:sz w:val="4"/>
                <w:szCs w:val="4"/>
              </w:rPr>
            </w:pPr>
            <w:r>
              <w:rPr>
                <w:sz w:val="4"/>
                <w:szCs w:val="4"/>
              </w:rPr>
            </w:r>
          </w:p>
        </w:tc>
        <w:tc>
          <w:tcPr>
            <w:tcW w:w="9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1040"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95" w:type="dxa"/>
            <w:gridSpan w:val="3"/>
            <w:tcBorders/>
            <w:shd w:fill="auto" w:val="clear"/>
            <w:vAlign w:val="center"/>
          </w:tcPr>
          <w:p>
            <w:pPr>
              <w:pStyle w:val="TableContents"/>
              <w:spacing w:before="0" w:after="283"/>
              <w:rPr>
                <w:sz w:val="4"/>
                <w:szCs w:val="4"/>
              </w:rPr>
            </w:pPr>
            <w:r>
              <w:rPr>
                <w:sz w:val="4"/>
                <w:szCs w:val="4"/>
              </w:rPr>
            </w:r>
          </w:p>
        </w:tc>
        <w:tc>
          <w:tcPr>
            <w:tcW w:w="1113" w:type="dxa"/>
            <w:gridSpan w:val="3"/>
            <w:tcBorders/>
            <w:shd w:fill="auto" w:val="clear"/>
            <w:vAlign w:val="center"/>
          </w:tcPr>
          <w:p>
            <w:pPr>
              <w:pStyle w:val="TableContents"/>
              <w:spacing w:before="0" w:after="283"/>
              <w:rPr>
                <w:sz w:val="4"/>
                <w:szCs w:val="4"/>
              </w:rPr>
            </w:pPr>
            <w:r>
              <w:rPr>
                <w:sz w:val="4"/>
                <w:szCs w:val="4"/>
              </w:rPr>
            </w:r>
          </w:p>
        </w:tc>
        <w:tc>
          <w:tcPr>
            <w:tcW w:w="9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1040"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95" w:type="dxa"/>
            <w:gridSpan w:val="3"/>
            <w:tcBorders/>
            <w:shd w:fill="auto" w:val="clear"/>
            <w:vAlign w:val="center"/>
          </w:tcPr>
          <w:p>
            <w:pPr>
              <w:pStyle w:val="TableContents"/>
              <w:spacing w:before="0" w:after="283"/>
              <w:rPr>
                <w:sz w:val="4"/>
                <w:szCs w:val="4"/>
              </w:rPr>
            </w:pPr>
            <w:r>
              <w:rPr>
                <w:sz w:val="4"/>
                <w:szCs w:val="4"/>
              </w:rPr>
            </w:r>
          </w:p>
        </w:tc>
        <w:tc>
          <w:tcPr>
            <w:tcW w:w="1113" w:type="dxa"/>
            <w:gridSpan w:val="3"/>
            <w:tcBorders/>
            <w:shd w:fill="auto" w:val="clear"/>
            <w:vAlign w:val="center"/>
          </w:tcPr>
          <w:p>
            <w:pPr>
              <w:pStyle w:val="TableContents"/>
              <w:spacing w:before="0" w:after="283"/>
              <w:rPr>
                <w:sz w:val="4"/>
                <w:szCs w:val="4"/>
              </w:rPr>
            </w:pPr>
            <w:r>
              <w:rPr>
                <w:sz w:val="4"/>
                <w:szCs w:val="4"/>
              </w:rPr>
            </w:r>
          </w:p>
        </w:tc>
        <w:tc>
          <w:tcPr>
            <w:tcW w:w="9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1040"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95" w:type="dxa"/>
            <w:gridSpan w:val="3"/>
            <w:tcBorders/>
            <w:shd w:fill="auto" w:val="clear"/>
            <w:vAlign w:val="center"/>
          </w:tcPr>
          <w:p>
            <w:pPr>
              <w:pStyle w:val="TableContents"/>
              <w:spacing w:before="0" w:after="283"/>
              <w:rPr>
                <w:sz w:val="4"/>
                <w:szCs w:val="4"/>
              </w:rPr>
            </w:pPr>
            <w:r>
              <w:rPr>
                <w:sz w:val="4"/>
                <w:szCs w:val="4"/>
              </w:rPr>
            </w:r>
          </w:p>
        </w:tc>
        <w:tc>
          <w:tcPr>
            <w:tcW w:w="1113" w:type="dxa"/>
            <w:gridSpan w:val="3"/>
            <w:tcBorders/>
            <w:shd w:fill="auto" w:val="clear"/>
            <w:vAlign w:val="center"/>
          </w:tcPr>
          <w:p>
            <w:pPr>
              <w:pStyle w:val="TableContents"/>
              <w:spacing w:before="0" w:after="283"/>
              <w:rPr>
                <w:sz w:val="4"/>
                <w:szCs w:val="4"/>
              </w:rPr>
            </w:pPr>
            <w:r>
              <w:rPr>
                <w:sz w:val="4"/>
                <w:szCs w:val="4"/>
              </w:rPr>
            </w:r>
          </w:p>
        </w:tc>
        <w:tc>
          <w:tcPr>
            <w:tcW w:w="9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1040"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95" w:type="dxa"/>
            <w:gridSpan w:val="3"/>
            <w:tcBorders/>
            <w:shd w:fill="auto" w:val="clear"/>
            <w:vAlign w:val="center"/>
          </w:tcPr>
          <w:p>
            <w:pPr>
              <w:pStyle w:val="TableContents"/>
              <w:spacing w:before="0" w:after="283"/>
              <w:rPr>
                <w:sz w:val="4"/>
                <w:szCs w:val="4"/>
              </w:rPr>
            </w:pPr>
            <w:r>
              <w:rPr>
                <w:sz w:val="4"/>
                <w:szCs w:val="4"/>
              </w:rPr>
            </w:r>
          </w:p>
        </w:tc>
        <w:tc>
          <w:tcPr>
            <w:tcW w:w="1113" w:type="dxa"/>
            <w:gridSpan w:val="3"/>
            <w:tcBorders/>
            <w:shd w:fill="auto" w:val="clear"/>
            <w:vAlign w:val="center"/>
          </w:tcPr>
          <w:p>
            <w:pPr>
              <w:pStyle w:val="TableContents"/>
              <w:spacing w:before="0" w:after="283"/>
              <w:rPr>
                <w:sz w:val="4"/>
                <w:szCs w:val="4"/>
              </w:rPr>
            </w:pPr>
            <w:r>
              <w:rPr>
                <w:sz w:val="4"/>
                <w:szCs w:val="4"/>
              </w:rPr>
            </w:r>
          </w:p>
        </w:tc>
        <w:tc>
          <w:tcPr>
            <w:tcW w:w="9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1040"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95" w:type="dxa"/>
            <w:gridSpan w:val="3"/>
            <w:tcBorders/>
            <w:shd w:fill="auto" w:val="clear"/>
            <w:vAlign w:val="center"/>
          </w:tcPr>
          <w:p>
            <w:pPr>
              <w:pStyle w:val="TableContents"/>
              <w:spacing w:before="0" w:after="283"/>
              <w:rPr>
                <w:sz w:val="4"/>
                <w:szCs w:val="4"/>
              </w:rPr>
            </w:pPr>
            <w:r>
              <w:rPr>
                <w:sz w:val="4"/>
                <w:szCs w:val="4"/>
              </w:rPr>
            </w:r>
          </w:p>
        </w:tc>
        <w:tc>
          <w:tcPr>
            <w:tcW w:w="1113" w:type="dxa"/>
            <w:gridSpan w:val="3"/>
            <w:tcBorders/>
            <w:shd w:fill="auto" w:val="clear"/>
            <w:vAlign w:val="center"/>
          </w:tcPr>
          <w:p>
            <w:pPr>
              <w:pStyle w:val="TableContents"/>
              <w:spacing w:before="0" w:after="283"/>
              <w:rPr>
                <w:sz w:val="4"/>
                <w:szCs w:val="4"/>
              </w:rPr>
            </w:pPr>
            <w:r>
              <w:rPr>
                <w:sz w:val="4"/>
                <w:szCs w:val="4"/>
              </w:rPr>
            </w:r>
          </w:p>
        </w:tc>
        <w:tc>
          <w:tcPr>
            <w:tcW w:w="9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1040"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95" w:type="dxa"/>
            <w:gridSpan w:val="3"/>
            <w:tcBorders/>
            <w:shd w:fill="auto" w:val="clear"/>
            <w:vAlign w:val="center"/>
          </w:tcPr>
          <w:p>
            <w:pPr>
              <w:pStyle w:val="TableContents"/>
              <w:spacing w:before="0" w:after="283"/>
              <w:rPr>
                <w:sz w:val="4"/>
                <w:szCs w:val="4"/>
              </w:rPr>
            </w:pPr>
            <w:r>
              <w:rPr>
                <w:sz w:val="4"/>
                <w:szCs w:val="4"/>
              </w:rPr>
            </w:r>
          </w:p>
        </w:tc>
        <w:tc>
          <w:tcPr>
            <w:tcW w:w="1113" w:type="dxa"/>
            <w:gridSpan w:val="3"/>
            <w:tcBorders/>
            <w:shd w:fill="auto" w:val="clear"/>
            <w:vAlign w:val="center"/>
          </w:tcPr>
          <w:p>
            <w:pPr>
              <w:pStyle w:val="TableContents"/>
              <w:spacing w:before="0" w:after="283"/>
              <w:rPr>
                <w:sz w:val="4"/>
                <w:szCs w:val="4"/>
              </w:rPr>
            </w:pPr>
            <w:r>
              <w:rPr>
                <w:sz w:val="4"/>
                <w:szCs w:val="4"/>
              </w:rPr>
            </w:r>
          </w:p>
        </w:tc>
        <w:tc>
          <w:tcPr>
            <w:tcW w:w="9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1040"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95" w:type="dxa"/>
            <w:gridSpan w:val="3"/>
            <w:tcBorders/>
            <w:shd w:fill="auto" w:val="clear"/>
            <w:vAlign w:val="center"/>
          </w:tcPr>
          <w:p>
            <w:pPr>
              <w:pStyle w:val="TableContents"/>
              <w:spacing w:before="0" w:after="283"/>
              <w:rPr>
                <w:sz w:val="4"/>
                <w:szCs w:val="4"/>
              </w:rPr>
            </w:pPr>
            <w:r>
              <w:rPr>
                <w:sz w:val="4"/>
                <w:szCs w:val="4"/>
              </w:rPr>
            </w:r>
          </w:p>
        </w:tc>
        <w:tc>
          <w:tcPr>
            <w:tcW w:w="1113" w:type="dxa"/>
            <w:gridSpan w:val="3"/>
            <w:tcBorders/>
            <w:shd w:fill="auto" w:val="clear"/>
            <w:vAlign w:val="center"/>
          </w:tcPr>
          <w:p>
            <w:pPr>
              <w:pStyle w:val="TableContents"/>
              <w:spacing w:before="0" w:after="283"/>
              <w:rPr>
                <w:sz w:val="4"/>
                <w:szCs w:val="4"/>
              </w:rPr>
            </w:pPr>
            <w:r>
              <w:rPr>
                <w:sz w:val="4"/>
                <w:szCs w:val="4"/>
              </w:rPr>
            </w:r>
          </w:p>
        </w:tc>
        <w:tc>
          <w:tcPr>
            <w:tcW w:w="9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1040"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95" w:type="dxa"/>
            <w:gridSpan w:val="3"/>
            <w:tcBorders/>
            <w:shd w:fill="auto" w:val="clear"/>
            <w:vAlign w:val="center"/>
          </w:tcPr>
          <w:p>
            <w:pPr>
              <w:pStyle w:val="TableContents"/>
              <w:spacing w:before="0" w:after="283"/>
              <w:rPr>
                <w:sz w:val="4"/>
                <w:szCs w:val="4"/>
              </w:rPr>
            </w:pPr>
            <w:r>
              <w:rPr>
                <w:sz w:val="4"/>
                <w:szCs w:val="4"/>
              </w:rPr>
            </w:r>
          </w:p>
        </w:tc>
        <w:tc>
          <w:tcPr>
            <w:tcW w:w="1113" w:type="dxa"/>
            <w:gridSpan w:val="3"/>
            <w:tcBorders/>
            <w:shd w:fill="auto" w:val="clear"/>
            <w:vAlign w:val="center"/>
          </w:tcPr>
          <w:p>
            <w:pPr>
              <w:pStyle w:val="TableContents"/>
              <w:spacing w:before="0" w:after="283"/>
              <w:rPr>
                <w:sz w:val="4"/>
                <w:szCs w:val="4"/>
              </w:rPr>
            </w:pPr>
            <w:r>
              <w:rPr>
                <w:sz w:val="4"/>
                <w:szCs w:val="4"/>
              </w:rPr>
            </w:r>
          </w:p>
        </w:tc>
        <w:tc>
          <w:tcPr>
            <w:tcW w:w="9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1040"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95" w:type="dxa"/>
            <w:gridSpan w:val="3"/>
            <w:tcBorders/>
            <w:shd w:fill="auto" w:val="clear"/>
            <w:vAlign w:val="center"/>
          </w:tcPr>
          <w:p>
            <w:pPr>
              <w:pStyle w:val="TableContents"/>
              <w:spacing w:before="0" w:after="283"/>
              <w:rPr>
                <w:sz w:val="4"/>
                <w:szCs w:val="4"/>
              </w:rPr>
            </w:pPr>
            <w:r>
              <w:rPr>
                <w:sz w:val="4"/>
                <w:szCs w:val="4"/>
              </w:rPr>
            </w:r>
          </w:p>
        </w:tc>
        <w:tc>
          <w:tcPr>
            <w:tcW w:w="1113" w:type="dxa"/>
            <w:gridSpan w:val="3"/>
            <w:tcBorders/>
            <w:shd w:fill="auto" w:val="clear"/>
            <w:vAlign w:val="center"/>
          </w:tcPr>
          <w:p>
            <w:pPr>
              <w:pStyle w:val="TableContents"/>
              <w:spacing w:before="0" w:after="283"/>
              <w:rPr>
                <w:sz w:val="4"/>
                <w:szCs w:val="4"/>
              </w:rPr>
            </w:pPr>
            <w:r>
              <w:rPr>
                <w:sz w:val="4"/>
                <w:szCs w:val="4"/>
              </w:rPr>
            </w:r>
          </w:p>
        </w:tc>
        <w:tc>
          <w:tcPr>
            <w:tcW w:w="9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1040"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95" w:type="dxa"/>
            <w:gridSpan w:val="3"/>
            <w:tcBorders/>
            <w:shd w:fill="auto" w:val="clear"/>
            <w:vAlign w:val="center"/>
          </w:tcPr>
          <w:p>
            <w:pPr>
              <w:pStyle w:val="TableContents"/>
              <w:spacing w:before="0" w:after="283"/>
              <w:rPr>
                <w:sz w:val="4"/>
                <w:szCs w:val="4"/>
              </w:rPr>
            </w:pPr>
            <w:r>
              <w:rPr>
                <w:sz w:val="4"/>
                <w:szCs w:val="4"/>
              </w:rPr>
            </w:r>
          </w:p>
        </w:tc>
        <w:tc>
          <w:tcPr>
            <w:tcW w:w="1113" w:type="dxa"/>
            <w:gridSpan w:val="3"/>
            <w:tcBorders/>
            <w:shd w:fill="auto" w:val="clear"/>
            <w:vAlign w:val="center"/>
          </w:tcPr>
          <w:p>
            <w:pPr>
              <w:pStyle w:val="TableContents"/>
              <w:spacing w:before="0" w:after="283"/>
              <w:rPr>
                <w:sz w:val="4"/>
                <w:szCs w:val="4"/>
              </w:rPr>
            </w:pPr>
            <w:r>
              <w:rPr>
                <w:sz w:val="4"/>
                <w:szCs w:val="4"/>
              </w:rPr>
            </w:r>
          </w:p>
        </w:tc>
        <w:tc>
          <w:tcPr>
            <w:tcW w:w="9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1040"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95"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0"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Margins:</w:t>
            </w:r>
          </w:p>
        </w:tc>
        <w:tc>
          <w:tcPr>
            <w:tcW w:w="11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DRE Segment Adjusted EBITDA Margin</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4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880 </w:t>
            </w:r>
          </w:p>
        </w:tc>
        <w:tc>
          <w:tcPr>
            <w:tcW w:w="55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bps</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WCC Segment Adjusted EBITDA Margin</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4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330 </w:t>
            </w:r>
          </w:p>
        </w:tc>
        <w:tc>
          <w:tcPr>
            <w:tcW w:w="55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bps</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 Segment Adjusted EBITDA Margin</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4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590 </w:t>
            </w:r>
          </w:p>
        </w:tc>
        <w:tc>
          <w:tcPr>
            <w:tcW w:w="55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bps</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5" w:type="dxa"/>
            <w:gridSpan w:val="3"/>
            <w:tcBorders/>
            <w:shd w:fill="auto" w:val="clear"/>
            <w:vAlign w:val="center"/>
          </w:tcPr>
          <w:p>
            <w:pPr>
              <w:pStyle w:val="TableContents"/>
              <w:spacing w:before="0" w:after="283"/>
              <w:rPr>
                <w:sz w:val="4"/>
                <w:szCs w:val="4"/>
              </w:rPr>
            </w:pPr>
            <w:r>
              <w:rPr>
                <w:sz w:val="4"/>
                <w:szCs w:val="4"/>
              </w:rPr>
            </w:r>
          </w:p>
        </w:tc>
        <w:tc>
          <w:tcPr>
            <w:tcW w:w="1113" w:type="dxa"/>
            <w:gridSpan w:val="3"/>
            <w:tcBorders/>
            <w:shd w:fill="auto" w:val="clear"/>
            <w:vAlign w:val="center"/>
          </w:tcPr>
          <w:p>
            <w:pPr>
              <w:pStyle w:val="TableContents"/>
              <w:spacing w:before="0" w:after="283"/>
              <w:rPr>
                <w:sz w:val="4"/>
                <w:szCs w:val="4"/>
              </w:rPr>
            </w:pPr>
            <w:r>
              <w:rPr>
                <w:sz w:val="4"/>
                <w:szCs w:val="4"/>
              </w:rPr>
            </w:r>
          </w:p>
        </w:tc>
        <w:tc>
          <w:tcPr>
            <w:tcW w:w="9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1040"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5" w:type="dxa"/>
            <w:gridSpan w:val="3"/>
            <w:tcBorders/>
            <w:shd w:fill="auto" w:val="clear"/>
            <w:vAlign w:val="center"/>
          </w:tcPr>
          <w:p>
            <w:pPr>
              <w:pStyle w:val="TableContents"/>
              <w:spacing w:before="0" w:after="283"/>
              <w:rPr>
                <w:sz w:val="4"/>
                <w:szCs w:val="4"/>
              </w:rPr>
            </w:pPr>
            <w:r>
              <w:rPr>
                <w:sz w:val="4"/>
                <w:szCs w:val="4"/>
              </w:rPr>
            </w:r>
          </w:p>
        </w:tc>
        <w:tc>
          <w:tcPr>
            <w:tcW w:w="1113" w:type="dxa"/>
            <w:gridSpan w:val="3"/>
            <w:tcBorders/>
            <w:shd w:fill="auto" w:val="clear"/>
            <w:vAlign w:val="center"/>
          </w:tcPr>
          <w:p>
            <w:pPr>
              <w:pStyle w:val="TableContents"/>
              <w:spacing w:before="0" w:after="283"/>
              <w:rPr>
                <w:sz w:val="4"/>
                <w:szCs w:val="4"/>
              </w:rPr>
            </w:pPr>
            <w:r>
              <w:rPr>
                <w:sz w:val="4"/>
                <w:szCs w:val="4"/>
              </w:rPr>
            </w:r>
          </w:p>
        </w:tc>
        <w:tc>
          <w:tcPr>
            <w:tcW w:w="9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1040"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95" w:type="dxa"/>
            <w:gridSpan w:val="3"/>
            <w:tcBorders/>
            <w:shd w:fill="auto" w:val="clear"/>
            <w:vAlign w:val="center"/>
          </w:tcPr>
          <w:p>
            <w:pPr>
              <w:pStyle w:val="TableContents"/>
              <w:spacing w:before="0" w:after="283"/>
              <w:rPr>
                <w:sz w:val="4"/>
                <w:szCs w:val="4"/>
              </w:rPr>
            </w:pPr>
            <w:r>
              <w:rPr>
                <w:sz w:val="4"/>
                <w:szCs w:val="4"/>
              </w:rPr>
            </w:r>
          </w:p>
        </w:tc>
        <w:tc>
          <w:tcPr>
            <w:tcW w:w="1113" w:type="dxa"/>
            <w:gridSpan w:val="3"/>
            <w:tcBorders/>
            <w:shd w:fill="auto" w:val="clear"/>
            <w:vAlign w:val="center"/>
          </w:tcPr>
          <w:p>
            <w:pPr>
              <w:pStyle w:val="TableContents"/>
              <w:spacing w:before="0" w:after="283"/>
              <w:rPr>
                <w:sz w:val="4"/>
                <w:szCs w:val="4"/>
              </w:rPr>
            </w:pPr>
            <w:r>
              <w:rPr>
                <w:sz w:val="4"/>
                <w:szCs w:val="4"/>
              </w:rPr>
            </w:r>
          </w:p>
        </w:tc>
        <w:tc>
          <w:tcPr>
            <w:tcW w:w="9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1040"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95" w:type="dxa"/>
            <w:gridSpan w:val="3"/>
            <w:tcBorders/>
            <w:shd w:fill="auto" w:val="clear"/>
            <w:vAlign w:val="center"/>
          </w:tcPr>
          <w:p>
            <w:pPr>
              <w:pStyle w:val="TableContents"/>
              <w:spacing w:before="0" w:after="283"/>
              <w:rPr>
                <w:sz w:val="4"/>
                <w:szCs w:val="4"/>
              </w:rPr>
            </w:pPr>
            <w:r>
              <w:rPr>
                <w:sz w:val="4"/>
                <w:szCs w:val="4"/>
              </w:rPr>
            </w:r>
          </w:p>
        </w:tc>
        <w:tc>
          <w:tcPr>
            <w:tcW w:w="1113" w:type="dxa"/>
            <w:gridSpan w:val="3"/>
            <w:tcBorders/>
            <w:shd w:fill="auto" w:val="clear"/>
            <w:vAlign w:val="center"/>
          </w:tcPr>
          <w:p>
            <w:pPr>
              <w:pStyle w:val="TableContents"/>
              <w:spacing w:before="0" w:after="283"/>
              <w:rPr>
                <w:sz w:val="4"/>
                <w:szCs w:val="4"/>
              </w:rPr>
            </w:pPr>
            <w:r>
              <w:rPr>
                <w:sz w:val="4"/>
                <w:szCs w:val="4"/>
              </w:rPr>
            </w:r>
          </w:p>
        </w:tc>
        <w:tc>
          <w:tcPr>
            <w:tcW w:w="9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1040"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95" w:type="dxa"/>
            <w:gridSpan w:val="3"/>
            <w:tcBorders/>
            <w:shd w:fill="auto" w:val="clear"/>
            <w:vAlign w:val="center"/>
          </w:tcPr>
          <w:p>
            <w:pPr>
              <w:pStyle w:val="TableContents"/>
              <w:spacing w:before="0" w:after="283"/>
              <w:rPr>
                <w:sz w:val="4"/>
                <w:szCs w:val="4"/>
              </w:rPr>
            </w:pPr>
            <w:r>
              <w:rPr>
                <w:sz w:val="4"/>
                <w:szCs w:val="4"/>
              </w:rPr>
            </w:r>
          </w:p>
        </w:tc>
        <w:tc>
          <w:tcPr>
            <w:tcW w:w="1113" w:type="dxa"/>
            <w:gridSpan w:val="3"/>
            <w:tcBorders/>
            <w:shd w:fill="auto" w:val="clear"/>
            <w:vAlign w:val="center"/>
          </w:tcPr>
          <w:p>
            <w:pPr>
              <w:pStyle w:val="TableContents"/>
              <w:spacing w:before="0" w:after="283"/>
              <w:rPr>
                <w:sz w:val="4"/>
                <w:szCs w:val="4"/>
              </w:rPr>
            </w:pPr>
            <w:r>
              <w:rPr>
                <w:sz w:val="4"/>
                <w:szCs w:val="4"/>
              </w:rPr>
            </w:r>
          </w:p>
        </w:tc>
        <w:tc>
          <w:tcPr>
            <w:tcW w:w="9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1040"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95" w:type="dxa"/>
            <w:gridSpan w:val="3"/>
            <w:tcBorders/>
            <w:shd w:fill="auto" w:val="clear"/>
            <w:vAlign w:val="center"/>
          </w:tcPr>
          <w:p>
            <w:pPr>
              <w:pStyle w:val="TableContents"/>
              <w:spacing w:before="0" w:after="283"/>
              <w:rPr>
                <w:sz w:val="4"/>
                <w:szCs w:val="4"/>
              </w:rPr>
            </w:pPr>
            <w:r>
              <w:rPr>
                <w:sz w:val="4"/>
                <w:szCs w:val="4"/>
              </w:rPr>
            </w:r>
          </w:p>
        </w:tc>
        <w:tc>
          <w:tcPr>
            <w:tcW w:w="1113" w:type="dxa"/>
            <w:gridSpan w:val="3"/>
            <w:tcBorders/>
            <w:shd w:fill="auto" w:val="clear"/>
            <w:vAlign w:val="center"/>
          </w:tcPr>
          <w:p>
            <w:pPr>
              <w:pStyle w:val="TableContents"/>
              <w:spacing w:before="0" w:after="283"/>
              <w:rPr>
                <w:sz w:val="4"/>
                <w:szCs w:val="4"/>
              </w:rPr>
            </w:pPr>
            <w:r>
              <w:rPr>
                <w:sz w:val="4"/>
                <w:szCs w:val="4"/>
              </w:rPr>
            </w:r>
          </w:p>
        </w:tc>
        <w:tc>
          <w:tcPr>
            <w:tcW w:w="9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1040"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95" w:type="dxa"/>
            <w:gridSpan w:val="3"/>
            <w:tcBorders/>
            <w:shd w:fill="auto" w:val="clear"/>
            <w:vAlign w:val="center"/>
          </w:tcPr>
          <w:p>
            <w:pPr>
              <w:pStyle w:val="TableContents"/>
              <w:spacing w:before="0" w:after="283"/>
              <w:rPr>
                <w:sz w:val="4"/>
                <w:szCs w:val="4"/>
              </w:rPr>
            </w:pPr>
            <w:r>
              <w:rPr>
                <w:sz w:val="4"/>
                <w:szCs w:val="4"/>
              </w:rPr>
            </w:r>
          </w:p>
        </w:tc>
        <w:tc>
          <w:tcPr>
            <w:tcW w:w="1113" w:type="dxa"/>
            <w:gridSpan w:val="3"/>
            <w:tcBorders/>
            <w:shd w:fill="auto" w:val="clear"/>
            <w:vAlign w:val="center"/>
          </w:tcPr>
          <w:p>
            <w:pPr>
              <w:pStyle w:val="TableContents"/>
              <w:spacing w:before="0" w:after="283"/>
              <w:rPr>
                <w:sz w:val="4"/>
                <w:szCs w:val="4"/>
              </w:rPr>
            </w:pPr>
            <w:r>
              <w:rPr>
                <w:sz w:val="4"/>
                <w:szCs w:val="4"/>
              </w:rPr>
            </w:r>
          </w:p>
        </w:tc>
        <w:tc>
          <w:tcPr>
            <w:tcW w:w="9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1040"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95" w:type="dxa"/>
            <w:gridSpan w:val="3"/>
            <w:tcBorders/>
            <w:shd w:fill="auto" w:val="clear"/>
            <w:vAlign w:val="center"/>
          </w:tcPr>
          <w:p>
            <w:pPr>
              <w:pStyle w:val="TableContents"/>
              <w:spacing w:before="0" w:after="283"/>
              <w:rPr>
                <w:sz w:val="4"/>
                <w:szCs w:val="4"/>
              </w:rPr>
            </w:pPr>
            <w:r>
              <w:rPr>
                <w:sz w:val="4"/>
                <w:szCs w:val="4"/>
              </w:rPr>
            </w:r>
          </w:p>
        </w:tc>
        <w:tc>
          <w:tcPr>
            <w:tcW w:w="1113" w:type="dxa"/>
            <w:gridSpan w:val="3"/>
            <w:tcBorders/>
            <w:shd w:fill="auto" w:val="clear"/>
            <w:vAlign w:val="center"/>
          </w:tcPr>
          <w:p>
            <w:pPr>
              <w:pStyle w:val="TableContents"/>
              <w:spacing w:before="0" w:after="283"/>
              <w:rPr>
                <w:sz w:val="4"/>
                <w:szCs w:val="4"/>
              </w:rPr>
            </w:pPr>
            <w:r>
              <w:rPr>
                <w:sz w:val="4"/>
                <w:szCs w:val="4"/>
              </w:rPr>
            </w:r>
          </w:p>
        </w:tc>
        <w:tc>
          <w:tcPr>
            <w:tcW w:w="9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1040"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95" w:type="dxa"/>
            <w:gridSpan w:val="3"/>
            <w:tcBorders/>
            <w:shd w:fill="auto" w:val="clear"/>
            <w:vAlign w:val="center"/>
          </w:tcPr>
          <w:p>
            <w:pPr>
              <w:pStyle w:val="TableContents"/>
              <w:spacing w:before="0" w:after="283"/>
              <w:rPr>
                <w:sz w:val="4"/>
                <w:szCs w:val="4"/>
              </w:rPr>
            </w:pPr>
            <w:r>
              <w:rPr>
                <w:sz w:val="4"/>
                <w:szCs w:val="4"/>
              </w:rPr>
            </w:r>
          </w:p>
        </w:tc>
        <w:tc>
          <w:tcPr>
            <w:tcW w:w="1113" w:type="dxa"/>
            <w:gridSpan w:val="3"/>
            <w:tcBorders/>
            <w:shd w:fill="auto" w:val="clear"/>
            <w:vAlign w:val="center"/>
          </w:tcPr>
          <w:p>
            <w:pPr>
              <w:pStyle w:val="TableContents"/>
              <w:spacing w:before="0" w:after="283"/>
              <w:rPr>
                <w:sz w:val="4"/>
                <w:szCs w:val="4"/>
              </w:rPr>
            </w:pPr>
            <w:r>
              <w:rPr>
                <w:sz w:val="4"/>
                <w:szCs w:val="4"/>
              </w:rPr>
            </w:r>
          </w:p>
        </w:tc>
        <w:tc>
          <w:tcPr>
            <w:tcW w:w="9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1040"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95" w:type="dxa"/>
            <w:gridSpan w:val="3"/>
            <w:tcBorders/>
            <w:shd w:fill="auto" w:val="clear"/>
            <w:vAlign w:val="center"/>
          </w:tcPr>
          <w:p>
            <w:pPr>
              <w:pStyle w:val="TableContents"/>
              <w:spacing w:before="0" w:after="283"/>
              <w:rPr>
                <w:sz w:val="4"/>
                <w:szCs w:val="4"/>
              </w:rPr>
            </w:pPr>
            <w:r>
              <w:rPr>
                <w:sz w:val="4"/>
                <w:szCs w:val="4"/>
              </w:rPr>
            </w:r>
          </w:p>
        </w:tc>
        <w:tc>
          <w:tcPr>
            <w:tcW w:w="1113" w:type="dxa"/>
            <w:gridSpan w:val="3"/>
            <w:tcBorders/>
            <w:shd w:fill="auto" w:val="clear"/>
            <w:vAlign w:val="center"/>
          </w:tcPr>
          <w:p>
            <w:pPr>
              <w:pStyle w:val="TableContents"/>
              <w:spacing w:before="0" w:after="283"/>
              <w:rPr>
                <w:sz w:val="4"/>
                <w:szCs w:val="4"/>
              </w:rPr>
            </w:pPr>
            <w:r>
              <w:rPr>
                <w:sz w:val="4"/>
                <w:szCs w:val="4"/>
              </w:rPr>
            </w:r>
          </w:p>
        </w:tc>
        <w:tc>
          <w:tcPr>
            <w:tcW w:w="9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1040"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95" w:type="dxa"/>
            <w:gridSpan w:val="3"/>
            <w:tcBorders/>
            <w:shd w:fill="auto" w:val="clear"/>
            <w:vAlign w:val="center"/>
          </w:tcPr>
          <w:p>
            <w:pPr>
              <w:pStyle w:val="TableContents"/>
              <w:spacing w:before="0" w:after="283"/>
              <w:rPr>
                <w:sz w:val="4"/>
                <w:szCs w:val="4"/>
              </w:rPr>
            </w:pPr>
            <w:r>
              <w:rPr>
                <w:sz w:val="4"/>
                <w:szCs w:val="4"/>
              </w:rPr>
            </w:r>
          </w:p>
        </w:tc>
        <w:tc>
          <w:tcPr>
            <w:tcW w:w="1113" w:type="dxa"/>
            <w:gridSpan w:val="3"/>
            <w:tcBorders/>
            <w:shd w:fill="auto" w:val="clear"/>
            <w:vAlign w:val="center"/>
          </w:tcPr>
          <w:p>
            <w:pPr>
              <w:pStyle w:val="TableContents"/>
              <w:spacing w:before="0" w:after="283"/>
              <w:rPr>
                <w:sz w:val="4"/>
                <w:szCs w:val="4"/>
              </w:rPr>
            </w:pPr>
            <w:r>
              <w:rPr>
                <w:sz w:val="4"/>
                <w:szCs w:val="4"/>
              </w:rPr>
            </w:r>
          </w:p>
        </w:tc>
        <w:tc>
          <w:tcPr>
            <w:tcW w:w="9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1040"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95" w:type="dxa"/>
            <w:gridSpan w:val="3"/>
            <w:tcBorders/>
            <w:shd w:fill="auto" w:val="clear"/>
            <w:vAlign w:val="center"/>
          </w:tcPr>
          <w:p>
            <w:pPr>
              <w:pStyle w:val="TableContents"/>
              <w:spacing w:before="0" w:after="283"/>
              <w:rPr>
                <w:sz w:val="4"/>
                <w:szCs w:val="4"/>
              </w:rPr>
            </w:pPr>
            <w:r>
              <w:rPr>
                <w:sz w:val="4"/>
                <w:szCs w:val="4"/>
              </w:rPr>
            </w:r>
          </w:p>
        </w:tc>
        <w:tc>
          <w:tcPr>
            <w:tcW w:w="1113" w:type="dxa"/>
            <w:gridSpan w:val="3"/>
            <w:tcBorders/>
            <w:shd w:fill="auto" w:val="clear"/>
            <w:vAlign w:val="center"/>
          </w:tcPr>
          <w:p>
            <w:pPr>
              <w:pStyle w:val="TableContents"/>
              <w:spacing w:before="0" w:after="283"/>
              <w:rPr>
                <w:sz w:val="4"/>
                <w:szCs w:val="4"/>
              </w:rPr>
            </w:pPr>
            <w:r>
              <w:rPr>
                <w:sz w:val="4"/>
                <w:szCs w:val="4"/>
              </w:rPr>
            </w:r>
          </w:p>
        </w:tc>
        <w:tc>
          <w:tcPr>
            <w:tcW w:w="9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1040"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before="60" w:after="283"/>
        <w:ind w:left="0" w:right="0" w:firstLine="360"/>
        <w:rPr/>
      </w:pPr>
      <w:r>
        <w:rPr/>
      </w:r>
    </w:p>
    <w:p>
      <w:pPr>
        <w:pStyle w:val="TextBody"/>
        <w:spacing w:lineRule="auto" w:line="288" w:before="60" w:after="283"/>
        <w:ind w:left="0" w:right="0" w:firstLine="360"/>
        <w:rPr/>
      </w:pPr>
      <w:hyperlink w:anchor="i6cc7e3401d8a485198d3a93c25e5b7bf_7">
        <w:r>
          <w:rPr>
            <w:rStyle w:val="InternetLink"/>
          </w:rPr>
          <w:t xml:space="preserve">Table of </w:t>
        </w:r>
      </w:hyperlink>
      <w:hyperlink w:anchor="i6cc7e3401d8a485198d3a93c25e5b7bf_7">
        <w:r>
          <w:rPr>
            <w:rStyle w:val="InternetLink"/>
          </w:rPr>
          <w:t>Contents</w:t>
        </w:r>
      </w:hyperlink>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DRE Results</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DRE revenues of $372 million in the three months ended March 31, 2023, increased $80 million, or 27% compared to $292 million in the three months ended March 31, 2022. DRE segment adjusted EBITDA of $108 million in the three months ended March 31, 2023, increased $49 million, or 83% compared to $59 million in the three months ended March 31, 2022. DRE segment adjusted EBITDA margin was 29.0% in the three months ended March 31, 2023, compared to 20.2% in the three months ended March 31, 2022. </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Approximately 70% of the revenue increase was from drilling-related services. Geographically, Latin America contributed approximately 50% to the overall revenue growth, with each remaining geography contributing equally. The increase in revenue was approximately 70% attributable to higher activity with the remainder primarily attributable to pricing. The improvement in segment adjusted EBITDA was equally attributable to higher activity and pricing including timing of cost inflation related recoveries.</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WCC Results</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WCC revenues of $421 million in the three months ended March 31, 2023, increased $77 million, or 22% compared to $344 million in the three months ended March 31, 2022. WCC segment adjusted EBITDA of $96 million in the three months ended March 31, 2023, increased $29 million, or 43% compared to $67 million in the three months ended March 31, 2022. WCC segment adjusted EBITDA margin was 22.8% in the three months ended March 31, 2023, compared to 19.5% in the three months ended March 31, 2022. </w:t>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Approximately 80% of the revenue increase was from cementation products, completions and tubular running services. Geographically, international regions contributed approximately 85% to the overall revenue growth, with each international region contributing equally. The increase in revenue and segment adjusted EBITDA was primarily attributable to higher activity, resulting in margin fall through. </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PRI Results</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PRI revenues of $349 million in the three months ended March 31, 2023, increased $63 million, or 22% compared to $286 million in the three months ended March 31, 2022. PRI segment adjusted EBITDA of $68 million in the three months ended March 31, 2023, increased $29 million, or 74% compared to $39 million in the three months ended March 31, 2022. PRI segment adjusted EBITDA margin was 19.5% in the three months ended March 31, 2023, an improvement compared to 13.6% in the three months ended March 31, 2022. </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Approximately 90% of the revenue increase was from intervention services and drilling tools, pressure pumping and artificial lift. Geographically, international regions contributed approximately 65% to the overall revenue growth, with each international region contributing equally. The increase in revenue and segment adjusted EBITDA was primarily attributable to higher activity, resulting in margin fall through. </w:t>
      </w:r>
    </w:p>
    <w:p>
      <w:pPr>
        <w:pStyle w:val="TextBody"/>
        <w:spacing w:before="0" w:after="0"/>
        <w:ind w:left="0" w:right="0" w:firstLine="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Corporate and Other</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Corporate and other was a net expense of $3 million in the three months ended March 31, 2023 compared to $14 million in the three months ended March 31, 2022. The year-over-year decrease was primarily due to improved results in other non-core businesses that did not individually meet the criteria for segment reporting and from our focus on cost control and efficiency. </w:t>
      </w:r>
    </w:p>
    <w:p>
      <w:pPr>
        <w:pStyle w:val="TextBody"/>
        <w:spacing w:before="0" w:after="0"/>
        <w:ind w:left="0" w:right="0" w:firstLine="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Depreciation and Amortization</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and amortization was $80 million in the three months ended March 31, 2023 compared to $87 million in the three months ended March 31, 2022, respectively. The year-over-year decrease was primarily from a lower asset base. </w:t>
      </w:r>
    </w:p>
    <w:p>
      <w:pPr>
        <w:pStyle w:val="TextBody"/>
        <w:spacing w:before="0" w:after="0"/>
        <w:ind w:left="0" w:right="0" w:firstLine="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before="60" w:after="283"/>
        <w:ind w:left="0" w:right="0" w:firstLine="360"/>
        <w:rPr/>
      </w:pPr>
      <w:r>
        <w:rPr/>
      </w:r>
    </w:p>
    <w:p>
      <w:pPr>
        <w:pStyle w:val="TextBody"/>
        <w:spacing w:lineRule="auto" w:line="288" w:before="60" w:after="283"/>
        <w:ind w:left="0" w:right="0" w:firstLine="360"/>
        <w:rPr/>
      </w:pPr>
      <w:hyperlink w:anchor="i6cc7e3401d8a485198d3a93c25e5b7bf_7">
        <w:r>
          <w:rPr>
            <w:rStyle w:val="InternetLink"/>
          </w:rPr>
          <w:t xml:space="preserve">Table of </w:t>
        </w:r>
      </w:hyperlink>
      <w:hyperlink w:anchor="i6cc7e3401d8a485198d3a93c25e5b7bf_7">
        <w:r>
          <w:rPr>
            <w:rStyle w:val="InternetLink"/>
          </w:rPr>
          <w:t>Contents</w:t>
        </w:r>
      </w:hyperlink>
    </w:p>
    <w:p>
      <w:pPr>
        <w:pStyle w:val="TextBody"/>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Share-based Compensation Expense</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recognized $9 million of share-based compensation expense in the three months ended March 31, 2023, an increase of $2 million compared to $7 million of share-based compensation expense in the three months ended March 31, 2022. The increase was attributable to a higher number of performance share units expected to vest.</w:t>
      </w:r>
    </w:p>
    <w:p>
      <w:pPr>
        <w:pStyle w:val="TextBody"/>
        <w:spacing w:before="0" w:after="0"/>
        <w:ind w:left="0" w:right="0" w:firstLine="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Restructuring Charges</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 restructuring charges were incurred in the three months ended March 31, 2023 and $20 million was incurred in the three months ended March 31, 2022. See “Note 4 – Restructuring Charges” for additional information. </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(Charges) Credits</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(charges) credits in the three months ended March 31, 2023 were a net credit of $5 million and a net charge of $19 million in the three months ended March 31, 2022 related to miscellaneous charges and credits. </w:t>
      </w:r>
    </w:p>
    <w:p>
      <w:pPr>
        <w:pStyle w:val="TextBody"/>
        <w:spacing w:before="0" w:after="0"/>
        <w:ind w:left="0" w:right="0" w:firstLine="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 xml:space="preserve">Outlook </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Growth and spending in the energy services industry is highly dependent on many external factors. These include but are not limited to: inflation; geopolitical uncertainty; supply chain disruptions; energy policies at local and regional levels; and, the price of oil and natural gas. For 2023, we expect continued growth in our customer activity levels and notwithstanding recessionary concerns, we expect continued improvement in our customer activity, especially in international markets. However, we continue to closely monitor the global market and are well positioned to pivot our strategy as changes in external factors require.</w:t>
      </w:r>
    </w:p>
    <w:p>
      <w:pPr>
        <w:pStyle w:val="TextBody"/>
        <w:spacing w:before="0" w:after="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customers continue to face challenges in balancing the cost of extraction activities with securing desired rates of production while achieving acceptable rates of return on investment. These challenges increase our customers’ requirements for technologies that improve productivity and efficiency and pressures us to deliver our products and services at competitive rates. While we believe we are well positioned to satisfy our customers’ needs, the level of improvement in our businesses in the future will continue to depend heavily on pricing, volume of work, our ability to offer cost efficient, innovative and effective technology solutions, and our success in gaining market share in new and existing markets. </w:t>
      </w:r>
    </w:p>
    <w:p>
      <w:pPr>
        <w:pStyle w:val="TextBody"/>
        <w:spacing w:before="0" w:after="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continue to follow our long-term strategy, aimed at achieving sustainable profitability and cash flow generation in our businesses, servicing our customers and creating value for our shareholders. Our long-term success will be determined by our ability to effectively manage the cyclicality of our industry, including growth during the current up-cycles and potential prolonged industry downturns, our ability to respond to industry changes and demands, while managing through risks we may be exposed to, and ultimately our ability to generate consistent positive cash flow and positive returns on invested capital.</w:t>
      </w:r>
    </w:p>
    <w:p>
      <w:pPr>
        <w:pStyle w:val="TextBody"/>
        <w:spacing w:before="0" w:after="0"/>
        <w:ind w:left="0" w:right="0" w:firstLine="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before="60" w:after="283"/>
        <w:ind w:left="0" w:right="0" w:firstLine="360"/>
        <w:rPr/>
      </w:pPr>
      <w:r>
        <w:rPr/>
      </w:r>
    </w:p>
    <w:p>
      <w:pPr>
        <w:pStyle w:val="TextBody"/>
        <w:spacing w:lineRule="auto" w:line="288" w:before="60" w:after="283"/>
        <w:ind w:left="0" w:right="0" w:firstLine="360"/>
        <w:rPr/>
      </w:pPr>
      <w:hyperlink w:anchor="i6cc7e3401d8a485198d3a93c25e5b7bf_7">
        <w:r>
          <w:rPr>
            <w:rStyle w:val="InternetLink"/>
          </w:rPr>
          <w:t xml:space="preserve">Table of </w:t>
        </w:r>
      </w:hyperlink>
      <w:hyperlink w:anchor="i6cc7e3401d8a485198d3a93c25e5b7bf_7">
        <w:r>
          <w:rPr>
            <w:rStyle w:val="InternetLink"/>
          </w:rPr>
          <w:t>Contents</w:t>
        </w:r>
      </w:hyperlink>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spacing w:before="0" w:after="0"/>
        <w:ind w:left="0" w:right="0" w:firstLine="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March 31, 2023, we had cash and cash equivalents of $833 million and $150 million in restricted cash, compared to $910 million of cash and cash equivalents and $202 million in restricted cash at December 31, 2022. </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cash flows provided by (used in) each type of business activity in the periods presented:</w:t>
      </w:r>
    </w:p>
    <w:tbl>
      <w:tblPr>
        <w:tblW w:w="7198" w:type="dxa"/>
        <w:jc w:val="center"/>
        <w:tblInd w:w="0" w:type="dxa"/>
        <w:tblCellMar>
          <w:top w:w="28" w:type="dxa"/>
          <w:left w:w="28" w:type="dxa"/>
          <w:bottom w:w="28" w:type="dxa"/>
          <w:right w:w="28" w:type="dxa"/>
        </w:tblCellMar>
      </w:tblPr>
      <w:tblGrid>
        <w:gridCol w:w="1579"/>
        <w:gridCol w:w="1387"/>
        <w:gridCol w:w="1399"/>
        <w:gridCol w:w="360"/>
        <w:gridCol w:w="923"/>
        <w:gridCol w:w="185"/>
        <w:gridCol w:w="360"/>
        <w:gridCol w:w="743"/>
        <w:gridCol w:w="262"/>
      </w:tblGrid>
      <w:tr>
        <w:trPr/>
        <w:tc>
          <w:tcPr>
            <w:tcW w:w="1579" w:type="dxa"/>
            <w:tcBorders/>
            <w:shd w:fill="auto" w:val="clear"/>
            <w:vAlign w:val="center"/>
          </w:tcPr>
          <w:p>
            <w:pPr>
              <w:pStyle w:val="TableContents"/>
              <w:spacing w:before="0" w:after="283"/>
              <w:rPr>
                <w:sz w:val="4"/>
                <w:szCs w:val="4"/>
              </w:rPr>
            </w:pPr>
            <w:r>
              <w:rPr>
                <w:sz w:val="4"/>
                <w:szCs w:val="4"/>
              </w:rPr>
            </w:r>
          </w:p>
        </w:tc>
        <w:tc>
          <w:tcPr>
            <w:tcW w:w="1387" w:type="dxa"/>
            <w:tcBorders/>
            <w:shd w:fill="auto" w:val="clear"/>
            <w:vAlign w:val="center"/>
          </w:tcPr>
          <w:p>
            <w:pPr>
              <w:pStyle w:val="TableContents"/>
              <w:spacing w:before="0" w:after="283"/>
              <w:rPr>
                <w:sz w:val="4"/>
                <w:szCs w:val="4"/>
              </w:rPr>
            </w:pPr>
            <w:r>
              <w:rPr>
                <w:sz w:val="4"/>
                <w:szCs w:val="4"/>
              </w:rPr>
            </w:r>
          </w:p>
        </w:tc>
        <w:tc>
          <w:tcPr>
            <w:tcW w:w="139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923"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743"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r>
      <w:tr>
        <w:trPr/>
        <w:tc>
          <w:tcPr>
            <w:tcW w:w="4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3"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43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(Dollars in millions)</w:t>
            </w:r>
          </w:p>
        </w:tc>
        <w:tc>
          <w:tcPr>
            <w:tcW w:w="146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3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36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Operating Activities</w:t>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Investing Activities</w:t>
            </w:r>
          </w:p>
        </w:tc>
        <w:tc>
          <w:tcPr>
            <w:tcW w:w="36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36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2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5" w:type="dxa"/>
            <w:gridSpan w:val="3"/>
            <w:tcBorders/>
            <w:shd w:fill="auto" w:val="clear"/>
            <w:vAlign w:val="center"/>
          </w:tcPr>
          <w:p>
            <w:pPr>
              <w:pStyle w:val="TableContents"/>
              <w:spacing w:before="0" w:after="283"/>
              <w:rPr>
                <w:sz w:val="4"/>
                <w:szCs w:val="4"/>
              </w:rPr>
            </w:pPr>
            <w:r>
              <w:rPr>
                <w:sz w:val="4"/>
                <w:szCs w:val="4"/>
              </w:rPr>
            </w:r>
          </w:p>
        </w:tc>
        <w:tc>
          <w:tcPr>
            <w:tcW w:w="1468" w:type="dxa"/>
            <w:gridSpan w:val="3"/>
            <w:tcBorders/>
            <w:shd w:fill="auto" w:val="clear"/>
            <w:vAlign w:val="center"/>
          </w:tcPr>
          <w:p>
            <w:pPr>
              <w:pStyle w:val="TableContents"/>
              <w:spacing w:before="0" w:after="283"/>
              <w:rPr>
                <w:sz w:val="4"/>
                <w:szCs w:val="4"/>
              </w:rPr>
            </w:pPr>
            <w:r>
              <w:rPr>
                <w:sz w:val="4"/>
                <w:szCs w:val="4"/>
              </w:rPr>
            </w:r>
          </w:p>
        </w:tc>
        <w:tc>
          <w:tcPr>
            <w:tcW w:w="1365" w:type="dxa"/>
            <w:gridSpan w:val="3"/>
            <w:tcBorders/>
            <w:shd w:fill="auto" w:val="clear"/>
            <w:vAlign w:val="center"/>
          </w:tcPr>
          <w:p>
            <w:pPr>
              <w:pStyle w:val="TableContents"/>
              <w:spacing w:before="0" w:after="283"/>
              <w:rPr>
                <w:sz w:val="4"/>
                <w:szCs w:val="4"/>
              </w:rPr>
            </w:pPr>
            <w:r>
              <w:rPr>
                <w:sz w:val="4"/>
                <w:szCs w:val="4"/>
              </w:rPr>
            </w:r>
          </w:p>
        </w:tc>
      </w:tr>
      <w:tr>
        <w:trPr/>
        <w:tc>
          <w:tcPr>
            <w:tcW w:w="4365" w:type="dxa"/>
            <w:gridSpan w:val="3"/>
            <w:tcBorders/>
            <w:shd w:fill="auto" w:val="clear"/>
            <w:vAlign w:val="center"/>
          </w:tcPr>
          <w:p>
            <w:pPr>
              <w:pStyle w:val="TableContents"/>
              <w:spacing w:before="0" w:after="283"/>
              <w:rPr>
                <w:sz w:val="4"/>
                <w:szCs w:val="4"/>
              </w:rPr>
            </w:pPr>
            <w:r>
              <w:rPr>
                <w:sz w:val="4"/>
                <w:szCs w:val="4"/>
              </w:rPr>
            </w:r>
          </w:p>
        </w:tc>
        <w:tc>
          <w:tcPr>
            <w:tcW w:w="1468" w:type="dxa"/>
            <w:gridSpan w:val="3"/>
            <w:tcBorders/>
            <w:shd w:fill="auto" w:val="clear"/>
            <w:vAlign w:val="center"/>
          </w:tcPr>
          <w:p>
            <w:pPr>
              <w:pStyle w:val="TableContents"/>
              <w:spacing w:before="0" w:after="283"/>
              <w:rPr>
                <w:sz w:val="4"/>
                <w:szCs w:val="4"/>
              </w:rPr>
            </w:pPr>
            <w:r>
              <w:rPr>
                <w:sz w:val="4"/>
                <w:szCs w:val="4"/>
              </w:rPr>
            </w:r>
          </w:p>
        </w:tc>
        <w:tc>
          <w:tcPr>
            <w:tcW w:w="1365" w:type="dxa"/>
            <w:gridSpan w:val="3"/>
            <w:tcBorders/>
            <w:shd w:fill="auto" w:val="clear"/>
            <w:vAlign w:val="center"/>
          </w:tcPr>
          <w:p>
            <w:pPr>
              <w:pStyle w:val="TableContents"/>
              <w:spacing w:before="0" w:after="283"/>
              <w:rPr>
                <w:sz w:val="4"/>
                <w:szCs w:val="4"/>
              </w:rPr>
            </w:pPr>
            <w:r>
              <w:rPr>
                <w:sz w:val="4"/>
                <w:szCs w:val="4"/>
              </w:rPr>
            </w:r>
          </w:p>
        </w:tc>
      </w:tr>
      <w:tr>
        <w:trPr/>
        <w:tc>
          <w:tcPr>
            <w:tcW w:w="4365" w:type="dxa"/>
            <w:gridSpan w:val="3"/>
            <w:tcBorders/>
            <w:shd w:fill="auto" w:val="clear"/>
            <w:vAlign w:val="center"/>
          </w:tcPr>
          <w:p>
            <w:pPr>
              <w:pStyle w:val="TableContents"/>
              <w:spacing w:before="0" w:after="283"/>
              <w:rPr>
                <w:sz w:val="4"/>
                <w:szCs w:val="4"/>
              </w:rPr>
            </w:pPr>
            <w:r>
              <w:rPr>
                <w:sz w:val="4"/>
                <w:szCs w:val="4"/>
              </w:rPr>
            </w:r>
          </w:p>
        </w:tc>
        <w:tc>
          <w:tcPr>
            <w:tcW w:w="1468" w:type="dxa"/>
            <w:gridSpan w:val="3"/>
            <w:tcBorders/>
            <w:shd w:fill="auto" w:val="clear"/>
            <w:vAlign w:val="center"/>
          </w:tcPr>
          <w:p>
            <w:pPr>
              <w:pStyle w:val="TableContents"/>
              <w:spacing w:before="0" w:after="283"/>
              <w:rPr>
                <w:sz w:val="4"/>
                <w:szCs w:val="4"/>
              </w:rPr>
            </w:pPr>
            <w:r>
              <w:rPr>
                <w:sz w:val="4"/>
                <w:szCs w:val="4"/>
              </w:rPr>
            </w:r>
          </w:p>
        </w:tc>
        <w:tc>
          <w:tcPr>
            <w:tcW w:w="1365" w:type="dxa"/>
            <w:gridSpan w:val="3"/>
            <w:tcBorders/>
            <w:shd w:fill="auto" w:val="clear"/>
            <w:vAlign w:val="center"/>
          </w:tcPr>
          <w:p>
            <w:pPr>
              <w:pStyle w:val="TableContents"/>
              <w:spacing w:before="0" w:after="283"/>
              <w:rPr>
                <w:sz w:val="4"/>
                <w:szCs w:val="4"/>
              </w:rPr>
            </w:pPr>
            <w:r>
              <w:rPr>
                <w:sz w:val="4"/>
                <w:szCs w:val="4"/>
              </w:rPr>
            </w:r>
          </w:p>
        </w:tc>
      </w:tr>
      <w:tr>
        <w:trPr/>
        <w:tc>
          <w:tcPr>
            <w:tcW w:w="4365" w:type="dxa"/>
            <w:gridSpan w:val="3"/>
            <w:tcBorders/>
            <w:shd w:fill="auto" w:val="clear"/>
            <w:vAlign w:val="center"/>
          </w:tcPr>
          <w:p>
            <w:pPr>
              <w:pStyle w:val="TableContents"/>
              <w:spacing w:before="0" w:after="283"/>
              <w:rPr>
                <w:sz w:val="4"/>
                <w:szCs w:val="4"/>
              </w:rPr>
            </w:pPr>
            <w:r>
              <w:rPr>
                <w:sz w:val="4"/>
                <w:szCs w:val="4"/>
              </w:rPr>
            </w:r>
          </w:p>
        </w:tc>
        <w:tc>
          <w:tcPr>
            <w:tcW w:w="1468" w:type="dxa"/>
            <w:gridSpan w:val="3"/>
            <w:tcBorders/>
            <w:shd w:fill="auto" w:val="clear"/>
            <w:vAlign w:val="center"/>
          </w:tcPr>
          <w:p>
            <w:pPr>
              <w:pStyle w:val="TableContents"/>
              <w:spacing w:before="0" w:after="283"/>
              <w:rPr>
                <w:sz w:val="4"/>
                <w:szCs w:val="4"/>
              </w:rPr>
            </w:pPr>
            <w:r>
              <w:rPr>
                <w:sz w:val="4"/>
                <w:szCs w:val="4"/>
              </w:rPr>
            </w:r>
          </w:p>
        </w:tc>
        <w:tc>
          <w:tcPr>
            <w:tcW w:w="1365" w:type="dxa"/>
            <w:gridSpan w:val="3"/>
            <w:tcBorders/>
            <w:shd w:fill="auto" w:val="clear"/>
            <w:vAlign w:val="center"/>
          </w:tcPr>
          <w:p>
            <w:pPr>
              <w:pStyle w:val="TableContents"/>
              <w:spacing w:before="0" w:after="283"/>
              <w:rPr>
                <w:sz w:val="4"/>
                <w:szCs w:val="4"/>
              </w:rPr>
            </w:pPr>
            <w:r>
              <w:rPr>
                <w:sz w:val="4"/>
                <w:szCs w:val="4"/>
              </w:rPr>
            </w:r>
          </w:p>
        </w:tc>
      </w:tr>
      <w:tr>
        <w:trPr/>
        <w:tc>
          <w:tcPr>
            <w:tcW w:w="4365" w:type="dxa"/>
            <w:gridSpan w:val="3"/>
            <w:tcBorders/>
            <w:shd w:fill="auto" w:val="clear"/>
            <w:vAlign w:val="center"/>
          </w:tcPr>
          <w:p>
            <w:pPr>
              <w:pStyle w:val="TableContents"/>
              <w:spacing w:before="0" w:after="283"/>
              <w:rPr>
                <w:sz w:val="4"/>
                <w:szCs w:val="4"/>
              </w:rPr>
            </w:pPr>
            <w:r>
              <w:rPr>
                <w:sz w:val="4"/>
                <w:szCs w:val="4"/>
              </w:rPr>
            </w:r>
          </w:p>
        </w:tc>
        <w:tc>
          <w:tcPr>
            <w:tcW w:w="1468" w:type="dxa"/>
            <w:gridSpan w:val="3"/>
            <w:tcBorders/>
            <w:shd w:fill="auto" w:val="clear"/>
            <w:vAlign w:val="center"/>
          </w:tcPr>
          <w:p>
            <w:pPr>
              <w:pStyle w:val="TableContents"/>
              <w:spacing w:before="0" w:after="283"/>
              <w:rPr>
                <w:sz w:val="4"/>
                <w:szCs w:val="4"/>
              </w:rPr>
            </w:pPr>
            <w:r>
              <w:rPr>
                <w:sz w:val="4"/>
                <w:szCs w:val="4"/>
              </w:rPr>
            </w:r>
          </w:p>
        </w:tc>
        <w:tc>
          <w:tcPr>
            <w:tcW w:w="1365" w:type="dxa"/>
            <w:gridSpan w:val="3"/>
            <w:tcBorders/>
            <w:shd w:fill="auto" w:val="clear"/>
            <w:vAlign w:val="center"/>
          </w:tcPr>
          <w:p>
            <w:pPr>
              <w:pStyle w:val="TableContents"/>
              <w:spacing w:before="0" w:after="283"/>
              <w:rPr>
                <w:sz w:val="4"/>
                <w:szCs w:val="4"/>
              </w:rPr>
            </w:pPr>
            <w:r>
              <w:rPr>
                <w:sz w:val="4"/>
                <w:szCs w:val="4"/>
              </w:rPr>
            </w:r>
          </w:p>
        </w:tc>
      </w:tr>
      <w:tr>
        <w:trPr/>
        <w:tc>
          <w:tcPr>
            <w:tcW w:w="4365" w:type="dxa"/>
            <w:gridSpan w:val="3"/>
            <w:tcBorders/>
            <w:shd w:fill="auto" w:val="clear"/>
            <w:vAlign w:val="center"/>
          </w:tcPr>
          <w:p>
            <w:pPr>
              <w:pStyle w:val="TableContents"/>
              <w:spacing w:before="0" w:after="283"/>
              <w:rPr>
                <w:sz w:val="4"/>
                <w:szCs w:val="4"/>
              </w:rPr>
            </w:pPr>
            <w:r>
              <w:rPr>
                <w:sz w:val="4"/>
                <w:szCs w:val="4"/>
              </w:rPr>
            </w:r>
          </w:p>
        </w:tc>
        <w:tc>
          <w:tcPr>
            <w:tcW w:w="1468" w:type="dxa"/>
            <w:gridSpan w:val="3"/>
            <w:tcBorders/>
            <w:shd w:fill="auto" w:val="clear"/>
            <w:vAlign w:val="center"/>
          </w:tcPr>
          <w:p>
            <w:pPr>
              <w:pStyle w:val="TableContents"/>
              <w:spacing w:before="0" w:after="283"/>
              <w:rPr>
                <w:sz w:val="4"/>
                <w:szCs w:val="4"/>
              </w:rPr>
            </w:pPr>
            <w:r>
              <w:rPr>
                <w:sz w:val="4"/>
                <w:szCs w:val="4"/>
              </w:rPr>
            </w:r>
          </w:p>
        </w:tc>
        <w:tc>
          <w:tcPr>
            <w:tcW w:w="1365"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Operating Activities</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Cash provided by operating activities was $84 million for the three months ended March 31, 2023. The primary source of cash provided by operating activities was higher operating income that more than offset higher operating and seasonal working capital requirements.</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Cash used in operating activities was $64 million for the three months ended March 31, 2022. The primary uses of cash in operating activities were driven by seasonal working capital requirements.</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Investing Activities</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Cash used in investing activities was $64 million for the three months ended March 31, 2023. The primary investing activity was cash used for capital expenditures of $64 million.</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Cash provided by investing activities was $9 million for the three months ended March 31, 2022. The primary investing activities included proceeds from a settlement of escrow related to the sale of business for $9 million, cash used for capital expenditures of $20 million, which was offset by proceeds from the sale of assets of $20 million.</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Financing Activities</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Cash used in financing activities was $127 million for the three months ended March 31, 2023. The primary uses of cash were $66 million for repayments and repurchases of long-term debt and $52 million in tax remittances on equity awards vested. The tax remittances were higher relative to the three months ended March 31, 2022 due to an increase in both the share price and the quantity of shares vested. </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Cash used in financing activities was $5 million for the three months ended March 31, 2022 which includes $4 million of finance lease payments and $1 million in tax remittances on equity awards vested.</w:t>
      </w:r>
    </w:p>
    <w:p>
      <w:pPr>
        <w:pStyle w:val="TextBody"/>
        <w:spacing w:before="0" w:after="0"/>
        <w:ind w:left="0" w:right="0" w:firstLine="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 xml:space="preserve">Sources of Liquidity </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sources of available liquidity include cash generated by our operations, cash and cash equivalent balances, and accounts receivable factoring. From time to time, we may enter into transactions to dispose of businesses or capital assets that no longer fit our long-term strategy. We historically have accessed banks for short-term loans and the capital markets for debt and equity offerings. Based upon current and anticipated levels of operations and our 2021 refinancing transactions, we expect to have sufficient cash from operations and cash on hand to fund our cash requirements (discussed below and in “Note 7 – Borrowings and Other Debt Obligations”) and financial obligations, both in the short-term and long-term.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Cash Requirements</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cash requirements will continue to include payments for principal and interest on our long-term debt, capital expenditures, payments on our finance and operating leases, payments for short-term working capital needs and operating costs. </w:t>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before="60" w:after="283"/>
        <w:ind w:left="0" w:right="0" w:firstLine="360"/>
        <w:rPr/>
      </w:pPr>
      <w:r>
        <w:rPr/>
      </w:r>
    </w:p>
    <w:p>
      <w:pPr>
        <w:pStyle w:val="TextBody"/>
        <w:spacing w:lineRule="auto" w:line="288" w:before="60" w:after="283"/>
        <w:ind w:left="0" w:right="0" w:firstLine="360"/>
        <w:rPr/>
      </w:pPr>
      <w:hyperlink w:anchor="i6cc7e3401d8a485198d3a93c25e5b7bf_7">
        <w:r>
          <w:rPr>
            <w:rStyle w:val="InternetLink"/>
          </w:rPr>
          <w:t xml:space="preserve">Table of </w:t>
        </w:r>
      </w:hyperlink>
      <w:hyperlink w:anchor="i6cc7e3401d8a485198d3a93c25e5b7bf_7">
        <w:r>
          <w:rPr>
            <w:rStyle w:val="InternetLink"/>
          </w:rPr>
          <w:t>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the extent business activity continues to rise, we expect to make more tax payments and to utilize cash on reducing our debt structure and invest in capital assets and our working capital. Our cash requirements also include personnel costs including awards under our employee incentive programs as well as other amounts to settle litigation related matters.</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we had outstanding debt of $105 million in aggregate principal amount for our Exit Notes maturing on December 1, 2024 (which we announced on April 20, 2023 that we intend to redeem in total on May 22, 2023), $441 million in aggregate principal amount for our 2028 Senior Secured Notes and $1.6 billion in aggregate principal amount for our 2030 Senior Notes. For these notes, after the May 2023 redemption of the Exit Notes, we expect $173 million in interest payments annually in 2023 and approximately $167 million in interest payments annually, beginning in 2024 until the maturity of these obligations. See “Note 7 – Borrowings and Other Debt Obligations” for additional information.</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capital spending for 2023 is projected to be between $200 million to $230 million. Our payments on our operating and finance leases in 2023 are expected to be approximately $64 million and $19 million, respectively.</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and restricted cash are held by subsidiaries outside of Ireland. At March 31, 2023 we had approximately $174 million of our cash and cash equivalents that cannot be immediately repatriated from various countries due to country central bank controls or other regulations. Based on the nature of our structure, other than the restrictions noted above, we foresee we will be able to redeploy cash with minimal to no incremental tax.</w:t>
      </w:r>
    </w:p>
    <w:p>
      <w:pPr>
        <w:pStyle w:val="TextBody"/>
        <w:spacing w:before="0" w:after="0"/>
        <w:ind w:left="0" w:right="0" w:firstLine="3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firstLine="360"/>
        <w:rPr>
          <w:rFonts w:ascii="Times New Roman;sans-serif" w:hAnsi="Times New Roman;sans-serif"/>
          <w:b/>
          <w:i/>
          <w:color w:val="000000"/>
          <w:sz w:val="20"/>
        </w:rPr>
      </w:pPr>
      <w:r>
        <w:rPr>
          <w:rFonts w:ascii="Times New Roman;sans-serif" w:hAnsi="Times New Roman;sans-serif"/>
          <w:b/>
          <w:i/>
          <w:color w:val="000000"/>
          <w:sz w:val="20"/>
        </w:rPr>
        <w:t xml:space="preserve">Ratings Services’ Credit Ratings </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credit ratings at March 31, 2023 were maintained since December 31, 2022.</w:t>
      </w:r>
    </w:p>
    <w:p>
      <w:pPr>
        <w:pStyle w:val="TextBody"/>
        <w:spacing w:before="0" w:after="0"/>
        <w:ind w:left="0" w:right="0" w:firstLine="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Standard and Poor’s corporate family and senior unsecured notes ratings are at B, and our senior secured notes and Credit Agreement ratings are BB-. The outlook is stable.</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Moody’s Investors Service corporate family rating is at B2, our senior unsecured notes rating is at B3, and our senior secured notes and Credit Agreement ratings are at Ba3. The outlook is stable.</w:t>
      </w:r>
    </w:p>
    <w:p>
      <w:pPr>
        <w:pStyle w:val="TextBody"/>
        <w:spacing w:before="0" w:after="0"/>
        <w:ind w:left="0" w:right="0" w:firstLine="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firstLine="360"/>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Customer Receivables</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may experience delayed customer payments and payment defaults due to, among other reasons, a weaker economic environment, reductions in our customers’ cash flow from operations, our customers’ inability to access credit markets, as well as unsettled political conditions. Allowances have been recorded for receivables believed to be uncollectible, including amounts for the resolution of potential credit and other collection issues such as disputed invoices. Adjustments to the allowance are made depending on how potential issues are resolved and the financial condition of our customers. In addition, our customers are primarily in fossil fuel-related industries and broad declines in demand for or pricing of oil or natural gas might impact the collections of our customer receivables.</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2022 and March 31, 2023, our net accounts receivables in Mexico comprised 21% and 27% of our total net account receivables, respectively. From time to time, we experience delays in payments from customers in Mexico, and although the balances due are not in dispute and we do not expect to have any material write-offs of receivables, delays or failure to pay in the future could differ from management’s expectations and negatively impact future results of the company. </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2022 and March 31, 2023, net accounts receivables in the U.S. comprised 12% of total net accounts receivables. Except for the above, no other country accounted for more than 10% of our net accounts receivables balance. </w:t>
      </w:r>
    </w:p>
    <w:p>
      <w:pPr>
        <w:pStyle w:val="TextBody"/>
        <w:spacing w:before="0" w:after="0"/>
        <w:ind w:left="0" w:right="0" w:firstLine="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 xml:space="preserve">Accounts Receivable Factoring </w:t>
      </w:r>
    </w:p>
    <w:p>
      <w:pPr>
        <w:pStyle w:val="TextBody"/>
        <w:spacing w:before="0" w:after="0"/>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participate in factoring arrangements to sell accounts receivable to third-party financial institutions for cash proceeds net of discount and hold-back. During the three months ended March 31, 2023 and 2022, we sold accounts receivable balances of $46 million and $17 million, and received cash proceeds of $42 million and $15 million, respectively.</w:t>
      </w:r>
    </w:p>
    <w:p>
      <w:pPr>
        <w:pStyle w:val="TextBody"/>
        <w:spacing w:before="0" w:after="0"/>
        <w:ind w:left="0" w:right="0" w:firstLine="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before="60" w:after="283"/>
        <w:ind w:left="0" w:right="0" w:firstLine="360"/>
        <w:rPr/>
      </w:pPr>
      <w:r>
        <w:rPr/>
      </w:r>
    </w:p>
    <w:p>
      <w:pPr>
        <w:pStyle w:val="TextBody"/>
        <w:spacing w:lineRule="auto" w:line="288" w:before="60" w:after="283"/>
        <w:ind w:left="0" w:right="0" w:firstLine="360"/>
        <w:rPr/>
      </w:pPr>
      <w:hyperlink w:anchor="i6cc7e3401d8a485198d3a93c25e5b7bf_7">
        <w:r>
          <w:rPr>
            <w:rStyle w:val="InternetLink"/>
          </w:rPr>
          <w:t xml:space="preserve">Table of </w:t>
        </w:r>
      </w:hyperlink>
      <w:hyperlink w:anchor="i6cc7e3401d8a485198d3a93c25e5b7bf_7">
        <w:r>
          <w:rPr>
            <w:rStyle w:val="InternetLink"/>
          </w:rPr>
          <w:t>Contents</w:t>
        </w:r>
      </w:hyperlink>
    </w:p>
    <w:p>
      <w:pPr>
        <w:pStyle w:val="TextBody"/>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Guarantees</w:t>
      </w:r>
    </w:p>
    <w:p>
      <w:pPr>
        <w:pStyle w:val="TextBody"/>
        <w:spacing w:before="0" w:after="0"/>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Exit Notes and 2028 Senior Secured Notes were issued by Weatherford International Ltd., a Bermuda exempted company (“Weatherford Bermuda”), and guaranteed by the Company and Weatherford International, LLC, a Delaware limited liability company (“Weatherford Delaware”) and other subsidiary guarantors party thereto. </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2030 Senior Notes were originally co-issued by Weatherford Bermuda and Weatherford Delaware and guaranteed by the Company and other subsidiary guarantors party thereto.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 xml:space="preserve">Credit Agreement, Letter of Credit and Surety Bonds </w:t>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Weatherford Bermuda, Weatherford Delaware, and Weatherford Canada Ltd. (“Weatherford Canada”), together, as borrowers, and the Company as parent, have an amended and restated credit agreement (the “Credit Agreement”). The Credit Agreement allows for a total commitment amount of $400 million maturing on October 17, 2026 (subject to a $250 million minimum liquidity covenant and a minimum interest coverage ratio and maximum ratio of funded debt), provided that no more than $50 million of our Exit Notes are outstanding on August 30, 2024 (otherwise the maturity date becomes August 30, 2024). On March 24, 2023, we further amended the Credit Agreement to permit unlimited prepayments and other redemptions of indebtedness subject to (i) the ratio of funded debt (net of unrestricted cash in excess of $400 million) to consolidated adjusted EBITDA as defined in the Credit Agreement, not exceeding 2.50 to 1.00, (ii) no default or event of default existing and (iii) aggregate proforma liquidity in the event of a debt reduction equaling or exceeding $300 million (which previously was $350 million). The material terms of the Credit Agreement or exceeding $300 million (which previously was $350 million). The material terms of the Credit Agreement are otherwise unchanged. The obligations under the Credit Agreement are guaranteed by the Company and certain of our subsidiaries and secured by substantially all of the personal property of the Company and those subsidiaries. </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we had $405 million of letters of credit outstanding, consisting of the $253 million under the Credit Agreement and another $152 million under various uncommitted bi-lateral facilities (of which there was $146 million in cash collateral held and recorded in “Restricted Cash” on the Condensed Consolidated Balance Sheets). At March 31, 2023, we had $147 million remaining letters of credit available under our Credit Agreement.</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utilize surety bonds as part of our customary business practice in Latin America. As of March 31, 2023, we had surety bonds outstanding of $430 million. Any of our outstanding letters of credit or surety bonds could be called by the beneficiaries should we breach certain contractual or performance obligations and could reduce our available liquidity if we are unable to mitigate the issue.</w:t>
      </w:r>
    </w:p>
    <w:p>
      <w:pPr>
        <w:pStyle w:val="TextBody"/>
        <w:spacing w:before="0" w:after="0"/>
        <w:ind w:left="0" w:right="0" w:firstLine="3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report contains various statements relating to future financial performance and results, business strategy, plans, goals and objectives, including certain projections, business trends and other statements that are not historical facts. These statements constitute forward-looking statements. These forward-looking statements generally are identified by the words “believe,” “project,” “expect,” “anticipate,” “estimate,” “intend,” “budget,” “strategy,” “plan,” “guidance,” “outlook,” “may,” “should,” “could,” “will,” “would,” “will be,” “will continue,” “will likely result,” and similar expressions, although not all forward-looking statements contain these identifying words.</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Forward-looking statements reflect our beliefs and expectations based on current estimates and projections. While we believe these expectations, and the estimates and projections on which they are based, are reasonable and were made in good faith, these statements are subject to numerous risks and uncertainties. Accordingly, our actual outcomes and results may differ materially from what we have expressed or forecasted in the forward-looking statements. The forward-looking statements included herein are only made as of the date of this report, or if earlier, as of the date they were made, and we undertake no obligation to correct, update or revise any forward-looking statement, whether as a result of new information, future events, or otherwise, except to the extent required under federal securities laws. The following, together with disclosures under “Part II – Other Information – Item 1A. Risk Factors”, sets forth certain risks and uncertainties relating to our forward-looking statements that may cause actual results to be materially different from our present expectations or projections:</w:t>
      </w:r>
    </w:p>
    <w:p>
      <w:pPr>
        <w:pStyle w:val="TextBody"/>
        <w:spacing w:before="0" w:after="0"/>
        <w:ind w:left="0" w:right="0" w:firstLine="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global political, economic and market conditions, banking crises, political disturbances, war, terrorist attacks, changes in global trade policies, weak local economic conditions and international currency fluctuations (including the Russia Ukraine Conflict);</w:t>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before="60" w:after="283"/>
        <w:ind w:left="0" w:right="0" w:firstLine="360"/>
        <w:rPr/>
      </w:pPr>
      <w:r>
        <w:rPr/>
      </w:r>
    </w:p>
    <w:p>
      <w:pPr>
        <w:pStyle w:val="TextBody"/>
        <w:spacing w:lineRule="auto" w:line="288" w:before="60" w:after="283"/>
        <w:ind w:left="0" w:right="0" w:firstLine="360"/>
        <w:rPr/>
      </w:pPr>
      <w:hyperlink w:anchor="i6cc7e3401d8a485198d3a93c25e5b7bf_7">
        <w:r>
          <w:rPr>
            <w:rStyle w:val="InternetLink"/>
          </w:rPr>
          <w:t xml:space="preserve">Table of </w:t>
        </w:r>
      </w:hyperlink>
      <w:hyperlink w:anchor="i6cc7e3401d8a485198d3a93c25e5b7bf_7">
        <w:r>
          <w:rPr>
            <w:rStyle w:val="InternetLink"/>
          </w:rPr>
          <w:t>Contents</w:t>
        </w:r>
      </w:hyperlink>
    </w:p>
    <w:p>
      <w:pPr>
        <w:pStyle w:val="TextBody"/>
        <w:spacing w:lineRule="auto" w:line="288" w:before="0" w:after="0"/>
        <w:ind w:left="0" w:right="0" w:hanging="360"/>
        <w:jc w:val="both"/>
        <w:rPr>
          <w:color w:val="000000"/>
        </w:rPr>
      </w:pPr>
      <w:r>
        <w:rPr>
          <w:color w:val="000000"/>
        </w:rPr>
        <w:t xml:space="preserve">• </w:t>
      </w:r>
      <w:r>
        <w:rPr>
          <w:rFonts w:ascii="Times New Roman;sans-serif" w:hAnsi="Times New Roman;sans-serif"/>
          <w:b w:val="false"/>
          <w:color w:val="000000"/>
          <w:sz w:val="20"/>
        </w:rPr>
        <w:t>general global economic repercussions related to U.S. and global inflationary pressures and potential recessionary concerns;</w:t>
      </w:r>
    </w:p>
    <w:p>
      <w:pPr>
        <w:pStyle w:val="TextBody"/>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failure to ensure on-going compliance with current and future laws and government regulations, including but not limited to those related to the Russia Ukraine Conflict, and environmental and tax and accounting laws, rules and regulations.</w:t>
      </w:r>
    </w:p>
    <w:p>
      <w:pPr>
        <w:pStyle w:val="TextBody"/>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changes in, and the administration of, treaties, laws, and regulations, including in response to issues related to the Russia Ukraine Conflict and the potential for such issues to exacerbate other risks we face, including those related to the other risks and uncertainties listed or referenced;</w:t>
      </w:r>
    </w:p>
    <w:p>
      <w:pPr>
        <w:pStyle w:val="TextBody"/>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cybersecurity incidents, as our reliance on digital technologies increases, those digital technologies may become more vulnerable and/or experience a higher rate of cybersecurity attacks, intrusions or incidents in the current environment of remote connectivity, as well as increased geopolitical conflicts and tensions, including as a result of the Russia Ukraine Conflict;</w:t>
      </w:r>
    </w:p>
    <w:p>
      <w:pPr>
        <w:pStyle w:val="TextBody"/>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our ability to comply with, and respond to, climate change, environmental, social and governance and other “sustainability” initiatives and future legislative and regulatory measures both globally and in the specific geographic regions in which we and our customers operate;</w:t>
      </w:r>
    </w:p>
    <w:p>
      <w:pPr>
        <w:pStyle w:val="TextBody"/>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our ability to effectively and timely address the need to conduct our operations and provision of services to our customers more sustainably and with a lower carbon footprint;</w:t>
      </w:r>
    </w:p>
    <w:p>
      <w:pPr>
        <w:pStyle w:val="TextBody"/>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risks associated with disease outbreaks and other public health issues, including the COVID-19 pandemic, their impact on the global economy and the business of our company, customers, suppliers and other partners;</w:t>
      </w:r>
    </w:p>
    <w:p>
      <w:pPr>
        <w:pStyle w:val="TextBody"/>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further spread and potential for a resurgence of a pandemic in a given geographic region and related disruptions to our business, employees, customers, suppliers and other partners and additional regulatory measures or voluntary actions that may be put in place to limit the spread of the COVID-19 pandemic, including vaccination requirements and the associated availability of vaccines, restrictions on business operations or social distancing requirements, and the duration and efficacy of such restrictions;</w:t>
      </w:r>
    </w:p>
    <w:p>
      <w:pPr>
        <w:pStyle w:val="TextBody"/>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the price and price volatility of, and demand for, oil, natural gas and natural gas liquids;</w:t>
      </w:r>
    </w:p>
    <w:p>
      <w:pPr>
        <w:pStyle w:val="TextBody"/>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member-country quota compliance within the Organization of Petroleum Exporting Countries;</w:t>
      </w:r>
    </w:p>
    <w:p>
      <w:pPr>
        <w:pStyle w:val="TextBody"/>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our ability to realize expected revenues and profitability levels from current and future contracts;</w:t>
      </w:r>
    </w:p>
    <w:p>
      <w:pPr>
        <w:pStyle w:val="TextBody"/>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our ability to generate cash flow from operations to fund our operations;</w:t>
      </w:r>
    </w:p>
    <w:p>
      <w:pPr>
        <w:pStyle w:val="TextBody"/>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20"/>
        </w:rPr>
        <w:t>our ability to effectively and timely adapt our technology portfolio, products and services to address and participate in changes to the market demands for the transition to alternate sources of energy such as geothermal, carbon capture and responsible abandonment, including our digitalization efforts;</w:t>
      </w:r>
    </w:p>
    <w:p>
      <w:pPr>
        <w:pStyle w:val="TextBody"/>
        <w:spacing w:lineRule="auto" w:line="288" w:before="0" w:after="0"/>
        <w:jc w:val="both"/>
        <w:rPr>
          <w:color w:val="000000"/>
        </w:rPr>
      </w:pPr>
      <w:r>
        <w:rPr>
          <w:color w:val="000000"/>
        </w:rPr>
        <w:t xml:space="preserve">• </w:t>
      </w:r>
      <w:r>
        <w:rPr>
          <w:rFonts w:ascii="Times New Roman;sans-serif" w:hAnsi="Times New Roman;sans-serif"/>
          <w:b w:val="false"/>
          <w:color w:val="000000"/>
          <w:sz w:val="20"/>
        </w:rPr>
        <w:t>increases in the prices, lead times and lack of availability of our procured products and services;</w:t>
      </w:r>
    </w:p>
    <w:p>
      <w:pPr>
        <w:pStyle w:val="TextBody"/>
        <w:spacing w:lineRule="auto" w:line="288" w:before="0" w:after="0"/>
        <w:jc w:val="both"/>
        <w:rPr>
          <w:color w:val="000000"/>
        </w:rPr>
      </w:pPr>
      <w:r>
        <w:rPr>
          <w:color w:val="000000"/>
        </w:rPr>
        <w:t xml:space="preserve">• </w:t>
      </w:r>
      <w:r>
        <w:rPr>
          <w:rFonts w:ascii="Times New Roman;sans-serif" w:hAnsi="Times New Roman;sans-serif"/>
          <w:b w:val="false"/>
          <w:color w:val="000000"/>
          <w:sz w:val="20"/>
        </w:rPr>
        <w:t>our ability to timely collect from customers;</w:t>
      </w:r>
    </w:p>
    <w:p>
      <w:pPr>
        <w:pStyle w:val="TextBody"/>
        <w:spacing w:lineRule="auto" w:line="288" w:before="0" w:after="0"/>
        <w:jc w:val="both"/>
        <w:rPr>
          <w:color w:val="000000"/>
        </w:rPr>
      </w:pPr>
      <w:r>
        <w:rPr>
          <w:color w:val="000000"/>
        </w:rPr>
        <w:t xml:space="preserve">• </w:t>
      </w:r>
      <w:r>
        <w:rPr>
          <w:rFonts w:ascii="Times New Roman;sans-serif" w:hAnsi="Times New Roman;sans-serif"/>
          <w:b w:val="false"/>
          <w:color w:val="000000"/>
          <w:sz w:val="20"/>
        </w:rPr>
        <w:t>our ability to realize cost savings and business enhancements from our revenue and cost improvement efforts;</w:t>
      </w:r>
    </w:p>
    <w:p>
      <w:pPr>
        <w:pStyle w:val="TextBody"/>
        <w:spacing w:lineRule="auto" w:line="288" w:before="0" w:after="0"/>
        <w:jc w:val="both"/>
        <w:rPr>
          <w:color w:val="000000"/>
        </w:rPr>
      </w:pPr>
      <w:r>
        <w:rPr>
          <w:color w:val="000000"/>
        </w:rPr>
        <w:t xml:space="preserve">• </w:t>
      </w:r>
      <w:r>
        <w:rPr>
          <w:rFonts w:ascii="Times New Roman;sans-serif" w:hAnsi="Times New Roman;sans-serif"/>
          <w:b w:val="false"/>
          <w:color w:val="000000"/>
          <w:sz w:val="20"/>
        </w:rPr>
        <w:t>our ability to attract, motivate and retain employees, including key personnel;</w:t>
      </w:r>
    </w:p>
    <w:p>
      <w:pPr>
        <w:pStyle w:val="TextBody"/>
        <w:spacing w:lineRule="auto" w:line="288" w:before="0" w:after="0"/>
        <w:jc w:val="both"/>
        <w:rPr>
          <w:color w:val="000000"/>
        </w:rPr>
      </w:pPr>
      <w:r>
        <w:rPr>
          <w:color w:val="000000"/>
        </w:rPr>
        <w:t xml:space="preserve">• </w:t>
      </w:r>
      <w:r>
        <w:rPr>
          <w:rFonts w:ascii="Times New Roman;sans-serif" w:hAnsi="Times New Roman;sans-serif"/>
          <w:b w:val="false"/>
          <w:color w:val="000000"/>
          <w:sz w:val="20"/>
        </w:rPr>
        <w:t>our ability to access to capital markets on terms that are commercially acceptable to the Company;</w:t>
      </w:r>
    </w:p>
    <w:p>
      <w:pPr>
        <w:pStyle w:val="TextBody"/>
        <w:spacing w:lineRule="auto" w:line="288" w:before="0" w:after="0"/>
        <w:ind w:left="0" w:right="0" w:hanging="360"/>
        <w:jc w:val="both"/>
        <w:rPr>
          <w:color w:val="000000"/>
        </w:rPr>
      </w:pPr>
      <w:r>
        <w:rPr>
          <w:color w:val="000000"/>
        </w:rPr>
        <w:t xml:space="preserve">• </w:t>
      </w:r>
      <w:r>
        <w:rPr>
          <w:rFonts w:ascii="Times New Roman;sans-serif" w:hAnsi="Times New Roman;sans-serif"/>
          <w:b w:val="false"/>
          <w:color w:val="000000"/>
          <w:sz w:val="20"/>
        </w:rPr>
        <w:t>our ability to manage our workforce, supply chain challenges and disruptions, business processes, information technology systems and technological innovation and commercialization, including the impact of our organization restructure, business enhancements, improvement efforts and the cost and support reduction plans;</w:t>
      </w:r>
    </w:p>
    <w:p>
      <w:pPr>
        <w:pStyle w:val="TextBody"/>
        <w:spacing w:lineRule="auto" w:line="288" w:before="0" w:after="0"/>
        <w:jc w:val="both"/>
        <w:rPr>
          <w:color w:val="000000"/>
        </w:rPr>
      </w:pPr>
      <w:r>
        <w:rPr>
          <w:color w:val="000000"/>
        </w:rPr>
        <w:t xml:space="preserve">• </w:t>
      </w:r>
      <w:r>
        <w:rPr>
          <w:rFonts w:ascii="Times New Roman;sans-serif" w:hAnsi="Times New Roman;sans-serif"/>
          <w:b w:val="false"/>
          <w:color w:val="000000"/>
          <w:sz w:val="20"/>
        </w:rPr>
        <w:t>our ability to service our debt obligations;</w:t>
      </w:r>
    </w:p>
    <w:p>
      <w:pPr>
        <w:pStyle w:val="TextBody"/>
        <w:spacing w:lineRule="auto" w:line="288" w:before="0" w:after="0"/>
        <w:jc w:val="both"/>
        <w:rPr>
          <w:color w:val="000000"/>
        </w:rPr>
      </w:pPr>
      <w:r>
        <w:rPr>
          <w:color w:val="000000"/>
        </w:rPr>
        <w:t xml:space="preserve">• </w:t>
      </w:r>
      <w:r>
        <w:rPr>
          <w:rFonts w:ascii="Times New Roman;sans-serif" w:hAnsi="Times New Roman;sans-serif"/>
          <w:b w:val="false"/>
          <w:color w:val="000000"/>
          <w:sz w:val="20"/>
        </w:rPr>
        <w:t>potential non-cash asset impairment charges for long-lived assets, intangible assets or other assets; and</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adverse weather conditions in certain regions of our operations.</w:t>
      </w:r>
    </w:p>
    <w:p>
      <w:pPr>
        <w:pStyle w:val="TextBody"/>
        <w:spacing w:before="0" w:after="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Many of these factors are macro-economic in nature and are, therefore, beyond our control. Should one or more of these risks or uncertainties materialize, affect us in ways or to an extent that we currently do not expect or consider to be significant, or should underlying assumptions prove incorrect, our actual results, performance or achievements may vary materially from those described in this report as anticipated, believed, estimated, expected, intended, planned or projected.</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Finally, our future results will depend upon various other risks and uncertainties, including, but not limited to, those detailed in our current and past filings with the SEC under the Exchange Act and the Securities Act of 1933, as amended.</w:t>
      </w:r>
    </w:p>
    <w:p>
      <w:pPr>
        <w:pStyle w:val="TextBody"/>
        <w:spacing w:before="0" w:after="0"/>
        <w:ind w:left="0" w:right="0" w:firstLine="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firstLine="360"/>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than the change in fair value of our debt as discussed in “Note 7 – Borrowings and Other Debt Obligations” in the Notes to Condensed Consolidated Financial Statements, our exposure to market risk has not changed materially since December 31, 2022.</w:t>
      </w:r>
    </w:p>
    <w:p>
      <w:pPr>
        <w:pStyle w:val="TextBody"/>
        <w:spacing w:before="0" w:after="0"/>
        <w:ind w:left="0" w:right="0" w:firstLine="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before="60" w:after="283"/>
        <w:ind w:left="0" w:right="0" w:firstLine="360"/>
        <w:rPr/>
      </w:pPr>
      <w:r>
        <w:rPr/>
      </w:r>
    </w:p>
    <w:p>
      <w:pPr>
        <w:pStyle w:val="TextBody"/>
        <w:spacing w:lineRule="auto" w:line="288" w:before="60" w:after="283"/>
        <w:ind w:left="0" w:right="0" w:firstLine="360"/>
        <w:rPr/>
      </w:pPr>
      <w:hyperlink w:anchor="i6cc7e3401d8a485198d3a93c25e5b7bf_7">
        <w:r>
          <w:rPr>
            <w:rStyle w:val="InternetLink"/>
          </w:rPr>
          <w:t xml:space="preserve">Table of </w:t>
        </w:r>
      </w:hyperlink>
      <w:hyperlink w:anchor="i6cc7e3401d8a485198d3a93c25e5b7bf_7">
        <w:r>
          <w:rPr>
            <w:rStyle w:val="InternetLink"/>
          </w:rPr>
          <w:t>Contents</w:t>
        </w:r>
      </w:hyperlink>
    </w:p>
    <w:p>
      <w:pPr>
        <w:pStyle w:val="TextBody"/>
        <w:spacing w:lineRule="auto" w:line="288"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spacing w:before="0" w:after="0"/>
        <w:ind w:left="0" w:right="0" w:firstLine="360"/>
        <w:rPr/>
      </w:pPr>
      <w:r>
        <w:rPr/>
      </w:r>
    </w:p>
    <w:p>
      <w:pPr>
        <w:pStyle w:val="TextBody"/>
        <w:spacing w:lineRule="auto" w:line="288" w:before="0" w:after="0"/>
        <w:ind w:left="0" w:right="0" w:firstLine="360"/>
        <w:jc w:val="both"/>
        <w:rPr/>
      </w:pPr>
      <w:r>
        <w:rPr>
          <w:rFonts w:ascii="Times New Roman;sans-serif" w:hAnsi="Times New Roman;sans-serif"/>
          <w:b w:val="false"/>
          <w:i/>
          <w:color w:val="000000"/>
          <w:sz w:val="20"/>
        </w:rPr>
        <w:t xml:space="preserve">Evaluation of Disclosure Controls and Procedures. </w:t>
      </w:r>
      <w:r>
        <w:rPr>
          <w:rFonts w:ascii="Times New Roman;sans-serif" w:hAnsi="Times New Roman;sans-serif"/>
          <w:b w:val="false"/>
          <w:color w:val="000000"/>
          <w:sz w:val="20"/>
        </w:rPr>
        <w:t>Disclosure controls and procedures (as defined in Rules 13a-15(e) and 15d-15(e) under the Exchange Act) are designed to ensure that information required to be disclosed in our reports filed under the Exchange Act is recorded, processed, summarized and reported within the time periods specified in the SEC’s rules and forms. This information is collected and communicated to management, including our Chief Executive Officer (“CEO”) and Chief Financial Officer (“CFO”), as appropriate, to allow timely decisions regarding required disclosures.</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under the supervision and with the participation of our CEO and CFO, evaluated the effectiveness of the design and operation of our disclosure controls and procedures at March 31, 2023. Based on that evaluation, our CEO and CFO concluded that our disclosure controls and procedures were effective as of March 31, 2023.</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identified no change in our internal control over financial reporting that occurred during the three months ended March 31, 2023 that has materially affected, or is reasonably likely to materially affect, our internal control over financial reporting.</w:t>
      </w:r>
    </w:p>
    <w:p>
      <w:pPr>
        <w:pStyle w:val="TextBody"/>
        <w:spacing w:before="0" w:after="0"/>
        <w:ind w:left="0" w:right="0" w:firstLine="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60" w:after="6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PART II – Other Information</w:t>
      </w:r>
    </w:p>
    <w:p>
      <w:pPr>
        <w:pStyle w:val="TextBody"/>
        <w:spacing w:before="0" w:after="0"/>
        <w:ind w:left="0" w:right="0" w:firstLine="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firstLine="360"/>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See “Note 8 – Disputes, Litigation and Legal Contingencies” in our Notes to Condensed Consolidated Financial Statements for details regarding our ongoing disputes and litigation. </w:t>
      </w:r>
    </w:p>
    <w:p>
      <w:pPr>
        <w:pStyle w:val="TextBody"/>
        <w:spacing w:before="0" w:after="0"/>
        <w:ind w:left="0" w:right="0" w:firstLine="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 xml:space="preserve">Item 1A. Risk Factors. </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 investment in our securities involves various risks. You should consider carefully all of the risk factors described in our 2022 Form 10-K, Part I, under the heading “Item 1A. Risk Factors” and other information included and incorporated by reference in this report. As of March 31, 2023, there have been no material changes in our assessment of our risk factors from the aforementioned.</w:t>
      </w:r>
    </w:p>
    <w:p>
      <w:pPr>
        <w:pStyle w:val="TextBody"/>
        <w:spacing w:before="0" w:after="0"/>
        <w:ind w:left="0" w:right="0" w:firstLine="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before="0" w:after="0"/>
        <w:ind w:left="0" w:right="0" w:firstLine="36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firstLine="360"/>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None. </w:t>
      </w:r>
    </w:p>
    <w:p>
      <w:pPr>
        <w:pStyle w:val="TextBody"/>
        <w:spacing w:before="0" w:after="0"/>
        <w:ind w:left="0" w:right="0" w:firstLine="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spacing w:lineRule="auto" w:line="288" w:before="0" w:after="0"/>
        <w:ind w:left="0" w:right="0" w:firstLine="360"/>
        <w:jc w:val="both"/>
        <w:rPr>
          <w:color w:val="000000"/>
        </w:rPr>
      </w:pPr>
      <w:r>
        <w:rPr>
          <w:color w:val="000000"/>
        </w:rPr>
        <w:t> </w:t>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spacing w:before="0" w:after="0"/>
        <w:ind w:left="0" w:right="0" w:firstLine="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firstLine="360"/>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spacing w:before="0" w:after="0"/>
        <w:ind w:left="0" w:right="0" w:firstLine="36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before="0" w:after="0"/>
        <w:ind w:left="0" w:right="0" w:firstLine="45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before="60" w:after="283"/>
        <w:ind w:left="0" w:right="0" w:firstLine="360"/>
        <w:rPr/>
      </w:pPr>
      <w:r>
        <w:rPr/>
      </w:r>
    </w:p>
    <w:p>
      <w:pPr>
        <w:pStyle w:val="TextBody"/>
        <w:spacing w:lineRule="auto" w:line="288" w:before="0" w:after="0"/>
        <w:rPr/>
      </w:pPr>
      <w:hyperlink w:anchor="i6cc7e3401d8a485198d3a93c25e5b7bf_7">
        <w:r>
          <w:rPr>
            <w:rStyle w:val="InternetLink"/>
          </w:rPr>
          <w:t xml:space="preserve">Table of </w:t>
        </w:r>
      </w:hyperlink>
      <w:hyperlink w:anchor="i6cc7e3401d8a485198d3a93c25e5b7bf_7">
        <w:r>
          <w:rPr>
            <w:rStyle w:val="InternetLink"/>
          </w:rPr>
          <w:t>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All exhibits designated with a dagger (†) are filed herewith or double dagger (††) are furnished herewith.</w:t>
      </w:r>
    </w:p>
    <w:tbl>
      <w:tblPr>
        <w:tblW w:w="10205" w:type="dxa"/>
        <w:jc w:val="left"/>
        <w:tblInd w:w="0" w:type="dxa"/>
        <w:tblCellMar>
          <w:top w:w="28" w:type="dxa"/>
          <w:left w:w="28" w:type="dxa"/>
          <w:bottom w:w="28" w:type="dxa"/>
          <w:right w:w="28" w:type="dxa"/>
        </w:tblCellMar>
      </w:tblPr>
      <w:tblGrid>
        <w:gridCol w:w="341"/>
        <w:gridCol w:w="299"/>
        <w:gridCol w:w="300"/>
        <w:gridCol w:w="109"/>
        <w:gridCol w:w="109"/>
        <w:gridCol w:w="109"/>
        <w:gridCol w:w="1986"/>
        <w:gridCol w:w="1901"/>
        <w:gridCol w:w="1919"/>
        <w:gridCol w:w="821"/>
        <w:gridCol w:w="664"/>
        <w:gridCol w:w="666"/>
        <w:gridCol w:w="285"/>
        <w:gridCol w:w="285"/>
        <w:gridCol w:w="411"/>
      </w:tblGrid>
      <w:tr>
        <w:trPr/>
        <w:tc>
          <w:tcPr>
            <w:tcW w:w="341"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86" w:type="dxa"/>
            <w:tcBorders/>
            <w:shd w:fill="auto" w:val="clear"/>
            <w:vAlign w:val="center"/>
          </w:tcPr>
          <w:p>
            <w:pPr>
              <w:pStyle w:val="TableContents"/>
              <w:spacing w:before="0" w:after="283"/>
              <w:rPr>
                <w:sz w:val="4"/>
                <w:szCs w:val="4"/>
              </w:rPr>
            </w:pPr>
            <w:r>
              <w:rPr>
                <w:sz w:val="4"/>
                <w:szCs w:val="4"/>
              </w:rPr>
            </w:r>
          </w:p>
        </w:tc>
        <w:tc>
          <w:tcPr>
            <w:tcW w:w="1901" w:type="dxa"/>
            <w:tcBorders/>
            <w:shd w:fill="auto" w:val="clear"/>
            <w:vAlign w:val="center"/>
          </w:tcPr>
          <w:p>
            <w:pPr>
              <w:pStyle w:val="TableContents"/>
              <w:spacing w:before="0" w:after="283"/>
              <w:rPr>
                <w:sz w:val="4"/>
                <w:szCs w:val="4"/>
              </w:rPr>
            </w:pPr>
            <w:r>
              <w:rPr>
                <w:sz w:val="4"/>
                <w:szCs w:val="4"/>
              </w:rPr>
            </w:r>
          </w:p>
        </w:tc>
        <w:tc>
          <w:tcPr>
            <w:tcW w:w="1919" w:type="dxa"/>
            <w:tcBorders/>
            <w:shd w:fill="auto" w:val="clear"/>
            <w:vAlign w:val="center"/>
          </w:tcPr>
          <w:p>
            <w:pPr>
              <w:pStyle w:val="TableContents"/>
              <w:spacing w:before="0" w:after="283"/>
              <w:rPr>
                <w:sz w:val="4"/>
                <w:szCs w:val="4"/>
              </w:rPr>
            </w:pPr>
            <w:r>
              <w:rPr>
                <w:sz w:val="4"/>
                <w:szCs w:val="4"/>
              </w:rPr>
            </w:r>
          </w:p>
        </w:tc>
        <w:tc>
          <w:tcPr>
            <w:tcW w:w="821" w:type="dxa"/>
            <w:tcBorders/>
            <w:shd w:fill="auto" w:val="clear"/>
            <w:vAlign w:val="center"/>
          </w:tcPr>
          <w:p>
            <w:pPr>
              <w:pStyle w:val="TableContents"/>
              <w:spacing w:before="0" w:after="283"/>
              <w:rPr>
                <w:sz w:val="4"/>
                <w:szCs w:val="4"/>
              </w:rPr>
            </w:pPr>
            <w:r>
              <w:rPr>
                <w:sz w:val="4"/>
                <w:szCs w:val="4"/>
              </w:rPr>
            </w:r>
          </w:p>
        </w:tc>
        <w:tc>
          <w:tcPr>
            <w:tcW w:w="664" w:type="dxa"/>
            <w:tcBorders/>
            <w:shd w:fill="auto" w:val="clear"/>
            <w:vAlign w:val="center"/>
          </w:tcPr>
          <w:p>
            <w:pPr>
              <w:pStyle w:val="TableContents"/>
              <w:spacing w:before="0" w:after="283"/>
              <w:rPr>
                <w:sz w:val="4"/>
                <w:szCs w:val="4"/>
              </w:rPr>
            </w:pPr>
            <w:r>
              <w:rPr>
                <w:sz w:val="4"/>
                <w:szCs w:val="4"/>
              </w:rPr>
            </w:r>
          </w:p>
        </w:tc>
        <w:tc>
          <w:tcPr>
            <w:tcW w:w="666"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9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 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c>
          <w:tcPr>
            <w:tcW w:w="21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Original Filed Exhibit</w:t>
            </w:r>
          </w:p>
        </w:tc>
        <w:tc>
          <w:tcPr>
            <w:tcW w:w="9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File Number</w:t>
            </w:r>
          </w:p>
        </w:tc>
      </w:tr>
      <w:tr>
        <w:trPr/>
        <w:tc>
          <w:tcPr>
            <w:tcW w:w="9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06" w:type="dxa"/>
            <w:gridSpan w:val="3"/>
            <w:tcBorders/>
            <w:shd w:fill="auto" w:val="clear"/>
            <w:vAlign w:val="center"/>
          </w:tcPr>
          <w:p>
            <w:pPr>
              <w:pStyle w:val="TableContents"/>
              <w:spacing w:before="0" w:after="283"/>
              <w:rPr>
                <w:sz w:val="4"/>
                <w:szCs w:val="4"/>
              </w:rPr>
            </w:pPr>
            <w:r>
              <w:rPr>
                <w:sz w:val="4"/>
                <w:szCs w:val="4"/>
              </w:rPr>
            </w:r>
          </w:p>
        </w:tc>
        <w:tc>
          <w:tcPr>
            <w:tcW w:w="2151"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9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06" w:type="dxa"/>
            <w:gridSpan w:val="3"/>
            <w:tcBorders/>
            <w:shd w:fill="auto" w:val="clear"/>
            <w:vAlign w:val="center"/>
          </w:tcPr>
          <w:p>
            <w:pPr>
              <w:pStyle w:val="TableContents"/>
              <w:spacing w:before="0" w:after="283"/>
              <w:rPr>
                <w:sz w:val="4"/>
                <w:szCs w:val="4"/>
              </w:rPr>
            </w:pPr>
            <w:r>
              <w:rPr>
                <w:sz w:val="4"/>
                <w:szCs w:val="4"/>
              </w:rPr>
            </w:r>
          </w:p>
        </w:tc>
        <w:tc>
          <w:tcPr>
            <w:tcW w:w="2151"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9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06" w:type="dxa"/>
            <w:gridSpan w:val="3"/>
            <w:tcBorders/>
            <w:shd w:fill="auto" w:val="clear"/>
            <w:vAlign w:val="center"/>
          </w:tcPr>
          <w:p>
            <w:pPr>
              <w:pStyle w:val="TableContents"/>
              <w:spacing w:before="0" w:after="283"/>
              <w:rPr>
                <w:sz w:val="4"/>
                <w:szCs w:val="4"/>
              </w:rPr>
            </w:pPr>
            <w:r>
              <w:rPr>
                <w:sz w:val="4"/>
                <w:szCs w:val="4"/>
              </w:rPr>
            </w:r>
          </w:p>
        </w:tc>
        <w:tc>
          <w:tcPr>
            <w:tcW w:w="2151"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9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06" w:type="dxa"/>
            <w:gridSpan w:val="3"/>
            <w:tcBorders/>
            <w:shd w:fill="auto" w:val="clear"/>
            <w:vAlign w:val="center"/>
          </w:tcPr>
          <w:p>
            <w:pPr>
              <w:pStyle w:val="TableContents"/>
              <w:spacing w:before="0" w:after="283"/>
              <w:rPr>
                <w:sz w:val="4"/>
                <w:szCs w:val="4"/>
              </w:rPr>
            </w:pPr>
            <w:r>
              <w:rPr>
                <w:sz w:val="4"/>
                <w:szCs w:val="4"/>
              </w:rPr>
            </w:r>
          </w:p>
        </w:tc>
        <w:tc>
          <w:tcPr>
            <w:tcW w:w="2151"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9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06" w:type="dxa"/>
            <w:gridSpan w:val="3"/>
            <w:tcBorders/>
            <w:shd w:fill="auto" w:val="clear"/>
            <w:vAlign w:val="center"/>
          </w:tcPr>
          <w:p>
            <w:pPr>
              <w:pStyle w:val="TableContents"/>
              <w:spacing w:before="0" w:after="283"/>
              <w:rPr>
                <w:sz w:val="4"/>
                <w:szCs w:val="4"/>
              </w:rPr>
            </w:pPr>
            <w:r>
              <w:rPr>
                <w:sz w:val="4"/>
                <w:szCs w:val="4"/>
              </w:rPr>
            </w:r>
          </w:p>
        </w:tc>
        <w:tc>
          <w:tcPr>
            <w:tcW w:w="2151"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9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06" w:type="dxa"/>
            <w:gridSpan w:val="3"/>
            <w:tcBorders/>
            <w:shd w:fill="auto" w:val="clear"/>
            <w:vAlign w:val="center"/>
          </w:tcPr>
          <w:p>
            <w:pPr>
              <w:pStyle w:val="TableContents"/>
              <w:spacing w:before="0" w:after="283"/>
              <w:rPr>
                <w:sz w:val="4"/>
                <w:szCs w:val="4"/>
              </w:rPr>
            </w:pPr>
            <w:r>
              <w:rPr>
                <w:sz w:val="4"/>
                <w:szCs w:val="4"/>
              </w:rPr>
            </w:r>
          </w:p>
        </w:tc>
        <w:tc>
          <w:tcPr>
            <w:tcW w:w="2151"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9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06" w:type="dxa"/>
            <w:gridSpan w:val="3"/>
            <w:tcBorders/>
            <w:shd w:fill="auto" w:val="clear"/>
            <w:vAlign w:val="center"/>
          </w:tcPr>
          <w:p>
            <w:pPr>
              <w:pStyle w:val="TableContents"/>
              <w:spacing w:before="0" w:after="283"/>
              <w:rPr>
                <w:sz w:val="4"/>
                <w:szCs w:val="4"/>
              </w:rPr>
            </w:pPr>
            <w:r>
              <w:rPr>
                <w:sz w:val="4"/>
                <w:szCs w:val="4"/>
              </w:rPr>
            </w:r>
          </w:p>
        </w:tc>
        <w:tc>
          <w:tcPr>
            <w:tcW w:w="2151"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9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06" w:type="dxa"/>
            <w:gridSpan w:val="3"/>
            <w:tcBorders/>
            <w:shd w:fill="auto" w:val="clear"/>
            <w:vAlign w:val="center"/>
          </w:tcPr>
          <w:p>
            <w:pPr>
              <w:pStyle w:val="TableContents"/>
              <w:spacing w:before="0" w:after="283"/>
              <w:rPr>
                <w:sz w:val="4"/>
                <w:szCs w:val="4"/>
              </w:rPr>
            </w:pPr>
            <w:r>
              <w:rPr>
                <w:sz w:val="4"/>
                <w:szCs w:val="4"/>
              </w:rPr>
            </w:r>
          </w:p>
        </w:tc>
        <w:tc>
          <w:tcPr>
            <w:tcW w:w="2151"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9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06" w:type="dxa"/>
            <w:gridSpan w:val="3"/>
            <w:tcBorders/>
            <w:shd w:fill="auto" w:val="clear"/>
            <w:vAlign w:val="center"/>
          </w:tcPr>
          <w:p>
            <w:pPr>
              <w:pStyle w:val="TableContents"/>
              <w:spacing w:before="0" w:after="283"/>
              <w:rPr>
                <w:sz w:val="4"/>
                <w:szCs w:val="4"/>
              </w:rPr>
            </w:pPr>
            <w:r>
              <w:rPr>
                <w:sz w:val="4"/>
                <w:szCs w:val="4"/>
              </w:rPr>
            </w:r>
          </w:p>
        </w:tc>
        <w:tc>
          <w:tcPr>
            <w:tcW w:w="2151"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9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06" w:type="dxa"/>
            <w:gridSpan w:val="3"/>
            <w:tcBorders/>
            <w:shd w:fill="auto" w:val="clear"/>
            <w:vAlign w:val="center"/>
          </w:tcPr>
          <w:p>
            <w:pPr>
              <w:pStyle w:val="TableContents"/>
              <w:spacing w:before="0" w:after="283"/>
              <w:rPr>
                <w:sz w:val="4"/>
                <w:szCs w:val="4"/>
              </w:rPr>
            </w:pPr>
            <w:r>
              <w:rPr>
                <w:sz w:val="4"/>
                <w:szCs w:val="4"/>
              </w:rPr>
            </w:r>
          </w:p>
        </w:tc>
        <w:tc>
          <w:tcPr>
            <w:tcW w:w="2151"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9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06" w:type="dxa"/>
            <w:gridSpan w:val="3"/>
            <w:tcBorders/>
            <w:shd w:fill="auto" w:val="clear"/>
            <w:vAlign w:val="center"/>
          </w:tcPr>
          <w:p>
            <w:pPr>
              <w:pStyle w:val="TableContents"/>
              <w:spacing w:before="0" w:after="283"/>
              <w:rPr>
                <w:sz w:val="4"/>
                <w:szCs w:val="4"/>
              </w:rPr>
            </w:pPr>
            <w:r>
              <w:rPr>
                <w:sz w:val="4"/>
                <w:szCs w:val="4"/>
              </w:rPr>
            </w:r>
          </w:p>
        </w:tc>
        <w:tc>
          <w:tcPr>
            <w:tcW w:w="2151"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9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06" w:type="dxa"/>
            <w:gridSpan w:val="3"/>
            <w:tcBorders/>
            <w:shd w:fill="auto" w:val="clear"/>
            <w:vAlign w:val="center"/>
          </w:tcPr>
          <w:p>
            <w:pPr>
              <w:pStyle w:val="TableContents"/>
              <w:spacing w:before="0" w:after="283"/>
              <w:rPr>
                <w:sz w:val="4"/>
                <w:szCs w:val="4"/>
              </w:rPr>
            </w:pPr>
            <w:r>
              <w:rPr>
                <w:sz w:val="4"/>
                <w:szCs w:val="4"/>
              </w:rPr>
            </w:r>
          </w:p>
        </w:tc>
        <w:tc>
          <w:tcPr>
            <w:tcW w:w="2151"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94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80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pPr>
            <w:hyperlink r:id="rId2">
              <w:r>
                <w:rPr>
                  <w:rStyle w:val="InternetLink"/>
                  <w:rFonts w:ascii="Times New Roman;sans-serif" w:hAnsi="Times New Roman;sans-serif"/>
                  <w:b w:val="false"/>
                  <w:color w:val="0000FF"/>
                  <w:sz w:val="20"/>
                  <w:u w:val="single"/>
                </w:rPr>
                <w:t>Third Amendment to Amended and Restated Credit Agreement, dated as of March 24, 2023, by and among Weatherford International Ltd., Weatherford International, LLC, Weatherford Canada Ltd., Weatherford International plc and Wells Fargo Bank, National Association, as administrative agent.</w:t>
              </w:r>
            </w:hyperlink>
          </w:p>
        </w:tc>
        <w:tc>
          <w:tcPr>
            <w:tcW w:w="215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Exhibit 10.1 of the Company’s Current Report on Form 8-K filed March 24, 2023</w:t>
            </w:r>
          </w:p>
        </w:tc>
        <w:tc>
          <w:tcPr>
            <w:tcW w:w="98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File No. 1-36504</w:t>
            </w:r>
          </w:p>
        </w:tc>
      </w:tr>
      <w:tr>
        <w:trPr/>
        <w:tc>
          <w:tcPr>
            <w:tcW w:w="9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0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3">
              <w:r>
                <w:rPr>
                  <w:rStyle w:val="InternetLink"/>
                  <w:rFonts w:ascii="Times New Roman;sans-serif" w:hAnsi="Times New Roman;sans-serif"/>
                  <w:b w:val="false"/>
                  <w:color w:val="0000FF"/>
                  <w:sz w:val="20"/>
                  <w:u w:val="single"/>
                </w:rPr>
                <w:t>Third Amended and Restated Change in Control Severance Plan</w:t>
              </w:r>
            </w:hyperlink>
          </w:p>
        </w:tc>
        <w:tc>
          <w:tcPr>
            <w:tcW w:w="21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10.1 of the Company’s Current Report on Form 8-K filed January 23, 2023</w:t>
            </w:r>
          </w:p>
        </w:tc>
        <w:tc>
          <w:tcPr>
            <w:tcW w:w="981" w:type="dxa"/>
            <w:gridSpan w:val="3"/>
            <w:tcBorders/>
            <w:shd w:fill="FFFFFF" w:val="clear"/>
            <w:tcMar>
              <w:top w:w="0" w:type="dxa"/>
              <w:left w:w="0" w:type="dxa"/>
              <w:bottom w:w="0" w:type="dxa"/>
              <w:right w:w="0" w:type="dxa"/>
            </w:tcMar>
            <w:vAlign w:val="center"/>
          </w:tcPr>
          <w:p>
            <w:pPr>
              <w:pStyle w:val="TableContents"/>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File No. 1-36504</w:t>
            </w:r>
          </w:p>
        </w:tc>
      </w:tr>
      <w:tr>
        <w:trPr/>
        <w:tc>
          <w:tcPr>
            <w:tcW w:w="9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0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r:id="rId4">
              <w:r>
                <w:rPr>
                  <w:rStyle w:val="InternetLink"/>
                  <w:rFonts w:ascii="Times New Roman;sans-serif" w:hAnsi="Times New Roman;sans-serif"/>
                  <w:b w:val="false"/>
                  <w:color w:val="0000FF"/>
                  <w:sz w:val="20"/>
                  <w:u w:val="single"/>
                </w:rPr>
                <w:t>Third Amended and Restated 2019 Equity Incentive Plan</w:t>
              </w:r>
            </w:hyperlink>
          </w:p>
        </w:tc>
        <w:tc>
          <w:tcPr>
            <w:tcW w:w="21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10.2 of the Company’s Current Report on Form 8-K filed January 23, 2023</w:t>
            </w:r>
          </w:p>
        </w:tc>
        <w:tc>
          <w:tcPr>
            <w:tcW w:w="981" w:type="dxa"/>
            <w:gridSpan w:val="3"/>
            <w:tcBorders/>
            <w:shd w:fill="CCEEFF" w:val="clear"/>
            <w:tcMar>
              <w:top w:w="0" w:type="dxa"/>
              <w:left w:w="0" w:type="dxa"/>
              <w:bottom w:w="0" w:type="dxa"/>
              <w:right w:w="0" w:type="dxa"/>
            </w:tcMar>
            <w:vAlign w:val="center"/>
          </w:tcPr>
          <w:p>
            <w:pPr>
              <w:pStyle w:val="TableContents"/>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File No. 1-36504</w:t>
            </w:r>
          </w:p>
        </w:tc>
      </w:tr>
      <w:tr>
        <w:trPr/>
        <w:tc>
          <w:tcPr>
            <w:tcW w:w="9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0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5">
              <w:r>
                <w:rPr>
                  <w:rStyle w:val="InternetLink"/>
                  <w:rFonts w:ascii="Times New Roman;sans-serif" w:hAnsi="Times New Roman;sans-serif"/>
                  <w:b w:val="false"/>
                  <w:color w:val="0000FF"/>
                  <w:sz w:val="20"/>
                  <w:u w:val="single"/>
                </w:rPr>
                <w:t>Form of Executive Officer Restricted Share Unit Award Agreement</w:t>
              </w:r>
            </w:hyperlink>
          </w:p>
        </w:tc>
        <w:tc>
          <w:tcPr>
            <w:tcW w:w="21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10.3 of the Company’s Current Report on Form 8-K filed January 23, 2023</w:t>
            </w:r>
          </w:p>
        </w:tc>
        <w:tc>
          <w:tcPr>
            <w:tcW w:w="981" w:type="dxa"/>
            <w:gridSpan w:val="3"/>
            <w:tcBorders/>
            <w:shd w:fill="FFFFFF" w:val="clear"/>
            <w:tcMar>
              <w:top w:w="0" w:type="dxa"/>
              <w:left w:w="0" w:type="dxa"/>
              <w:bottom w:w="0" w:type="dxa"/>
              <w:right w:w="0" w:type="dxa"/>
            </w:tcMar>
            <w:vAlign w:val="center"/>
          </w:tcPr>
          <w:p>
            <w:pPr>
              <w:pStyle w:val="TableContents"/>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File No. 1-36504</w:t>
            </w:r>
          </w:p>
        </w:tc>
      </w:tr>
      <w:tr>
        <w:trPr/>
        <w:tc>
          <w:tcPr>
            <w:tcW w:w="9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0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r:id="rId6">
              <w:r>
                <w:rPr>
                  <w:rStyle w:val="InternetLink"/>
                  <w:rFonts w:ascii="Times New Roman;sans-serif" w:hAnsi="Times New Roman;sans-serif"/>
                  <w:b w:val="false"/>
                  <w:color w:val="0000FF"/>
                  <w:sz w:val="20"/>
                  <w:u w:val="single"/>
                </w:rPr>
                <w:t>Form of Executive Officer Performance Share Unit Award Agreement</w:t>
              </w:r>
            </w:hyperlink>
          </w:p>
        </w:tc>
        <w:tc>
          <w:tcPr>
            <w:tcW w:w="21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10.4 of the Company’s Current Report on Form 8-K filed January 23, 2023</w:t>
            </w:r>
          </w:p>
        </w:tc>
        <w:tc>
          <w:tcPr>
            <w:tcW w:w="981" w:type="dxa"/>
            <w:gridSpan w:val="3"/>
            <w:tcBorders/>
            <w:shd w:fill="CCEEFF" w:val="clear"/>
            <w:tcMar>
              <w:top w:w="0" w:type="dxa"/>
              <w:left w:w="0" w:type="dxa"/>
              <w:bottom w:w="0" w:type="dxa"/>
              <w:right w:w="0" w:type="dxa"/>
            </w:tcMar>
            <w:vAlign w:val="center"/>
          </w:tcPr>
          <w:p>
            <w:pPr>
              <w:pStyle w:val="TableContents"/>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File No. 1-36504</w:t>
            </w:r>
          </w:p>
        </w:tc>
      </w:tr>
      <w:tr>
        <w:trPr/>
        <w:tc>
          <w:tcPr>
            <w:tcW w:w="9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0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7">
              <w:r>
                <w:rPr>
                  <w:rStyle w:val="InternetLink"/>
                  <w:rFonts w:ascii="Times New Roman;sans-serif" w:hAnsi="Times New Roman;sans-serif"/>
                  <w:b w:val="false"/>
                  <w:color w:val="0000FF"/>
                  <w:sz w:val="20"/>
                  <w:u w:val="single"/>
                </w:rPr>
                <w:t>Form of Non-Executive Director Restricted Share Unit Award Agreement</w:t>
              </w:r>
            </w:hyperlink>
          </w:p>
        </w:tc>
        <w:tc>
          <w:tcPr>
            <w:tcW w:w="21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10.5 of the Company’s Current Report on Form 8-K filed January 23, 2023</w:t>
            </w:r>
          </w:p>
        </w:tc>
        <w:tc>
          <w:tcPr>
            <w:tcW w:w="981" w:type="dxa"/>
            <w:gridSpan w:val="3"/>
            <w:tcBorders/>
            <w:shd w:fill="FFFFFF" w:val="clear"/>
            <w:tcMar>
              <w:top w:w="0" w:type="dxa"/>
              <w:left w:w="0" w:type="dxa"/>
              <w:bottom w:w="0" w:type="dxa"/>
              <w:right w:w="0" w:type="dxa"/>
            </w:tcMar>
            <w:vAlign w:val="center"/>
          </w:tcPr>
          <w:p>
            <w:pPr>
              <w:pStyle w:val="TableContents"/>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File No. 1-36504</w:t>
            </w:r>
          </w:p>
        </w:tc>
      </w:tr>
      <w:tr>
        <w:trPr/>
        <w:tc>
          <w:tcPr>
            <w:tcW w:w="9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r>
              <w:rPr>
                <w:rFonts w:ascii="Times New Roman;sans-serif" w:hAnsi="Times New Roman;sans-serif"/>
                <w:b w:val="false"/>
                <w:color w:val="000000"/>
                <w:sz w:val="20"/>
              </w:rPr>
              <w:t>31.1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0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a2023-q1ex311ceo302cert.htm">
              <w:r>
                <w:rPr>
                  <w:rStyle w:val="InternetLink"/>
                  <w:rFonts w:ascii="Times New Roman;sans-serif" w:hAnsi="Times New Roman;sans-serif"/>
                  <w:b w:val="false"/>
                  <w:color w:val="0000FF"/>
                  <w:sz w:val="20"/>
                  <w:u w:val="single"/>
                </w:rPr>
                <w:t>Certification of Chief Executive Officer pursuant to Section 302 of the Sarbanes-Oxley Act of 2002.</w:t>
              </w:r>
            </w:hyperlink>
          </w:p>
        </w:tc>
        <w:tc>
          <w:tcPr>
            <w:tcW w:w="21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File No. 1-36504</w:t>
            </w:r>
          </w:p>
        </w:tc>
      </w:tr>
      <w:tr>
        <w:trPr/>
        <w:tc>
          <w:tcPr>
            <w:tcW w:w="9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r>
              <w:rPr>
                <w:rFonts w:ascii="Times New Roman;sans-serif" w:hAnsi="Times New Roman;sans-serif"/>
                <w:b w:val="false"/>
                <w:color w:val="000000"/>
                <w:sz w:val="20"/>
              </w:rPr>
              <w:t>31.2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0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a2023-q1ex312cfo302cert.htm">
              <w:r>
                <w:rPr>
                  <w:rStyle w:val="InternetLink"/>
                  <w:rFonts w:ascii="Times New Roman;sans-serif" w:hAnsi="Times New Roman;sans-serif"/>
                  <w:b w:val="false"/>
                  <w:color w:val="0000FF"/>
                  <w:sz w:val="20"/>
                  <w:u w:val="single"/>
                </w:rPr>
                <w:t>Certification of Chief Financial Officer pursuant to Section 302 of the Sarbanes-Oxley Act of 2002.</w:t>
              </w:r>
            </w:hyperlink>
          </w:p>
        </w:tc>
        <w:tc>
          <w:tcPr>
            <w:tcW w:w="21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File No. 1-36504</w:t>
            </w:r>
          </w:p>
        </w:tc>
      </w:tr>
      <w:tr>
        <w:trPr/>
        <w:tc>
          <w:tcPr>
            <w:tcW w:w="9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r>
              <w:rPr>
                <w:rFonts w:ascii="Times New Roman;sans-serif" w:hAnsi="Times New Roman;sans-serif"/>
                <w:b w:val="false"/>
                <w:color w:val="000000"/>
                <w:sz w:val="20"/>
              </w:rPr>
              <w:t>32.1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0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a2023-q1ex321ceo906cert.htm">
              <w:r>
                <w:rPr>
                  <w:rStyle w:val="InternetLink"/>
                  <w:rFonts w:ascii="Times New Roman;sans-serif" w:hAnsi="Times New Roman;sans-serif"/>
                  <w:b w:val="false"/>
                  <w:color w:val="0000FF"/>
                  <w:sz w:val="20"/>
                  <w:u w:val="single"/>
                </w:rPr>
                <w:t>Certification of Chief Executive Officer pursuant to Section 906 of the Sarbanes-Oxley Act of 2002.</w:t>
              </w:r>
            </w:hyperlink>
          </w:p>
        </w:tc>
        <w:tc>
          <w:tcPr>
            <w:tcW w:w="21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File No. 1-36504</w:t>
            </w:r>
          </w:p>
        </w:tc>
      </w:tr>
      <w:tr>
        <w:trPr/>
        <w:tc>
          <w:tcPr>
            <w:tcW w:w="9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r>
              <w:rPr>
                <w:rFonts w:ascii="Times New Roman;sans-serif" w:hAnsi="Times New Roman;sans-serif"/>
                <w:b w:val="false"/>
                <w:color w:val="000000"/>
                <w:sz w:val="20"/>
              </w:rPr>
              <w:t>32.2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0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a2023-q1ex322cfo906cert.htm">
              <w:r>
                <w:rPr>
                  <w:rStyle w:val="InternetLink"/>
                  <w:rFonts w:ascii="Times New Roman;sans-serif" w:hAnsi="Times New Roman;sans-serif"/>
                  <w:b w:val="false"/>
                  <w:color w:val="0000FF"/>
                  <w:sz w:val="20"/>
                  <w:u w:val="single"/>
                </w:rPr>
                <w:t>Certification of Chief Financial Officer pursuant to Section 906 of the Sarbanes-Oxley Act of 2002.</w:t>
              </w:r>
            </w:hyperlink>
          </w:p>
        </w:tc>
        <w:tc>
          <w:tcPr>
            <w:tcW w:w="21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File No. 1-36504</w:t>
            </w:r>
          </w:p>
        </w:tc>
      </w:tr>
      <w:tr>
        <w:trPr/>
        <w:tc>
          <w:tcPr>
            <w:tcW w:w="9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r>
              <w:rPr>
                <w:rFonts w:ascii="Times New Roman;sans-serif" w:hAnsi="Times New Roman;sans-serif"/>
                <w:b w:val="false"/>
                <w:color w:val="000000"/>
                <w:sz w:val="20"/>
              </w:rPr>
              <w:t>101.INS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8" w:type="dxa"/>
            <w:gridSpan w:val="9"/>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Instance Document - The instance document does not appear in the interactive data file because its XBRL tags are embedded within the inline XBRL document</w:t>
            </w:r>
          </w:p>
        </w:tc>
      </w:tr>
      <w:tr>
        <w:trPr/>
        <w:tc>
          <w:tcPr>
            <w:tcW w:w="9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r>
              <w:rPr>
                <w:rFonts w:ascii="Times New Roman;sans-serif" w:hAnsi="Times New Roman;sans-serif"/>
                <w:b w:val="false"/>
                <w:color w:val="000000"/>
                <w:sz w:val="20"/>
              </w:rPr>
              <w:t>101.SCH</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8" w:type="dxa"/>
            <w:gridSpan w:val="9"/>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Schema Document</w:t>
            </w:r>
          </w:p>
        </w:tc>
      </w:tr>
      <w:tr>
        <w:trPr/>
        <w:tc>
          <w:tcPr>
            <w:tcW w:w="9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r>
              <w:rPr>
                <w:rFonts w:ascii="Times New Roman;sans-serif" w:hAnsi="Times New Roman;sans-serif"/>
                <w:b w:val="false"/>
                <w:color w:val="000000"/>
                <w:sz w:val="20"/>
              </w:rPr>
              <w:t>101.CAL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8" w:type="dxa"/>
            <w:gridSpan w:val="9"/>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Calculation Linkbase Document</w:t>
            </w:r>
          </w:p>
        </w:tc>
      </w:tr>
      <w:tr>
        <w:trPr/>
        <w:tc>
          <w:tcPr>
            <w:tcW w:w="9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r>
              <w:rPr>
                <w:rFonts w:ascii="Times New Roman;sans-serif" w:hAnsi="Times New Roman;sans-serif"/>
                <w:b w:val="false"/>
                <w:color w:val="000000"/>
                <w:sz w:val="20"/>
              </w:rPr>
              <w:t>101.DEF</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8" w:type="dxa"/>
            <w:gridSpan w:val="9"/>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Definition Linkbase Document</w:t>
            </w:r>
          </w:p>
        </w:tc>
      </w:tr>
      <w:tr>
        <w:trPr/>
        <w:tc>
          <w:tcPr>
            <w:tcW w:w="9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r>
              <w:rPr>
                <w:rFonts w:ascii="Times New Roman;sans-serif" w:hAnsi="Times New Roman;sans-serif"/>
                <w:b w:val="false"/>
                <w:color w:val="000000"/>
                <w:sz w:val="20"/>
              </w:rPr>
              <w:t>101.LAB</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8" w:type="dxa"/>
            <w:gridSpan w:val="9"/>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Label Linkbase Document</w:t>
            </w:r>
          </w:p>
        </w:tc>
      </w:tr>
      <w:tr>
        <w:trPr/>
        <w:tc>
          <w:tcPr>
            <w:tcW w:w="9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r>
              <w:rPr>
                <w:rFonts w:ascii="Times New Roman;sans-serif" w:hAnsi="Times New Roman;sans-serif"/>
                <w:b w:val="false"/>
                <w:color w:val="000000"/>
                <w:sz w:val="20"/>
              </w:rPr>
              <w:t>101.PRE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8" w:type="dxa"/>
            <w:gridSpan w:val="9"/>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Presentation Linkbase Document</w:t>
            </w:r>
          </w:p>
        </w:tc>
      </w:tr>
      <w:tr>
        <w:trPr/>
        <w:tc>
          <w:tcPr>
            <w:tcW w:w="9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8" w:type="dxa"/>
            <w:gridSpan w:val="9"/>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*Management contract or compensatory plan or arrangement.</w:t>
      </w:r>
    </w:p>
    <w:tbl>
      <w:tblPr>
        <w:tblW w:w="823" w:type="dxa"/>
        <w:jc w:val="left"/>
        <w:tblInd w:w="0" w:type="dxa"/>
        <w:tblCellMar>
          <w:top w:w="28" w:type="dxa"/>
          <w:left w:w="28" w:type="dxa"/>
          <w:bottom w:w="28" w:type="dxa"/>
          <w:right w:w="28" w:type="dxa"/>
        </w:tblCellMar>
      </w:tblPr>
      <w:tblGrid>
        <w:gridCol w:w="124"/>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before="60" w:after="283"/>
        <w:ind w:left="0" w:right="0" w:firstLine="360"/>
        <w:rPr/>
      </w:pPr>
      <w:r>
        <w:rPr/>
      </w:r>
    </w:p>
    <w:p>
      <w:pPr>
        <w:pStyle w:val="TextBody"/>
        <w:spacing w:lineRule="auto" w:line="288" w:before="60" w:after="283"/>
        <w:ind w:left="0" w:right="0" w:firstLine="360"/>
        <w:rPr/>
      </w:pPr>
      <w:hyperlink w:anchor="i6cc7e3401d8a485198d3a93c25e5b7bf_7">
        <w:r>
          <w:rPr>
            <w:rStyle w:val="InternetLink"/>
          </w:rPr>
          <w:t xml:space="preserve">Table of </w:t>
        </w:r>
      </w:hyperlink>
      <w:hyperlink w:anchor="i6cc7e3401d8a485198d3a93c25e5b7bf_7">
        <w:r>
          <w:rPr>
            <w:rStyle w:val="InternetLink"/>
          </w:rPr>
          <w:t>Contents</w:t>
        </w:r>
      </w:hyperlink>
    </w:p>
    <w:p>
      <w:pPr>
        <w:pStyle w:val="TextBody"/>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before="0" w:after="0"/>
        <w:ind w:left="0" w:right="0" w:firstLine="360"/>
        <w:rPr/>
      </w:pPr>
      <w:r>
        <w:rPr/>
      </w:r>
    </w:p>
    <w:p>
      <w:pPr>
        <w:pStyle w:val="TextBody"/>
        <w:spacing w:lineRule="auto" w:line="28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spacing w:before="0" w:after="0"/>
        <w:ind w:left="0" w:right="0" w:firstLine="360"/>
        <w:rPr/>
      </w:pPr>
      <w:r>
        <w:rPr/>
      </w:r>
    </w:p>
    <w:p>
      <w:pPr>
        <w:pStyle w:val="TextBody"/>
        <w:spacing w:before="0" w:after="0"/>
        <w:ind w:left="0" w:right="0" w:firstLine="360"/>
        <w:rPr/>
      </w:pPr>
      <w:r>
        <w:rPr/>
      </w:r>
    </w:p>
    <w:tbl>
      <w:tblPr>
        <w:tblW w:w="6687" w:type="dxa"/>
        <w:jc w:val="center"/>
        <w:tblInd w:w="0" w:type="dxa"/>
        <w:tblCellMar>
          <w:top w:w="28" w:type="dxa"/>
          <w:left w:w="28" w:type="dxa"/>
          <w:bottom w:w="28" w:type="dxa"/>
          <w:right w:w="28" w:type="dxa"/>
        </w:tblCellMar>
      </w:tblPr>
      <w:tblGrid>
        <w:gridCol w:w="200"/>
        <w:gridCol w:w="177"/>
        <w:gridCol w:w="178"/>
        <w:gridCol w:w="429"/>
        <w:gridCol w:w="429"/>
        <w:gridCol w:w="431"/>
        <w:gridCol w:w="134"/>
        <w:gridCol w:w="134"/>
        <w:gridCol w:w="136"/>
        <w:gridCol w:w="1297"/>
        <w:gridCol w:w="1297"/>
        <w:gridCol w:w="1845"/>
      </w:tblGrid>
      <w:tr>
        <w:trPr/>
        <w:tc>
          <w:tcPr>
            <w:tcW w:w="20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297" w:type="dxa"/>
            <w:tcBorders/>
            <w:shd w:fill="auto" w:val="clear"/>
            <w:vAlign w:val="center"/>
          </w:tcPr>
          <w:p>
            <w:pPr>
              <w:pStyle w:val="TableContents"/>
              <w:spacing w:before="0" w:after="283"/>
              <w:rPr>
                <w:sz w:val="4"/>
                <w:szCs w:val="4"/>
              </w:rPr>
            </w:pPr>
            <w:r>
              <w:rPr>
                <w:sz w:val="4"/>
                <w:szCs w:val="4"/>
              </w:rPr>
            </w:r>
          </w:p>
        </w:tc>
        <w:tc>
          <w:tcPr>
            <w:tcW w:w="1297" w:type="dxa"/>
            <w:tcBorders/>
            <w:shd w:fill="auto" w:val="clear"/>
            <w:vAlign w:val="center"/>
          </w:tcPr>
          <w:p>
            <w:pPr>
              <w:pStyle w:val="TableContents"/>
              <w:spacing w:before="0" w:after="283"/>
              <w:rPr>
                <w:sz w:val="4"/>
                <w:szCs w:val="4"/>
              </w:rPr>
            </w:pPr>
            <w:r>
              <w:rPr>
                <w:sz w:val="4"/>
                <w:szCs w:val="4"/>
              </w:rPr>
            </w:r>
          </w:p>
        </w:tc>
        <w:tc>
          <w:tcPr>
            <w:tcW w:w="1845" w:type="dxa"/>
            <w:tcBorders/>
            <w:shd w:fill="auto" w:val="cle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vAlign w:val="center"/>
          </w:tcPr>
          <w:p>
            <w:pPr>
              <w:pStyle w:val="TableContents"/>
              <w:spacing w:before="0" w:after="283"/>
              <w:rPr>
                <w:sz w:val="4"/>
                <w:szCs w:val="4"/>
              </w:rPr>
            </w:pPr>
            <w:r>
              <w:rPr>
                <w:sz w:val="4"/>
                <w:szCs w:val="4"/>
              </w:rPr>
            </w:r>
          </w:p>
        </w:tc>
        <w:tc>
          <w:tcPr>
            <w:tcW w:w="1289" w:type="dxa"/>
            <w:gridSpan w:val="3"/>
            <w:tcBorders/>
            <w:shd w:fill="auto" w:val="clear"/>
            <w:vAlign w:val="center"/>
          </w:tcPr>
          <w:p>
            <w:pPr>
              <w:pStyle w:val="TableContents"/>
              <w:spacing w:before="0" w:after="283"/>
              <w:rPr>
                <w:sz w:val="4"/>
                <w:szCs w:val="4"/>
              </w:rPr>
            </w:pPr>
            <w:r>
              <w:rPr>
                <w:sz w:val="4"/>
                <w:szCs w:val="4"/>
              </w:rPr>
            </w:r>
          </w:p>
        </w:tc>
        <w:tc>
          <w:tcPr>
            <w:tcW w:w="404" w:type="dxa"/>
            <w:gridSpan w:val="3"/>
            <w:tcBorders/>
            <w:shd w:fill="auto" w:val="clear"/>
            <w:vAlign w:val="center"/>
          </w:tcPr>
          <w:p>
            <w:pPr>
              <w:pStyle w:val="TableContents"/>
              <w:spacing w:before="0" w:after="283"/>
              <w:rPr>
                <w:sz w:val="4"/>
                <w:szCs w:val="4"/>
              </w:rPr>
            </w:pPr>
            <w:r>
              <w:rPr>
                <w:sz w:val="4"/>
                <w:szCs w:val="4"/>
              </w:rPr>
            </w:r>
          </w:p>
        </w:tc>
        <w:tc>
          <w:tcPr>
            <w:tcW w:w="4439" w:type="dxa"/>
            <w:gridSpan w:val="3"/>
            <w:tcBorders/>
            <w:shd w:fill="auto" w:val="clear"/>
            <w:vAlign w:val="center"/>
          </w:tcPr>
          <w:p>
            <w:pPr>
              <w:pStyle w:val="TableContents"/>
              <w:spacing w:before="0" w:after="283"/>
              <w:rPr>
                <w:sz w:val="4"/>
                <w:szCs w:val="4"/>
              </w:rPr>
            </w:pPr>
            <w:r>
              <w:rPr>
                <w:sz w:val="4"/>
                <w:szCs w:val="4"/>
              </w:rPr>
            </w:r>
          </w:p>
        </w:tc>
      </w:tr>
      <w:tr>
        <w:trPr/>
        <w:tc>
          <w:tcPr>
            <w:tcW w:w="555" w:type="dxa"/>
            <w:gridSpan w:val="3"/>
            <w:tcBorders/>
            <w:shd w:fill="auto" w:val="clear"/>
            <w:vAlign w:val="center"/>
          </w:tcPr>
          <w:p>
            <w:pPr>
              <w:pStyle w:val="TableContents"/>
              <w:spacing w:before="0" w:after="283"/>
              <w:rPr>
                <w:sz w:val="4"/>
                <w:szCs w:val="4"/>
              </w:rPr>
            </w:pPr>
            <w:r>
              <w:rPr>
                <w:sz w:val="4"/>
                <w:szCs w:val="4"/>
              </w:rPr>
            </w:r>
          </w:p>
        </w:tc>
        <w:tc>
          <w:tcPr>
            <w:tcW w:w="1289" w:type="dxa"/>
            <w:gridSpan w:val="3"/>
            <w:tcBorders/>
            <w:shd w:fill="auto" w:val="clear"/>
            <w:vAlign w:val="center"/>
          </w:tcPr>
          <w:p>
            <w:pPr>
              <w:pStyle w:val="TableContents"/>
              <w:spacing w:before="0" w:after="283"/>
              <w:rPr>
                <w:sz w:val="4"/>
                <w:szCs w:val="4"/>
              </w:rPr>
            </w:pPr>
            <w:r>
              <w:rPr>
                <w:sz w:val="4"/>
                <w:szCs w:val="4"/>
              </w:rPr>
            </w:r>
          </w:p>
        </w:tc>
        <w:tc>
          <w:tcPr>
            <w:tcW w:w="404" w:type="dxa"/>
            <w:gridSpan w:val="3"/>
            <w:tcBorders/>
            <w:shd w:fill="auto" w:val="clear"/>
            <w:vAlign w:val="center"/>
          </w:tcPr>
          <w:p>
            <w:pPr>
              <w:pStyle w:val="TableContents"/>
              <w:spacing w:before="0" w:after="283"/>
              <w:rPr>
                <w:sz w:val="4"/>
                <w:szCs w:val="4"/>
              </w:rPr>
            </w:pPr>
            <w:r>
              <w:rPr>
                <w:sz w:val="4"/>
                <w:szCs w:val="4"/>
              </w:rPr>
            </w:r>
          </w:p>
        </w:tc>
        <w:tc>
          <w:tcPr>
            <w:tcW w:w="4439" w:type="dxa"/>
            <w:gridSpan w:val="3"/>
            <w:tcBorders/>
            <w:shd w:fill="auto" w:val="clear"/>
            <w:vAlign w:val="center"/>
          </w:tcPr>
          <w:p>
            <w:pPr>
              <w:pStyle w:val="TableContents"/>
              <w:spacing w:before="0" w:after="283"/>
              <w:rPr>
                <w:sz w:val="4"/>
                <w:szCs w:val="4"/>
              </w:rPr>
            </w:pPr>
            <w:r>
              <w:rPr>
                <w:sz w:val="4"/>
                <w:szCs w:val="4"/>
              </w:rPr>
            </w:r>
          </w:p>
        </w:tc>
      </w:tr>
      <w:tr>
        <w:trPr/>
        <w:tc>
          <w:tcPr>
            <w:tcW w:w="555" w:type="dxa"/>
            <w:gridSpan w:val="3"/>
            <w:tcBorders/>
            <w:shd w:fill="auto" w:val="clear"/>
            <w:vAlign w:val="center"/>
          </w:tcPr>
          <w:p>
            <w:pPr>
              <w:pStyle w:val="TableContents"/>
              <w:spacing w:before="0" w:after="283"/>
              <w:rPr>
                <w:sz w:val="4"/>
                <w:szCs w:val="4"/>
              </w:rPr>
            </w:pPr>
            <w:r>
              <w:rPr>
                <w:sz w:val="4"/>
                <w:szCs w:val="4"/>
              </w:rPr>
            </w:r>
          </w:p>
        </w:tc>
        <w:tc>
          <w:tcPr>
            <w:tcW w:w="1289" w:type="dxa"/>
            <w:gridSpan w:val="3"/>
            <w:tcBorders/>
            <w:shd w:fill="auto" w:val="clear"/>
            <w:vAlign w:val="center"/>
          </w:tcPr>
          <w:p>
            <w:pPr>
              <w:pStyle w:val="TableContents"/>
              <w:spacing w:before="0" w:after="283"/>
              <w:rPr>
                <w:sz w:val="4"/>
                <w:szCs w:val="4"/>
              </w:rPr>
            </w:pPr>
            <w:r>
              <w:rPr>
                <w:sz w:val="4"/>
                <w:szCs w:val="4"/>
              </w:rPr>
            </w:r>
          </w:p>
        </w:tc>
        <w:tc>
          <w:tcPr>
            <w:tcW w:w="404" w:type="dxa"/>
            <w:gridSpan w:val="3"/>
            <w:tcBorders/>
            <w:shd w:fill="auto" w:val="clear"/>
            <w:vAlign w:val="center"/>
          </w:tcPr>
          <w:p>
            <w:pPr>
              <w:pStyle w:val="TableContents"/>
              <w:spacing w:before="0" w:after="283"/>
              <w:rPr>
                <w:sz w:val="4"/>
                <w:szCs w:val="4"/>
              </w:rPr>
            </w:pPr>
            <w:r>
              <w:rPr>
                <w:sz w:val="4"/>
                <w:szCs w:val="4"/>
              </w:rPr>
            </w:r>
          </w:p>
        </w:tc>
        <w:tc>
          <w:tcPr>
            <w:tcW w:w="4439" w:type="dxa"/>
            <w:gridSpan w:val="3"/>
            <w:tcBorders/>
            <w:shd w:fill="auto" w:val="clear"/>
            <w:vAlign w:val="center"/>
          </w:tcPr>
          <w:p>
            <w:pPr>
              <w:pStyle w:val="TableContents"/>
              <w:spacing w:before="0" w:after="283"/>
              <w:rPr>
                <w:sz w:val="4"/>
                <w:szCs w:val="4"/>
              </w:rPr>
            </w:pPr>
            <w:r>
              <w:rPr>
                <w:sz w:val="4"/>
                <w:szCs w:val="4"/>
              </w:rPr>
            </w:r>
          </w:p>
        </w:tc>
      </w:tr>
      <w:tr>
        <w:trPr/>
        <w:tc>
          <w:tcPr>
            <w:tcW w:w="555" w:type="dxa"/>
            <w:gridSpan w:val="3"/>
            <w:tcBorders/>
            <w:shd w:fill="auto" w:val="clear"/>
            <w:vAlign w:val="center"/>
          </w:tcPr>
          <w:p>
            <w:pPr>
              <w:pStyle w:val="TableContents"/>
              <w:spacing w:before="0" w:after="283"/>
              <w:rPr>
                <w:sz w:val="4"/>
                <w:szCs w:val="4"/>
              </w:rPr>
            </w:pPr>
            <w:r>
              <w:rPr>
                <w:sz w:val="4"/>
                <w:szCs w:val="4"/>
              </w:rPr>
            </w:r>
          </w:p>
        </w:tc>
        <w:tc>
          <w:tcPr>
            <w:tcW w:w="1289" w:type="dxa"/>
            <w:gridSpan w:val="3"/>
            <w:tcBorders/>
            <w:shd w:fill="auto" w:val="clear"/>
            <w:vAlign w:val="center"/>
          </w:tcPr>
          <w:p>
            <w:pPr>
              <w:pStyle w:val="TableContents"/>
              <w:spacing w:before="0" w:after="283"/>
              <w:rPr>
                <w:sz w:val="4"/>
                <w:szCs w:val="4"/>
              </w:rPr>
            </w:pPr>
            <w:r>
              <w:rPr>
                <w:sz w:val="4"/>
                <w:szCs w:val="4"/>
              </w:rPr>
            </w:r>
          </w:p>
        </w:tc>
        <w:tc>
          <w:tcPr>
            <w:tcW w:w="404" w:type="dxa"/>
            <w:gridSpan w:val="3"/>
            <w:tcBorders/>
            <w:shd w:fill="auto" w:val="clear"/>
            <w:vAlign w:val="center"/>
          </w:tcPr>
          <w:p>
            <w:pPr>
              <w:pStyle w:val="TableContents"/>
              <w:spacing w:before="0" w:after="283"/>
              <w:rPr>
                <w:sz w:val="4"/>
                <w:szCs w:val="4"/>
              </w:rPr>
            </w:pPr>
            <w:r>
              <w:rPr>
                <w:sz w:val="4"/>
                <w:szCs w:val="4"/>
              </w:rPr>
            </w:r>
          </w:p>
        </w:tc>
        <w:tc>
          <w:tcPr>
            <w:tcW w:w="4439" w:type="dxa"/>
            <w:gridSpan w:val="3"/>
            <w:tcBorders/>
            <w:shd w:fill="auto" w:val="clear"/>
            <w:vAlign w:val="center"/>
          </w:tcPr>
          <w:p>
            <w:pPr>
              <w:pStyle w:val="TableContents"/>
              <w:spacing w:before="0" w:after="283"/>
              <w:rPr>
                <w:sz w:val="4"/>
                <w:szCs w:val="4"/>
              </w:rPr>
            </w:pPr>
            <w:r>
              <w:rPr>
                <w:sz w:val="4"/>
                <w:szCs w:val="4"/>
              </w:rPr>
            </w:r>
          </w:p>
        </w:tc>
      </w:tr>
      <w:tr>
        <w:trPr/>
        <w:tc>
          <w:tcPr>
            <w:tcW w:w="555" w:type="dxa"/>
            <w:gridSpan w:val="3"/>
            <w:tcBorders/>
            <w:shd w:fill="auto" w:val="clear"/>
            <w:vAlign w:val="center"/>
          </w:tcPr>
          <w:p>
            <w:pPr>
              <w:pStyle w:val="TableContents"/>
              <w:spacing w:before="0" w:after="283"/>
              <w:rPr>
                <w:sz w:val="4"/>
                <w:szCs w:val="4"/>
              </w:rPr>
            </w:pPr>
            <w:r>
              <w:rPr>
                <w:sz w:val="4"/>
                <w:szCs w:val="4"/>
              </w:rPr>
            </w:r>
          </w:p>
        </w:tc>
        <w:tc>
          <w:tcPr>
            <w:tcW w:w="1289" w:type="dxa"/>
            <w:gridSpan w:val="3"/>
            <w:tcBorders/>
            <w:shd w:fill="auto" w:val="clear"/>
            <w:vAlign w:val="center"/>
          </w:tcPr>
          <w:p>
            <w:pPr>
              <w:pStyle w:val="TableContents"/>
              <w:spacing w:before="0" w:after="283"/>
              <w:rPr>
                <w:sz w:val="4"/>
                <w:szCs w:val="4"/>
              </w:rPr>
            </w:pPr>
            <w:r>
              <w:rPr>
                <w:sz w:val="4"/>
                <w:szCs w:val="4"/>
              </w:rPr>
            </w:r>
          </w:p>
        </w:tc>
        <w:tc>
          <w:tcPr>
            <w:tcW w:w="404" w:type="dxa"/>
            <w:gridSpan w:val="3"/>
            <w:tcBorders/>
            <w:shd w:fill="auto" w:val="clear"/>
            <w:vAlign w:val="center"/>
          </w:tcPr>
          <w:p>
            <w:pPr>
              <w:pStyle w:val="TableContents"/>
              <w:spacing w:before="0" w:after="283"/>
              <w:rPr>
                <w:sz w:val="4"/>
                <w:szCs w:val="4"/>
              </w:rPr>
            </w:pPr>
            <w:r>
              <w:rPr>
                <w:sz w:val="4"/>
                <w:szCs w:val="4"/>
              </w:rPr>
            </w:r>
          </w:p>
        </w:tc>
        <w:tc>
          <w:tcPr>
            <w:tcW w:w="4439" w:type="dxa"/>
            <w:gridSpan w:val="3"/>
            <w:tcBorders/>
            <w:shd w:fill="auto" w:val="clear"/>
            <w:vAlign w:val="center"/>
          </w:tcPr>
          <w:p>
            <w:pPr>
              <w:pStyle w:val="TableContents"/>
              <w:spacing w:before="0" w:after="283"/>
              <w:rPr>
                <w:sz w:val="4"/>
                <w:szCs w:val="4"/>
              </w:rPr>
            </w:pPr>
            <w:r>
              <w:rPr>
                <w:sz w:val="4"/>
                <w:szCs w:val="4"/>
              </w:rPr>
            </w:r>
          </w:p>
        </w:tc>
      </w:tr>
      <w:tr>
        <w:trPr/>
        <w:tc>
          <w:tcPr>
            <w:tcW w:w="555" w:type="dxa"/>
            <w:gridSpan w:val="3"/>
            <w:tcBorders/>
            <w:shd w:fill="auto" w:val="clear"/>
            <w:vAlign w:val="center"/>
          </w:tcPr>
          <w:p>
            <w:pPr>
              <w:pStyle w:val="TableContents"/>
              <w:spacing w:before="0" w:after="283"/>
              <w:rPr>
                <w:sz w:val="4"/>
                <w:szCs w:val="4"/>
              </w:rPr>
            </w:pPr>
            <w:r>
              <w:rPr>
                <w:sz w:val="4"/>
                <w:szCs w:val="4"/>
              </w:rPr>
            </w:r>
          </w:p>
        </w:tc>
        <w:tc>
          <w:tcPr>
            <w:tcW w:w="1289" w:type="dxa"/>
            <w:gridSpan w:val="3"/>
            <w:tcBorders/>
            <w:shd w:fill="auto" w:val="clear"/>
            <w:vAlign w:val="center"/>
          </w:tcPr>
          <w:p>
            <w:pPr>
              <w:pStyle w:val="TableContents"/>
              <w:spacing w:before="0" w:after="283"/>
              <w:rPr>
                <w:sz w:val="4"/>
                <w:szCs w:val="4"/>
              </w:rPr>
            </w:pPr>
            <w:r>
              <w:rPr>
                <w:sz w:val="4"/>
                <w:szCs w:val="4"/>
              </w:rPr>
            </w:r>
          </w:p>
        </w:tc>
        <w:tc>
          <w:tcPr>
            <w:tcW w:w="404" w:type="dxa"/>
            <w:gridSpan w:val="3"/>
            <w:tcBorders/>
            <w:shd w:fill="auto" w:val="clear"/>
            <w:vAlign w:val="center"/>
          </w:tcPr>
          <w:p>
            <w:pPr>
              <w:pStyle w:val="TableContents"/>
              <w:spacing w:before="0" w:after="283"/>
              <w:rPr>
                <w:sz w:val="4"/>
                <w:szCs w:val="4"/>
              </w:rPr>
            </w:pPr>
            <w:r>
              <w:rPr>
                <w:sz w:val="4"/>
                <w:szCs w:val="4"/>
              </w:rPr>
            </w:r>
          </w:p>
        </w:tc>
        <w:tc>
          <w:tcPr>
            <w:tcW w:w="4439" w:type="dxa"/>
            <w:gridSpan w:val="3"/>
            <w:tcBorders/>
            <w:shd w:fill="auto" w:val="clear"/>
            <w:vAlign w:val="center"/>
          </w:tcPr>
          <w:p>
            <w:pPr>
              <w:pStyle w:val="TableContents"/>
              <w:spacing w:before="0" w:after="283"/>
              <w:rPr>
                <w:sz w:val="4"/>
                <w:szCs w:val="4"/>
              </w:rPr>
            </w:pPr>
            <w:r>
              <w:rPr>
                <w:sz w:val="4"/>
                <w:szCs w:val="4"/>
              </w:rPr>
            </w:r>
          </w:p>
        </w:tc>
      </w:tr>
      <w:tr>
        <w:trPr/>
        <w:tc>
          <w:tcPr>
            <w:tcW w:w="555" w:type="dxa"/>
            <w:gridSpan w:val="3"/>
            <w:tcBorders/>
            <w:shd w:fill="auto" w:val="clear"/>
            <w:vAlign w:val="center"/>
          </w:tcPr>
          <w:p>
            <w:pPr>
              <w:pStyle w:val="TableContents"/>
              <w:spacing w:before="0" w:after="283"/>
              <w:rPr>
                <w:sz w:val="4"/>
                <w:szCs w:val="4"/>
              </w:rPr>
            </w:pPr>
            <w:r>
              <w:rPr>
                <w:sz w:val="4"/>
                <w:szCs w:val="4"/>
              </w:rPr>
            </w:r>
          </w:p>
        </w:tc>
        <w:tc>
          <w:tcPr>
            <w:tcW w:w="1289" w:type="dxa"/>
            <w:gridSpan w:val="3"/>
            <w:tcBorders/>
            <w:shd w:fill="auto" w:val="clear"/>
            <w:vAlign w:val="center"/>
          </w:tcPr>
          <w:p>
            <w:pPr>
              <w:pStyle w:val="TableContents"/>
              <w:spacing w:before="0" w:after="283"/>
              <w:rPr>
                <w:sz w:val="4"/>
                <w:szCs w:val="4"/>
              </w:rPr>
            </w:pPr>
            <w:r>
              <w:rPr>
                <w:sz w:val="4"/>
                <w:szCs w:val="4"/>
              </w:rPr>
            </w:r>
          </w:p>
        </w:tc>
        <w:tc>
          <w:tcPr>
            <w:tcW w:w="404" w:type="dxa"/>
            <w:gridSpan w:val="3"/>
            <w:tcBorders/>
            <w:shd w:fill="auto" w:val="clear"/>
            <w:vAlign w:val="center"/>
          </w:tcPr>
          <w:p>
            <w:pPr>
              <w:pStyle w:val="TableContents"/>
              <w:spacing w:before="0" w:after="283"/>
              <w:rPr>
                <w:sz w:val="4"/>
                <w:szCs w:val="4"/>
              </w:rPr>
            </w:pPr>
            <w:r>
              <w:rPr>
                <w:sz w:val="4"/>
                <w:szCs w:val="4"/>
              </w:rPr>
            </w:r>
          </w:p>
        </w:tc>
        <w:tc>
          <w:tcPr>
            <w:tcW w:w="4439" w:type="dxa"/>
            <w:gridSpan w:val="3"/>
            <w:tcBorders/>
            <w:shd w:fill="auto" w:val="cle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26, 2023</w:t>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4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Arunava Mitra</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Arunava Mitra</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26, 2023</w:t>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4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Desmond J. Mills</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Desmond J. Mills</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and Chief Accounting Officer</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ind w:left="0" w:right="0" w:firstLine="360"/>
        <w:jc w:val="both"/>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spacing w:before="0" w:after="0"/>
        <w:rPr/>
      </w:pPr>
      <w:r>
        <w:rPr/>
      </w:r>
    </w:p>
    <w:p>
      <w:pPr>
        <w:pStyle w:val="TextBody"/>
        <w:spacing w:lineRule="auto" w:line="288" w:before="120" w:after="12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CHIEF EXECUTIVE OFFICER </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I, Girishchandra K. Saligram, certify that:</w:t>
      </w:r>
    </w:p>
    <w:p>
      <w:pPr>
        <w:pStyle w:val="TextBody"/>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Weatherford International plc;</w:t>
      </w:r>
    </w:p>
    <w:p>
      <w:pPr>
        <w:pStyle w:val="TextBody"/>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pStyle w:val="TextBody"/>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3550" w:type="dxa"/>
        <w:jc w:val="left"/>
        <w:tblInd w:w="0" w:type="dxa"/>
        <w:tblCellMar>
          <w:top w:w="28" w:type="dxa"/>
          <w:left w:w="28" w:type="dxa"/>
          <w:bottom w:w="28" w:type="dxa"/>
          <w:right w:w="28" w:type="dxa"/>
        </w:tblCellMar>
      </w:tblPr>
      <w:tblGrid>
        <w:gridCol w:w="124"/>
        <w:gridCol w:w="109"/>
        <w:gridCol w:w="109"/>
        <w:gridCol w:w="306"/>
        <w:gridCol w:w="306"/>
        <w:gridCol w:w="310"/>
        <w:gridCol w:w="668"/>
        <w:gridCol w:w="668"/>
        <w:gridCol w:w="95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668" w:type="dxa"/>
            <w:tcBorders/>
            <w:shd w:fill="auto" w:val="clear"/>
            <w:vAlign w:val="center"/>
          </w:tcPr>
          <w:p>
            <w:pPr>
              <w:pStyle w:val="TableContents"/>
              <w:spacing w:before="0" w:after="283"/>
              <w:rPr>
                <w:sz w:val="4"/>
                <w:szCs w:val="4"/>
              </w:rPr>
            </w:pPr>
            <w:r>
              <w:rPr>
                <w:sz w:val="4"/>
                <w:szCs w:val="4"/>
              </w:rPr>
            </w:r>
          </w:p>
        </w:tc>
        <w:tc>
          <w:tcPr>
            <w:tcW w:w="668"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22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26, 2023</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8" w:type="dxa"/>
            <w:gridSpan w:val="6"/>
            <w:tcBorders/>
            <w:shd w:fill="auto" w:val="clear"/>
            <w:tcMar>
              <w:top w:w="0" w:type="dxa"/>
              <w:left w:w="0" w:type="dxa"/>
              <w:bottom w:w="0" w:type="dxa"/>
              <w:right w:w="0" w:type="dxa"/>
            </w:tcMar>
            <w:vAlign w:val="center"/>
          </w:tcPr>
          <w:p>
            <w:pPr>
              <w:pStyle w:val="TableContents"/>
              <w:spacing w:lineRule="auto" w:line="240"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/s/ Girishchandra K. Saligram</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28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8"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Girishchandra K. Saligram</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8" w:type="dxa"/>
            <w:gridSpan w:val="6"/>
            <w:tcBorders/>
            <w:shd w:fill="auto" w:val="clear"/>
            <w:tcMar>
              <w:top w:w="0" w:type="dxa"/>
              <w:left w:w="0" w:type="dxa"/>
              <w:bottom w:w="0" w:type="dxa"/>
              <w:right w:w="0" w:type="dxa"/>
            </w:tcMar>
            <w:vAlign w:val="center"/>
          </w:tcPr>
          <w:p>
            <w:pPr>
              <w:pStyle w:val="TableContents"/>
              <w:spacing w:lineRule="auto" w:line="240"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30" name="Frame3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spacing w:before="0" w:after="0"/>
        <w:rPr/>
      </w:pPr>
      <w:r>
        <w:rPr/>
      </w:r>
    </w:p>
    <w:p>
      <w:pPr>
        <w:pStyle w:val="TextBody"/>
        <w:spacing w:lineRule="auto" w:line="288" w:before="120" w:after="120"/>
        <w:jc w:val="center"/>
        <w:rPr>
          <w:rFonts w:ascii="Times New Roman;sans-serif" w:hAnsi="Times New Roman;sans-serif"/>
          <w:b/>
          <w:color w:val="000000"/>
          <w:sz w:val="20"/>
        </w:rPr>
      </w:pPr>
      <w:r>
        <w:rPr>
          <w:rFonts w:ascii="Times New Roman;sans-serif" w:hAnsi="Times New Roman;sans-serif"/>
          <w:b/>
          <w:color w:val="000000"/>
          <w:sz w:val="20"/>
        </w:rPr>
        <w:t>CERTIFICATION OF CHIEF FINANCIAL OFFICER</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 Arunava Mitra, certify that:</w:t>
      </w:r>
    </w:p>
    <w:p>
      <w:pPr>
        <w:pStyle w:val="TextBody"/>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Weatherford International plc;</w:t>
      </w:r>
    </w:p>
    <w:p>
      <w:pPr>
        <w:pStyle w:val="TextBody"/>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pStyle w:val="TextBody"/>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780" w:type="dxa"/>
        <w:jc w:val="left"/>
        <w:tblInd w:w="0" w:type="dxa"/>
        <w:tblCellMar>
          <w:top w:w="28" w:type="dxa"/>
          <w:left w:w="28" w:type="dxa"/>
          <w:bottom w:w="28" w:type="dxa"/>
          <w:right w:w="28" w:type="dxa"/>
        </w:tblCellMar>
      </w:tblPr>
      <w:tblGrid>
        <w:gridCol w:w="124"/>
        <w:gridCol w:w="109"/>
        <w:gridCol w:w="109"/>
        <w:gridCol w:w="424"/>
        <w:gridCol w:w="424"/>
        <w:gridCol w:w="429"/>
        <w:gridCol w:w="924"/>
        <w:gridCol w:w="924"/>
        <w:gridCol w:w="131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4" w:type="dxa"/>
            <w:tcBorders/>
            <w:shd w:fill="auto" w:val="clear"/>
            <w:vAlign w:val="center"/>
          </w:tcPr>
          <w:p>
            <w:pPr>
              <w:pStyle w:val="TableContents"/>
              <w:spacing w:before="0" w:after="283"/>
              <w:rPr>
                <w:sz w:val="4"/>
                <w:szCs w:val="4"/>
              </w:rPr>
            </w:pPr>
            <w:r>
              <w:rPr>
                <w:sz w:val="4"/>
                <w:szCs w:val="4"/>
              </w:rPr>
            </w:r>
          </w:p>
        </w:tc>
        <w:tc>
          <w:tcPr>
            <w:tcW w:w="424"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924" w:type="dxa"/>
            <w:tcBorders/>
            <w:shd w:fill="auto" w:val="clear"/>
            <w:vAlign w:val="center"/>
          </w:tcPr>
          <w:p>
            <w:pPr>
              <w:pStyle w:val="TableContents"/>
              <w:spacing w:before="0" w:after="283"/>
              <w:rPr>
                <w:sz w:val="4"/>
                <w:szCs w:val="4"/>
              </w:rPr>
            </w:pPr>
            <w:r>
              <w:rPr>
                <w:sz w:val="4"/>
                <w:szCs w:val="4"/>
              </w:rPr>
            </w:r>
          </w:p>
        </w:tc>
        <w:tc>
          <w:tcPr>
            <w:tcW w:w="924" w:type="dxa"/>
            <w:tcBorders/>
            <w:shd w:fill="auto" w:val="clear"/>
            <w:vAlign w:val="center"/>
          </w:tcPr>
          <w:p>
            <w:pPr>
              <w:pStyle w:val="TableContents"/>
              <w:spacing w:before="0" w:after="283"/>
              <w:rPr>
                <w:sz w:val="4"/>
                <w:szCs w:val="4"/>
              </w:rPr>
            </w:pPr>
            <w:r>
              <w:rPr>
                <w:sz w:val="4"/>
                <w:szCs w:val="4"/>
              </w:rPr>
            </w:r>
          </w:p>
        </w:tc>
        <w:tc>
          <w:tcPr>
            <w:tcW w:w="131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316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26, 2023</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38" w:type="dxa"/>
            <w:gridSpan w:val="6"/>
            <w:tcBorders/>
            <w:shd w:fill="auto" w:val="clear"/>
            <w:tcMar>
              <w:top w:w="0" w:type="dxa"/>
              <w:left w:w="0" w:type="dxa"/>
              <w:bottom w:w="0" w:type="dxa"/>
              <w:right w:w="0" w:type="dxa"/>
            </w:tcMar>
            <w:vAlign w:val="center"/>
          </w:tcPr>
          <w:p>
            <w:pPr>
              <w:pStyle w:val="TableContents"/>
              <w:spacing w:lineRule="auto" w:line="240"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/s/ Arunava Mitra</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1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38"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Arunava Mitra</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38" w:type="dxa"/>
            <w:gridSpan w:val="6"/>
            <w:tcBorders/>
            <w:shd w:fill="auto" w:val="clear"/>
            <w:tcMar>
              <w:top w:w="0" w:type="dxa"/>
              <w:left w:w="0" w:type="dxa"/>
              <w:bottom w:w="0" w:type="dxa"/>
              <w:right w:w="0" w:type="dxa"/>
            </w:tcMar>
            <w:vAlign w:val="center"/>
          </w:tcPr>
          <w:p>
            <w:pPr>
              <w:pStyle w:val="TableContents"/>
              <w:spacing w:lineRule="auto" w:line="240"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38"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1" name="Frame3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 U.S.C. SECTION 1350,</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ADOPTED PURSUANT TO</w:t>
      </w:r>
    </w:p>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SECTION 906 OF THE SARBANES-OXLEY ACT OF 2002 </w:t>
      </w:r>
    </w:p>
    <w:p>
      <w:pPr>
        <w:pStyle w:val="TextBody"/>
        <w:spacing w:before="0" w:after="0"/>
        <w:rPr/>
      </w:pPr>
      <w:r>
        <w:rPr/>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Weatherford International plc (the "Company") for the period ended March 31, 2023 as filed with the Securities and Exchange Commission on the date hereof (the "Report"), I, Girishchandra K. Saligram, President and Chief Executive Officer of the Company, certify, pursuant to 18 U.S.C. Section 1350, as adopted pursuant to Section 906 of the Sarbanes-Oxley Act of 2002, that:</w:t>
      </w:r>
    </w:p>
    <w:p>
      <w:pPr>
        <w:pStyle w:val="TextBody"/>
        <w:spacing w:before="0" w:after="0"/>
        <w:jc w:val="both"/>
        <w:rPr/>
      </w:pPr>
      <w:r>
        <w:rPr/>
      </w:r>
    </w:p>
    <w:p>
      <w:pPr>
        <w:pStyle w:val="TextBody"/>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4509" w:type="dxa"/>
        <w:jc w:val="left"/>
        <w:tblInd w:w="0" w:type="dxa"/>
        <w:tblCellMar>
          <w:top w:w="28" w:type="dxa"/>
          <w:left w:w="28" w:type="dxa"/>
          <w:bottom w:w="28" w:type="dxa"/>
          <w:right w:w="28" w:type="dxa"/>
        </w:tblCellMar>
      </w:tblPr>
      <w:tblGrid>
        <w:gridCol w:w="233"/>
        <w:gridCol w:w="205"/>
        <w:gridCol w:w="207"/>
        <w:gridCol w:w="1054"/>
        <w:gridCol w:w="1054"/>
        <w:gridCol w:w="1057"/>
        <w:gridCol w:w="109"/>
        <w:gridCol w:w="109"/>
        <w:gridCol w:w="109"/>
        <w:gridCol w:w="109"/>
        <w:gridCol w:w="109"/>
        <w:gridCol w:w="154"/>
      </w:tblGrid>
      <w:tr>
        <w:trPr/>
        <w:tc>
          <w:tcPr>
            <w:tcW w:w="233"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054" w:type="dxa"/>
            <w:tcBorders/>
            <w:shd w:fill="auto" w:val="clear"/>
            <w:vAlign w:val="center"/>
          </w:tcPr>
          <w:p>
            <w:pPr>
              <w:pStyle w:val="TableContents"/>
              <w:spacing w:before="0" w:after="283"/>
              <w:rPr>
                <w:sz w:val="4"/>
                <w:szCs w:val="4"/>
              </w:rPr>
            </w:pPr>
            <w:r>
              <w:rPr>
                <w:sz w:val="4"/>
                <w:szCs w:val="4"/>
              </w:rPr>
            </w:r>
          </w:p>
        </w:tc>
        <w:tc>
          <w:tcPr>
            <w:tcW w:w="1054" w:type="dxa"/>
            <w:tcBorders/>
            <w:shd w:fill="auto" w:val="clear"/>
            <w:vAlign w:val="center"/>
          </w:tcPr>
          <w:p>
            <w:pPr>
              <w:pStyle w:val="TableContents"/>
              <w:spacing w:before="0" w:after="283"/>
              <w:rPr>
                <w:sz w:val="4"/>
                <w:szCs w:val="4"/>
              </w:rPr>
            </w:pPr>
            <w:r>
              <w:rPr>
                <w:sz w:val="4"/>
                <w:szCs w:val="4"/>
              </w:rPr>
            </w:r>
          </w:p>
        </w:tc>
        <w:tc>
          <w:tcPr>
            <w:tcW w:w="10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Girishchandra K. Saligram</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1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Girishchandra K. Saligram</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1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31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26,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written statement has been provided to the Company and will be retained by the Company and furnished to the Securities and Exchange Commission or its staff upon request.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certification the registrant furnishes in this exhibit is not deemed "filed" for purposes of Section 18 of the Securities Exchange Act of 1934, as amended, or otherwise subject to the liabilities of that Section.  Registration Statements or other documents filed with the Securities and Exchange Commission shall not incorporate this exhibit by reference, except as otherwise expressly stated in such filing.</w:t>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2" name="Frame3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 U.S.C. SECTION 1350,</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ADOPTED PURSUANT TO</w:t>
      </w:r>
    </w:p>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SECTION 906 OF THE SARBANES-OXLEY ACT OF 2002</w:t>
      </w:r>
    </w:p>
    <w:p>
      <w:pPr>
        <w:pStyle w:val="TextBody"/>
        <w:spacing w:before="0" w:after="0"/>
        <w:rPr/>
      </w:pPr>
      <w:r>
        <w:rPr/>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Weatherford International plc (the "Company") for the period ended March 31, 2023 as filed with the Securities and Exchange Commission on the date hereof (the "Report"), I, Arunava Mitra, Executive Vice President and Chief Financial Officer of the Company, certify, pursuant to 18 U.S.C. Section 1350, as adopted pursuant to Section 906 of the Sarbanes-Oxley Act of 2002, that:</w:t>
      </w:r>
    </w:p>
    <w:p>
      <w:pPr>
        <w:pStyle w:val="TextBody"/>
        <w:spacing w:before="0" w:after="0"/>
        <w:jc w:val="both"/>
        <w:rPr/>
      </w:pPr>
      <w:r>
        <w:rPr/>
      </w:r>
    </w:p>
    <w:p>
      <w:pPr>
        <w:pStyle w:val="TextBody"/>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(1)The Report fully complies with the requirements of Section 13(a) or 15(d) of the Securities Exchange Act of 1934; and </w:t>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5739" w:type="dxa"/>
        <w:jc w:val="left"/>
        <w:tblInd w:w="0" w:type="dxa"/>
        <w:tblCellMar>
          <w:top w:w="28" w:type="dxa"/>
          <w:left w:w="28" w:type="dxa"/>
          <w:bottom w:w="28" w:type="dxa"/>
          <w:right w:w="28" w:type="dxa"/>
        </w:tblCellMar>
      </w:tblPr>
      <w:tblGrid>
        <w:gridCol w:w="233"/>
        <w:gridCol w:w="205"/>
        <w:gridCol w:w="207"/>
        <w:gridCol w:w="1462"/>
        <w:gridCol w:w="1462"/>
        <w:gridCol w:w="1471"/>
        <w:gridCol w:w="109"/>
        <w:gridCol w:w="109"/>
        <w:gridCol w:w="109"/>
        <w:gridCol w:w="109"/>
        <w:gridCol w:w="109"/>
        <w:gridCol w:w="154"/>
      </w:tblGrid>
      <w:tr>
        <w:trPr/>
        <w:tc>
          <w:tcPr>
            <w:tcW w:w="233"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462" w:type="dxa"/>
            <w:tcBorders/>
            <w:shd w:fill="auto" w:val="clear"/>
            <w:vAlign w:val="center"/>
          </w:tcPr>
          <w:p>
            <w:pPr>
              <w:pStyle w:val="TableContents"/>
              <w:spacing w:before="0" w:after="283"/>
              <w:rPr>
                <w:sz w:val="4"/>
                <w:szCs w:val="4"/>
              </w:rPr>
            </w:pPr>
            <w:r>
              <w:rPr>
                <w:sz w:val="4"/>
                <w:szCs w:val="4"/>
              </w:rPr>
            </w:r>
          </w:p>
        </w:tc>
        <w:tc>
          <w:tcPr>
            <w:tcW w:w="1462" w:type="dxa"/>
            <w:tcBorders/>
            <w:shd w:fill="auto" w:val="clear"/>
            <w:vAlign w:val="center"/>
          </w:tcPr>
          <w:p>
            <w:pPr>
              <w:pStyle w:val="TableContents"/>
              <w:spacing w:before="0" w:after="283"/>
              <w:rPr>
                <w:sz w:val="4"/>
                <w:szCs w:val="4"/>
              </w:rPr>
            </w:pPr>
            <w:r>
              <w:rPr>
                <w:sz w:val="4"/>
                <w:szCs w:val="4"/>
              </w:rPr>
            </w:r>
          </w:p>
        </w:tc>
        <w:tc>
          <w:tcPr>
            <w:tcW w:w="14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95" w:type="dxa"/>
            <w:gridSpan w:val="3"/>
            <w:tcBorders/>
            <w:shd w:fill="auto" w:val="clear"/>
            <w:tcMar>
              <w:top w:w="0" w:type="dxa"/>
              <w:left w:w="0" w:type="dxa"/>
              <w:bottom w:w="0" w:type="dxa"/>
              <w:right w:w="0" w:type="dxa"/>
            </w:tcMar>
            <w:vAlign w:val="center"/>
          </w:tcPr>
          <w:p>
            <w:pPr>
              <w:pStyle w:val="TableContents"/>
              <w:spacing w:lineRule="auto" w:line="240"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/s/ Arunava Mitra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9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439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Arunava Mitra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43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43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26,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written statement has been provided to the Company and will be retained by the Company and furnished to the Securities and Exchange Commission or its staff upon request.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certification the registrant furnishes in this exhibit is not deemed "filed" for purposes of Section 18 of the Securities Exchange Act of 1934, as amended, or otherwise subject to the liabilities of that Section.  Registration Statements or other documents filed with the Securities and Exchange Commission shall not incorporate this exhibit by reference, except as otherwise expressly stated in such filing.</w:t>
      </w:r>
    </w:p>
    <w:p>
      <w:pPr>
        <w:pStyle w:val="TextBody"/>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3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03923/000110465923036717/tm2310530d1_ex10-1.htm" TargetMode="External"/><Relationship Id="rId3" Type="http://schemas.openxmlformats.org/officeDocument/2006/relationships/hyperlink" Target="https://www.sec.gov/Archives/edgar/data/1603923/000160392323000058/exhibit1013rdamendedandres.htm" TargetMode="External"/><Relationship Id="rId4" Type="http://schemas.openxmlformats.org/officeDocument/2006/relationships/hyperlink" Target="https://www.sec.gov/Archives/edgar/data/1603923/000160392323000058/exhibit102weatherford-thir.htm" TargetMode="External"/><Relationship Id="rId5" Type="http://schemas.openxmlformats.org/officeDocument/2006/relationships/hyperlink" Target="https://www.sec.gov/Archives/edgar/data/1603923/000160392323000058/exhibit103-formawardagreem.htm" TargetMode="External"/><Relationship Id="rId6" Type="http://schemas.openxmlformats.org/officeDocument/2006/relationships/hyperlink" Target="https://www.sec.gov/Archives/edgar/data/1603923/000160392323000058/exhibit104-formawardagreem.htm" TargetMode="External"/><Relationship Id="rId7" Type="http://schemas.openxmlformats.org/officeDocument/2006/relationships/hyperlink" Target="https://www.sec.gov/Archives/edgar/data/1603923/000160392323000058/exhibit105-weatherfordxfor.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9</Pages>
  <Words>13115</Words>
  <CharactersWithSpaces>84435</CharactersWithSpaces>
  <Paragraphs>1427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