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Weatherford International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646" w:type="dxa"/>
        <w:jc w:val="center"/>
        <w:tblInd w:w="0" w:type="dxa"/>
        <w:tblLayout w:type="fixed"/>
        <w:tblCellMar>
          <w:top w:w="28" w:type="dxa"/>
          <w:left w:w="28" w:type="dxa"/>
          <w:bottom w:w="28" w:type="dxa"/>
          <w:right w:w="28" w:type="dxa"/>
        </w:tblCellMar>
      </w:tblPr>
      <w:tblGrid>
        <w:gridCol w:w="781"/>
        <w:gridCol w:w="686"/>
        <w:gridCol w:w="693"/>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Saint James Place,</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39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2218" w:type="dxa"/>
        <w:jc w:val="left"/>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68" w:before="0" w:after="0"/>
        <w:ind w:left="0" w:right="0" w:firstLine="360"/>
        <w:jc w:val="left"/>
        <w:rPr/>
      </w:pPr>
      <w:r>
        <w:rPr>
          <w:rFonts w:ascii="Times New Roman;serif" w:hAnsi="Times New Roman;serif"/>
          <w:b w:val="false"/>
          <w:color w:val="000000"/>
          <w:sz w:val="20"/>
        </w:rPr>
        <w:t>On September 1, 2026, Weatherford International plc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filed a prospectus supplement to its Registration Statement on Form S-3ASR filed with the U.S. Securities and Exchange Commission on June 13, 2025 (No. 333-288045) (the “</w:t>
      </w:r>
      <w:r>
        <w:rPr>
          <w:rFonts w:ascii="Times New Roman;serif" w:hAnsi="Times New Roman;serif"/>
          <w:b w:val="false"/>
          <w:color w:val="000000"/>
          <w:sz w:val="20"/>
          <w:u w:val="single"/>
        </w:rPr>
        <w:t>Registration Statement</w:t>
      </w:r>
      <w:r>
        <w:rPr>
          <w:color w:val="000000"/>
        </w:rPr>
        <w:t>”</w:t>
      </w:r>
      <w:r>
        <w:rPr>
          <w:rFonts w:ascii="Times New Roman;serif" w:hAnsi="Times New Roman;serif"/>
          <w:b w:val="false"/>
          <w:color w:val="000000"/>
          <w:sz w:val="20"/>
        </w:rPr>
        <w:t>), relating to the resale of up to 357,159 ordinary shares of the Company, nominal value $0.001 per share (the “</w:t>
      </w:r>
      <w:r>
        <w:rPr>
          <w:rFonts w:ascii="Times New Roman;serif" w:hAnsi="Times New Roman;serif"/>
          <w:b w:val="false"/>
          <w:color w:val="000000"/>
          <w:sz w:val="20"/>
          <w:u w:val="single"/>
        </w:rPr>
        <w:t>Ordinary Shares</w:t>
      </w:r>
      <w:r>
        <w:rPr>
          <w:color w:val="000000"/>
        </w:rPr>
        <w:t>”</w:t>
      </w:r>
      <w:r>
        <w:rPr>
          <w:rFonts w:ascii="Times New Roman;serif" w:hAnsi="Times New Roman;serif"/>
          <w:b w:val="false"/>
          <w:color w:val="000000"/>
          <w:sz w:val="20"/>
        </w:rPr>
        <w:t>), by the selling shareholder identified therein. The Ordinary Shares to be offered by the selling shareholder were issued as merger consideration in connection with the closing of the Company’s previously reported acquisition of NCS Multistage Holdings, Inc.</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filing of the prospectus supplement, the Company is filing a legal opinion as Exhibit 5.1 to this current report on Form 8-K, which is incorporated by reference into the Registration Statement. </w:t>
      </w:r>
    </w:p>
    <w:p>
      <w:pPr>
        <w:pStyle w:val="TextBody"/>
        <w:bidi w:val="0"/>
        <w:spacing w:before="0" w:after="0"/>
        <w:ind w:left="0" w:right="0" w:firstLine="36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276"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1950"/>
        <w:gridCol w:w="1950"/>
        <w:gridCol w:w="2775"/>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51opinionforadventprospe.htm">
              <w:r>
                <w:rPr>
                  <w:rStyle w:val="InternetLink"/>
                  <w:rFonts w:ascii="Times New Roman;serif" w:hAnsi="Times New Roman;serif"/>
                  <w:b w:val="false"/>
                  <w:color w:val="000000"/>
                  <w:sz w:val="20"/>
                </w:rPr>
                <w:t>Opinion of Matheson LLP</w:t>
              </w:r>
            </w:hyperlink>
          </w:p>
        </w:tc>
      </w:tr>
      <w:tr>
        <w:trPr/>
        <w:tc>
          <w:tcPr>
            <w:tcW w:w="12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51opinionforadventprospe.htm">
              <w:r>
                <w:rPr>
                  <w:rStyle w:val="InternetLink"/>
                  <w:rFonts w:ascii="Times New Roman;serif" w:hAnsi="Times New Roman;serif"/>
                  <w:b w:val="false"/>
                  <w:color w:val="000000"/>
                  <w:sz w:val="20"/>
                </w:rPr>
                <w:t>Consent of Matheson LLP (included in Exhibit 5.1)</w:t>
              </w:r>
            </w:hyperlink>
          </w:p>
        </w:tc>
      </w:tr>
      <w:tr>
        <w:trPr/>
        <w:tc>
          <w:tcPr>
            <w:tcW w:w="12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574" w:type="dxa"/>
        <w:jc w:val="center"/>
        <w:tblInd w:w="0" w:type="dxa"/>
        <w:tblLayout w:type="fixed"/>
        <w:tblCellMar>
          <w:top w:w="28" w:type="dxa"/>
          <w:left w:w="28" w:type="dxa"/>
          <w:bottom w:w="28" w:type="dxa"/>
          <w:right w:w="28" w:type="dxa"/>
        </w:tblCellMar>
      </w:tblPr>
      <w:tblGrid>
        <w:gridCol w:w="495"/>
        <w:gridCol w:w="437"/>
        <w:gridCol w:w="437"/>
        <w:gridCol w:w="2017"/>
        <w:gridCol w:w="2017"/>
        <w:gridCol w:w="2026"/>
        <w:gridCol w:w="626"/>
        <w:gridCol w:w="626"/>
        <w:gridCol w:w="893"/>
      </w:tblGrid>
      <w:tr>
        <w:trPr/>
        <w:tc>
          <w:tcPr>
            <w:tcW w:w="49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74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Weatherford International plc</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Chief Compliance Officer</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drawing>
          <wp:inline distT="0" distB="0" distL="0" distR="0">
            <wp:extent cx="3200400" cy="12858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200400" cy="12858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3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2700" w:type="dxa"/>
        <w:jc w:val="left"/>
        <w:tblInd w:w="0" w:type="dxa"/>
        <w:tblLayout w:type="fixed"/>
        <w:tblCellMar>
          <w:top w:w="28" w:type="dxa"/>
          <w:left w:w="28" w:type="dxa"/>
          <w:bottom w:w="28" w:type="dxa"/>
          <w:right w:w="28" w:type="dxa"/>
        </w:tblCellMar>
      </w:tblPr>
      <w:tblGrid>
        <w:gridCol w:w="864"/>
        <w:gridCol w:w="759"/>
        <w:gridCol w:w="1077"/>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Weatherford International plc</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70 Sir John Rogerson's Quay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Dublin 2</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D02R296</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Ireland</w:t>
            </w:r>
          </w:p>
        </w:tc>
      </w:tr>
    </w:tbl>
    <w:p>
      <w:pPr>
        <w:pStyle w:val="TextBody"/>
        <w:bidi w:val="0"/>
        <w:spacing w:before="0" w:after="0"/>
        <w:jc w:val="both"/>
        <w:rPr/>
      </w:pPr>
      <w:r>
        <w:rPr/>
      </w:r>
    </w:p>
    <w:tbl>
      <w:tblPr>
        <w:tblW w:w="4225" w:type="dxa"/>
        <w:jc w:val="left"/>
        <w:tblInd w:w="0" w:type="dxa"/>
        <w:tblLayout w:type="fixed"/>
        <w:tblCellMar>
          <w:top w:w="28" w:type="dxa"/>
          <w:left w:w="28" w:type="dxa"/>
          <w:bottom w:w="28" w:type="dxa"/>
          <w:right w:w="28" w:type="dxa"/>
        </w:tblCellMar>
      </w:tblPr>
      <w:tblGrid>
        <w:gridCol w:w="780"/>
        <w:gridCol w:w="684"/>
        <w:gridCol w:w="695"/>
        <w:gridCol w:w="109"/>
        <w:gridCol w:w="109"/>
        <w:gridCol w:w="109"/>
        <w:gridCol w:w="509"/>
        <w:gridCol w:w="509"/>
        <w:gridCol w:w="721"/>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333" w:before="0" w:after="240"/>
              <w:jc w:val="left"/>
              <w:rPr>
                <w:rFonts w:ascii="Arial;sans-serif" w:hAnsi="Arial;sans-serif"/>
                <w:b w:val="false"/>
                <w:color w:val="000000"/>
                <w:sz w:val="16"/>
              </w:rPr>
            </w:pPr>
            <w:r>
              <w:rPr>
                <w:rFonts w:ascii="Arial;sans-serif" w:hAnsi="Arial;sans-serif"/>
                <w:b w:val="false"/>
                <w:color w:val="000000"/>
                <w:sz w:val="16"/>
              </w:rPr>
              <w:t>Our 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333" w:before="0" w:after="240"/>
              <w:jc w:val="right"/>
              <w:rPr>
                <w:rFonts w:ascii="Arial;sans-serif" w:hAnsi="Arial;sans-serif"/>
                <w:b w:val="false"/>
                <w:color w:val="000000"/>
                <w:sz w:val="20"/>
              </w:rPr>
            </w:pPr>
            <w:r>
              <w:rPr>
                <w:rFonts w:ascii="Arial;sans-serif" w:hAnsi="Arial;sans-serif"/>
                <w:b w:val="false"/>
                <w:color w:val="000000"/>
                <w:sz w:val="20"/>
              </w:rPr>
              <w:t>1 September 2026</w:t>
            </w:r>
          </w:p>
        </w:tc>
      </w:tr>
      <w:tr>
        <w:trPr/>
        <w:tc>
          <w:tcPr>
            <w:tcW w:w="2159" w:type="dxa"/>
            <w:gridSpan w:val="3"/>
            <w:tcBorders/>
            <w:tcMar>
              <w:top w:w="0" w:type="dxa"/>
              <w:left w:w="0" w:type="dxa"/>
              <w:bottom w:w="0" w:type="dxa"/>
              <w:right w:w="0" w:type="dxa"/>
            </w:tcMar>
            <w:vAlign w:val="center"/>
          </w:tcPr>
          <w:p>
            <w:pPr>
              <w:pStyle w:val="TableContents"/>
              <w:bidi w:val="0"/>
              <w:spacing w:lineRule="auto" w:line="333" w:before="0" w:after="240"/>
              <w:jc w:val="left"/>
              <w:rPr>
                <w:rFonts w:ascii="Arial;sans-serif" w:hAnsi="Arial;sans-serif"/>
                <w:b w:val="false"/>
                <w:color w:val="000000"/>
                <w:sz w:val="20"/>
              </w:rPr>
            </w:pPr>
            <w:r>
              <w:rPr>
                <w:rFonts w:ascii="Arial;sans-serif" w:hAnsi="Arial;sans-serif"/>
                <w:b w:val="false"/>
                <w:color w:val="000000"/>
                <w:sz w:val="20"/>
              </w:rPr>
              <w:t>FB/GB/AON/661725-69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Dear Addressee</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Registration Statement on Form S-3 and Prospectus Supplement of Weatherford International plc</w:t>
      </w:r>
    </w:p>
    <w:p>
      <w:pPr>
        <w:pStyle w:val="TextBody"/>
        <w:bidi w:val="0"/>
        <w:spacing w:lineRule="auto" w:line="333" w:before="0" w:after="240"/>
        <w:ind w:left="0" w:right="0" w:hanging="709"/>
        <w:jc w:val="both"/>
        <w:rPr/>
      </w:pPr>
      <w:r>
        <w:rPr>
          <w:rFonts w:ascii="Arial;sans-serif" w:hAnsi="Arial;sans-serif"/>
          <w:b w:val="false"/>
          <w:color w:val="000000"/>
          <w:sz w:val="20"/>
        </w:rPr>
        <w:t>1</w:t>
      </w:r>
      <w:r>
        <w:rPr>
          <w:rFonts w:ascii="Arial;sans-serif" w:hAnsi="Arial;sans-serif"/>
          <w:b/>
          <w:color w:val="000000"/>
          <w:sz w:val="22"/>
        </w:rPr>
        <w:t>Introduction</w:t>
      </w:r>
    </w:p>
    <w:p>
      <w:pPr>
        <w:pStyle w:val="TextBody"/>
        <w:bidi w:val="0"/>
        <w:spacing w:lineRule="auto" w:line="333" w:before="0" w:after="240"/>
        <w:jc w:val="both"/>
        <w:rPr/>
      </w:pPr>
      <w:r>
        <w:rPr>
          <w:rFonts w:ascii="Arial;sans-serif" w:hAnsi="Arial;sans-serif"/>
          <w:b w:val="false"/>
          <w:color w:val="000000"/>
          <w:sz w:val="20"/>
        </w:rPr>
        <w:t>We act as legal advisers to Weatherford International plc, a public limited company incorporated under the laws of Ireland with company number 540406 (the “</w:t>
      </w:r>
      <w:r>
        <w:rPr>
          <w:rFonts w:ascii="Arial;sans-serif" w:hAnsi="Arial;sans-serif"/>
          <w:b/>
          <w:color w:val="000000"/>
          <w:sz w:val="20"/>
        </w:rPr>
        <w:t>Company</w:t>
      </w:r>
      <w:r>
        <w:rPr>
          <w:color w:val="000000"/>
        </w:rPr>
        <w:t>”</w:t>
      </w:r>
      <w:r>
        <w:rPr>
          <w:rFonts w:ascii="Arial;sans-serif" w:hAnsi="Arial;sans-serif"/>
          <w:b w:val="false"/>
          <w:color w:val="000000"/>
          <w:sz w:val="20"/>
        </w:rPr>
        <w:t>), which has asked us to give this Opinion as to certain matters of Irish law in connection with the filing by the Company, on the date hereof, of a prospectus supplement (the “</w:t>
      </w:r>
      <w:r>
        <w:rPr>
          <w:rFonts w:ascii="Arial;sans-serif" w:hAnsi="Arial;sans-serif"/>
          <w:b/>
          <w:color w:val="000000"/>
          <w:sz w:val="20"/>
        </w:rPr>
        <w:t>Prospectus Supplement</w:t>
      </w:r>
      <w:r>
        <w:rPr>
          <w:color w:val="000000"/>
        </w:rPr>
        <w:t>”</w:t>
      </w:r>
      <w:r>
        <w:rPr>
          <w:rFonts w:ascii="Arial;sans-serif" w:hAnsi="Arial;sans-serif"/>
          <w:b w:val="false"/>
          <w:color w:val="000000"/>
          <w:sz w:val="20"/>
        </w:rPr>
        <w:t>) to the base prospectus dated 13 June 2025 included in the shelf registration statement on Form S-3 filed by the Company on 13 June 2025 (Registration No. 333-288045) (the “</w:t>
      </w:r>
      <w:r>
        <w:rPr>
          <w:rFonts w:ascii="Arial;sans-serif" w:hAnsi="Arial;sans-serif"/>
          <w:b/>
          <w:color w:val="000000"/>
          <w:sz w:val="20"/>
        </w:rPr>
        <w:t>Registration Statement</w:t>
      </w:r>
      <w:r>
        <w:rPr>
          <w:color w:val="000000"/>
        </w:rPr>
        <w:t>”</w:t>
      </w:r>
      <w:r>
        <w:rPr>
          <w:rFonts w:ascii="Arial;sans-serif" w:hAnsi="Arial;sans-serif"/>
          <w:b w:val="false"/>
          <w:color w:val="000000"/>
          <w:sz w:val="20"/>
        </w:rPr>
        <w:t>) with the U.S. Securities and Exchange Commission (the “</w:t>
      </w:r>
      <w:r>
        <w:rPr>
          <w:rFonts w:ascii="Arial;sans-serif" w:hAnsi="Arial;sans-serif"/>
          <w:b/>
          <w:color w:val="000000"/>
          <w:sz w:val="20"/>
        </w:rPr>
        <w:t>Commission</w:t>
      </w:r>
      <w:r>
        <w:rPr>
          <w:color w:val="000000"/>
        </w:rPr>
        <w:t>”</w:t>
      </w:r>
      <w:r>
        <w:rPr>
          <w:rFonts w:ascii="Arial;sans-serif" w:hAnsi="Arial;sans-serif"/>
          <w:b w:val="false"/>
          <w:color w:val="000000"/>
          <w:sz w:val="20"/>
        </w:rPr>
        <w:t>) under the U.S. Securities Act of 1933, as amended (the “</w:t>
      </w:r>
      <w:r>
        <w:rPr>
          <w:rFonts w:ascii="Arial;sans-serif" w:hAnsi="Arial;sans-serif"/>
          <w:b/>
          <w:color w:val="000000"/>
          <w:sz w:val="20"/>
        </w:rPr>
        <w:t>Securities Act</w:t>
      </w:r>
      <w:r>
        <w:rPr>
          <w:color w:val="000000"/>
        </w:rPr>
        <w:t>”</w:t>
      </w:r>
      <w:r>
        <w:rPr>
          <w:rFonts w:ascii="Arial;sans-serif" w:hAnsi="Arial;sans-serif"/>
          <w:b w:val="false"/>
          <w:color w:val="000000"/>
          <w:sz w:val="20"/>
        </w:rPr>
        <w:t>).</w:t>
      </w:r>
    </w:p>
    <w:p>
      <w:pPr>
        <w:pStyle w:val="TextBody"/>
        <w:bidi w:val="0"/>
        <w:spacing w:lineRule="auto" w:line="333" w:before="0" w:after="240"/>
        <w:jc w:val="both"/>
        <w:rPr/>
      </w:pPr>
      <w:r>
        <w:rPr>
          <w:rFonts w:ascii="Arial;sans-serif" w:hAnsi="Arial;sans-serif"/>
          <w:b w:val="false"/>
          <w:color w:val="000000"/>
          <w:sz w:val="20"/>
        </w:rPr>
        <w:t>The Prospectus Supplement relates to the resale, from time to time, of up to 357,159 ordinary shares of US$0.001 each (nominal value) in the capital of the Company by the selling shareholders identified therein (such number of ordinary shares, being the “</w:t>
      </w:r>
      <w:r>
        <w:rPr>
          <w:rFonts w:ascii="Arial;sans-serif" w:hAnsi="Arial;sans-serif"/>
          <w:b/>
          <w:color w:val="000000"/>
          <w:sz w:val="20"/>
        </w:rPr>
        <w:t>Relevant Shares</w:t>
      </w:r>
      <w:r>
        <w:rPr>
          <w:color w:val="000000"/>
        </w:rPr>
        <w:t>”</w:t>
      </w:r>
      <w:r>
        <w:rPr>
          <w:rFonts w:ascii="Arial;sans-serif" w:hAnsi="Arial;sans-serif"/>
          <w:b w:val="false"/>
          <w:color w:val="000000"/>
          <w:sz w:val="20"/>
        </w:rPr>
        <w:t>) which are proposed to be issued as merger consideration to such selling shareholders upon the terms and conditions of a State of Delaware law governed Agreement and Plan of Merger dated 31 May 2026 made by and among the Company, Trinity Bell Sub, Inc. and NCS Multistage Holdings, Inc. (the “</w:t>
      </w:r>
      <w:r>
        <w:rPr>
          <w:rFonts w:ascii="Arial;sans-serif" w:hAnsi="Arial;sans-serif"/>
          <w:b/>
          <w:color w:val="000000"/>
          <w:sz w:val="20"/>
        </w:rPr>
        <w:t>Merger Agreement</w:t>
      </w:r>
      <w:r>
        <w:rPr>
          <w:color w:val="000000"/>
        </w:rPr>
        <w:t>”</w:t>
      </w:r>
      <w:r>
        <w:rPr>
          <w:rFonts w:ascii="Arial;sans-serif" w:hAnsi="Arial;sans-serif"/>
          <w:b w:val="false"/>
          <w:color w:val="000000"/>
          <w:sz w:val="20"/>
        </w:rPr>
        <w:t>).</w:t>
      </w:r>
    </w:p>
    <w:p>
      <w:pPr>
        <w:pStyle w:val="TextBody"/>
        <w:bidi w:val="0"/>
        <w:spacing w:lineRule="auto" w:line="333" w:before="0" w:after="240"/>
        <w:ind w:left="0" w:right="0" w:hanging="709"/>
        <w:jc w:val="both"/>
        <w:rPr/>
      </w:pPr>
      <w:r>
        <w:rPr>
          <w:rFonts w:ascii="Arial;sans-serif" w:hAnsi="Arial;sans-serif"/>
          <w:b w:val="false"/>
          <w:color w:val="000000"/>
          <w:sz w:val="20"/>
        </w:rPr>
        <w:t>2</w:t>
      </w:r>
      <w:r>
        <w:rPr>
          <w:rFonts w:ascii="Arial;sans-serif" w:hAnsi="Arial;sans-serif"/>
          <w:b/>
          <w:color w:val="000000"/>
          <w:sz w:val="22"/>
        </w:rPr>
        <w:t>Basis of Opinion</w:t>
      </w:r>
    </w:p>
    <w:p>
      <w:pPr>
        <w:pStyle w:val="TextBody"/>
        <w:bidi w:val="0"/>
        <w:spacing w:lineRule="auto" w:line="333" w:before="0" w:after="240"/>
        <w:jc w:val="both"/>
        <w:rPr/>
      </w:pPr>
      <w:r>
        <w:rPr>
          <w:rFonts w:ascii="Arial;sans-serif" w:hAnsi="Arial;sans-serif"/>
          <w:b w:val="false"/>
          <w:color w:val="000000"/>
          <w:sz w:val="20"/>
        </w:rPr>
        <w:t xml:space="preserve">For the purpose of giving this Opinion, we have examined the documents and have conducted the searches listed in Schedule 1 </w:t>
      </w:r>
      <w:r>
        <w:rPr>
          <w:rFonts w:ascii="Arial;sans-serif" w:hAnsi="Arial;sans-serif"/>
          <w:b w:val="false"/>
          <w:i/>
          <w:color w:val="000000"/>
          <w:sz w:val="20"/>
        </w:rPr>
        <w:t>(Documents and Searches)</w:t>
      </w:r>
      <w:r>
        <w:rPr>
          <w:color w:val="000000"/>
        </w:rPr>
        <w:t xml:space="preserve"> </w:t>
      </w:r>
      <w:r>
        <w:rPr>
          <w:rFonts w:ascii="Arial;sans-serif" w:hAnsi="Arial;sans-serif"/>
          <w:b w:val="false"/>
          <w:color w:val="000000"/>
          <w:sz w:val="20"/>
        </w:rPr>
        <w:t>to this Opinion, together with such other materials as we have considered necessary or relevant as a basis for the opinions contained herein.</w:t>
      </w:r>
    </w:p>
    <w:p>
      <w:pPr>
        <w:pStyle w:val="TextBody"/>
        <w:bidi w:val="0"/>
        <w:spacing w:before="0" w:after="240"/>
        <w:jc w:val="both"/>
        <w:rPr/>
      </w:pPr>
      <w:r>
        <w:rPr/>
      </w:r>
    </w:p>
    <w:p>
      <w:pPr>
        <w:pStyle w:val="TextBody"/>
        <w:bidi w:val="0"/>
        <w:spacing w:before="0" w:after="0"/>
        <w:jc w:val="right"/>
        <w:rPr/>
      </w:pPr>
      <w:r>
        <w:rPr/>
        <w:drawing>
          <wp:inline distT="0" distB="0" distL="0" distR="0">
            <wp:extent cx="2809875" cy="3333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3"/>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52395"/>
                <wp:effectExtent l="0" t="0" r="0" b="0"/>
                <wp:wrapNone/>
                <wp:docPr id="6" name="Frame4"/>
                <a:graphic xmlns:a="http://schemas.openxmlformats.org/drawingml/2006/main">
                  <a:graphicData uri="http://schemas.microsoft.com/office/word/2010/wordprocessingShape">
                    <wps:wsp>
                      <wps:cNvSpPr txBox="1"/>
                      <wps:spPr>
                        <a:xfrm>
                          <a:off x="0" y="0"/>
                          <a:ext cx="6480175" cy="2652395"/>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5391150" cy="13620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5391150" cy="1362075"/>
                                          </a:xfrm>
                                          <a:prstGeom prst="rect">
                                            <a:avLst/>
                                          </a:prstGeom>
                                        </pic:spPr>
                                      </pic:pic>
                                    </a:graphicData>
                                  </a:graphic>
                                </wp:inline>
                              </w:drawing>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8.85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5391150" cy="13620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5"/>
                                    <a:stretch>
                                      <a:fillRect/>
                                    </a:stretch>
                                  </pic:blipFill>
                                  <pic:spPr bwMode="auto">
                                    <a:xfrm>
                                      <a:off x="0" y="0"/>
                                      <a:ext cx="5391150" cy="1362075"/>
                                    </a:xfrm>
                                    <a:prstGeom prst="rect">
                                      <a:avLst/>
                                    </a:prstGeom>
                                  </pic:spPr>
                                </pic:pic>
                              </a:graphicData>
                            </a:graphic>
                          </wp:inline>
                        </w:drawing>
                      </w:r>
                    </w:p>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240"/>
        <w:jc w:val="both"/>
        <w:rPr/>
      </w:pPr>
      <w:r>
        <w:rPr>
          <w:rFonts w:ascii="Arial;sans-serif" w:hAnsi="Arial;sans-serif"/>
          <w:b w:val="false"/>
          <w:color w:val="000000"/>
          <w:sz w:val="20"/>
        </w:rPr>
        <w:t xml:space="preserve">This Opinion is strictly limited to the matters expressly stated under Section 3 </w:t>
      </w:r>
      <w:r>
        <w:rPr>
          <w:rFonts w:ascii="Arial;sans-serif" w:hAnsi="Arial;sans-serif"/>
          <w:b w:val="false"/>
          <w:i/>
          <w:color w:val="000000"/>
          <w:sz w:val="20"/>
        </w:rPr>
        <w:t>(Opinions)</w:t>
      </w:r>
      <w:r>
        <w:rPr>
          <w:rFonts w:ascii="Arial;sans-serif" w:hAnsi="Arial;sans-serif"/>
          <w:b w:val="false"/>
          <w:color w:val="000000"/>
          <w:sz w:val="20"/>
        </w:rPr>
        <w:t>, below, and is not to be read as extending, by implication or otherwise, to any other matter. In particular, this Opinion does not deal with any tax matter or the tax consequences of any matter referred to in this Opinion, in the documents or other materials examined by us for the purpose of giving this Opinion, or otherwise.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We express no opinion and make no representation or warranty as to any matter of fact. We have not investigated or verified any of the facts or assumptions, or the reasonableness of any assumptions, statements or opinions contained or represented by any person in the documents or other materials examined by us for the purposes of giving this Opinion, nor have we attempted to determine if any relevant facts have been omitted from such documents or materials.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is given with respect to the laws of Ireland in effect on the date hereof and is based on legislation published and cases fully reported before that date and our knowledge of the facts relevant to the opinions contained herein. For the avoidance of doubt, Ireland does not include Northern Ireland (which is a separate jurisdiction), and references to the laws of Ireland do not include the laws in force in Northern Ireland.</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We have made no investigations of, and we express no opinion on, the laws of any jurisdiction other than Ireland, or the effect thereof. In particular, we have made no investigations of any reference to non-Irish laws in any document or other materials examined by us, or the meaning or effect thereof, and any phrases used in any non-Irish law governed document examined by us have been construed by us as having the meaning and effect they would have if such document was governed by Irish law. We have assumed, without enquiry, that there is nothing in the laws of any jurisdiction other than Ireland which would, or might, affect the opinions contained herein, and that, insofar as the laws of any jurisdiction other than Ireland are relevant, such laws have been, or will be, complied with.</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is expressed as of the date hereof and we assume no obligation to update the opinions contained herein.</w:t>
      </w:r>
    </w:p>
    <w:p>
      <w:pPr>
        <w:pStyle w:val="TextBody"/>
        <w:bidi w:val="0"/>
        <w:spacing w:lineRule="auto" w:line="333" w:before="0" w:after="240"/>
        <w:ind w:left="0" w:right="0" w:hanging="709"/>
        <w:jc w:val="both"/>
        <w:rPr/>
      </w:pPr>
      <w:r>
        <w:rPr>
          <w:rFonts w:ascii="Arial;sans-serif" w:hAnsi="Arial;sans-serif"/>
          <w:b w:val="false"/>
          <w:color w:val="000000"/>
          <w:sz w:val="20"/>
        </w:rPr>
        <w:t>3</w:t>
      </w:r>
      <w:r>
        <w:rPr>
          <w:rFonts w:ascii="Arial;sans-serif" w:hAnsi="Arial;sans-serif"/>
          <w:b/>
          <w:color w:val="000000"/>
          <w:sz w:val="22"/>
        </w:rPr>
        <w:t>Opinions</w:t>
      </w:r>
    </w:p>
    <w:p>
      <w:pPr>
        <w:pStyle w:val="TextBody"/>
        <w:bidi w:val="0"/>
        <w:spacing w:lineRule="auto" w:line="333" w:before="0" w:after="240"/>
        <w:jc w:val="both"/>
        <w:rPr/>
      </w:pPr>
      <w:r>
        <w:rPr>
          <w:rFonts w:ascii="Arial;sans-serif" w:hAnsi="Arial;sans-serif"/>
          <w:b w:val="false"/>
          <w:color w:val="000000"/>
          <w:sz w:val="20"/>
        </w:rPr>
        <w:t xml:space="preserve">Based upon, and subject to, the foregoing and the assumptions, qualifications and limitations set out in Schedule 2 </w:t>
      </w:r>
      <w:r>
        <w:rPr>
          <w:rFonts w:ascii="Arial;sans-serif" w:hAnsi="Arial;sans-serif"/>
          <w:b w:val="false"/>
          <w:i/>
          <w:color w:val="000000"/>
          <w:sz w:val="20"/>
        </w:rPr>
        <w:t>(Assumptions)</w:t>
      </w:r>
      <w:r>
        <w:rPr>
          <w:rFonts w:ascii="Arial;sans-serif" w:hAnsi="Arial;sans-serif"/>
          <w:b w:val="false"/>
          <w:color w:val="000000"/>
          <w:sz w:val="20"/>
        </w:rPr>
        <w:t xml:space="preserve">, Schedule 3 </w:t>
      </w:r>
      <w:r>
        <w:rPr>
          <w:rFonts w:ascii="Arial;sans-serif" w:hAnsi="Arial;sans-serif"/>
          <w:b w:val="false"/>
          <w:i/>
          <w:color w:val="000000"/>
          <w:sz w:val="20"/>
        </w:rPr>
        <w:t>(Qualifications)</w:t>
      </w:r>
      <w:r>
        <w:rPr>
          <w:color w:val="000000"/>
        </w:rPr>
        <w:t xml:space="preserve"> </w:t>
      </w:r>
      <w:r>
        <w:rPr>
          <w:rFonts w:ascii="Arial;sans-serif" w:hAnsi="Arial;sans-serif"/>
          <w:b w:val="false"/>
          <w:color w:val="000000"/>
          <w:sz w:val="20"/>
        </w:rPr>
        <w:t>and elsewhere in this Opinion, we are of the opinion that the Relevant Shares, when allotted and issued in accordance with the terms and conditions of the Merger Agreement against receipt by the Company of the full consideration payable therefor, will, upon the entry of the name(s) of the relevant allottee(s) in the register of members of the Company as the registered holder(s) thereof (in each case credited as fully paid-up), be validly issued, fully paid-up and non-assessable. “</w:t>
      </w:r>
      <w:r>
        <w:rPr>
          <w:rFonts w:ascii="Arial;sans-serif" w:hAnsi="Arial;sans-serif"/>
          <w:b/>
          <w:color w:val="000000"/>
          <w:sz w:val="20"/>
        </w:rPr>
        <w:t>Non-assessable</w:t>
      </w:r>
      <w:r>
        <w:rPr>
          <w:color w:val="000000"/>
        </w:rPr>
        <w:t xml:space="preserve">” </w:t>
      </w:r>
      <w:r>
        <w:rPr>
          <w:rFonts w:ascii="Arial;sans-serif" w:hAnsi="Arial;sans-serif"/>
          <w:b w:val="false"/>
          <w:color w:val="000000"/>
          <w:sz w:val="20"/>
        </w:rPr>
        <w:t>is a phrase which has no defined meaning under Irish law, but, for the purposes of this Opinion, means the registered holders of the Relevant Shares will not be subject, solely by virtue of their shareholdings, to calls for additional payments of capital on such shares. As a matter of Irish law, a share in an Irish incorporated company is only issued when it has been entered in the register of members of the relevant company.</w:t>
      </w:r>
    </w:p>
    <w:p>
      <w:pPr>
        <w:pStyle w:val="TextBody"/>
        <w:bidi w:val="0"/>
        <w:spacing w:before="0" w:after="0"/>
        <w:jc w:val="right"/>
        <w:rPr/>
      </w:pPr>
      <w:r>
        <w:rPr/>
        <w:drawing>
          <wp:inline distT="0" distB="0" distL="0" distR="0">
            <wp:extent cx="2809875" cy="3333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5780"/>
                <wp:effectExtent l="0" t="0" r="0" b="0"/>
                <wp:wrapNone/>
                <wp:docPr id="10"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240"/>
        <w:ind w:left="0" w:right="0" w:hanging="709"/>
        <w:jc w:val="both"/>
        <w:rPr/>
      </w:pPr>
      <w:r>
        <w:rPr>
          <w:rFonts w:ascii="Arial;sans-serif" w:hAnsi="Arial;sans-serif"/>
          <w:b w:val="false"/>
          <w:color w:val="000000"/>
          <w:sz w:val="20"/>
        </w:rPr>
        <w:t>4</w:t>
      </w:r>
      <w:r>
        <w:rPr>
          <w:rFonts w:ascii="Arial;sans-serif" w:hAnsi="Arial;sans-serif"/>
          <w:b/>
          <w:color w:val="000000"/>
          <w:sz w:val="22"/>
        </w:rPr>
        <w:t>Reliance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w:t>
      </w:r>
    </w:p>
    <w:p>
      <w:pPr>
        <w:pStyle w:val="TextBody"/>
        <w:bidi w:val="0"/>
        <w:spacing w:lineRule="auto" w:line="333" w:before="0" w:after="240"/>
        <w:ind w:left="0" w:right="0" w:hanging="709"/>
        <w:jc w:val="both"/>
        <w:rPr/>
      </w:pPr>
      <w:r>
        <w:rPr>
          <w:rFonts w:ascii="Arial;sans-serif" w:hAnsi="Arial;sans-serif"/>
          <w:b w:val="false"/>
          <w:color w:val="000000"/>
          <w:sz w:val="20"/>
        </w:rPr>
        <w:t>5</w:t>
      </w:r>
      <w:r>
        <w:rPr>
          <w:rFonts w:ascii="Arial;sans-serif" w:hAnsi="Arial;sans-serif"/>
          <w:b/>
          <w:color w:val="000000"/>
          <w:sz w:val="22"/>
        </w:rPr>
        <w:t>Consent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We hereby consent to the filing of this Opinion as Exhibit 5.1 to the Current Report on Form 8-K relating to the Prospectus Supplement to be filed by the Company on the date hereof and to the references to Matheson LLP under the caption “Legal Matters” in the Prospectus Supplement. In giving such consent, we do not admit that we are included in the category of persons whose consent is required under section 7 of the Securities Act, or the rules and regulations of the Commission promulgated thereunder.</w:t>
      </w:r>
    </w:p>
    <w:p>
      <w:pPr>
        <w:pStyle w:val="TextBody"/>
        <w:bidi w:val="0"/>
        <w:spacing w:lineRule="auto" w:line="333" w:before="0" w:after="240"/>
        <w:ind w:left="0" w:right="0" w:hanging="709"/>
        <w:jc w:val="both"/>
        <w:rPr/>
      </w:pPr>
      <w:r>
        <w:rPr>
          <w:rFonts w:ascii="Arial;sans-serif" w:hAnsi="Arial;sans-serif"/>
          <w:b w:val="false"/>
          <w:color w:val="000000"/>
          <w:sz w:val="20"/>
        </w:rPr>
        <w:t>6</w:t>
      </w:r>
      <w:r>
        <w:rPr>
          <w:rFonts w:ascii="Arial;sans-serif" w:hAnsi="Arial;sans-serif"/>
          <w:b/>
          <w:color w:val="000000"/>
          <w:sz w:val="22"/>
        </w:rPr>
        <w:t>Governing Law</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This Opinion and the opinions contained herein are governed by, and shall be construed in accordance with, the laws of Ireland.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Yours faithfully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Matheson LLP</w:t>
      </w:r>
    </w:p>
    <w:p>
      <w:pPr>
        <w:pStyle w:val="TextBody"/>
        <w:bidi w:val="0"/>
        <w:spacing w:before="0" w:after="0"/>
        <w:jc w:val="both"/>
        <w:rPr/>
      </w:pPr>
      <w:r>
        <w:rPr/>
      </w:r>
    </w:p>
    <w:p>
      <w:pPr>
        <w:pStyle w:val="TextBody"/>
        <w:bidi w:val="0"/>
        <w:spacing w:lineRule="auto" w:line="288"/>
        <w:jc w:val="both"/>
        <w:rPr>
          <w:rFonts w:ascii="Arial;sans-serif" w:hAnsi="Arial;sans-serif"/>
          <w:b/>
          <w:color w:val="000000"/>
          <w:sz w:val="20"/>
        </w:rPr>
      </w:pPr>
      <w:r>
        <w:rPr>
          <w:rFonts w:ascii="Arial;sans-serif" w:hAnsi="Arial;sans-serif"/>
          <w:b/>
          <w:color w:val="000000"/>
          <w:sz w:val="20"/>
        </w:rPr>
        <w:t>MATHESON LLP</w:t>
      </w:r>
    </w:p>
    <w:p>
      <w:pPr>
        <w:pStyle w:val="TextBody"/>
        <w:bidi w:val="0"/>
        <w:spacing w:before="0" w:after="0"/>
        <w:jc w:val="right"/>
        <w:rPr/>
      </w:pPr>
      <w:r>
        <w:rPr/>
        <w:drawing>
          <wp:inline distT="0" distB="0" distL="0" distR="0">
            <wp:extent cx="2809875" cy="3333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7"/>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5780"/>
                <wp:effectExtent l="0" t="0" r="0" b="0"/>
                <wp:wrapNone/>
                <wp:docPr id="12" name="Frame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Schedule 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Documents and Searches</w:t>
      </w:r>
    </w:p>
    <w:p>
      <w:pPr>
        <w:pStyle w:val="TextBody"/>
        <w:bidi w:val="0"/>
        <w:spacing w:before="0" w:after="0"/>
        <w:jc w:val="center"/>
        <w:rPr/>
      </w:pPr>
      <w:r>
        <w:rPr/>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For the purpose of giving this Opinion, we have examined the documents and have conducted the searches listed below.</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1.The Registration Statement (including the base prospectus forming part thereof).</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2.The final form of the Prospectus Supplement.</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3.A copy of the Merger Agreement attached as Annex A to the prospectus which forms part of the registration statement on Form S-4 filed by the Company on 17 July 2025 (Registration No. 333-297275).</w:t>
      </w:r>
    </w:p>
    <w:p>
      <w:pPr>
        <w:pStyle w:val="TextBody"/>
        <w:bidi w:val="0"/>
        <w:spacing w:lineRule="auto" w:line="333"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4.A copy of the Company’s definitive proxy statement on Schedule 14A (relating to its 2025 annual general meeting) filed with the Commission on 23 April 2025.</w:t>
      </w:r>
    </w:p>
    <w:p>
      <w:pPr>
        <w:pStyle w:val="TextBody"/>
        <w:bidi w:val="0"/>
        <w:spacing w:lineRule="auto" w:line="333" w:before="0" w:after="240"/>
        <w:ind w:left="0" w:right="0" w:hanging="720"/>
        <w:jc w:val="both"/>
        <w:rPr/>
      </w:pPr>
      <w:r>
        <w:rPr>
          <w:rFonts w:ascii="Arial;sans-serif" w:hAnsi="Arial;sans-serif"/>
          <w:b w:val="false"/>
          <w:color w:val="000000"/>
          <w:sz w:val="20"/>
        </w:rPr>
        <w:t>5.A certificate issued by the secretary of the Company dated on or about the date hereof (the “</w:t>
      </w:r>
      <w:r>
        <w:rPr>
          <w:rFonts w:ascii="Arial;sans-serif" w:hAnsi="Arial;sans-serif"/>
          <w:b/>
          <w:color w:val="000000"/>
          <w:sz w:val="20"/>
        </w:rPr>
        <w:t>Corporate Certificate</w:t>
      </w:r>
      <w:r>
        <w:rPr>
          <w:color w:val="000000"/>
        </w:rPr>
        <w:t>”</w:t>
      </w:r>
      <w:r>
        <w:rPr>
          <w:rFonts w:ascii="Arial;sans-serif" w:hAnsi="Arial;sans-serif"/>
          <w:b w:val="false"/>
          <w:color w:val="000000"/>
          <w:sz w:val="20"/>
        </w:rPr>
        <w:t>):</w:t>
      </w:r>
    </w:p>
    <w:p>
      <w:pPr>
        <w:pStyle w:val="TextBody"/>
        <w:bidi w:val="0"/>
        <w:spacing w:lineRule="auto" w:line="333" w:before="0" w:after="240"/>
        <w:ind w:left="0" w:right="0" w:hanging="708"/>
        <w:jc w:val="both"/>
        <w:rPr>
          <w:rFonts w:ascii="Arial;sans-serif" w:hAnsi="Arial;sans-serif"/>
          <w:b w:val="false"/>
          <w:color w:val="000000"/>
          <w:sz w:val="20"/>
        </w:rPr>
      </w:pPr>
      <w:r>
        <w:rPr>
          <w:rFonts w:ascii="Arial;sans-serif" w:hAnsi="Arial;sans-serif"/>
          <w:b w:val="false"/>
          <w:color w:val="000000"/>
          <w:sz w:val="20"/>
        </w:rPr>
        <w:t>(a)attaching a copy of each of the following documents certified as being true, complete and correct by the secretary:</w:t>
      </w:r>
    </w:p>
    <w:p>
      <w:pPr>
        <w:pStyle w:val="TextBody"/>
        <w:bidi w:val="0"/>
        <w:spacing w:lineRule="auto" w:line="333" w:before="0" w:after="240"/>
        <w:ind w:left="0" w:right="0" w:hanging="709"/>
        <w:jc w:val="both"/>
        <w:rPr/>
      </w:pPr>
      <w:r>
        <w:rPr>
          <w:rFonts w:ascii="Arial;sans-serif" w:hAnsi="Arial;sans-serif"/>
          <w:b w:val="false"/>
          <w:color w:val="000000"/>
          <w:sz w:val="20"/>
        </w:rPr>
        <w:t>(i)the Company’s certificate of incorporation dated 3 March 2014, certificate of incorporation on change of name dated 20 March 2014 and certificate of incorporation on re-registration as a public limited company dated 29 May 2014 (the “</w:t>
      </w:r>
      <w:r>
        <w:rPr>
          <w:rFonts w:ascii="Arial;sans-serif" w:hAnsi="Arial;sans-serif"/>
          <w:b/>
          <w:color w:val="000000"/>
          <w:sz w:val="20"/>
        </w:rPr>
        <w:t>Certificates of Incorporation</w:t>
      </w:r>
      <w:r>
        <w:rPr>
          <w:color w:val="000000"/>
        </w:rPr>
        <w:t>”</w:t>
      </w:r>
      <w:r>
        <w:rPr>
          <w:rFonts w:ascii="Arial;sans-serif" w:hAnsi="Arial;sans-serif"/>
          <w:b w:val="false"/>
          <w:color w:val="000000"/>
          <w:sz w:val="20"/>
        </w:rPr>
        <w:t>);</w:t>
      </w:r>
    </w:p>
    <w:p>
      <w:pPr>
        <w:pStyle w:val="TextBody"/>
        <w:bidi w:val="0"/>
        <w:spacing w:lineRule="auto" w:line="333" w:before="0" w:after="240"/>
        <w:ind w:left="0" w:right="0" w:hanging="709"/>
        <w:jc w:val="both"/>
        <w:rPr/>
      </w:pPr>
      <w:r>
        <w:rPr>
          <w:rFonts w:ascii="Arial;sans-serif" w:hAnsi="Arial;sans-serif"/>
          <w:b w:val="false"/>
          <w:color w:val="000000"/>
          <w:sz w:val="20"/>
        </w:rPr>
        <w:t>(ii)the memorandum of association of the Company adopted on 10 December 2019 (the “</w:t>
      </w:r>
      <w:r>
        <w:rPr>
          <w:rFonts w:ascii="Arial;sans-serif" w:hAnsi="Arial;sans-serif"/>
          <w:b/>
          <w:color w:val="000000"/>
          <w:sz w:val="20"/>
        </w:rPr>
        <w:t>Memorandum of Association</w:t>
      </w:r>
      <w:r>
        <w:rPr>
          <w:color w:val="000000"/>
        </w:rPr>
        <w:t>”</w:t>
      </w:r>
      <w:r>
        <w:rPr>
          <w:rFonts w:ascii="Arial;sans-serif" w:hAnsi="Arial;sans-serif"/>
          <w:b w:val="false"/>
          <w:color w:val="000000"/>
          <w:sz w:val="20"/>
        </w:rPr>
        <w:t>) and the articles of association of the Company adopted on 10 December 2019 (the “</w:t>
      </w:r>
      <w:r>
        <w:rPr>
          <w:rFonts w:ascii="Arial;sans-serif" w:hAnsi="Arial;sans-serif"/>
          <w:b/>
          <w:color w:val="000000"/>
          <w:sz w:val="20"/>
        </w:rPr>
        <w:t>Articles of Association</w:t>
      </w:r>
      <w:r>
        <w:rPr>
          <w:color w:val="000000"/>
        </w:rPr>
        <w:t>”</w:t>
      </w:r>
      <w:r>
        <w:rPr>
          <w:rFonts w:ascii="Arial;sans-serif" w:hAnsi="Arial;sans-serif"/>
          <w:b w:val="false"/>
          <w:color w:val="000000"/>
          <w:sz w:val="20"/>
        </w:rPr>
        <w:t>, and together with the Certificates of Incorporation and the Memorandum of Association, the “</w:t>
      </w:r>
      <w:r>
        <w:rPr>
          <w:rFonts w:ascii="Arial;sans-serif" w:hAnsi="Arial;sans-serif"/>
          <w:b/>
          <w:color w:val="000000"/>
          <w:sz w:val="20"/>
        </w:rPr>
        <w:t>Constitutional Documents</w:t>
      </w:r>
      <w:r>
        <w:rPr>
          <w:color w:val="000000"/>
        </w:rPr>
        <w:t>”</w:t>
      </w:r>
      <w:r>
        <w:rPr>
          <w:rFonts w:ascii="Arial;sans-serif" w:hAnsi="Arial;sans-serif"/>
          <w:b w:val="false"/>
          <w:color w:val="000000"/>
          <w:sz w:val="20"/>
        </w:rPr>
        <w:t>);</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(iii)written resolutions of all the directors of the Company passed on 31 May 2026, pursuant to which the directors resolved, among other matters, to approve the entry by the Company into the Merger Agreement and the allotment and issue of the Relevant Shares; and</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(iv)the minutes of the 2025 annual general meeting of the Company held on 10 June 2025; and</w:t>
      </w:r>
    </w:p>
    <w:p>
      <w:pPr>
        <w:pStyle w:val="TextBody"/>
        <w:bidi w:val="0"/>
        <w:spacing w:lineRule="auto" w:line="333" w:before="0" w:after="240"/>
        <w:ind w:left="0" w:right="0" w:hanging="708"/>
        <w:jc w:val="both"/>
        <w:rPr>
          <w:rFonts w:ascii="Arial;sans-serif" w:hAnsi="Arial;sans-serif"/>
          <w:b w:val="false"/>
          <w:color w:val="000000"/>
          <w:sz w:val="20"/>
        </w:rPr>
      </w:pPr>
      <w:r>
        <w:rPr>
          <w:rFonts w:ascii="Arial;sans-serif" w:hAnsi="Arial;sans-serif"/>
          <w:b w:val="false"/>
          <w:color w:val="000000"/>
          <w:sz w:val="20"/>
        </w:rPr>
        <w:t>(b)certifying certain other matters, as set out therein, on which we have relied for the purpose of this Opinion, including:</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(i)the authorised share capital of the Company; and</w:t>
      </w:r>
    </w:p>
    <w:p>
      <w:pPr>
        <w:pStyle w:val="TextBody"/>
        <w:bidi w:val="0"/>
        <w:spacing w:before="0" w:after="0"/>
        <w:jc w:val="right"/>
        <w:rPr/>
      </w:pPr>
      <w:r>
        <w:rPr/>
        <w:drawing>
          <wp:inline distT="0" distB="0" distL="0" distR="0">
            <wp:extent cx="2809875" cy="3333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8"/>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5780"/>
                <wp:effectExtent l="0" t="0" r="0" b="0"/>
                <wp:wrapNone/>
                <wp:docPr id="14" name="Frame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(ii)the issued share capital of the Company.</w:t>
      </w:r>
    </w:p>
    <w:p>
      <w:pPr>
        <w:pStyle w:val="TextBody"/>
        <w:bidi w:val="0"/>
        <w:spacing w:lineRule="auto" w:line="333" w:before="0" w:after="240"/>
        <w:ind w:left="0" w:right="0" w:hanging="720"/>
        <w:jc w:val="both"/>
        <w:rPr/>
      </w:pPr>
      <w:r>
        <w:rPr>
          <w:rFonts w:ascii="Arial;sans-serif" w:hAnsi="Arial;sans-serif"/>
          <w:b w:val="false"/>
          <w:color w:val="000000"/>
          <w:sz w:val="20"/>
        </w:rPr>
        <w:t>6.Searches carried out by independent law researchers on our behalf against the Company on 31 August 2026: (a) in the Register of Winding-up Petitions maintained at the Central Office of the High Court of Ireland (the “</w:t>
      </w:r>
      <w:r>
        <w:rPr>
          <w:rFonts w:ascii="Arial;sans-serif" w:hAnsi="Arial;sans-serif"/>
          <w:b/>
          <w:color w:val="000000"/>
          <w:sz w:val="20"/>
        </w:rPr>
        <w:t>Register of Winding-up Petitions</w:t>
      </w:r>
      <w:r>
        <w:rPr>
          <w:color w:val="000000"/>
        </w:rPr>
        <w:t>”</w:t>
      </w:r>
      <w:r>
        <w:rPr>
          <w:rFonts w:ascii="Arial;sans-serif" w:hAnsi="Arial;sans-serif"/>
          <w:b w:val="false"/>
          <w:color w:val="000000"/>
          <w:sz w:val="20"/>
        </w:rPr>
        <w:t>), (b) in the Judgments’ Office of the High Court of Ireland, and (c) on the file of the Company maintained by the Registrar of Companies at the Irish Companies Registration Office (the “</w:t>
      </w:r>
      <w:r>
        <w:rPr>
          <w:rFonts w:ascii="Arial;sans-serif" w:hAnsi="Arial;sans-serif"/>
          <w:b/>
          <w:color w:val="000000"/>
          <w:sz w:val="20"/>
        </w:rPr>
        <w:t>Companies Registration Office</w:t>
      </w:r>
      <w:r>
        <w:rPr>
          <w:color w:val="000000"/>
        </w:rPr>
        <w:t>”</w:t>
      </w:r>
      <w:r>
        <w:rPr>
          <w:rFonts w:ascii="Arial;sans-serif" w:hAnsi="Arial;sans-serif"/>
          <w:b w:val="false"/>
          <w:color w:val="000000"/>
          <w:sz w:val="20"/>
        </w:rPr>
        <w:t>) (together, the “</w:t>
      </w:r>
      <w:r>
        <w:rPr>
          <w:rFonts w:ascii="Arial;sans-serif" w:hAnsi="Arial;sans-serif"/>
          <w:b/>
          <w:color w:val="000000"/>
          <w:sz w:val="20"/>
        </w:rPr>
        <w:t>Searches</w:t>
      </w:r>
      <w:r>
        <w:rPr>
          <w:color w:val="000000"/>
        </w:rPr>
        <w:t>”</w:t>
      </w:r>
      <w:r>
        <w:rPr>
          <w:rFonts w:ascii="Arial;sans-serif" w:hAnsi="Arial;sans-serif"/>
          <w:b w:val="false"/>
          <w:color w:val="000000"/>
          <w:sz w:val="20"/>
        </w:rPr>
        <w:t>).</w:t>
      </w:r>
    </w:p>
    <w:p>
      <w:pPr>
        <w:pStyle w:val="TextBody"/>
        <w:bidi w:val="0"/>
        <w:spacing w:before="0" w:after="0"/>
        <w:jc w:val="right"/>
        <w:rPr/>
      </w:pPr>
      <w:r>
        <w:rPr/>
        <w:drawing>
          <wp:inline distT="0" distB="0" distL="0" distR="0">
            <wp:extent cx="2809875" cy="3333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9"/>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5780"/>
                <wp:effectExtent l="0" t="0" r="0" b="0"/>
                <wp:wrapNone/>
                <wp:docPr id="16" name="Frame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Schedule 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Assumptions</w:t>
      </w:r>
    </w:p>
    <w:p>
      <w:pPr>
        <w:pStyle w:val="TextBody"/>
        <w:bidi w:val="0"/>
        <w:spacing w:before="0" w:after="0"/>
        <w:jc w:val="center"/>
        <w:rPr/>
      </w:pPr>
      <w:r>
        <w:rPr/>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opinions contained herein are given on the basis of the assumptions set out in this Schedule.</w:t>
      </w:r>
    </w:p>
    <w:p>
      <w:pPr>
        <w:pStyle w:val="TextBody"/>
        <w:bidi w:val="0"/>
        <w:spacing w:lineRule="auto" w:line="333" w:before="0" w:after="240"/>
        <w:ind w:left="0" w:right="0" w:hanging="709"/>
        <w:jc w:val="both"/>
        <w:rPr/>
      </w:pPr>
      <w:r>
        <w:rPr>
          <w:rFonts w:ascii="Arial;sans-serif" w:hAnsi="Arial;sans-serif"/>
          <w:b w:val="false"/>
          <w:color w:val="000000"/>
          <w:sz w:val="22"/>
        </w:rPr>
        <w:t>1</w:t>
      </w:r>
      <w:r>
        <w:rPr>
          <w:rFonts w:ascii="Arial;sans-serif" w:hAnsi="Arial;sans-serif"/>
          <w:b/>
          <w:color w:val="000000"/>
          <w:sz w:val="22"/>
        </w:rPr>
        <w:t>Documents</w:t>
      </w:r>
    </w:p>
    <w:p>
      <w:pPr>
        <w:pStyle w:val="TextBody"/>
        <w:bidi w:val="0"/>
        <w:spacing w:lineRule="auto" w:line="333" w:before="0" w:after="240"/>
        <w:ind w:left="0" w:right="0" w:hanging="709"/>
        <w:jc w:val="both"/>
        <w:rPr/>
      </w:pPr>
      <w:r>
        <w:rPr>
          <w:rFonts w:ascii="Arial;sans-serif" w:hAnsi="Arial;sans-serif"/>
          <w:b w:val="false"/>
          <w:color w:val="000000"/>
          <w:sz w:val="20"/>
        </w:rPr>
        <w:t>1.1</w:t>
      </w:r>
      <w:r>
        <w:rPr>
          <w:rFonts w:ascii="Arial;sans-serif" w:hAnsi="Arial;sans-serif"/>
          <w:b/>
          <w:color w:val="000000"/>
          <w:sz w:val="20"/>
        </w:rPr>
        <w:t>Genuine Signatures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All signatures (including, for the avoidance of doubt, electronic signatures), initials, seals and stamps contained in, or on, any document examined by us are genuine.</w:t>
      </w:r>
    </w:p>
    <w:p>
      <w:pPr>
        <w:pStyle w:val="TextBody"/>
        <w:bidi w:val="0"/>
        <w:spacing w:lineRule="auto" w:line="333" w:before="0" w:after="240"/>
        <w:ind w:left="0" w:right="0" w:hanging="709"/>
        <w:jc w:val="both"/>
        <w:rPr/>
      </w:pPr>
      <w:r>
        <w:rPr>
          <w:rFonts w:ascii="Arial;sans-serif" w:hAnsi="Arial;sans-serif"/>
          <w:b w:val="false"/>
          <w:color w:val="000000"/>
          <w:sz w:val="20"/>
        </w:rPr>
        <w:t>1.2</w:t>
      </w:r>
      <w:r>
        <w:rPr>
          <w:rFonts w:ascii="Arial;sans-serif" w:hAnsi="Arial;sans-serif"/>
          <w:b/>
          <w:color w:val="000000"/>
          <w:sz w:val="20"/>
        </w:rPr>
        <w:t>Authentic and Complete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All documents provided to us as originals are authentic and complete and all documents provided to us as copies (including, without limitation, any document provided to us as a .pdf (or any other format) attachment to an email) are complete and conform to the originals of such documents, and the originals of such documents are authentic and complete with all requisite seals and stamps affixed.</w:t>
      </w:r>
    </w:p>
    <w:p>
      <w:pPr>
        <w:pStyle w:val="TextBody"/>
        <w:bidi w:val="0"/>
        <w:spacing w:lineRule="auto" w:line="333" w:before="0" w:after="240"/>
        <w:ind w:left="0" w:right="0" w:hanging="709"/>
        <w:jc w:val="both"/>
        <w:rPr/>
      </w:pPr>
      <w:r>
        <w:rPr>
          <w:rFonts w:ascii="Arial;sans-serif" w:hAnsi="Arial;sans-serif"/>
          <w:b w:val="false"/>
          <w:color w:val="000000"/>
          <w:sz w:val="20"/>
        </w:rPr>
        <w:t>1.3</w:t>
      </w:r>
      <w:r>
        <w:rPr>
          <w:rFonts w:ascii="Arial;sans-serif" w:hAnsi="Arial;sans-serif"/>
          <w:b/>
          <w:color w:val="000000"/>
          <w:sz w:val="20"/>
        </w:rPr>
        <w:t>True and Accurate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contents of the documents (including the Corporate Certificate) and any other materials examined by us for the purposes of this Opinion are true and accurate as to factual matters, but we have made no independent investigation regarding such factual matters.</w:t>
      </w:r>
    </w:p>
    <w:p>
      <w:pPr>
        <w:pStyle w:val="TextBody"/>
        <w:bidi w:val="0"/>
        <w:spacing w:lineRule="auto" w:line="333" w:before="0" w:after="240"/>
        <w:ind w:left="0" w:right="0" w:hanging="709"/>
        <w:jc w:val="both"/>
        <w:rPr/>
      </w:pPr>
      <w:r>
        <w:rPr>
          <w:rFonts w:ascii="Arial;sans-serif" w:hAnsi="Arial;sans-serif"/>
          <w:b w:val="false"/>
          <w:color w:val="000000"/>
          <w:sz w:val="20"/>
        </w:rPr>
        <w:t>1.4</w:t>
      </w:r>
      <w:r>
        <w:rPr>
          <w:rFonts w:ascii="Arial;sans-serif" w:hAnsi="Arial;sans-serif"/>
          <w:b/>
          <w:color w:val="000000"/>
          <w:sz w:val="20"/>
        </w:rPr>
        <w:t>No Revocation or Amendment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All documents dated on, or prior to, the date hereof and on which we have expressed reliance have not been revoked or amended and remain accurate.</w:t>
      </w:r>
    </w:p>
    <w:p>
      <w:pPr>
        <w:pStyle w:val="TextBody"/>
        <w:bidi w:val="0"/>
        <w:spacing w:lineRule="auto" w:line="333" w:before="0" w:after="240"/>
        <w:ind w:left="0" w:right="0" w:hanging="709"/>
        <w:jc w:val="both"/>
        <w:rPr/>
      </w:pPr>
      <w:r>
        <w:rPr>
          <w:rFonts w:ascii="Arial;sans-serif" w:hAnsi="Arial;sans-serif"/>
          <w:b w:val="false"/>
          <w:color w:val="000000"/>
          <w:sz w:val="20"/>
        </w:rPr>
        <w:t>1.5</w:t>
      </w:r>
      <w:r>
        <w:rPr>
          <w:rFonts w:ascii="Arial;sans-serif" w:hAnsi="Arial;sans-serif"/>
          <w:b/>
          <w:color w:val="000000"/>
          <w:sz w:val="20"/>
        </w:rPr>
        <w:t>Natural Persons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Each natural person who has executed any document examined by us for the purposes of this Opinion had the due personal legal capacity to do so.</w:t>
      </w:r>
    </w:p>
    <w:p>
      <w:pPr>
        <w:pStyle w:val="TextBody"/>
        <w:bidi w:val="0"/>
        <w:spacing w:lineRule="auto" w:line="333" w:before="0" w:after="240"/>
        <w:ind w:left="0" w:right="0" w:hanging="709"/>
        <w:jc w:val="both"/>
        <w:rPr/>
      </w:pPr>
      <w:r>
        <w:rPr>
          <w:rFonts w:ascii="Arial;sans-serif" w:hAnsi="Arial;sans-serif"/>
          <w:b w:val="false"/>
          <w:color w:val="000000"/>
          <w:sz w:val="20"/>
        </w:rPr>
        <w:t>1.6</w:t>
      </w:r>
      <w:r>
        <w:rPr>
          <w:rFonts w:ascii="Arial;sans-serif" w:hAnsi="Arial;sans-serif"/>
          <w:b/>
          <w:color w:val="000000"/>
          <w:sz w:val="20"/>
        </w:rPr>
        <w:t>Electronic Signatures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Any electronic signature inserted on a document was inserted by the signatory in question and not by another person and where attested by a witness was inserted in the physical presence of the witness. Each party to any document which has been executed using electronic signatures has consented to the execution of that document by way of electronic signature.</w:t>
      </w:r>
    </w:p>
    <w:p>
      <w:pPr>
        <w:pStyle w:val="TextBody"/>
        <w:bidi w:val="0"/>
        <w:spacing w:lineRule="auto" w:line="333" w:before="0" w:after="240"/>
        <w:ind w:left="0" w:right="0" w:hanging="709"/>
        <w:jc w:val="both"/>
        <w:rPr/>
      </w:pPr>
      <w:r>
        <w:rPr>
          <w:rFonts w:ascii="Arial;sans-serif" w:hAnsi="Arial;sans-serif"/>
          <w:b w:val="false"/>
          <w:color w:val="000000"/>
          <w:sz w:val="20"/>
        </w:rPr>
        <w:t>1.7</w:t>
      </w:r>
      <w:r>
        <w:rPr>
          <w:rFonts w:ascii="Arial;sans-serif" w:hAnsi="Arial;sans-serif"/>
          <w:b/>
          <w:color w:val="000000"/>
          <w:sz w:val="20"/>
        </w:rPr>
        <w:t>Delivery and Conditions Precedent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 xml:space="preserve">The Merger Agreement has been unconditionally delivered by the parties thereto (including the Company) and is not subject to any escrow or similar arrangement, all conditions precedent in </w:t>
      </w:r>
    </w:p>
    <w:p>
      <w:pPr>
        <w:pStyle w:val="TextBody"/>
        <w:bidi w:val="0"/>
        <w:spacing w:before="0" w:after="0"/>
        <w:jc w:val="right"/>
        <w:rPr/>
      </w:pPr>
      <w:r>
        <w:rPr/>
        <w:drawing>
          <wp:inline distT="0" distB="0" distL="0" distR="0">
            <wp:extent cx="2809875" cy="3333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10"/>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5780"/>
                <wp:effectExtent l="0" t="0" r="0" b="0"/>
                <wp:wrapNone/>
                <wp:docPr id="18" name="Frame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Merger Agreement have been, or will be, satisfied, and the transactions provided for in the Merger Agreement will be consummated upon the terms and conditions provided for therein.</w:t>
      </w:r>
    </w:p>
    <w:p>
      <w:pPr>
        <w:pStyle w:val="TextBody"/>
        <w:bidi w:val="0"/>
        <w:spacing w:lineRule="auto" w:line="333" w:before="0" w:after="240"/>
        <w:ind w:left="0" w:right="0" w:hanging="709"/>
        <w:jc w:val="both"/>
        <w:rPr/>
      </w:pPr>
      <w:r>
        <w:rPr>
          <w:rFonts w:ascii="Arial;sans-serif" w:hAnsi="Arial;sans-serif"/>
          <w:b w:val="false"/>
          <w:color w:val="000000"/>
          <w:sz w:val="22"/>
        </w:rPr>
        <w:t>2</w:t>
      </w:r>
      <w:r>
        <w:rPr>
          <w:rFonts w:ascii="Arial;sans-serif" w:hAnsi="Arial;sans-serif"/>
          <w:b/>
          <w:color w:val="000000"/>
          <w:sz w:val="22"/>
        </w:rPr>
        <w:t>Corporate Authority</w:t>
      </w:r>
    </w:p>
    <w:p>
      <w:pPr>
        <w:pStyle w:val="TextBody"/>
        <w:bidi w:val="0"/>
        <w:spacing w:lineRule="auto" w:line="333" w:before="0" w:after="240"/>
        <w:ind w:left="0" w:right="0" w:hanging="709"/>
        <w:jc w:val="both"/>
        <w:rPr/>
      </w:pPr>
      <w:r>
        <w:rPr>
          <w:rFonts w:ascii="Arial;sans-serif" w:hAnsi="Arial;sans-serif"/>
          <w:b w:val="false"/>
          <w:color w:val="000000"/>
          <w:sz w:val="20"/>
        </w:rPr>
        <w:t>2.1</w:t>
      </w:r>
      <w:r>
        <w:rPr>
          <w:rFonts w:ascii="Arial;sans-serif" w:hAnsi="Arial;sans-serif"/>
          <w:b/>
          <w:color w:val="000000"/>
          <w:sz w:val="20"/>
        </w:rPr>
        <w:t>Constitutional Documents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There have been no amendments to the Constitutional Documents or the other attachments to the Corporate Certificate.</w:t>
      </w:r>
    </w:p>
    <w:p>
      <w:pPr>
        <w:pStyle w:val="TextBody"/>
        <w:bidi w:val="0"/>
        <w:spacing w:lineRule="auto" w:line="333" w:before="0" w:after="240"/>
        <w:ind w:left="0" w:right="0" w:hanging="709"/>
        <w:jc w:val="both"/>
        <w:rPr/>
      </w:pPr>
      <w:r>
        <w:rPr>
          <w:rFonts w:ascii="Arial;sans-serif" w:hAnsi="Arial;sans-serif"/>
          <w:b w:val="false"/>
          <w:color w:val="000000"/>
          <w:sz w:val="20"/>
        </w:rPr>
        <w:t>2.2</w:t>
      </w:r>
      <w:r>
        <w:rPr>
          <w:rFonts w:ascii="Arial;sans-serif" w:hAnsi="Arial;sans-serif"/>
          <w:b/>
          <w:color w:val="000000"/>
          <w:sz w:val="20"/>
        </w:rPr>
        <w:t>Corporate Benefit</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Company will derive a commercial benefit from entering into the Merger Agreement commensurate with the obligations undertaken by it thereunder.</w:t>
      </w:r>
    </w:p>
    <w:p>
      <w:pPr>
        <w:pStyle w:val="TextBody"/>
        <w:bidi w:val="0"/>
        <w:spacing w:lineRule="auto" w:line="333" w:before="0" w:after="240"/>
        <w:ind w:left="0" w:right="0" w:hanging="709"/>
        <w:jc w:val="both"/>
        <w:rPr/>
      </w:pPr>
      <w:r>
        <w:rPr>
          <w:rFonts w:ascii="Arial;sans-serif" w:hAnsi="Arial;sans-serif"/>
          <w:b w:val="false"/>
          <w:color w:val="000000"/>
          <w:sz w:val="20"/>
        </w:rPr>
        <w:t>2.3</w:t>
      </w:r>
      <w:r>
        <w:rPr>
          <w:rFonts w:ascii="Arial;sans-serif" w:hAnsi="Arial;sans-serif"/>
          <w:b/>
          <w:color w:val="000000"/>
          <w:sz w:val="20"/>
        </w:rPr>
        <w:t>Good Faith, Best Interests of the Company and Purpose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In approving the entry into the Merger Agreement and the allotment and issue of the Relevant Shares upon the terms and conditions provided for therein, the directors of the Company have acted in good faith in the best interests of the Company for the benefit of its members as a whole, and for its legitimate business purposes.</w:t>
      </w:r>
    </w:p>
    <w:p>
      <w:pPr>
        <w:pStyle w:val="TextBody"/>
        <w:bidi w:val="0"/>
        <w:spacing w:lineRule="auto" w:line="333" w:before="0" w:after="240"/>
        <w:ind w:left="0" w:right="0" w:hanging="709"/>
        <w:jc w:val="both"/>
        <w:rPr/>
      </w:pPr>
      <w:r>
        <w:rPr>
          <w:rFonts w:ascii="Arial;sans-serif" w:hAnsi="Arial;sans-serif"/>
          <w:b w:val="false"/>
          <w:color w:val="000000"/>
          <w:sz w:val="20"/>
        </w:rPr>
        <w:t>2.4</w:t>
      </w:r>
      <w:r>
        <w:rPr>
          <w:rFonts w:ascii="Arial;sans-serif" w:hAnsi="Arial;sans-serif"/>
          <w:b/>
          <w:color w:val="000000"/>
          <w:sz w:val="20"/>
        </w:rPr>
        <w:t>Disclosure of Interests</w:t>
      </w:r>
    </w:p>
    <w:p>
      <w:pPr>
        <w:pStyle w:val="TextBody"/>
        <w:bidi w:val="0"/>
        <w:spacing w:lineRule="auto" w:line="333" w:before="0" w:after="240"/>
        <w:jc w:val="both"/>
        <w:rPr/>
      </w:pPr>
      <w:r>
        <w:rPr>
          <w:rFonts w:ascii="Arial;sans-serif" w:hAnsi="Arial;sans-serif"/>
          <w:b w:val="false"/>
          <w:color w:val="000000"/>
          <w:sz w:val="20"/>
        </w:rPr>
        <w:t>Each director of the Company has disclosed any interest he or she may have in the Merger Agreement and the transactions provided for therein in accordance with the provisions of the Companies Act 2014, as amended (the “</w:t>
      </w:r>
      <w:r>
        <w:rPr>
          <w:rFonts w:ascii="Arial;sans-serif" w:hAnsi="Arial;sans-serif"/>
          <w:b/>
          <w:color w:val="000000"/>
          <w:sz w:val="20"/>
        </w:rPr>
        <w:t>Companies Act</w:t>
      </w:r>
      <w:r>
        <w:rPr>
          <w:color w:val="000000"/>
        </w:rPr>
        <w:t>”</w:t>
      </w:r>
      <w:r>
        <w:rPr>
          <w:rFonts w:ascii="Arial;sans-serif" w:hAnsi="Arial;sans-serif"/>
          <w:b w:val="false"/>
          <w:color w:val="000000"/>
          <w:sz w:val="20"/>
        </w:rPr>
        <w:t>) and the Constitutional Documents.</w:t>
      </w:r>
    </w:p>
    <w:p>
      <w:pPr>
        <w:pStyle w:val="TextBody"/>
        <w:bidi w:val="0"/>
        <w:spacing w:lineRule="auto" w:line="333" w:before="0" w:after="240"/>
        <w:ind w:left="0" w:right="0" w:hanging="709"/>
        <w:jc w:val="both"/>
        <w:rPr/>
      </w:pPr>
      <w:r>
        <w:rPr>
          <w:rFonts w:ascii="Arial;sans-serif" w:hAnsi="Arial;sans-serif"/>
          <w:b w:val="false"/>
          <w:color w:val="000000"/>
          <w:sz w:val="22"/>
        </w:rPr>
        <w:t>3</w:t>
      </w:r>
      <w:r>
        <w:rPr>
          <w:rFonts w:ascii="Arial;sans-serif" w:hAnsi="Arial;sans-serif"/>
          <w:b/>
          <w:color w:val="000000"/>
          <w:sz w:val="22"/>
        </w:rPr>
        <w:t>Relevant Shares</w:t>
      </w:r>
    </w:p>
    <w:p>
      <w:pPr>
        <w:pStyle w:val="TextBody"/>
        <w:bidi w:val="0"/>
        <w:spacing w:lineRule="auto" w:line="333" w:before="0" w:after="240"/>
        <w:ind w:left="0" w:right="0" w:hanging="709"/>
        <w:jc w:val="both"/>
        <w:rPr/>
      </w:pPr>
      <w:r>
        <w:rPr>
          <w:rFonts w:ascii="Arial;sans-serif" w:hAnsi="Arial;sans-serif"/>
          <w:b w:val="false"/>
          <w:color w:val="000000"/>
          <w:sz w:val="20"/>
        </w:rPr>
        <w:t>3.1</w:t>
      </w:r>
      <w:r>
        <w:rPr>
          <w:rFonts w:ascii="Arial;sans-serif" w:hAnsi="Arial;sans-serif"/>
          <w:b/>
          <w:color w:val="000000"/>
          <w:sz w:val="20"/>
        </w:rPr>
        <w:t>Consideration Received</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Company will have received the full consideration payable for the Relevant Shares (as provided for in the Merger Agreement) prior to, or simultaneous with, their allotment and issue, and no Relevant Share will be allotted and issued for consideration that is less than its nominal value.</w:t>
      </w:r>
    </w:p>
    <w:p>
      <w:pPr>
        <w:pStyle w:val="TextBody"/>
        <w:bidi w:val="0"/>
        <w:spacing w:lineRule="auto" w:line="333" w:before="0" w:after="240"/>
        <w:ind w:left="0" w:right="0" w:hanging="709"/>
        <w:jc w:val="both"/>
        <w:rPr/>
      </w:pPr>
      <w:r>
        <w:rPr>
          <w:rFonts w:ascii="Arial;sans-serif" w:hAnsi="Arial;sans-serif"/>
          <w:b w:val="false"/>
          <w:color w:val="000000"/>
          <w:sz w:val="20"/>
        </w:rPr>
        <w:t>3.2</w:t>
      </w:r>
      <w:r>
        <w:rPr>
          <w:rFonts w:ascii="Arial;sans-serif" w:hAnsi="Arial;sans-serif"/>
          <w:b/>
          <w:color w:val="000000"/>
          <w:sz w:val="20"/>
        </w:rPr>
        <w:t>Authorised Share Capital</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Company will not take any action after the date of this Opinion which will reduce the number of unissued ordinary shares in its authorised share capital to an amount less than the total number of ordinary shares to be allotted and issued pursuant to Merger Agreement.</w:t>
      </w:r>
    </w:p>
    <w:p>
      <w:pPr>
        <w:pStyle w:val="TextBody"/>
        <w:bidi w:val="0"/>
        <w:spacing w:lineRule="auto" w:line="333" w:before="0" w:after="240"/>
        <w:ind w:left="0" w:right="0" w:hanging="709"/>
        <w:jc w:val="both"/>
        <w:rPr/>
      </w:pPr>
      <w:r>
        <w:rPr>
          <w:rFonts w:ascii="Arial;sans-serif" w:hAnsi="Arial;sans-serif"/>
          <w:b w:val="false"/>
          <w:color w:val="000000"/>
          <w:sz w:val="20"/>
        </w:rPr>
        <w:t>3.3</w:t>
      </w:r>
      <w:r>
        <w:rPr>
          <w:rFonts w:ascii="Arial;sans-serif" w:hAnsi="Arial;sans-serif"/>
          <w:b/>
          <w:color w:val="000000"/>
          <w:sz w:val="20"/>
        </w:rPr>
        <w:t>Allottees of Shares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 xml:space="preserve">Each person to whom the Relevant Shares are to be allotted and issued under the Merger Agreement has the due and requisite capacity to be allotted and issued the Relevant Shares, and to be registered in the register of members of the Company as the holder thereof. Each </w:t>
      </w:r>
    </w:p>
    <w:p>
      <w:pPr>
        <w:pStyle w:val="TextBody"/>
        <w:bidi w:val="0"/>
        <w:spacing w:before="0" w:after="0"/>
        <w:jc w:val="right"/>
        <w:rPr/>
      </w:pPr>
      <w:r>
        <w:rPr/>
        <w:drawing>
          <wp:inline distT="0" distB="0" distL="0" distR="0">
            <wp:extent cx="2809875" cy="3333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1"/>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5780"/>
                <wp:effectExtent l="0" t="0" r="0" b="0"/>
                <wp:wrapNone/>
                <wp:docPr id="20" name="Frame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such person shall have agreed, or shall be deemed to have agreed, to become a member of the Company.</w:t>
      </w:r>
    </w:p>
    <w:p>
      <w:pPr>
        <w:pStyle w:val="TextBody"/>
        <w:bidi w:val="0"/>
        <w:spacing w:lineRule="auto" w:line="333" w:before="0" w:after="240"/>
        <w:ind w:left="0" w:right="0" w:hanging="709"/>
        <w:jc w:val="both"/>
        <w:rPr/>
      </w:pPr>
      <w:r>
        <w:rPr>
          <w:rFonts w:ascii="Arial;sans-serif" w:hAnsi="Arial;sans-serif"/>
          <w:b w:val="false"/>
          <w:color w:val="000000"/>
          <w:sz w:val="20"/>
        </w:rPr>
        <w:t>3.4</w:t>
      </w:r>
      <w:r>
        <w:rPr>
          <w:rFonts w:ascii="Arial;sans-serif" w:hAnsi="Arial;sans-serif"/>
          <w:b/>
          <w:color w:val="000000"/>
          <w:sz w:val="20"/>
        </w:rPr>
        <w:t>The Depository Trust Company</w:t>
      </w:r>
    </w:p>
    <w:p>
      <w:pPr>
        <w:pStyle w:val="TextBody"/>
        <w:bidi w:val="0"/>
        <w:spacing w:lineRule="auto" w:line="333" w:before="0" w:after="240"/>
        <w:jc w:val="both"/>
        <w:rPr/>
      </w:pPr>
      <w:r>
        <w:rPr>
          <w:rFonts w:ascii="Arial;sans-serif" w:hAnsi="Arial;sans-serif"/>
          <w:b w:val="false"/>
          <w:color w:val="000000"/>
          <w:sz w:val="20"/>
        </w:rPr>
        <w:t>To the extent any Relevant Shares to be allotted and issued pursuant to the Merger Agreement are proposed to be issued directly to Cede &amp; Co., as the nominee of The Depository Trust Company (“</w:t>
      </w:r>
      <w:r>
        <w:rPr>
          <w:rFonts w:ascii="Arial;sans-serif" w:hAnsi="Arial;sans-serif"/>
          <w:b/>
          <w:color w:val="000000"/>
          <w:sz w:val="20"/>
        </w:rPr>
        <w:t>DTC</w:t>
      </w:r>
      <w:r>
        <w:rPr>
          <w:color w:val="000000"/>
        </w:rPr>
        <w:t>”</w:t>
      </w:r>
      <w:r>
        <w:rPr>
          <w:rFonts w:ascii="Arial;sans-serif" w:hAnsi="Arial;sans-serif"/>
          <w:b w:val="false"/>
          <w:color w:val="000000"/>
          <w:sz w:val="20"/>
        </w:rPr>
        <w:t>), the Company will have satisfied all requirements of DTC for acceptance of the Relevant Shares as eligible for its depository and book entry transfer services.</w:t>
      </w:r>
    </w:p>
    <w:p>
      <w:pPr>
        <w:pStyle w:val="TextBody"/>
        <w:bidi w:val="0"/>
        <w:spacing w:lineRule="auto" w:line="333" w:before="0" w:after="240"/>
        <w:ind w:left="0" w:right="0" w:hanging="709"/>
        <w:jc w:val="both"/>
        <w:rPr/>
      </w:pPr>
      <w:r>
        <w:rPr>
          <w:rFonts w:ascii="Arial;sans-serif" w:hAnsi="Arial;sans-serif"/>
          <w:b w:val="false"/>
          <w:color w:val="000000"/>
          <w:sz w:val="22"/>
        </w:rPr>
        <w:t>4</w:t>
      </w:r>
      <w:r>
        <w:rPr>
          <w:rFonts w:ascii="Arial;sans-serif" w:hAnsi="Arial;sans-serif"/>
          <w:b/>
          <w:color w:val="000000"/>
          <w:sz w:val="22"/>
        </w:rPr>
        <w:t>Parties Other than the Company</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Each person expressed to be a party to the Merger Agreement (other than the Company), as applicable:</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(a)is duly incorporated and validly existing;</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(b)is not the subject of any insolvency proceedings (which includes those relating to bankruptcy, liquidation, examinership, rescue process, administration, receivership and reorganisation) in any jurisdiction;</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(c)had, at the time he, she or it entered into the Merger Agreement, the due and requisite capacity to enter into and execute the Merger Agreement and had at such time, and continues to have, the due and requisite capacity to perform the obligations he, she or it is expressed to assume under it;</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(d)has taken all necessary corporate action required of it to authorise it to execute the Merger Agreement, and to perform the obligations it is expressed to assume under it;</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(e)has complied with and will comply with all the laws and regulations applicable to the transactions contemplated by the Merger Agreement in any jurisdiction; and</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(f)has duly executed the Merger Agreement.</w:t>
      </w:r>
    </w:p>
    <w:p>
      <w:pPr>
        <w:pStyle w:val="TextBody"/>
        <w:bidi w:val="0"/>
        <w:spacing w:lineRule="auto" w:line="333" w:before="0" w:after="240"/>
        <w:ind w:left="0" w:right="0" w:hanging="709"/>
        <w:jc w:val="both"/>
        <w:rPr/>
      </w:pPr>
      <w:r>
        <w:rPr>
          <w:rFonts w:ascii="Arial;sans-serif" w:hAnsi="Arial;sans-serif"/>
          <w:b w:val="false"/>
          <w:color w:val="000000"/>
          <w:sz w:val="22"/>
        </w:rPr>
        <w:t>5</w:t>
      </w:r>
      <w:r>
        <w:rPr>
          <w:rFonts w:ascii="Arial;sans-serif" w:hAnsi="Arial;sans-serif"/>
          <w:b/>
          <w:color w:val="000000"/>
          <w:sz w:val="22"/>
        </w:rPr>
        <w:t>Searches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information disclosed by the Searches was accurate and complete as of the date the Searches were made and has not been altered. The Searches did not fail to disclose any information which had been delivered for registration but which did not appear from the information available at the time the Searches were made or which ought to have been delivered for registration at that time but had not been so delivered. No additional matters would have been disclosed by additional searches being carried out since that time.</w:t>
      </w:r>
    </w:p>
    <w:p>
      <w:pPr>
        <w:pStyle w:val="TextBody"/>
        <w:bidi w:val="0"/>
        <w:spacing w:lineRule="auto" w:line="333" w:before="0" w:after="240"/>
        <w:ind w:left="0" w:right="0" w:hanging="709"/>
        <w:jc w:val="both"/>
        <w:rPr/>
      </w:pPr>
      <w:r>
        <w:rPr>
          <w:rFonts w:ascii="Arial;sans-serif" w:hAnsi="Arial;sans-serif"/>
          <w:b w:val="false"/>
          <w:color w:val="000000"/>
          <w:sz w:val="22"/>
        </w:rPr>
        <w:t>6</w:t>
      </w:r>
      <w:r>
        <w:rPr>
          <w:rFonts w:ascii="Arial;sans-serif" w:hAnsi="Arial;sans-serif"/>
          <w:b/>
          <w:color w:val="000000"/>
          <w:sz w:val="22"/>
        </w:rPr>
        <w:t>Winding up</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 xml:space="preserve">The Company has not, and at the time of the allotment and issue of the Relevant Shares will not have, passed a voluntary winding-up resolution or a resolution to place the Company under court protection or to appoint a process adviser, and no petition has been, or will have </w:t>
      </w:r>
    </w:p>
    <w:p>
      <w:pPr>
        <w:pStyle w:val="TextBody"/>
        <w:bidi w:val="0"/>
        <w:spacing w:before="0" w:after="0"/>
        <w:jc w:val="right"/>
        <w:rPr/>
      </w:pPr>
      <w:r>
        <w:rPr/>
        <w:drawing>
          <wp:inline distT="0" distB="0" distL="0" distR="0">
            <wp:extent cx="2809875" cy="3333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2"/>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5780"/>
                <wp:effectExtent l="0" t="0" r="0" b="0"/>
                <wp:wrapNone/>
                <wp:docPr id="22" name="Frame1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been, presented to, and no order has been, or will have been, made by, a court for the winding-up of the Company or to place the Company under court protection or for the appointment of a process adviser.</w:t>
      </w:r>
    </w:p>
    <w:p>
      <w:pPr>
        <w:pStyle w:val="TextBody"/>
        <w:bidi w:val="0"/>
        <w:spacing w:lineRule="auto" w:line="333" w:before="0" w:after="240"/>
        <w:ind w:left="0" w:right="0" w:hanging="709"/>
        <w:jc w:val="both"/>
        <w:rPr/>
      </w:pPr>
      <w:r>
        <w:rPr>
          <w:rFonts w:ascii="Arial;sans-serif" w:hAnsi="Arial;sans-serif"/>
          <w:b w:val="false"/>
          <w:color w:val="000000"/>
          <w:sz w:val="22"/>
        </w:rPr>
        <w:t>7</w:t>
      </w:r>
      <w:r>
        <w:rPr>
          <w:rFonts w:ascii="Arial;sans-serif" w:hAnsi="Arial;sans-serif"/>
          <w:b/>
          <w:color w:val="000000"/>
          <w:sz w:val="22"/>
        </w:rPr>
        <w:t>Laws of Other Jurisdictions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obligations expressed to be assumed by each party to the Merger Agreement and all relevant documents referred to therein are legal, valid, binding and enforceable obligations under all applicable laws and in all applicable jurisdictions, other than, in the case of the Company, the laws of Ireland and the jurisdiction of Ireland.</w:t>
      </w:r>
    </w:p>
    <w:p>
      <w:pPr>
        <w:pStyle w:val="TextBody"/>
        <w:bidi w:val="0"/>
        <w:spacing w:lineRule="auto" w:line="333" w:before="0" w:after="240"/>
        <w:ind w:left="0" w:right="0" w:hanging="709"/>
        <w:jc w:val="both"/>
        <w:rPr/>
      </w:pPr>
      <w:r>
        <w:rPr>
          <w:rFonts w:ascii="Arial;sans-serif" w:hAnsi="Arial;sans-serif"/>
          <w:b w:val="false"/>
          <w:color w:val="000000"/>
          <w:sz w:val="22"/>
        </w:rPr>
        <w:t>8</w:t>
      </w:r>
      <w:r>
        <w:rPr>
          <w:rFonts w:ascii="Arial;sans-serif" w:hAnsi="Arial;sans-serif"/>
          <w:b/>
          <w:color w:val="000000"/>
          <w:sz w:val="22"/>
        </w:rPr>
        <w:t>General</w:t>
      </w:r>
    </w:p>
    <w:p>
      <w:pPr>
        <w:pStyle w:val="TextBody"/>
        <w:bidi w:val="0"/>
        <w:spacing w:lineRule="auto" w:line="333" w:before="0" w:after="240"/>
        <w:ind w:left="0" w:right="0" w:hanging="709"/>
        <w:jc w:val="both"/>
        <w:rPr/>
      </w:pPr>
      <w:r>
        <w:rPr>
          <w:rFonts w:ascii="Arial;sans-serif" w:hAnsi="Arial;sans-serif"/>
          <w:b w:val="false"/>
          <w:color w:val="000000"/>
          <w:sz w:val="20"/>
        </w:rPr>
        <w:t>8.1</w:t>
      </w:r>
      <w:r>
        <w:rPr>
          <w:rFonts w:ascii="Arial;sans-serif" w:hAnsi="Arial;sans-serif"/>
          <w:b/>
          <w:color w:val="000000"/>
          <w:sz w:val="20"/>
        </w:rPr>
        <w:t>Representations and Warranties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representations and warranties given by each party to the Merger Agreement are true and correct in all respects with regard to the facts stated therein (other than those on which we expressly opine in this Opinion).</w:t>
      </w:r>
    </w:p>
    <w:p>
      <w:pPr>
        <w:pStyle w:val="TextBody"/>
        <w:bidi w:val="0"/>
        <w:spacing w:lineRule="auto" w:line="333" w:before="0" w:after="240"/>
        <w:ind w:left="0" w:right="0" w:hanging="709"/>
        <w:jc w:val="both"/>
        <w:rPr/>
      </w:pPr>
      <w:r>
        <w:rPr>
          <w:rFonts w:ascii="Arial;sans-serif" w:hAnsi="Arial;sans-serif"/>
          <w:b w:val="false"/>
          <w:color w:val="000000"/>
          <w:sz w:val="20"/>
        </w:rPr>
        <w:t>8.2</w:t>
      </w:r>
      <w:r>
        <w:rPr>
          <w:rFonts w:ascii="Arial;sans-serif" w:hAnsi="Arial;sans-serif"/>
          <w:b/>
          <w:color w:val="000000"/>
          <w:sz w:val="20"/>
        </w:rPr>
        <w:t>Financial Restrictions and Sanctions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 Merger Agreement and the transactions contemplated thereby and transfers and payments to be made thereunder are not and will not be affected or prohibited by any financial restrictions or sanctions imposed by the United Nations, the European Union or Ireland or which arise under any human rights, anti-terrorism, anti-corruption, anti-money laundering or exchange control laws and regulations of the European Union or Ireland, including, without limitation, any arising from orders made under the Financial Transfers Act 1992 of Ireland, the Criminal Justice (Terrorist Offences) Acts 2005 and 2015 of Ireland or the Criminal Justice (Money Laundering and Terrorist Financing) Acts 2010 to 2021 of Ireland.</w:t>
      </w:r>
    </w:p>
    <w:p>
      <w:pPr>
        <w:pStyle w:val="TextBody"/>
        <w:bidi w:val="0"/>
        <w:spacing w:lineRule="auto" w:line="333" w:before="0" w:after="240"/>
        <w:ind w:left="0" w:right="0" w:hanging="709"/>
        <w:jc w:val="both"/>
        <w:rPr/>
      </w:pPr>
      <w:r>
        <w:rPr>
          <w:rFonts w:ascii="Arial;sans-serif" w:hAnsi="Arial;sans-serif"/>
          <w:b w:val="false"/>
          <w:color w:val="000000"/>
          <w:sz w:val="20"/>
        </w:rPr>
        <w:t>8.3</w:t>
      </w:r>
      <w:r>
        <w:rPr>
          <w:rFonts w:ascii="Arial;sans-serif" w:hAnsi="Arial;sans-serif"/>
          <w:b/>
          <w:color w:val="000000"/>
          <w:sz w:val="20"/>
        </w:rPr>
        <w:t>No Bad Faith, Fraud, Coercion, Duress or Undue Influence</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There has been no bad faith, fraud, coercion, duress or undue influence on the part of any of the parties to any of the documents or other materials we have examined for the purpose of this Opinion (including the Company), or their respective directors, employees, agents and / or advisers.</w:t>
      </w:r>
    </w:p>
    <w:p>
      <w:pPr>
        <w:pStyle w:val="TextBody"/>
        <w:bidi w:val="0"/>
        <w:spacing w:before="0" w:after="240"/>
        <w:ind w:left="0" w:right="0" w:hanging="709"/>
        <w:jc w:val="both"/>
        <w:rPr/>
      </w:pPr>
      <w:r>
        <w:rPr/>
      </w:r>
    </w:p>
    <w:p>
      <w:pPr>
        <w:pStyle w:val="TextBody"/>
        <w:bidi w:val="0"/>
        <w:spacing w:before="0" w:after="0"/>
        <w:jc w:val="right"/>
        <w:rPr/>
      </w:pPr>
      <w:r>
        <w:rPr/>
        <w:drawing>
          <wp:inline distT="0" distB="0" distL="0" distR="0">
            <wp:extent cx="2809875" cy="3333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3"/>
                    <a:stretch>
                      <a:fillRect/>
                    </a:stretch>
                  </pic:blipFill>
                  <pic:spPr bwMode="auto">
                    <a:xfrm>
                      <a:off x="0" y="0"/>
                      <a:ext cx="2809875" cy="333375"/>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5780"/>
                <wp:effectExtent l="0" t="0" r="0" b="0"/>
                <wp:wrapNone/>
                <wp:docPr id="24" name="Frame1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60.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Schedule 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Qualifications</w:t>
      </w:r>
    </w:p>
    <w:p>
      <w:pPr>
        <w:pStyle w:val="TextBody"/>
        <w:bidi w:val="0"/>
        <w:spacing w:before="0" w:after="0"/>
        <w:jc w:val="both"/>
        <w:rPr/>
      </w:pPr>
      <w:r>
        <w:rPr/>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The opinions contained herein are given subject to the qualifications set out in this Schedule.</w:t>
      </w:r>
    </w:p>
    <w:p>
      <w:pPr>
        <w:pStyle w:val="TextBody"/>
        <w:bidi w:val="0"/>
        <w:spacing w:lineRule="auto" w:line="333" w:before="0" w:after="240"/>
        <w:ind w:left="0" w:right="0" w:hanging="709"/>
        <w:jc w:val="both"/>
        <w:rPr/>
      </w:pPr>
      <w:r>
        <w:rPr>
          <w:rFonts w:ascii="Arial;sans-serif" w:hAnsi="Arial;sans-serif"/>
          <w:b w:val="false"/>
          <w:color w:val="000000"/>
          <w:sz w:val="22"/>
        </w:rPr>
        <w:t>1</w:t>
      </w:r>
      <w:r>
        <w:rPr>
          <w:rFonts w:ascii="Arial;sans-serif" w:hAnsi="Arial;sans-serif"/>
          <w:b/>
          <w:color w:val="000000"/>
          <w:sz w:val="22"/>
        </w:rPr>
        <w:t>Searches</w:t>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There are some potential limitations to the effectiveness of the Searches. These include:</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(a)A search in the Companies Registration Office will not reveal whether a petition has been presented to the Irish courts for the appointment of a liquidator or an examiner.</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(b)A search of the Register of Winding-up Petitions should reveal the existence of a petition for the appointment of a liquidator or an examiner but there may be a time lag between presentation and entry of particulars of the petition on the Register of Winding-up Petitions and accordingly a search of the Register of Winding-up Petitions may fail to reveal that any such petition has been presented. Furthermore, in the case of certain smaller companies a petition for the appointment of an examiner may be presented to the Circuit Court and a search of the Register of Winding-up Petitions will not reveal the existence of such a petition.</w:t>
      </w:r>
    </w:p>
    <w:p>
      <w:pPr>
        <w:pStyle w:val="TextBody"/>
        <w:bidi w:val="0"/>
        <w:spacing w:lineRule="auto" w:line="333" w:before="0" w:after="240"/>
        <w:ind w:left="0" w:right="0" w:hanging="709"/>
        <w:jc w:val="both"/>
        <w:rPr>
          <w:rFonts w:ascii="Arial;sans-serif" w:hAnsi="Arial;sans-serif"/>
          <w:b w:val="false"/>
          <w:color w:val="000000"/>
          <w:sz w:val="20"/>
        </w:rPr>
      </w:pPr>
      <w:r>
        <w:rPr>
          <w:rFonts w:ascii="Arial;sans-serif" w:hAnsi="Arial;sans-serif"/>
          <w:b w:val="false"/>
          <w:color w:val="000000"/>
          <w:sz w:val="20"/>
        </w:rPr>
        <w:t>(c)A search in the Companies Registration Office should reveal the appointment of a liquidator, examiner, process adviser or receiver (whether by the Irish courts or, in the case of a liquidator, process adviser or a receiver, out of court). However, similarly there may be a time lag between the appointment and the filing of particulars of the appointment and accordingly a search in the Companies Registration Office may fail to reveal any such appointment.</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5780"/>
                <wp:effectExtent l="0" t="0" r="0" b="0"/>
                <wp:wrapNone/>
                <wp:docPr id="25" name="Frame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both"/>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both"/>
                        <w:rPr/>
                      </w:pPr>
                      <w:r>
                        <w:rPr/>
                      </w:r>
                    </w:p>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3.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3536</Words>
  <Characters>18638</Characters>
  <CharactersWithSpaces>22038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