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CURRENT REPORT</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20, 2020</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Ireland</w:t>
            </w:r>
          </w:p>
        </w:tc>
        <w:tc>
          <w:tcPr>
            <w:tcW w:w="320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001-36504</w:t>
            </w:r>
          </w:p>
        </w:tc>
        <w:tc>
          <w:tcPr>
            <w:tcW w:w="378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98-0606750</w:t>
            </w:r>
          </w:p>
        </w:tc>
      </w:tr>
      <w:tr>
        <w:trPr>
          <w:trHeight w:val="224"/>
        </w:trPr>
        <w:tc>
          <w:tcPr>
            <w:tcW w:w="4260" w:type="dxa"/>
            <w:vAlign w:val="bottom"/>
          </w:tcPr>
          <w:p>
            <w:pPr>
              <w:jc w:val="center"/>
              <w:ind w:right="10"/>
              <w:spacing w:after="0"/>
              <w:rPr>
                <w:sz w:val="20"/>
                <w:szCs w:val="20"/>
                <w:color w:val="auto"/>
              </w:rPr>
            </w:pPr>
            <w:r>
              <w:rPr>
                <w:rFonts w:ascii="Arial" w:cs="Arial" w:eastAsia="Arial" w:hAnsi="Arial"/>
                <w:sz w:val="18"/>
                <w:szCs w:val="18"/>
                <w:color w:val="auto"/>
                <w:w w:val="92"/>
              </w:rPr>
              <w:t>(State or other jurisdiction of incorporation)</w:t>
            </w:r>
          </w:p>
        </w:tc>
        <w:tc>
          <w:tcPr>
            <w:tcW w:w="320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7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99"/>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2000 St. James Place,</w:t>
            </w:r>
          </w:p>
        </w:tc>
        <w:tc>
          <w:tcPr>
            <w:tcW w:w="320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34"/>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Houston, Texas</w:t>
            </w:r>
          </w:p>
        </w:tc>
        <w:tc>
          <w:tcPr>
            <w:tcW w:w="32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jc w:val="right"/>
              <w:ind w:right="1530"/>
              <w:spacing w:after="0"/>
              <w:rPr>
                <w:sz w:val="20"/>
                <w:szCs w:val="20"/>
                <w:color w:val="auto"/>
              </w:rPr>
            </w:pPr>
            <w:r>
              <w:rPr>
                <w:rFonts w:ascii="Arial" w:cs="Arial" w:eastAsia="Arial" w:hAnsi="Arial"/>
                <w:sz w:val="18"/>
                <w:szCs w:val="18"/>
                <w:b w:val="1"/>
                <w:bCs w:val="1"/>
                <w:color w:val="auto"/>
              </w:rPr>
              <w:t>77056</w:t>
            </w:r>
          </w:p>
        </w:tc>
      </w:tr>
      <w:tr>
        <w:trPr>
          <w:trHeight w:val="224"/>
        </w:trPr>
        <w:tc>
          <w:tcPr>
            <w:tcW w:w="42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20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8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713.836.4000</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021" w:right="339" w:bottom="1440" w:gutter="0" w:footer="0" w:header="0"/>
        </w:sect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9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Trading Symbol(s)</w:t>
      </w:r>
      <w:r>
        <w:rPr>
          <w:rFonts w:ascii="Arial" w:cs="Arial" w:eastAsia="Arial" w:hAnsi="Arial"/>
          <w:sz w:val="26"/>
          <w:szCs w:val="26"/>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-2940685</wp:posOffset>
            </wp:positionH>
            <wp:positionV relativeFrom="paragraph">
              <wp:posOffset>-302260</wp:posOffset>
            </wp:positionV>
            <wp:extent cx="7132320" cy="437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75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jc w:val="center"/>
        <w:ind w:right="1460"/>
        <w:spacing w:after="0"/>
        <w:rPr>
          <w:sz w:val="20"/>
          <w:szCs w:val="20"/>
          <w:color w:val="auto"/>
        </w:rPr>
      </w:pPr>
      <w:r>
        <w:rPr>
          <w:rFonts w:ascii="Arial" w:cs="Arial" w:eastAsia="Arial" w:hAnsi="Arial"/>
          <w:sz w:val="15"/>
          <w:szCs w:val="15"/>
          <w:b w:val="1"/>
          <w:bCs w:val="1"/>
          <w:color w:val="auto"/>
        </w:rPr>
        <w:t>Name of each exchange</w:t>
      </w:r>
    </w:p>
    <w:p>
      <w:pPr>
        <w:spacing w:after="0" w:line="62"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on which registered</w:t>
      </w:r>
    </w:p>
    <w:p>
      <w:pPr>
        <w:spacing w:after="0" w:line="240" w:lineRule="exact"/>
        <w:rPr>
          <w:sz w:val="24"/>
          <w:szCs w:val="24"/>
          <w:color w:val="auto"/>
        </w:rPr>
      </w:pPr>
    </w:p>
    <w:p>
      <w:pPr>
        <w:sectPr>
          <w:pgSz w:w="11900" w:h="16838" w:orient="portrait"/>
          <w:cols w:equalWidth="0" w:num="3">
            <w:col w:w="3920" w:space="720"/>
            <w:col w:w="2620" w:space="720"/>
            <w:col w:w="3260"/>
          </w:cols>
          <w:pgMar w:left="320" w:top="1021" w:right="339" w:bottom="1440" w:gutter="0" w:footer="0" w:header="0"/>
          <w:type w:val="continuous"/>
        </w:sectPr>
      </w:pPr>
    </w:p>
    <w:p>
      <w:pPr>
        <w:spacing w:after="0" w:line="226"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4"/>
          <w:szCs w:val="24"/>
          <w:color w:val="auto"/>
        </w:rPr>
      </w:pPr>
    </w:p>
    <w:p>
      <w:pPr>
        <w:ind w:left="460" w:right="60" w:hanging="452"/>
        <w:spacing w:after="0" w:line="214" w:lineRule="auto"/>
        <w:tabs>
          <w:tab w:leader="none" w:pos="46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On April 17, 2020, the New York Stock Exchange (the “NYSE”) filed a Form 25 with the Securities and Exchange Commission delisting our ordinary shares from trading on the NYSE, which delisting became effective 10 days after the filing of the Form 25. In accordance with Rule 12d2-2 of the Securities Exchange Act of 1934, as amended (the “Exchange Act”), the de-registration of our ordinary shares under Section 12(b) of the Exchange Act became effective on July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661670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8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previously disclosed, on August 4, 2020, Weatherford International Ltd. (“</w:t>
      </w:r>
      <w:r>
        <w:rPr>
          <w:rFonts w:ascii="Arial" w:cs="Arial" w:eastAsia="Arial" w:hAnsi="Arial"/>
          <w:sz w:val="16"/>
          <w:szCs w:val="16"/>
          <w:u w:val="single" w:color="auto"/>
          <w:color w:val="auto"/>
        </w:rPr>
        <w:t>Weatherford Bermuda</w:t>
      </w:r>
      <w:r>
        <w:rPr>
          <w:rFonts w:ascii="Arial" w:cs="Arial" w:eastAsia="Arial" w:hAnsi="Arial"/>
          <w:sz w:val="16"/>
          <w:szCs w:val="16"/>
          <w:color w:val="auto"/>
        </w:rPr>
        <w:t>”), a wholly owned subsidiary of Weatherford International plc, entered into a commitment letter (the “</w:t>
      </w:r>
      <w:r>
        <w:rPr>
          <w:rFonts w:ascii="Arial" w:cs="Arial" w:eastAsia="Arial" w:hAnsi="Arial"/>
          <w:sz w:val="16"/>
          <w:szCs w:val="16"/>
          <w:u w:val="single" w:color="auto"/>
          <w:color w:val="auto"/>
        </w:rPr>
        <w:t>Debt Commitment Letter</w:t>
      </w:r>
      <w:r>
        <w:rPr>
          <w:rFonts w:ascii="Arial" w:cs="Arial" w:eastAsia="Arial" w:hAnsi="Arial"/>
          <w:sz w:val="16"/>
          <w:szCs w:val="16"/>
          <w:color w:val="auto"/>
        </w:rPr>
        <w:t>”) with certain parties (such parties, the “</w:t>
      </w:r>
      <w:r>
        <w:rPr>
          <w:rFonts w:ascii="Arial" w:cs="Arial" w:eastAsia="Arial" w:hAnsi="Arial"/>
          <w:sz w:val="16"/>
          <w:szCs w:val="16"/>
          <w:u w:val="single" w:color="auto"/>
          <w:color w:val="auto"/>
        </w:rPr>
        <w:t>Note Purchasers</w:t>
      </w:r>
      <w:r>
        <w:rPr>
          <w:rFonts w:ascii="Arial" w:cs="Arial" w:eastAsia="Arial" w:hAnsi="Arial"/>
          <w:sz w:val="16"/>
          <w:szCs w:val="16"/>
          <w:color w:val="auto"/>
        </w:rPr>
        <w:t>”) that are holders of Weatherford Bermuda’s 11.00% senior unsecured notes due 2024, pursuant to which the Note Purchasers committed to purchase $500 million of new 8.75% senior secured first lien notes due 2024 (the “</w:t>
      </w:r>
      <w:r>
        <w:rPr>
          <w:rFonts w:ascii="Arial" w:cs="Arial" w:eastAsia="Arial" w:hAnsi="Arial"/>
          <w:sz w:val="16"/>
          <w:szCs w:val="16"/>
          <w:u w:val="single" w:color="auto"/>
          <w:color w:val="auto"/>
        </w:rPr>
        <w:t>New Notes</w:t>
      </w:r>
      <w:r>
        <w:rPr>
          <w:rFonts w:ascii="Arial" w:cs="Arial" w:eastAsia="Arial" w:hAnsi="Arial"/>
          <w:sz w:val="16"/>
          <w:szCs w:val="16"/>
          <w:color w:val="auto"/>
        </w:rPr>
        <w:t>”) issued by Weatherford Bermuda, subject to the terms and conditions set forth therein. The Note Purchasers’ commitments under the Debt Commitment Letter were previously scheduled to expire on August 21, 2020 unless the closing of the New Notes issuance occurred on or prior to such date. On August 20, 2020, the Note Purchasers and Weatherford Bermuda entered into a commitment extension letter that extended the scheduled expiration date of the Debt Commitment Letter to August 28, 2020.</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information contained in Item 7.01 shall not be deemed to be “filed” for purposes of Section 18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or otherwise subject to the liabilities of that section, and shall not be deemed to be incorporated by reference into any of the Company’s filings under the Securities Act of 1933 or the Exchange Act, whether made before or after the date hereof and regardless of any general incorporation language in such filings, except to the extent expressly set forth by specific reference in such a filing. The filing of Item 7.01 of this Current Report on Form 8-K (including the exhibit hereto or any information included herein or therein) shall not be deemed an admission as to the materiality of any information herein that is required to be disclosed solely by reason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60" w:firstLine="129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20, 2020</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Weatherford International plc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C. Weatherholt</w:t>
            </w:r>
          </w:p>
        </w:tc>
        <w:tc>
          <w:tcPr>
            <w:tcW w:w="1120" w:type="dxa"/>
            <w:vAlign w:val="bottom"/>
          </w:tcPr>
          <w:p>
            <w:pPr>
              <w:spacing w:after="0"/>
              <w:rPr>
                <w:sz w:val="20"/>
                <w:szCs w:val="20"/>
                <w:color w:val="auto"/>
              </w:rPr>
            </w:pPr>
          </w:p>
        </w:tc>
      </w:tr>
      <w:tr>
        <w:trPr>
          <w:trHeight w:val="195"/>
        </w:trPr>
        <w:tc>
          <w:tcPr>
            <w:tcW w:w="620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Scott C. Weatherholt</w:t>
            </w:r>
          </w:p>
        </w:tc>
        <w:tc>
          <w:tcPr>
            <w:tcW w:w="1120" w:type="dxa"/>
            <w:vAlign w:val="bottom"/>
          </w:tcPr>
          <w:p>
            <w:pPr>
              <w:spacing w:after="0"/>
              <w:rPr>
                <w:sz w:val="16"/>
                <w:szCs w:val="16"/>
                <w:color w:val="auto"/>
              </w:rPr>
            </w:pPr>
          </w:p>
        </w:tc>
      </w:tr>
      <w:tr>
        <w:trPr>
          <w:trHeight w:val="216"/>
        </w:trPr>
        <w:tc>
          <w:tcPr>
            <w:tcW w:w="62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1"/>
              </w:rPr>
              <w:t>Executive Vice President, General Counsel and Chief</w:t>
            </w:r>
          </w:p>
        </w:tc>
        <w:tc>
          <w:tcPr>
            <w:tcW w:w="1120" w:type="dxa"/>
            <w:vAlign w:val="bottom"/>
          </w:tcPr>
          <w:p>
            <w:pPr>
              <w:spacing w:after="0"/>
              <w:rPr>
                <w:sz w:val="18"/>
                <w:szCs w:val="18"/>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Compliance Officer</w:t>
            </w:r>
          </w:p>
        </w:tc>
        <w:tc>
          <w:tcPr>
            <w:tcW w:w="1120" w:type="dxa"/>
            <w:vAlign w:val="bottom"/>
          </w:tcPr>
          <w:p>
            <w:pPr>
              <w:spacing w:after="0"/>
              <w:rPr>
                <w:sz w:val="20"/>
                <w:szCs w:val="20"/>
                <w:color w:val="auto"/>
              </w:rPr>
            </w:pPr>
          </w:p>
        </w:tc>
      </w:tr>
      <w:tr>
        <w:trPr>
          <w:trHeight w:val="1087"/>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2020-08-21T05:04:27Z</dcterms:created>
  <dcterms:modified xsi:type="dcterms:W3CDTF">2020-08-21T05:04:27Z</dcterms:modified>
</cp:coreProperties>
</file>