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2025</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8"/>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8"/>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c>
          <w:tcPr>
            <w:tcW w:w="820" w:type="dxa"/>
            <w:vAlign w:val="bottom"/>
          </w:tcPr>
          <w:p>
            <w:pPr>
              <w:spacing w:after="0"/>
              <w:rPr>
                <w:sz w:val="19"/>
                <w:szCs w:val="19"/>
                <w:color w:val="auto"/>
              </w:rPr>
            </w:pP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5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On February 5, 2025, Weatherford International plc (“Weatherford” and together with its subsidiaries, “we” or the “Company”) issued a news release announcing results for the fourth quarter ended December 31, 2024. A copy of the news release is furnished as Exhibit 99.1 and incorporated into this Item 2.02.</w:t>
      </w:r>
    </w:p>
    <w:p>
      <w:pPr>
        <w:spacing w:after="0" w:line="24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Weatherford will host a conference call on Thursday, February 6, 2025, to discuss the Company’s results for the fourth quarter ended December 31, 2024. The conference call will begin at 8:30 a.m. Eastern Time (7:30 a.m. Central Time).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Listeners are encouraged to download the accompanying presentation slides which will be available in the investor relations section of the Company’s website.</w:t>
      </w:r>
    </w:p>
    <w:p>
      <w:pPr>
        <w:spacing w:after="0" w:line="203"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217"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February 20, 2025, at 5:00 p.m. Eastern Time. To access the replay, please dial +1 877-344-7529 (within the U.S.) or +1 412-317-0088 (outside of the U.S.) and reference conference number 9530137. A replay and transcript of the earnings call will also be available in the investor relations section of the Company’s website</w:t>
      </w:r>
    </w:p>
    <w:p>
      <w:pPr>
        <w:spacing w:after="0" w:line="254"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33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February 5, 2025, Weatherford announced that its Board of Directors (the “Board”) has declared a cash dividend of $0.25 per share on the Company’s ordinary shares, par value $0.001 per share, payable on March 19, 2025 to shareholders of record as of February 21, 2025. The declaration of any future dividends is subject to the Board’s discretion.</w:t>
      </w:r>
    </w:p>
    <w:p>
      <w:pPr>
        <w:spacing w:after="0" w:line="19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dividend is attached as Exhibit 99.1 to this Form 8-K and the portions related to the dividend are incorporated herein by reference.</w:t>
      </w:r>
    </w:p>
    <w:p>
      <w:pPr>
        <w:spacing w:after="0" w:line="200" w:lineRule="exact"/>
        <w:rPr>
          <w:sz w:val="20"/>
          <w:szCs w:val="20"/>
          <w:color w:val="auto"/>
        </w:rPr>
      </w:pPr>
    </w:p>
    <w:p>
      <w:pPr>
        <w:spacing w:after="0" w:line="255" w:lineRule="exact"/>
        <w:rPr>
          <w:sz w:val="20"/>
          <w:szCs w:val="20"/>
          <w:color w:val="auto"/>
        </w:rPr>
      </w:pPr>
    </w:p>
    <w:p>
      <w:pPr>
        <w:ind w:left="1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7" w:lineRule="exact"/>
        <w:rPr>
          <w:sz w:val="20"/>
          <w:szCs w:val="20"/>
          <w:color w:val="auto"/>
        </w:rPr>
      </w:pPr>
    </w:p>
    <w:p>
      <w:pPr>
        <w:ind w:left="1660" w:hanging="913"/>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3"/>
        </w:trPr>
        <w:tc>
          <w:tcPr>
            <w:tcW w:w="152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68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News Release dated February 5, 2025 announcing results for the fourth quarter ended December 31, 2024.</w:t>
            </w:r>
          </w:p>
        </w:tc>
        <w:tc>
          <w:tcPr>
            <w:tcW w:w="1920" w:type="dxa"/>
            <w:vAlign w:val="bottom"/>
            <w:tcBorders>
              <w:top w:val="single" w:sz="8" w:color="auto"/>
            </w:tcBorders>
          </w:tcPr>
          <w:p>
            <w:pPr>
              <w:spacing w:after="0"/>
              <w:rPr>
                <w:sz w:val="15"/>
                <w:szCs w:val="15"/>
                <w:color w:val="auto"/>
              </w:rPr>
            </w:pPr>
          </w:p>
        </w:tc>
      </w:tr>
      <w:tr>
        <w:trPr>
          <w:trHeight w:val="250"/>
        </w:trPr>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65"/>
        </w:trPr>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February 5, 2025</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257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Arunava Mitra</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62865</wp:posOffset>
            </wp:positionV>
            <wp:extent cx="1903095"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Weatherford Announces Fourth Quarter and Full Year 2024 Results</w:t>
      </w:r>
    </w:p>
    <w:p>
      <w:pPr>
        <w:spacing w:after="0" w:line="235" w:lineRule="exact"/>
        <w:rPr>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revenue of $1,341 million decreased 5% sequentially and 2% year-over-year; full year revenue of $5,513 million increased 7% from prior year, driven by international revenue growth of 10%</w:t>
      </w:r>
    </w:p>
    <w:p>
      <w:pPr>
        <w:ind w:left="660" w:hanging="328"/>
        <w:spacing w:after="0" w:line="36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operating income of $198 million decreased 19% sequentially and 8% year-over-year; full year operating income of $938 million increased 14% from prior year</w:t>
      </w: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net income of $112 million, an 8.4% margin, decreased 29% sequentially and 20% year-over-year; full year net income of $506 million, a 9.2% margin, increased by 21% from prior year</w:t>
      </w:r>
    </w:p>
    <w:p>
      <w:pPr>
        <w:jc w:val="both"/>
        <w:ind w:left="660" w:hanging="328"/>
        <w:spacing w:after="0" w:line="356"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adjusted EBITDA* of $326 million, a 24.3% margin, decreased 8%, or 88 basis points, sequentially and increased 2%, or 74 basis points, year-over-year; full year adjusted EBITDA* of $1,382 million, a 25.1% margin, increased 17%, or 197 basis points, from prior year</w:t>
      </w:r>
    </w:p>
    <w:p>
      <w:pPr>
        <w:spacing w:after="0" w:line="2" w:lineRule="exact"/>
        <w:rPr>
          <w:rFonts w:ascii="Times New Roman" w:cs="Times New Roman" w:eastAsia="Times New Roman" w:hAnsi="Times New Roman"/>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Fourth quarter cash provided by operating activities of $249 million and adjusted free cash flow* of $162 million; full year cash provided by operating activities of $792 million and adjusted free cash flow* of $524 million</w:t>
      </w: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Shareholder return of $67 million for the quarter, which included dividend payments of $18 million and share repurchases of $49 million</w:t>
      </w:r>
    </w:p>
    <w:p>
      <w:pPr>
        <w:ind w:left="660" w:hanging="328"/>
        <w:spacing w:after="0" w:line="395"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Board approved quarterly cash dividend of $0.25 per share, payable on March 19, 2025, to shareholders of record as of February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ectPr>
          <w:pgSz w:w="11900" w:h="16838" w:orient="portrait"/>
          <w:cols w:equalWidth="0" w:num="1">
            <w:col w:w="11240"/>
          </w:cols>
          <w:pgMar w:left="320" w:top="1049" w:right="339" w:bottom="1440" w:gutter="0" w:footer="0" w:header="0"/>
        </w:sectPr>
      </w:pPr>
    </w:p>
    <w:bookmarkStart w:id="4" w:name="page5"/>
    <w:bookmarkEnd w:id="4"/>
    <w:p>
      <w:pPr>
        <w:ind w:right="280"/>
        <w:spacing w:after="0" w:line="400" w:lineRule="auto"/>
        <w:rPr>
          <w:sz w:val="20"/>
          <w:szCs w:val="20"/>
          <w:color w:val="auto"/>
        </w:rPr>
      </w:pPr>
      <w:r>
        <w:rPr>
          <w:rFonts w:ascii="Times New Roman" w:cs="Times New Roman" w:eastAsia="Times New Roman" w:hAnsi="Times New Roman"/>
          <w:sz w:val="20"/>
          <w:szCs w:val="20"/>
          <w:b w:val="1"/>
          <w:bCs w:val="1"/>
          <w:color w:val="auto"/>
        </w:rPr>
        <w:t xml:space="preserve">Houston, February 5, 2025 – </w:t>
      </w:r>
      <w:r>
        <w:rPr>
          <w:rFonts w:ascii="Times New Roman" w:cs="Times New Roman" w:eastAsia="Times New Roman" w:hAnsi="Times New Roman"/>
          <w:sz w:val="20"/>
          <w:szCs w:val="20"/>
          <w:color w:val="auto"/>
        </w:rPr>
        <w:t>Weatherford International plc (NASDAQ: WFRD) (“Weatherford” or the “Company”) announced today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for the fourth quarter of 2024 and full year 2024.</w:t>
      </w:r>
    </w:p>
    <w:p>
      <w:pPr>
        <w:spacing w:after="0" w:line="88"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Revenues for the fourth quarter of 2024 were $1,341 million, a decrease of 5% sequentially and 2% year-over-year. Operating income was $198 million in the fourth quarter of 2024, compared to $243 million in the third quarter of 2024 and $216 million in the fourth quarter of 2023. Net income in the fourth quarter of 2024 was $112 million, with an 8.4% margin, a decrease of 29%, or 279 basis points, sequentially, and a decrease of 20%, or 193 basis points, year-over-year. Adjusted EBITDA* was $326 million, a 24.3% margin, a decrease of 8%, or 88 basis points, sequentially, and an increase of 2%, or 74 basis points, year-over-year. Basic income per share in the fourth quarter of 2024 was $1.54 compared to $2.14 in the third quarter of 2024 and $1.94 in the fourth quarter of 2023. Diluted income per share in the fourth quarter of 2024 was $1.50 compared to $2.06 in the third quarter of 2024 and $1.90 in the fourth quarter of 2023.</w:t>
      </w:r>
    </w:p>
    <w:p>
      <w:pPr>
        <w:spacing w:after="0" w:line="13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2024 cash flows provided by operating activities were $249 million, compared to $262 million in the third quarter of 2024, and $375 million in the fourth quarter of 2023. Adjusted free cash flow* was $162 million, a decrease of $22 million sequentially, and $153 million year-over-year. Capital expenditures were $100 million in the fourth quarter of 2024, compared to $78 million in the third quarter of 2024, and $67 million in the fourth quarter of 2023.</w:t>
      </w:r>
    </w:p>
    <w:p>
      <w:pPr>
        <w:spacing w:after="0" w:line="13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Revenue for the full year 2024 was $5,513 million, compared to revenues of $5,135 million in 2023. Operating income for the full year was $938 million, compared to $820 million in 2023. The Company’s full year 2024 net income was $506 million, compared to $417 million in 2023. Full year cash flows provided by operations were $792 million, compared to $832 million in 2023. Adjusted free cash flow* for the full year was $524 million compared to $651 million in 2023. Capital expenditures for the full year 2024 were $299 million, compared to $209 million in 2023.</w:t>
      </w:r>
    </w:p>
    <w:p>
      <w:pPr>
        <w:spacing w:after="0" w:line="123"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“The fourth quarter witnessed a significant drop in activity levels in Latin America and a more cautious tone in a few key geographies. Despite a challenging environment in the fourth quarter, the overall full year 2024 was another one of setting new operational highs, and I would like to express my gratitude to the One Weatherford team for that. We ended the year with the best safety record we have ever had, strong margin expansion and solid cash generation.</w:t>
      </w:r>
    </w:p>
    <w:p>
      <w:pPr>
        <w:spacing w:after="0" w:line="11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While the activity outlook continues to evolve, margins and cash flow performance continue to be the cornerstone of our financial and strategic objectives. We are well-positioned to deliver another year of strong cash flow generation in 2025. While there is some temporary activity reduction, we continue to believe in the industry’s mid to long-term resilience and remain committed to our goal of achieving EBITDA margins in the high 20’s over the next few years.”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u w:val="single" w:color="auto"/>
          <w:color w:val="auto"/>
        </w:rPr>
        <w:t>Operational &amp; Commercial Highlights</w:t>
      </w:r>
    </w:p>
    <w:p>
      <w:pPr>
        <w:spacing w:after="0" w:line="137" w:lineRule="exact"/>
        <w:rPr>
          <w:sz w:val="20"/>
          <w:szCs w:val="20"/>
          <w:color w:val="auto"/>
        </w:rPr>
      </w:pPr>
    </w:p>
    <w:p>
      <w:pPr>
        <w:ind w:left="34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ADNOC awarded Weatherford a three-year contract for the provision of rigless services as part of the reactivation of ADNOC’s onshore strings.</w:t>
      </w:r>
    </w:p>
    <w:p>
      <w:pPr>
        <w:jc w:val="both"/>
        <w:ind w:left="340" w:hanging="332"/>
        <w:spacing w:after="0" w:line="333"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Kuwait Oil Company (KOC) awarded Weatherford a Managed Pressure Drilling (MPD) services contract focused on improving operational efficiency, enhancing safety, accelerating well-delivery timelines, and reducing costs by deploying Weatherford’s innovative Victus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Intelligent MPD system.</w:t>
      </w:r>
    </w:p>
    <w:p>
      <w:pPr>
        <w:spacing w:after="0" w:line="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KOC awarded Weatherford a one-year contract to provide and operate two onshore Real Time Decision Centers.</w:t>
      </w:r>
    </w:p>
    <w:p>
      <w:pPr>
        <w:spacing w:after="0" w:line="107" w:lineRule="exact"/>
        <w:rPr>
          <w:rFonts w:ascii="Times New Roman" w:cs="Times New Roman" w:eastAsia="Times New Roman" w:hAnsi="Times New Roman"/>
          <w:sz w:val="20"/>
          <w:szCs w:val="20"/>
          <w:color w:val="auto"/>
        </w:rPr>
      </w:pPr>
    </w:p>
    <w:p>
      <w:pPr>
        <w:ind w:left="34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National Oil Company (NOC) in Qatar awarded Weatherford a five-year contract to provide fishing and drilling tools, with a five-year extension option.</w:t>
      </w:r>
    </w:p>
    <w:p>
      <w:pPr>
        <w:ind w:left="340" w:hanging="332"/>
        <w:spacing w:after="0" w:line="364"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NOC in Asia awarded Weatherford a three-year contract for the provision of Wireline conveyance and tooling services and a three-year contract for Tubular Running Services (TRS) in onshore India.</w:t>
      </w:r>
    </w:p>
    <w:p>
      <w:pPr>
        <w:spacing w:after="0" w:line="1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OMV Petrom awarded Weatherford a two-year contract for openhole and cased-hole logging services in Romania.</w:t>
      </w:r>
    </w:p>
    <w:p>
      <w:pPr>
        <w:spacing w:after="0" w:line="125" w:lineRule="exact"/>
        <w:rPr>
          <w:rFonts w:ascii="Arial" w:cs="Arial" w:eastAsia="Arial" w:hAnsi="Arial"/>
          <w:sz w:val="22"/>
          <w:szCs w:val="22"/>
          <w:color w:val="auto"/>
        </w:rPr>
      </w:pPr>
    </w:p>
    <w:p>
      <w:pPr>
        <w:ind w:left="340" w:hanging="332"/>
        <w:spacing w:after="0" w:line="330" w:lineRule="auto"/>
        <w:tabs>
          <w:tab w:leader="none" w:pos="33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 major operator in Asia awarded Weatherford a three-year contract for providing Modus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MPD services for two zones in North and South Sumatra, and awarded a five-year contract to provide openhole and cased-hole Wireline in onshore Indonesia.</w:t>
      </w:r>
    </w:p>
    <w:p>
      <w:pPr>
        <w:spacing w:after="0" w:line="17"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Khalda awarded Weatherford a three-year contract to deploy up to 300 wells in Egypt using CygNet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SCADA and ForeSite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platform.</w:t>
      </w:r>
    </w:p>
    <w:p>
      <w:pPr>
        <w:spacing w:after="0" w:line="90" w:lineRule="exact"/>
        <w:rPr>
          <w:rFonts w:ascii="Arial" w:cs="Arial" w:eastAsia="Arial" w:hAnsi="Arial"/>
          <w:sz w:val="22"/>
          <w:szCs w:val="22"/>
          <w:color w:val="auto"/>
        </w:rPr>
      </w:pPr>
    </w:p>
    <w:p>
      <w:pPr>
        <w:ind w:left="340" w:right="20" w:hanging="332"/>
        <w:spacing w:after="0" w:line="346" w:lineRule="auto"/>
        <w:tabs>
          <w:tab w:leader="none" w:pos="33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0"/>
          <w:szCs w:val="20"/>
          <w:color w:val="auto"/>
        </w:rPr>
        <w:t>Azule Energy awarded Weatherford a three-year contract to provide TRS for the NGC Project in offshore Angola. This is in addition to the recently awarded TRS contract in block 15/06 in the deepwater block.</w:t>
      </w:r>
    </w:p>
    <w:p>
      <w:pPr>
        <w:spacing w:after="0" w:line="19" w:lineRule="exact"/>
        <w:rPr>
          <w:rFonts w:ascii="Arial" w:cs="Arial" w:eastAsia="Arial" w:hAnsi="Arial"/>
          <w:sz w:val="22"/>
          <w:szCs w:val="22"/>
          <w:color w:val="auto"/>
        </w:rPr>
      </w:pPr>
    </w:p>
    <w:p>
      <w:pPr>
        <w:ind w:left="320" w:hanging="312"/>
        <w:spacing w:after="0"/>
        <w:tabs>
          <w:tab w:leader="none" w:pos="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PTTEP awarded Weatherford a 24-month contract to provide openhole Wireline Services in onshore Thailand.</w:t>
      </w:r>
    </w:p>
    <w:p>
      <w:pPr>
        <w:spacing w:after="0" w:line="98" w:lineRule="exact"/>
        <w:rPr>
          <w:rFonts w:ascii="Times New Roman" w:cs="Times New Roman" w:eastAsia="Times New Roman" w:hAnsi="Times New Roman"/>
          <w:sz w:val="22"/>
          <w:szCs w:val="22"/>
          <w:color w:val="auto"/>
        </w:rPr>
      </w:pPr>
    </w:p>
    <w:p>
      <w:pPr>
        <w:ind w:left="340" w:hanging="332"/>
        <w:spacing w:after="0" w:line="366"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in Asia awarded Weatherford with a four-year contract to provide Rotating Control Devices to enable MPD in offshore Indonesia.</w:t>
      </w:r>
    </w:p>
    <w:p>
      <w:pPr>
        <w:ind w:left="340" w:hanging="332"/>
        <w:spacing w:after="0" w:line="381"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Shell Petroleum Development Company awarded Weatherford a three-year contract to provide Well Completions and other related specialized services in onshore Nigeria.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5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Technology Highlights</w:t>
      </w:r>
    </w:p>
    <w:p>
      <w:pPr>
        <w:spacing w:after="0" w:line="151"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On January 14, 2025, at the annual IKTVA forum held at Dahan Dharan Expo, Weatherford signed an agreement with SPARK, a fully integrated industrial ecosystem aimed at making Saudi Arabia a global energy hub. This strategic partnership, aligned with Saudi Arabia’s Vision 2030, enhances Weatherford’s local presence, boosts production capabilities, and supports the region’s energy goals. By advancing local content, fostering talent, and driving innovation, Weatherford demonstrates its commitment to economic growth and to supporting Saudi Arabia’s leadership in energy innovation.</w:t>
      </w:r>
    </w:p>
    <w:p>
      <w:pPr>
        <w:spacing w:after="0" w:line="366"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Drilling &amp; Evaluation (“DRE”)</w:t>
      </w:r>
    </w:p>
    <w:p>
      <w:pPr>
        <w:spacing w:after="0" w:line="175" w:lineRule="exact"/>
        <w:rPr>
          <w:rFonts w:ascii="Times New Roman" w:cs="Times New Roman" w:eastAsia="Times New Roman" w:hAnsi="Times New Roman"/>
          <w:sz w:val="20"/>
          <w:szCs w:val="20"/>
          <w:color w:val="auto"/>
        </w:rPr>
      </w:pPr>
    </w:p>
    <w:p>
      <w:pPr>
        <w:jc w:val="both"/>
        <w:ind w:left="980" w:hanging="324"/>
        <w:spacing w:after="0" w:line="361" w:lineRule="auto"/>
        <w:tabs>
          <w:tab w:leader="none" w:pos="98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North Sea, Weatherford successfully deployed the world’s first Dual Advanced Kickover Tool for Equinor. The unique solution enables gas lift valve replacements in just a single run, which significantly increases efficiency and reduces cost of conventional systems.</w:t>
      </w:r>
    </w:p>
    <w:p>
      <w:pPr>
        <w:spacing w:after="0" w:line="1" w:lineRule="exact"/>
        <w:rPr>
          <w:rFonts w:ascii="Times New Roman" w:cs="Times New Roman" w:eastAsia="Times New Roman" w:hAnsi="Times New Roman"/>
          <w:sz w:val="20"/>
          <w:szCs w:val="20"/>
          <w:color w:val="auto"/>
        </w:rPr>
      </w:pPr>
    </w:p>
    <w:p>
      <w:pPr>
        <w:ind w:left="980" w:hanging="324"/>
        <w:spacing w:after="0" w:line="359" w:lineRule="auto"/>
        <w:tabs>
          <w:tab w:leader="none" w:pos="9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Saudi Arabia, Weatherford deployed its compact wireline logging tools with shuttle technology to achieve a record total depth for Aramco. This extended reach well features the longest horizontal section, measuring 23,000 feet.</w:t>
      </w: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Well Construction and Completions (“WCC”)</w:t>
      </w:r>
    </w:p>
    <w:p>
      <w:pPr>
        <w:spacing w:after="0" w:line="202" w:lineRule="exact"/>
        <w:rPr>
          <w:rFonts w:ascii="Times New Roman" w:cs="Times New Roman" w:eastAsia="Times New Roman" w:hAnsi="Times New Roman"/>
          <w:sz w:val="20"/>
          <w:szCs w:val="20"/>
          <w:color w:val="auto"/>
        </w:rPr>
      </w:pPr>
    </w:p>
    <w:p>
      <w:pPr>
        <w:jc w:val="both"/>
        <w:ind w:left="980" w:hanging="324"/>
        <w:spacing w:after="0" w:line="334" w:lineRule="auto"/>
        <w:tabs>
          <w:tab w:leader="none" w:pos="976" w:val="left"/>
        </w:tabs>
        <w:numPr>
          <w:ilvl w:val="1"/>
          <w:numId w:val="5"/>
        </w:numPr>
        <w:rPr>
          <w:rFonts w:ascii="Arial" w:cs="Arial" w:eastAsia="Arial" w:hAnsi="Arial"/>
          <w:sz w:val="21"/>
          <w:szCs w:val="21"/>
          <w:color w:val="auto"/>
        </w:rPr>
      </w:pPr>
      <w:r>
        <w:rPr>
          <w:rFonts w:ascii="Times New Roman" w:cs="Times New Roman" w:eastAsia="Times New Roman" w:hAnsi="Times New Roman"/>
          <w:sz w:val="19"/>
          <w:szCs w:val="19"/>
          <w:color w:val="auto"/>
        </w:rPr>
        <w:t>In deepwater Brazil, Weatherford successfully installed the first OptiRoss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RFID Multi-Cycle Sliding Sleeve Valve for a major operator. The system enhances acid stimulation efficiency, improving production and boosting the reservoir’s oil recovery factor.</w:t>
      </w:r>
    </w:p>
    <w:p>
      <w:pPr>
        <w:jc w:val="both"/>
        <w:ind w:left="980" w:hanging="324"/>
        <w:spacing w:after="0" w:line="361" w:lineRule="auto"/>
        <w:tabs>
          <w:tab w:leader="none" w:pos="9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Middle East, Weatherford successfully deployed its market-leading Optimax Tubing Retrievable Safety Valve for an NOC. This deployment enabled gas lift valve replacements in a single run, significantly increasing efficiency and reducing costs compared to conventional systems.</w:t>
      </w:r>
    </w:p>
    <w:p>
      <w:pPr>
        <w:spacing w:after="0" w:line="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and Intervention (“PRI”)</w:t>
      </w:r>
    </w:p>
    <w:p>
      <w:pPr>
        <w:spacing w:after="0" w:line="202" w:lineRule="exact"/>
        <w:rPr>
          <w:rFonts w:ascii="Times New Roman" w:cs="Times New Roman" w:eastAsia="Times New Roman" w:hAnsi="Times New Roman"/>
          <w:sz w:val="20"/>
          <w:szCs w:val="20"/>
          <w:color w:val="auto"/>
        </w:rPr>
      </w:pPr>
    </w:p>
    <w:p>
      <w:pPr>
        <w:jc w:val="both"/>
        <w:ind w:left="980" w:hanging="324"/>
        <w:spacing w:after="0" w:line="356" w:lineRule="auto"/>
        <w:tabs>
          <w:tab w:leader="none" w:pos="97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Middle East, Weatherford's Alpha1Go remote re-entry system was deployed for an NOC, optimizing rig site operations by significantly reducing whipstock preparation time and minimizing red-zone exposure. This deployment improved both efficiency and safety, demonstrating the system's effectiveness in facilitating well re-entry operations and real-time team collaboration in various rig environments.</w:t>
      </w:r>
    </w:p>
    <w:p>
      <w:pPr>
        <w:spacing w:after="0" w:line="18" w:lineRule="exact"/>
        <w:rPr>
          <w:rFonts w:ascii="Times New Roman" w:cs="Times New Roman" w:eastAsia="Times New Roman" w:hAnsi="Times New Roman"/>
          <w:sz w:val="22"/>
          <w:szCs w:val="22"/>
          <w:color w:val="auto"/>
        </w:rPr>
      </w:pPr>
    </w:p>
    <w:p>
      <w:pPr>
        <w:jc w:val="both"/>
        <w:ind w:left="980" w:hanging="324"/>
        <w:spacing w:after="0" w:line="362" w:lineRule="auto"/>
        <w:tabs>
          <w:tab w:leader="none" w:pos="976" w:val="left"/>
        </w:tabs>
        <w:numPr>
          <w:ilvl w:val="1"/>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In US land operations, Weatherford successfully deployed its first Reclaim Dual Barrier Plug and Abandon (P&amp;A) system for a major operator. This innovative dual barrier P&amp;A system safely and reliably abandons wells without the need to pull tubing. By eliminating the requirement for conventional drilling rigs, it significantly reduces costs and minimizes the carbon footprint.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9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u w:val="single" w:color="auto"/>
          <w:color w:val="auto"/>
        </w:rPr>
        <w:t>Shareholder Return</w:t>
      </w:r>
    </w:p>
    <w:p>
      <w:pPr>
        <w:spacing w:after="0" w:line="218"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During the fourth quarter of 2024, Weatherford repurchased shares for approximately $49 million and paid dividends of $18 million, resulting in total shareholder return of $67 million. Since the inception of the shareholder return program introduced earlier in 2024, the Company repurchased shares for approximately $99 million and paid dividends of $36 million, resulting in total shareholder return of $135 million.</w:t>
      </w:r>
    </w:p>
    <w:p>
      <w:pPr>
        <w:spacing w:after="0" w:line="22"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On January 29, 2025, our Board declared a cash dividend of $0.25 per share of the Company’s ordinary shares, payable on March 19, 2025, to shareholders of record as of February 21, 2025.</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Drilling and Evaluation (“DRE”)</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Variance</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 30,</w:t>
            </w:r>
          </w:p>
        </w:tc>
        <w:tc>
          <w:tcPr>
            <w:tcW w:w="1020" w:type="dxa"/>
            <w:vAlign w:val="bottom"/>
            <w:tcBorders>
              <w:top w:val="single" w:sz="8" w:color="auto"/>
            </w:tcBorders>
            <w:gridSpan w:val="2"/>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4"/>
                <w:szCs w:val="14"/>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Seq.</w:t>
            </w:r>
          </w:p>
        </w:tc>
        <w:tc>
          <w:tcPr>
            <w:tcW w:w="7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YoY</w:t>
            </w: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2"/>
                <w:szCs w:val="12"/>
                <w:color w:val="auto"/>
              </w:rPr>
            </w:pPr>
          </w:p>
        </w:tc>
        <w:tc>
          <w:tcPr>
            <w:tcW w:w="8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2"/>
                <w:szCs w:val="12"/>
                <w:color w:val="auto"/>
              </w:rPr>
            </w:pPr>
          </w:p>
        </w:tc>
        <w:tc>
          <w:tcPr>
            <w:tcW w:w="8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2"/>
                <w:szCs w:val="12"/>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12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YoY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435</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1,682</w:t>
            </w:r>
          </w:p>
        </w:tc>
        <w:tc>
          <w:tcPr>
            <w:tcW w:w="3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Adj EBITDA</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(140)bps</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(127) bps</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bps</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Fourth quarter 2024 DRE revenue of $398 million decreased by $37 million, or 9% sequentially, primarily from lower activity in Latin America, partly offset by higher international Wireline activity. Year-over-year DRE revenues increased by $16 million, or 4%, primarily from higher activity in North America and higher international Wireline activity, partly offset by lower activity in Latin America.</w:t>
      </w:r>
    </w:p>
    <w:p>
      <w:pPr>
        <w:spacing w:after="0" w:line="8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2024 DRE segment adjusted EBITDA of $96 million decreased by $15 million, or 14% sequentially, primarily driven by lower activity in Latin America, partly offset by higher international Wireline activity. Year-over-year DRE segment adjusted EBITDA decreased by $1 million, or 1%, primarily due to lower activity in Latin America, partly offset by improved performance in Middle East/North Africa/Asia.</w:t>
      </w:r>
    </w:p>
    <w:p>
      <w:pPr>
        <w:spacing w:after="0" w:line="96"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Full year 2024 DRE revenues of $1,682 million increased by $146 million, or 10% compared to 2023, as higher Wireline and Drilling-related services activity were partly offset by lower Drilling Services in Latin America.</w:t>
      </w:r>
    </w:p>
    <w:p>
      <w:pPr>
        <w:spacing w:after="0" w:line="5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Full year 2024 DRE segment adjusted EBITDA of $467 million increased by $45 million, or 11% compared to 2023, as higher MPD and Wireline activity were partly offset by lower activity in Latin America.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Well Construction and Completions (“WCC”)</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Variance</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Dec 31,</w:t>
            </w: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Sep 30,</w:t>
            </w:r>
          </w:p>
        </w:tc>
        <w:tc>
          <w:tcPr>
            <w:tcW w:w="1020" w:type="dxa"/>
            <w:vAlign w:val="bottom"/>
            <w:tcBorders>
              <w:top w:val="single" w:sz="8" w:color="auto"/>
            </w:tcBorders>
            <w:gridSpan w:val="2"/>
          </w:tcPr>
          <w:p>
            <w:pPr>
              <w:jc w:val="right"/>
              <w:ind w:right="110"/>
              <w:spacing w:after="0" w:line="174" w:lineRule="exact"/>
              <w:rPr>
                <w:sz w:val="20"/>
                <w:szCs w:val="20"/>
                <w:color w:val="auto"/>
              </w:rPr>
            </w:pPr>
            <w:r>
              <w:rPr>
                <w:rFonts w:ascii="Times New Roman" w:cs="Times New Roman" w:eastAsia="Times New Roman" w:hAnsi="Times New Roman"/>
                <w:sz w:val="18"/>
                <w:szCs w:val="18"/>
                <w:b w:val="1"/>
                <w:bCs w:val="1"/>
                <w:color w:val="auto"/>
              </w:rPr>
              <w:t>Dec 31,</w:t>
            </w:r>
          </w:p>
        </w:tc>
        <w:tc>
          <w:tcPr>
            <w:tcW w:w="100" w:type="dxa"/>
            <w:vAlign w:val="bottom"/>
          </w:tcPr>
          <w:p>
            <w:pPr>
              <w:spacing w:after="0"/>
              <w:rPr>
                <w:sz w:val="15"/>
                <w:szCs w:val="15"/>
                <w:color w:val="auto"/>
              </w:rPr>
            </w:pPr>
          </w:p>
        </w:tc>
        <w:tc>
          <w:tcPr>
            <w:tcW w:w="8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Seq.</w:t>
            </w:r>
          </w:p>
        </w:tc>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Pr>
          <w:p>
            <w:pPr>
              <w:spacing w:after="0"/>
              <w:rPr>
                <w:sz w:val="12"/>
                <w:szCs w:val="12"/>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2"/>
                <w:szCs w:val="12"/>
                <w:color w:val="auto"/>
              </w:rPr>
            </w:pPr>
          </w:p>
        </w:tc>
        <w:tc>
          <w:tcPr>
            <w:tcW w:w="8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2"/>
                <w:szCs w:val="12"/>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1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YoY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40" w:type="dxa"/>
            <w:vAlign w:val="bottom"/>
            <w:gridSpan w:val="3"/>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1,976</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564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2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Segment Adj EBITDA</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00" w:type="dxa"/>
            <w:vAlign w:val="bottom"/>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bps</w:t>
            </w:r>
          </w:p>
        </w:tc>
        <w:tc>
          <w:tcPr>
            <w:tcW w:w="8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 bps</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bps</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Fourth quarter 2024 WCC revenue of $505 million decreased by $4 million, or 1% sequentially, primarily due to</w:t>
      </w:r>
    </w:p>
    <w:p>
      <w:pPr>
        <w:sectPr>
          <w:pgSz w:w="11900" w:h="16838" w:orient="portrait"/>
          <w:cols w:equalWidth="0" w:num="1">
            <w:col w:w="11240"/>
          </w:cols>
          <w:pgMar w:left="320" w:top="10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096" w:right="339" w:bottom="1440" w:gutter="0" w:footer="0" w:header="0"/>
          <w:type w:val="continuous"/>
        </w:sectPr>
      </w:pPr>
    </w:p>
    <w:bookmarkStart w:id="8" w:name="page9"/>
    <w:bookmarkEnd w:id="8"/>
    <w:p>
      <w:pPr>
        <w:jc w:val="both"/>
        <w:spacing w:after="0" w:line="374" w:lineRule="auto"/>
        <w:rPr>
          <w:sz w:val="20"/>
          <w:szCs w:val="20"/>
          <w:color w:val="auto"/>
        </w:rPr>
      </w:pPr>
      <w:r>
        <w:rPr>
          <w:rFonts w:ascii="Times New Roman" w:cs="Times New Roman" w:eastAsia="Times New Roman" w:hAnsi="Times New Roman"/>
          <w:sz w:val="20"/>
          <w:szCs w:val="20"/>
          <w:color w:val="auto"/>
        </w:rPr>
        <w:t>lower activity in Europe/Sub-Sahara Africa/Russia, partly offset by higher Completions and TRS activity in Middle East/North Africa/Asia. Year-over-year WCC revenues increased by $25 million, or 5%, primarily due to higher activity in Middle East/North Africa/Asia and higher Liner Hangers and Well Services activity in Latin America, partly offset by lower activity in North America.</w:t>
      </w:r>
    </w:p>
    <w:p>
      <w:pPr>
        <w:spacing w:after="0" w:line="12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2024 WCC segment adjusted EBITDA of $148 million decreased by $3 million, or 2% sequentially, primarily due to lower activity in Europe/Sub-Sahara Africa/Russia, partly offset by higher Completions and TRS activity in Middle East/North Africa/Asia. Year-over-year WCC segment adjusted EBITDA increased by $17 million, or 13%, primarily due to higher activity in Middle East/North Africa/Asia, partly offset by lower activity in Europe/Sub-Sahara Africa/Russia.</w:t>
      </w:r>
    </w:p>
    <w:p>
      <w:pPr>
        <w:spacing w:after="0" w:line="136"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Full year 2024 WCC revenues of $1,976 million increased by $176 million, or 10% compared to 2023, primarily from higher activity in Middle East/North Africa/Asia and Latin America, partly offset by lower activity in North America.</w:t>
      </w:r>
    </w:p>
    <w:p>
      <w:pPr>
        <w:spacing w:after="0" w:line="80"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Full year 2024 WCC segment adjusted EBITDA of $564 million increased by $109 million, or 24% compared to 2023, primarily due to improved fall through in major product lines across all geographies.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Production and Intervention (“PRI”)</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9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Variance</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Sep 30,</w:t>
            </w:r>
          </w:p>
        </w:tc>
        <w:tc>
          <w:tcPr>
            <w:tcW w:w="1020" w:type="dxa"/>
            <w:vAlign w:val="bottom"/>
            <w:tcBorders>
              <w:top w:val="single" w:sz="8" w:color="auto"/>
            </w:tcBorders>
            <w:gridSpan w:val="2"/>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80" w:type="dxa"/>
            <w:vAlign w:val="bottom"/>
          </w:tcPr>
          <w:p>
            <w:pPr>
              <w:spacing w:after="0"/>
              <w:rPr>
                <w:sz w:val="14"/>
                <w:szCs w:val="14"/>
                <w:color w:val="auto"/>
              </w:rPr>
            </w:pPr>
          </w:p>
        </w:tc>
        <w:tc>
          <w:tcPr>
            <w:tcW w:w="8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Seq.</w:t>
            </w:r>
          </w:p>
        </w:tc>
        <w:tc>
          <w:tcPr>
            <w:tcW w:w="6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YoY</w:t>
            </w: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Pr>
          <w:p>
            <w:pPr>
              <w:spacing w:after="0"/>
              <w:rPr>
                <w:sz w:val="12"/>
                <w:szCs w:val="12"/>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2"/>
                <w:szCs w:val="12"/>
                <w:color w:val="auto"/>
              </w:rPr>
            </w:pPr>
          </w:p>
        </w:tc>
        <w:tc>
          <w:tcPr>
            <w:tcW w:w="8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2"/>
                <w:szCs w:val="12"/>
                <w:color w:val="auto"/>
              </w:rPr>
            </w:pPr>
          </w:p>
        </w:tc>
        <w:tc>
          <w:tcPr>
            <w:tcW w:w="7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 31, 2024</w:t>
            </w:r>
          </w:p>
        </w:tc>
        <w:tc>
          <w:tcPr>
            <w:tcW w:w="1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Dec 31, 2023</w:t>
            </w:r>
          </w:p>
        </w:tc>
        <w:tc>
          <w:tcPr>
            <w:tcW w:w="98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1,452</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5"/>
              </w:rPr>
              <w:t>(1)</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9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5"/>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Segment Adj EBITDA</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3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(94) bps</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(137)bps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88"/>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bps</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2024 PRI revenue of $364 million decreased by $7 million, or 2% sequentially, primarily due to lower activity in Latin America and lower Intervention Services and Drilling Tools (ISDT) activity in Europe/Sub-Sahara Africa/Russia and North America. Year-over-year PRI revenue decreased by $22 million, or 6%, as lower activity in Middle East/North Africa/Asia and Latin America was partly offset by higher Artificial Lift activity in North America.</w:t>
      </w:r>
    </w:p>
    <w:p>
      <w:pPr>
        <w:spacing w:after="0" w:line="130"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Fourth quarter 2024 PRI segment adjusted EBITDA of $78 million, decreased by $5 million, or 6% sequentially, primarily from lower activity in Latin America and lower ISDT activity in Europe/Sub-Sahara Africa/Russia and North America, partly offset by higher Artificial Lift activity in Middle East/North Africa/Asia. Year-over-year PRI segment adjusted EBITDA decreased by $10 million, or 11% year-over-year, primarily due to lower activity in Latin America and Europe/Sub-Sahara Africa/Russia, partly offset by better ISDT and Artificial Lift fall through in North America.</w:t>
      </w:r>
    </w:p>
    <w:p>
      <w:pPr>
        <w:spacing w:after="0" w:line="123"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Full year 2024 PRI revenues of $1,452 million decreased by $20 million, or 1% compared to 2023, primarily due to lower international Pressure Pumping and Digital Solutions activity, partly offset by higher ISDT activity in Europe/Sub-Sahara Africa/Russia and Middle East/North Africa/Asia.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89" w:right="339" w:bottom="1440" w:gutter="0" w:footer="0" w:header="0"/>
        </w:sectPr>
      </w:pPr>
    </w:p>
    <w:bookmarkStart w:id="9" w:name="page10"/>
    <w:bookmarkEnd w:id="9"/>
    <w:p>
      <w:pPr>
        <w:jc w:val="both"/>
        <w:spacing w:after="0" w:line="395" w:lineRule="auto"/>
        <w:rPr>
          <w:sz w:val="20"/>
          <w:szCs w:val="20"/>
          <w:color w:val="auto"/>
        </w:rPr>
      </w:pPr>
      <w:r>
        <w:rPr>
          <w:rFonts w:ascii="Times New Roman" w:cs="Times New Roman" w:eastAsia="Times New Roman" w:hAnsi="Times New Roman"/>
          <w:sz w:val="20"/>
          <w:szCs w:val="20"/>
          <w:color w:val="auto"/>
        </w:rPr>
        <w:t>Full year 2024 PRI segment adjusted EBITDA of $319 million decreased by $4 million, or 1% compared to 2023, as lower activity in international Pressure Pumping and Digital Solutions was partly offset by improved performance in Artificial Lift.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Revenue by Geography</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200" w:type="dxa"/>
            <w:vAlign w:val="bottom"/>
          </w:tcPr>
          <w:p>
            <w:pPr>
              <w:spacing w:after="0"/>
              <w:rPr>
                <w:sz w:val="14"/>
                <w:szCs w:val="14"/>
                <w:color w:val="auto"/>
              </w:rPr>
            </w:pPr>
          </w:p>
        </w:tc>
        <w:tc>
          <w:tcPr>
            <w:tcW w:w="78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Sep 30,</w:t>
            </w:r>
          </w:p>
        </w:tc>
        <w:tc>
          <w:tcPr>
            <w:tcW w:w="200" w:type="dxa"/>
            <w:vAlign w:val="bottom"/>
          </w:tcPr>
          <w:p>
            <w:pPr>
              <w:spacing w:after="0"/>
              <w:rPr>
                <w:sz w:val="14"/>
                <w:szCs w:val="14"/>
                <w:color w:val="auto"/>
              </w:rPr>
            </w:pPr>
          </w:p>
        </w:tc>
        <w:tc>
          <w:tcPr>
            <w:tcW w:w="7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 31,</w:t>
            </w:r>
          </w:p>
        </w:tc>
        <w:tc>
          <w:tcPr>
            <w:tcW w:w="80" w:type="dxa"/>
            <w:vAlign w:val="bottom"/>
          </w:tcPr>
          <w:p>
            <w:pPr>
              <w:spacing w:after="0"/>
              <w:rPr>
                <w:sz w:val="14"/>
                <w:szCs w:val="14"/>
                <w:color w:val="auto"/>
              </w:rPr>
            </w:pPr>
          </w:p>
        </w:tc>
        <w:tc>
          <w:tcPr>
            <w:tcW w:w="14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Seq.</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YoY</w:t>
            </w:r>
          </w:p>
        </w:tc>
        <w:tc>
          <w:tcPr>
            <w:tcW w:w="140" w:type="dxa"/>
            <w:vAlign w:val="bottom"/>
          </w:tcPr>
          <w:p>
            <w:pPr>
              <w:spacing w:after="0"/>
              <w:rPr>
                <w:sz w:val="14"/>
                <w:szCs w:val="14"/>
                <w:color w:val="auto"/>
              </w:rPr>
            </w:pPr>
          </w:p>
        </w:tc>
        <w:tc>
          <w:tcPr>
            <w:tcW w:w="86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220" w:type="dxa"/>
            <w:vAlign w:val="bottom"/>
          </w:tcPr>
          <w:p>
            <w:pPr>
              <w:spacing w:after="0"/>
              <w:rPr>
                <w:sz w:val="14"/>
                <w:szCs w:val="14"/>
                <w:color w:val="auto"/>
              </w:rPr>
            </w:pPr>
          </w:p>
        </w:tc>
        <w:tc>
          <w:tcPr>
            <w:tcW w:w="84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Dec 31,</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40" w:type="dxa"/>
            <w:vAlign w:val="bottom"/>
            <w:vMerge w:val="restart"/>
          </w:tcPr>
          <w:p>
            <w:pPr>
              <w:jc w:val="center"/>
              <w:ind w:right="173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40" w:type="dxa"/>
            <w:vAlign w:val="bottom"/>
          </w:tcPr>
          <w:p>
            <w:pPr>
              <w:spacing w:after="0"/>
              <w:rPr>
                <w:sz w:val="12"/>
                <w:szCs w:val="12"/>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2"/>
                <w:szCs w:val="12"/>
                <w:color w:val="auto"/>
              </w:rPr>
            </w:pPr>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2"/>
                <w:szCs w:val="12"/>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2"/>
                <w:szCs w:val="12"/>
                <w:color w:val="auto"/>
              </w:rPr>
            </w:pPr>
          </w:p>
        </w:tc>
        <w:tc>
          <w:tcPr>
            <w:tcW w:w="8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2"/>
                <w:szCs w:val="12"/>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YoY</w:t>
            </w:r>
          </w:p>
        </w:tc>
        <w:tc>
          <w:tcPr>
            <w:tcW w:w="0" w:type="dxa"/>
            <w:vAlign w:val="bottom"/>
          </w:tcPr>
          <w:p>
            <w:pPr>
              <w:spacing w:after="0"/>
              <w:rPr>
                <w:sz w:val="1"/>
                <w:szCs w:val="1"/>
                <w:color w:val="auto"/>
              </w:rPr>
            </w:pPr>
          </w:p>
        </w:tc>
      </w:tr>
      <w:tr>
        <w:trPr>
          <w:trHeight w:val="94"/>
        </w:trPr>
        <w:tc>
          <w:tcPr>
            <w:tcW w:w="294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jc w:val="center"/>
              <w:ind w:right="17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2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8"/>
        </w:trPr>
        <w:tc>
          <w:tcPr>
            <w:tcW w:w="2940" w:type="dxa"/>
            <w:vAlign w:val="bottom"/>
            <w:tcBorders>
              <w:top w:val="single" w:sz="8" w:color="auto"/>
              <w:bottom w:val="single" w:sz="8" w:color="auto"/>
            </w:tcBorders>
            <w:shd w:val="clear" w:color="auto" w:fill="CCEEFF"/>
          </w:tcPr>
          <w:p>
            <w:pPr>
              <w:jc w:val="center"/>
              <w:ind w:right="1770"/>
              <w:spacing w:after="0"/>
              <w:rPr>
                <w:sz w:val="20"/>
                <w:szCs w:val="20"/>
                <w:color w:val="auto"/>
              </w:rPr>
            </w:pPr>
            <w:r>
              <w:rPr>
                <w:rFonts w:ascii="Times New Roman" w:cs="Times New Roman" w:eastAsia="Times New Roman" w:hAnsi="Times New Roman"/>
                <w:sz w:val="18"/>
                <w:szCs w:val="18"/>
                <w:color w:val="auto"/>
                <w:w w:val="98"/>
              </w:rPr>
              <w:t>Total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North America</w:t>
      </w:r>
    </w:p>
    <w:p>
      <w:pPr>
        <w:spacing w:after="0" w:line="21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2024 North America revenue of $261 million decreased by $5 million, or 2% sequentially, primarily due to activity decreases in the North and South regions, partly offset by activity increase offshore in the Gulf of Mexico. Year-over-year, North America increased by $13 million, or 5%, primarily from higher Artificial Lift and Wireline activity, partly offset by a decrease in activity across the WCC segment.</w:t>
      </w:r>
    </w:p>
    <w:p>
      <w:pPr>
        <w:spacing w:after="0" w:line="117" w:lineRule="exact"/>
        <w:rPr>
          <w:sz w:val="20"/>
          <w:szCs w:val="20"/>
          <w:color w:val="auto"/>
        </w:rPr>
      </w:pPr>
    </w:p>
    <w:p>
      <w:pPr>
        <w:jc w:val="both"/>
        <w:ind w:right="20"/>
        <w:spacing w:after="0" w:line="395" w:lineRule="auto"/>
        <w:rPr>
          <w:sz w:val="20"/>
          <w:szCs w:val="20"/>
          <w:color w:val="auto"/>
        </w:rPr>
      </w:pPr>
      <w:r>
        <w:rPr>
          <w:rFonts w:ascii="Times New Roman" w:cs="Times New Roman" w:eastAsia="Times New Roman" w:hAnsi="Times New Roman"/>
          <w:sz w:val="20"/>
          <w:szCs w:val="20"/>
          <w:color w:val="auto"/>
        </w:rPr>
        <w:t>Full year 2024 North America revenue of $1,046 million decreased by $22 million, or 2%, compared to 2023, primarily due to lower activity in the WCC and PRI segments, partly offset by higher Wireline activity.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International</w:t>
      </w:r>
    </w:p>
    <w:p>
      <w:pPr>
        <w:spacing w:after="0" w:line="217"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Fourth quarter 2024 international revenue of $1,080 million decreased 6% sequentially and decreased 3% year-over-year, and full year 2024 international revenue of $4,467 million increased 10%, compared to 2023.</w:t>
      </w:r>
    </w:p>
    <w:p>
      <w:pPr>
        <w:spacing w:after="0" w:line="120"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Fourth quarter 2024 Latin America revenue of $312 million decreased by $46 million, or 13% sequentially, primarily due to lower Drilling-related Services, partly offset by higher Liner Hangers activity. Year-over-year, Latin America revenue decreased by $30 million, primarily due to lower activity in the DRE and PRI segments, partly offset by higher activity in Liner Hangers and Well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Full year 2024 Latin America revenue of $1,393 million was largely flat, compared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89" w:right="339" w:bottom="1440" w:gutter="0" w:footer="0" w:header="0"/>
        </w:sectPr>
      </w:pPr>
    </w:p>
    <w:bookmarkStart w:id="10" w:name="page11"/>
    <w:bookmarkEnd w:id="10"/>
    <w:p>
      <w:pPr>
        <w:jc w:val="both"/>
        <w:spacing w:after="0" w:line="371" w:lineRule="auto"/>
        <w:rPr>
          <w:sz w:val="20"/>
          <w:szCs w:val="20"/>
          <w:color w:val="auto"/>
        </w:rPr>
      </w:pPr>
      <w:r>
        <w:rPr>
          <w:rFonts w:ascii="Times New Roman" w:cs="Times New Roman" w:eastAsia="Times New Roman" w:hAnsi="Times New Roman"/>
          <w:sz w:val="20"/>
          <w:szCs w:val="20"/>
          <w:color w:val="auto"/>
        </w:rPr>
        <w:t>Fourth quarter 2024 revenue of $542 million in Middle East/North Africa/Asia was flat sequentially, as higher activity from Completions and Artificial Lift were largely offset by lower MPD and Integrated Services &amp; Projects. Year-over-year, the Middle East/North Africa/Asia revenue decreased by $5 million, or 1%, primarily due to lower activity in the PRI segment, partly offset by higher Drilling-related services and Completions activity.</w:t>
      </w:r>
    </w:p>
    <w:p>
      <w:pPr>
        <w:spacing w:after="0" w:line="117"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Full year 2024 revenue of $2,123 million in Middle East/North Africa/Asia increased by $308 million, or 17%, compared to 2023, mainly due to increased activity in the DRE and WCC segments, partly offset by lower activity in Digital Solutions, Artificial Lift and Pressure Pumping.</w:t>
      </w:r>
    </w:p>
    <w:p>
      <w:pPr>
        <w:spacing w:after="0" w:line="12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Fourth quarter 2024 Europe/Sub-Sahara Africa/Russia revenue of $226 million decreased by $17 million, or 7%, sequentially, mainly driven by lower Completions and ISDT activity, partly offset by higher Wireline activity. Year-over-year Europe/Sub-Sahara Africa/Russia revenue was largely flat due to increased activity in the DRE segment, largely offset by lower activity in the WCC and PRI segments.</w:t>
      </w:r>
    </w:p>
    <w:p>
      <w:pPr>
        <w:spacing w:after="0" w:line="113"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Full year 2024 Europe/Sub-Sahara Africa/Russia revenue of $951 million increased by $86 million, or 10% compared to 2023, due to increased activity in the DRE and WCC segments, partly offset by lower Pressure Pumping and Artificial Lift activity.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8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137" w:lineRule="exact"/>
        <w:rPr>
          <w:sz w:val="20"/>
          <w:szCs w:val="20"/>
          <w:color w:val="auto"/>
        </w:rPr>
      </w:pPr>
    </w:p>
    <w:p>
      <w:pPr>
        <w:jc w:val="both"/>
        <w:ind w:right="40"/>
        <w:spacing w:after="0" w:line="392" w:lineRule="auto"/>
        <w:rPr>
          <w:sz w:val="20"/>
          <w:szCs w:val="20"/>
          <w:color w:val="auto"/>
        </w:rPr>
      </w:pPr>
      <w:r>
        <w:rPr>
          <w:rFonts w:ascii="Times New Roman" w:cs="Times New Roman" w:eastAsia="Times New Roman" w:hAnsi="Times New Roman"/>
          <w:sz w:val="19"/>
          <w:szCs w:val="19"/>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19,000 team members representing more than 110 nationalities and 330 operating locations. Visit </w:t>
      </w:r>
      <w:r>
        <w:rPr>
          <w:rFonts w:ascii="Times New Roman" w:cs="Times New Roman" w:eastAsia="Times New Roman" w:hAnsi="Times New Roman"/>
          <w:sz w:val="19"/>
          <w:szCs w:val="19"/>
          <w:u w:val="single" w:color="auto"/>
          <w:color w:val="3051F2"/>
        </w:rPr>
        <w:t>weatherford.com</w:t>
      </w:r>
      <w:r>
        <w:rPr>
          <w:rFonts w:ascii="Times New Roman" w:cs="Times New Roman" w:eastAsia="Times New Roman" w:hAnsi="Times New Roman"/>
          <w:sz w:val="19"/>
          <w:szCs w:val="19"/>
          <w:color w:val="auto"/>
        </w:rPr>
        <w:t xml:space="preserve"> for more information and connect with us on social media.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313"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Weatherford will host a conference call on Thursday, February 6, 2025, to discuss the Company’s results for the fourth quarter ended December 31, 2024. The conference call will begin at 8:30 a.m. Eastern Time (7:30 a.m. Central Time).</w:t>
      </w:r>
    </w:p>
    <w:p>
      <w:pPr>
        <w:spacing w:after="0" w:line="39"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2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45"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February 20, 2025, at 5:00 p.m. Eastern Time. To access the replay, please dial +1 877-344-7529 (within the U.S.) or +1 412-317-0088 (outside of the U.S.) and reference conference number 9530137. A replay and transcript of the earnings call will also be available in the investor relations section of the Company’s website.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Luke Lemoine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Vice President, Corporate Development &amp; Investor Relations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Communications &amp; Employee Engagement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media@weatherford.com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40"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20"/>
          <w:szCs w:val="20"/>
          <w:color w:val="auto"/>
        </w:rPr>
        <w:t>This news release contains projections and forward-looking statements concerning, among other things, the Company’s quarterly and full-year revenues, adjusted EBITDA*, adjusted EBITDA margin*, adjusted free cash flow*, net leverage*,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based on factors including but not limited to: global political disturbances, war, terrorist attacks, changes in global trade policies and tariffs, weak local economic conditions and international currency fluctuations; general global economic repercussions related to U.S. and global inflationary pressures and potential recessionary concerns; various effects from conflicts in the Middle East and the Russia Ukraine conflict, including, but not limited to, nationalization of assets, extended business interruptions, sanctions, treaties and regulations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our ability to effectively execute our capital allocation framework;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spacing w:after="0" w:line="69" w:lineRule="exact"/>
        <w:rPr>
          <w:sz w:val="20"/>
          <w:szCs w:val="20"/>
          <w:color w:val="auto"/>
        </w:rPr>
      </w:pPr>
    </w:p>
    <w:p>
      <w:pPr>
        <w:jc w:val="both"/>
        <w:spacing w:after="0" w:line="338" w:lineRule="auto"/>
        <w:rPr>
          <w:sz w:val="20"/>
          <w:szCs w:val="20"/>
          <w:color w:val="auto"/>
        </w:rPr>
      </w:pPr>
      <w:r>
        <w:rPr>
          <w:rFonts w:ascii="Times New Roman" w:cs="Times New Roman" w:eastAsia="Times New Roman" w:hAnsi="Times New Roman"/>
          <w:sz w:val="20"/>
          <w:szCs w:val="20"/>
          <w:color w:val="auto"/>
        </w:rPr>
        <w:t>These risks and uncertainties are more fully described in Weatherford’s reports and registration statements filed with the Securities and Exchange Commission,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9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0"/>
                <w:szCs w:val="20"/>
                <w:color w:val="auto"/>
              </w:rPr>
            </w:pPr>
          </w:p>
        </w:tc>
        <w:tc>
          <w:tcPr>
            <w:tcW w:w="21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69"/>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2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December</w:t>
            </w:r>
          </w:p>
        </w:tc>
        <w:tc>
          <w:tcPr>
            <w:tcW w:w="1000" w:type="dxa"/>
            <w:vAlign w:val="bottom"/>
            <w:tcBorders>
              <w:top w:val="single" w:sz="8" w:color="auto"/>
            </w:tcBorders>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43"/>
        </w:trPr>
        <w:tc>
          <w:tcPr>
            <w:tcW w:w="54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DRE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WCC Revenues</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1,976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 Revenues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1,452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3"/>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5,513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DRE Segment Adjusted EBITDA</w:t>
            </w:r>
            <w:r>
              <w:rPr>
                <w:rFonts w:ascii="Times New Roman" w:cs="Times New Roman" w:eastAsia="Times New Roman" w:hAnsi="Times New Roman"/>
                <w:sz w:val="23"/>
                <w:szCs w:val="23"/>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WCC Segment Adjusted EBITDA</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564</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PRI Segment Adjusted EBITDA</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54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938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56"/>
        </w:trPr>
        <w:tc>
          <w:tcPr>
            <w:tcW w:w="5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 of $12, $13, $12, $56 and $59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5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550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Diluted Income Per Share</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4"/>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right="560" w:hanging="252"/>
        <w:spacing w:after="0" w:line="261" w:lineRule="auto"/>
        <w:tabs>
          <w:tab w:leader="none" w:pos="257" w:val="left"/>
        </w:tabs>
        <w:numPr>
          <w:ilvl w:val="0"/>
          <w:numId w:val="6"/>
        </w:numPr>
        <w:rPr>
          <w:rFonts w:ascii="Calibri" w:cs="Calibri" w:eastAsia="Calibri" w:hAnsi="Calibri"/>
          <w:sz w:val="9"/>
          <w:szCs w:val="9"/>
          <w:color w:val="auto"/>
        </w:rPr>
      </w:pPr>
      <w:r>
        <w:rPr>
          <w:rFonts w:ascii="Times New Roman" w:cs="Times New Roman" w:eastAsia="Times New Roman" w:hAnsi="Times New Roman"/>
          <w:sz w:val="14"/>
          <w:szCs w:val="14"/>
          <w:color w:val="auto"/>
        </w:rPr>
        <w:t>Segment adjusted EBITDA is our primary measure of segment profitability under U.S. GAAP ASC 280 “Segment Reporting” and represents segment earnings before interest, taxes, depreciation, amortization, share-based compensation and other adjustments. Research and development expenses are included in segment adjusted EBITDA.</w:t>
      </w:r>
    </w:p>
    <w:p>
      <w:pPr>
        <w:ind w:left="260" w:right="180" w:hanging="252"/>
        <w:spacing w:after="0" w:line="261" w:lineRule="auto"/>
        <w:tabs>
          <w:tab w:leader="none" w:pos="257" w:val="left"/>
        </w:tabs>
        <w:numPr>
          <w:ilvl w:val="0"/>
          <w:numId w:val="6"/>
        </w:numPr>
        <w:rPr>
          <w:rFonts w:ascii="Calibri" w:cs="Calibri" w:eastAsia="Calibri" w:hAnsi="Calibri"/>
          <w:sz w:val="9"/>
          <w:szCs w:val="9"/>
          <w:color w:val="auto"/>
        </w:rPr>
      </w:pPr>
      <w:r>
        <w:rPr>
          <w:rFonts w:ascii="Times New Roman" w:cs="Times New Roman" w:eastAsia="Times New Roman" w:hAnsi="Times New Roman"/>
          <w:sz w:val="14"/>
          <w:szCs w:val="14"/>
          <w:color w:val="auto"/>
        </w:rPr>
        <w:t>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ind w:left="260" w:right="140" w:hanging="252"/>
        <w:spacing w:after="0" w:line="283" w:lineRule="auto"/>
        <w:tabs>
          <w:tab w:leader="none" w:pos="257" w:val="left"/>
        </w:tabs>
        <w:numPr>
          <w:ilvl w:val="0"/>
          <w:numId w:val="6"/>
        </w:numPr>
        <w:rPr>
          <w:rFonts w:ascii="Calibri" w:cs="Calibri" w:eastAsia="Calibri" w:hAnsi="Calibri"/>
          <w:sz w:val="9"/>
          <w:szCs w:val="9"/>
          <w:color w:val="auto"/>
        </w:rPr>
      </w:pPr>
      <w:r>
        <w:rPr>
          <w:rFonts w:ascii="Times New Roman" w:cs="Times New Roman" w:eastAsia="Times New Roman" w:hAnsi="Times New Roman"/>
          <w:sz w:val="14"/>
          <w:szCs w:val="14"/>
          <w:color w:val="auto"/>
        </w:rPr>
        <w:t>Included the maximum potentially dilutive shares contingently issuable for an acquisition consideration during the three months ended September 30, 2024, the value of which was adjusted out of Net Income Attributable to Weatherford in calculating diluted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2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1,261</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0"/>
        </w:trPr>
        <w:tc>
          <w:tcPr>
            <w:tcW w:w="48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1,617</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70"/>
        </w:trPr>
        <w:tc>
          <w:tcPr>
            <w:tcW w:w="48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1,283</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bl>
    <w:p>
      <w:pPr>
        <w:spacing w:after="0" w:line="48" w:lineRule="exact"/>
        <w:rPr>
          <w:sz w:val="20"/>
          <w:szCs w:val="20"/>
          <w:color w:val="auto"/>
        </w:rPr>
      </w:pPr>
    </w:p>
    <w:p>
      <w:pPr>
        <w:ind w:left="340" w:hanging="170"/>
        <w:spacing w:after="0"/>
        <w:tabs>
          <w:tab w:leader="none" w:pos="340" w:val="left"/>
        </w:tabs>
        <w:numPr>
          <w:ilvl w:val="0"/>
          <w:numId w:val="7"/>
        </w:numPr>
        <w:rPr>
          <w:rFonts w:ascii="Times New Roman" w:cs="Times New Roman" w:eastAsia="Times New Roman" w:hAnsi="Times New Roman"/>
          <w:sz w:val="21"/>
          <w:szCs w:val="21"/>
          <w:color w:val="FFFFFF"/>
          <w:vertAlign w:val="superscript"/>
        </w:rPr>
      </w:pPr>
      <w:r>
        <w:rPr>
          <w:rFonts w:ascii="Times New Roman" w:cs="Times New Roman" w:eastAsia="Times New Roman" w:hAnsi="Times New Roman"/>
          <w:sz w:val="15"/>
          <w:szCs w:val="15"/>
          <w:color w:val="FFFFFF"/>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7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Cash Flows Information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169"/>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1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4"/>
                <w:szCs w:val="14"/>
                <w:color w:val="auto"/>
              </w:rPr>
            </w:pPr>
          </w:p>
        </w:tc>
        <w:tc>
          <w:tcPr>
            <w:tcW w:w="126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1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4"/>
                <w:szCs w:val="14"/>
                <w:color w:val="auto"/>
              </w:rPr>
            </w:pPr>
          </w:p>
        </w:tc>
        <w:tc>
          <w:tcPr>
            <w:tcW w:w="11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176"/>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Losses (Gain)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Changes in Accounts Receivable, Inventory, Accounts Payable and</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Changes,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Blue Chip Swap Securities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Blue Chip Swap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142"/>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9"/>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Remittance on Equity Awards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5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Defined (Unaudited)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Leverage* - Net Leverage* is a non-GAAP measure which is calculated by dividing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as defined above and reconciled to the GAAP measures in the section titled GAAP to Non-GAAP Financial Measures Reconciled</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5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(Unaudited)</w:t>
      </w: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Margin in Percentages)</w:t>
            </w:r>
          </w:p>
        </w:tc>
        <w:tc>
          <w:tcPr>
            <w:tcW w:w="120" w:type="dxa"/>
            <w:vAlign w:val="bottom"/>
          </w:tcPr>
          <w:p>
            <w:pPr>
              <w:spacing w:after="0"/>
              <w:rPr>
                <w:sz w:val="14"/>
                <w:szCs w:val="14"/>
                <w:color w:val="auto"/>
              </w:rPr>
            </w:pPr>
          </w:p>
        </w:tc>
        <w:tc>
          <w:tcPr>
            <w:tcW w:w="126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14"/>
                <w:szCs w:val="14"/>
                <w:color w:val="auto"/>
              </w:rPr>
            </w:pPr>
          </w:p>
        </w:tc>
        <w:tc>
          <w:tcPr>
            <w:tcW w:w="130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4"/>
                <w:szCs w:val="14"/>
                <w:color w:val="auto"/>
              </w:rPr>
            </w:pPr>
          </w:p>
        </w:tc>
        <w:tc>
          <w:tcPr>
            <w:tcW w:w="120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4"/>
                <w:szCs w:val="14"/>
                <w:color w:val="auto"/>
              </w:rPr>
            </w:pPr>
          </w:p>
        </w:tc>
        <w:tc>
          <w:tcPr>
            <w:tcW w:w="1240" w:type="dxa"/>
            <w:vAlign w:val="bottom"/>
            <w:gridSpan w:val="2"/>
          </w:tcPr>
          <w:p>
            <w:pPr>
              <w:jc w:val="right"/>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5,513</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5,135</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506</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1,382</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506</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30"/>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2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189</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76"/>
        </w:trPr>
        <w:tc>
          <w:tcPr>
            <w:tcW w:w="43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$12, $13,</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 $56 and $59</w:t>
            </w:r>
          </w:p>
        </w:tc>
        <w:tc>
          <w:tcPr>
            <w:tcW w:w="12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938</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29"/>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343</w:t>
            </w:r>
          </w:p>
        </w:tc>
        <w:tc>
          <w:tcPr>
            <w:tcW w:w="46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Charges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1,382</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792</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175"/>
        </w:trPr>
        <w:tc>
          <w:tcPr>
            <w:tcW w:w="43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Capital Expenditures for Property, Plant and</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21"/>
                <w:szCs w:val="21"/>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(299)</w:t>
            </w:r>
          </w:p>
        </w:tc>
        <w:tc>
          <w:tcPr>
            <w:tcW w:w="4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524</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60" w:hanging="252"/>
        <w:spacing w:after="0" w:line="180" w:lineRule="auto"/>
        <w:tabs>
          <w:tab w:leader="none" w:pos="255" w:val="left"/>
        </w:tabs>
        <w:numPr>
          <w:ilvl w:val="0"/>
          <w:numId w:val="8"/>
        </w:numPr>
        <w:rPr>
          <w:rFonts w:ascii="Calibri" w:cs="Calibri" w:eastAsia="Calibri" w:hAnsi="Calibri"/>
          <w:sz w:val="25"/>
          <w:szCs w:val="25"/>
          <w:color w:val="auto"/>
          <w:vertAlign w:val="superscript"/>
        </w:rPr>
      </w:pPr>
      <w:r>
        <w:rPr>
          <w:rFonts w:ascii="Times New Roman" w:cs="Times New Roman" w:eastAsia="Times New Roman" w:hAnsi="Times New Roman"/>
          <w:sz w:val="14"/>
          <w:szCs w:val="14"/>
          <w:color w:val="auto"/>
        </w:rPr>
        <w:t>Other charges in the three and twelve months ended December 31, 2024, primarily included severance and restructuring costs and fees to third-party financial institutions related to collections of certain receivables from our largest customer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35" w:right="33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Continued (Unaudited)</w:t>
      </w:r>
    </w:p>
    <w:p>
      <w:pPr>
        <w:spacing w:after="0" w:line="200" w:lineRule="exact"/>
        <w:rPr>
          <w:sz w:val="20"/>
          <w:szCs w:val="20"/>
          <w:color w:val="auto"/>
        </w:rPr>
      </w:pPr>
    </w:p>
    <w:p>
      <w:pPr>
        <w:spacing w:after="0" w:line="316"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4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240" w:type="dxa"/>
            <w:vAlign w:val="bottom"/>
            <w:tcBorders>
              <w:top w:val="single" w:sz="8" w:color="auto"/>
            </w:tcBorders>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Net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for trailing 12 months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for trailing 12 months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Leverage* (Net Debt*/Adjusted EBITDA*)</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9019"/>
          </w:cols>
          <w:pgMar w:left="1440" w:top="1035"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9019"/>
      </w:cols>
      <w:pgMar w:left="1440" w:top="103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2025-02-05T15:42:00Z</dcterms:created>
  <dcterms:modified xsi:type="dcterms:W3CDTF">2025-02-05T15:42:00Z</dcterms:modified>
</cp:coreProperties>
</file>