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7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SD</w:t>
      </w:r>
    </w:p>
    <w:p>
      <w:pPr>
        <w:pStyle w:val="TextBody"/>
        <w:bidi w:val="0"/>
        <w:spacing w:lineRule="auto" w:line="288" w:before="0" w:after="720"/>
        <w:jc w:val="center"/>
        <w:rPr/>
      </w:pPr>
      <w:r>
        <w:rPr>
          <w:rFonts w:ascii="Times New Roman;sans-serif" w:hAnsi="Times New Roman;sans-serif"/>
          <w:b/>
          <w:color w:val="000000"/>
          <w:sz w:val="24"/>
        </w:rPr>
        <w:t>S</w:t>
      </w:r>
      <w:r>
        <w:rPr>
          <w:rFonts w:ascii="Times New Roman;sans-serif" w:hAnsi="Times New Roman;sans-serif"/>
          <w:b/>
          <w:color w:val="000000"/>
          <w:sz w:val="20"/>
        </w:rPr>
        <w:t xml:space="preserve">PECIALIZED </w:t>
      </w:r>
      <w:r>
        <w:rPr>
          <w:rFonts w:ascii="Times New Roman;sans-serif" w:hAnsi="Times New Roman;sans-serif"/>
          <w:b/>
          <w:color w:val="000000"/>
          <w:sz w:val="24"/>
        </w:rPr>
        <w:t>D</w:t>
      </w:r>
      <w:r>
        <w:rPr>
          <w:rFonts w:ascii="Times New Roman;sans-serif" w:hAnsi="Times New Roman;sans-serif"/>
          <w:b/>
          <w:color w:val="000000"/>
          <w:sz w:val="20"/>
        </w:rPr>
        <w:t xml:space="preserve">ISCLOSURE </w:t>
      </w:r>
      <w:r>
        <w:rPr>
          <w:rFonts w:ascii="Times New Roman;sans-serif" w:hAnsi="Times New Roman;sans-serif"/>
          <w:b/>
          <w:color w:val="000000"/>
          <w:sz w:val="24"/>
        </w:rPr>
        <w:t>R</w:t>
      </w:r>
      <w:r>
        <w:rPr>
          <w:rFonts w:ascii="Times New Roman;sans-serif" w:hAnsi="Times New Roman;sans-serif"/>
          <w:b/>
          <w:color w:val="000000"/>
          <w:sz w:val="20"/>
        </w:rPr>
        <w:t>EPORT</w:t>
      </w:r>
    </w:p>
    <w:tbl>
      <w:tblPr>
        <w:tblW w:w="4859" w:type="dxa"/>
        <w:jc w:val="center"/>
        <w:tblInd w:w="0" w:type="dxa"/>
        <w:tblLayout w:type="fixed"/>
        <w:tblCellMar>
          <w:top w:w="28" w:type="dxa"/>
          <w:left w:w="28" w:type="dxa"/>
          <w:bottom w:w="28" w:type="dxa"/>
          <w:right w:w="28" w:type="dxa"/>
        </w:tblCellMar>
      </w:tblPr>
      <w:tblGrid>
        <w:gridCol w:w="1555"/>
        <w:gridCol w:w="1368"/>
        <w:gridCol w:w="1936"/>
      </w:tblGrid>
      <w:tr>
        <w:trPr/>
        <w:tc>
          <w:tcPr>
            <w:tcW w:w="155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Weatherford International plc</w:t>
            </w:r>
          </w:p>
        </w:tc>
      </w:tr>
      <w:tr>
        <w:trPr/>
        <w:tc>
          <w:tcPr>
            <w:tcW w:w="4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bl>
    <w:p>
      <w:pPr>
        <w:pStyle w:val="TextBody"/>
        <w:bidi w:val="0"/>
        <w:spacing w:before="0" w:after="0"/>
        <w:jc w:val="center"/>
        <w:rPr/>
      </w:pPr>
      <w:r>
        <w:rPr/>
      </w:r>
    </w:p>
    <w:p>
      <w:pPr>
        <w:pStyle w:val="TextBody"/>
        <w:bidi w:val="0"/>
        <w:spacing w:before="0" w:after="240"/>
        <w:jc w:val="center"/>
        <w:rPr/>
      </w:pPr>
      <w:r>
        <w:rPr/>
        <w:drawing>
          <wp:inline distT="0" distB="0" distL="0" distR="0">
            <wp:extent cx="2200275" cy="1457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1457325"/>
                    </a:xfrm>
                    <a:prstGeom prst="rect">
                      <a:avLst/>
                    </a:prstGeom>
                  </pic:spPr>
                </pic:pic>
              </a:graphicData>
            </a:graphic>
          </wp:inline>
        </w:drawing>
      </w:r>
    </w:p>
    <w:tbl>
      <w:tblPr>
        <w:tblW w:w="5625" w:type="dxa"/>
        <w:jc w:val="center"/>
        <w:tblInd w:w="0" w:type="dxa"/>
        <w:tblLayout w:type="fixed"/>
        <w:tblCellMar>
          <w:top w:w="28" w:type="dxa"/>
          <w:left w:w="28" w:type="dxa"/>
          <w:bottom w:w="28" w:type="dxa"/>
          <w:right w:w="28" w:type="dxa"/>
        </w:tblCellMar>
      </w:tblPr>
      <w:tblGrid>
        <w:gridCol w:w="1008"/>
        <w:gridCol w:w="886"/>
        <w:gridCol w:w="895"/>
        <w:gridCol w:w="394"/>
        <w:gridCol w:w="394"/>
        <w:gridCol w:w="398"/>
        <w:gridCol w:w="483"/>
        <w:gridCol w:w="483"/>
        <w:gridCol w:w="684"/>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Ireland</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001-36504</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98-0606750</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 or organization)</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950" w:type="dxa"/>
        <w:jc w:val="center"/>
        <w:tblInd w:w="0" w:type="dxa"/>
        <w:tblLayout w:type="fixed"/>
        <w:tblCellMar>
          <w:top w:w="28" w:type="dxa"/>
          <w:left w:w="28" w:type="dxa"/>
          <w:bottom w:w="28" w:type="dxa"/>
          <w:right w:w="28" w:type="dxa"/>
        </w:tblCellMar>
      </w:tblPr>
      <w:tblGrid>
        <w:gridCol w:w="1418"/>
        <w:gridCol w:w="1246"/>
        <w:gridCol w:w="1251"/>
        <w:gridCol w:w="303"/>
        <w:gridCol w:w="303"/>
        <w:gridCol w:w="429"/>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2000 St. James Place, Houston, Texas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77056</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tbl>
      <w:tblPr>
        <w:tblW w:w="8788" w:type="dxa"/>
        <w:jc w:val="center"/>
        <w:tblInd w:w="0" w:type="dxa"/>
        <w:tblLayout w:type="fixed"/>
        <w:tblCellMar>
          <w:top w:w="28" w:type="dxa"/>
          <w:left w:w="28" w:type="dxa"/>
          <w:bottom w:w="28" w:type="dxa"/>
          <w:right w:w="28" w:type="dxa"/>
        </w:tblCellMar>
      </w:tblPr>
      <w:tblGrid>
        <w:gridCol w:w="2155"/>
        <w:gridCol w:w="1897"/>
        <w:gridCol w:w="1902"/>
        <w:gridCol w:w="830"/>
        <w:gridCol w:w="830"/>
        <w:gridCol w:w="1174"/>
      </w:tblGrid>
      <w:tr>
        <w:trPr/>
        <w:tc>
          <w:tcPr>
            <w:tcW w:w="2155"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Charles W. Davison, Jr.</w:t>
              <w:br/>
              <w:t>Executive Vice President and</w:t>
              <w:br/>
              <w:t>Chief Operations Officer</w:t>
            </w:r>
          </w:p>
        </w:tc>
        <w:tc>
          <w:tcPr>
            <w:tcW w:w="28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713.836.4000</w:t>
            </w:r>
          </w:p>
        </w:tc>
      </w:tr>
      <w:tr>
        <w:trPr/>
        <w:tc>
          <w:tcPr>
            <w:tcW w:w="8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and telephone number, including area code, of the person to contact in connection with this report.)</w:t>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to indicate the rule pursuant to which this form is being filed, and provide the period to which the information in this form applies: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color w:val="000000"/>
                <w:sz w:val="20"/>
              </w:rPr>
            </w:pPr>
            <w:r>
              <w:rPr>
                <w:rFonts w:ascii="Wingdings 2;sans-serif" w:hAnsi="Wingdings 2;sans-serif"/>
                <w:b/>
                <w:color w:val="000000"/>
                <w:sz w:val="20"/>
              </w:rPr>
              <w:t>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Rule 13p-1 under the Securities Exchange Act (17 CFR 240.13p-1) for the reporting period from January 1 to December 31, 2022.</w:t>
            </w:r>
          </w:p>
        </w:tc>
      </w:tr>
      <w:tr>
        <w:trPr/>
        <w:tc>
          <w:tcPr>
            <w:tcW w:w="34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Rule 13q-1 under the Securities Exchange Act (17 CFR 240.13q-1) for the fiscal year ended December 31, 2022.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Section 1 – Conflict Minerals Disclosure</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Item 1.01 Conflict Minerals Disclosure and Report</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Conflict Minerals Disclosure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disclosure on Form SD (this “Filing”) for the year ended December 31, 2022 is presented to comply with Rule 13p-1 under the Securities Exchange Act of 1934 (the “Rule”). The Rule was adopted by the Securities and Exchange Commission (“SEC”) to implement reporting and disclosure requirements related to Conflict Minerals (as defined by paragraph (d)(1) of Item 1.01 of Form SD) as directed by the Dodd-Frank Wall Street Reform and Consumer Protection Act of 2010 (the “Dodd-Frank Act”). The Rule imposes certain reporting obligations on SEC reporting companies that manufacture or contract to manufacture products if any one or more of the minerals specified in the Rule are necessary to the functionality or production of those products. The specified minerals for reporting year 2022 are gold, columbite-tantalite (coltan), cassiterite and wolframite and their respective derivatives tantalum, tin and tungsten (collectively, “3TG” or the “Covered Minerals”) and may, in subsequent reporting years, include other minerals or derivatives determined by the U.S. Secretary of State to be covered by the Rule. As used in this Filing, “Weatherford,” “we,” “our” and “us” refer to Weatherford International plc and its consolidated subsidiaries.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Weatherford has conducted a reasonable country of origin inquiry (“RCOI”) of its suppliers to determine whether any Covered Minerals necessary to the functionality or production of a product manufactured by, or contracted to be manufactured for, Weatherford during 2022 originated in the Democratic Republic of the Congo or an Adjoining Country (as defined by paragraph (d)(1) of Item 1.01 of Form SD). Weatherford performed due diligence on the source and chain of custody of its Covered Minerals that conforms in all material respects with the Rule and the Organization for Economic Cooperation and Development (“OECD”) Due Diligence Guidance for Responsible Supply Chains of Minerals from Conflict-Affected and High-Risk Areas. A copy of this Filing, including the Conflict Minerals Report filed as Exhibit 1.01 hereto, are publicly available on our website at https://www.weatherford.com/investor-relations/financial-information/sec-filings/. Our website and the information accessible through it are not incorporated herein by reference.</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Item 1.02 Exhibit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 have included as an exhibit to this Filing the Conflict Minerals Report required by Items 1.01 and 1.02 of Form SD.</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Section 3 – Exhibits</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Item 3.01 Exhibits</w:t>
      </w:r>
    </w:p>
    <w:p>
      <w:pPr>
        <w:pStyle w:val="TextBody"/>
        <w:bidi w:val="0"/>
        <w:spacing w:lineRule="auto" w:line="288" w:before="0" w:after="240"/>
        <w:jc w:val="left"/>
        <w:rPr/>
      </w:pPr>
      <w:r>
        <w:rPr>
          <w:rFonts w:ascii="Times New Roman;sans-serif" w:hAnsi="Times New Roman;sans-serif"/>
          <w:b w:val="false"/>
          <w:color w:val="000000"/>
          <w:sz w:val="24"/>
        </w:rPr>
        <w:t xml:space="preserve">Exhibit 1.01 – </w:t>
      </w:r>
      <w:hyperlink w:anchor="a2022sd-ex101cmr.htm">
        <w:r>
          <w:rPr>
            <w:rStyle w:val="InternetLink"/>
            <w:rFonts w:ascii="Times New Roman;sans-serif" w:hAnsi="Times New Roman;sans-serif"/>
            <w:b w:val="false"/>
            <w:color w:val="0000FF"/>
            <w:sz w:val="24"/>
            <w:u w:val="single"/>
          </w:rPr>
          <w:t>Conflict Minerals Report</w:t>
        </w:r>
      </w:hyperlink>
      <w:r>
        <w:rPr>
          <w:color w:val="000000"/>
        </w:rPr>
        <w:t xml:space="preserve"> </w:t>
      </w:r>
      <w:r>
        <w:rPr>
          <w:rFonts w:ascii="Times New Roman;sans-serif" w:hAnsi="Times New Roman;sans-serif"/>
          <w:b w:val="false"/>
          <w:color w:val="000000"/>
          <w:sz w:val="24"/>
        </w:rPr>
        <w:t>as required by Items 1.01 and 1.02 of Form SD.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Exchange Act of 1934, the registrant has duly caused this report to be signed on its behalf by the duly authorized undersigned.</w:t>
      </w:r>
    </w:p>
    <w:p>
      <w:pPr>
        <w:pStyle w:val="TextBody"/>
        <w:bidi w:val="0"/>
        <w:spacing w:before="0" w:after="100"/>
        <w:jc w:val="left"/>
        <w:rPr/>
      </w:pPr>
      <w:r>
        <w:rPr/>
      </w:r>
    </w:p>
    <w:tbl>
      <w:tblPr>
        <w:tblW w:w="8882" w:type="dxa"/>
        <w:jc w:val="left"/>
        <w:tblInd w:w="0" w:type="dxa"/>
        <w:tblLayout w:type="fixed"/>
        <w:tblCellMar>
          <w:top w:w="28" w:type="dxa"/>
          <w:left w:w="28" w:type="dxa"/>
          <w:bottom w:w="28" w:type="dxa"/>
          <w:right w:w="28" w:type="dxa"/>
        </w:tblCellMar>
      </w:tblPr>
      <w:tblGrid>
        <w:gridCol w:w="732"/>
        <w:gridCol w:w="645"/>
        <w:gridCol w:w="648"/>
        <w:gridCol w:w="501"/>
        <w:gridCol w:w="501"/>
        <w:gridCol w:w="501"/>
        <w:gridCol w:w="1559"/>
        <w:gridCol w:w="1559"/>
        <w:gridCol w:w="2236"/>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Weatherford International plc</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May 30, 2023</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Charles W. Davison, Jr.</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Charles W. Davison, Jr.</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and Chief Operations Officer</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345" w:before="0" w:after="0"/>
        <w:jc w:val="right"/>
        <w:rPr/>
      </w:pPr>
      <w:r>
        <w:rPr>
          <w:color w:val="000000"/>
        </w:rPr>
        <w:t>        </w:t>
      </w:r>
      <w:r>
        <w:rPr>
          <w:rFonts w:ascii="Times New Roman;sans-serif" w:hAnsi="Times New Roman;sans-serif"/>
          <w:b/>
          <w:color w:val="000000"/>
          <w:sz w:val="20"/>
        </w:rPr>
        <w:t>Exhibit 1.01</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Conflict Minerals Report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This Conflict Minerals Report (this “</w:t>
      </w:r>
      <w:r>
        <w:rPr>
          <w:rFonts w:ascii="Times New Roman;sans-serif" w:hAnsi="Times New Roman;sans-serif"/>
          <w:b/>
          <w:i/>
          <w:color w:val="000000"/>
          <w:sz w:val="20"/>
        </w:rPr>
        <w:t>CMR</w:t>
      </w:r>
      <w:r>
        <w:rPr>
          <w:color w:val="000000"/>
        </w:rPr>
        <w:t>”</w:t>
      </w:r>
      <w:r>
        <w:rPr>
          <w:rFonts w:ascii="Times New Roman;sans-serif" w:hAnsi="Times New Roman;sans-serif"/>
          <w:b w:val="false"/>
          <w:color w:val="000000"/>
          <w:sz w:val="20"/>
        </w:rPr>
        <w:t>) of Weatherford International plc (“</w:t>
      </w:r>
      <w:r>
        <w:rPr>
          <w:rFonts w:ascii="Times New Roman;sans-serif" w:hAnsi="Times New Roman;sans-serif"/>
          <w:b/>
          <w:i/>
          <w:color w:val="000000"/>
          <w:sz w:val="20"/>
        </w:rPr>
        <w:t>Weatherford</w:t>
      </w:r>
      <w:r>
        <w:rPr>
          <w:rFonts w:ascii="Times New Roman;sans-serif" w:hAnsi="Times New Roman;sans-serif"/>
          <w:b w:val="false"/>
          <w:i/>
          <w:color w:val="000000"/>
          <w:sz w:val="20"/>
        </w:rPr>
        <w:t>,</w:t>
      </w:r>
      <w:r>
        <w:rPr>
          <w:color w:val="000000"/>
        </w:rPr>
        <w:t>” “</w:t>
      </w:r>
      <w:r>
        <w:rPr>
          <w:rFonts w:ascii="Times New Roman;sans-serif" w:hAnsi="Times New Roman;sans-serif"/>
          <w:b/>
          <w:i/>
          <w:color w:val="000000"/>
          <w:sz w:val="20"/>
        </w:rPr>
        <w:t>we</w:t>
      </w:r>
      <w:r>
        <w:rPr>
          <w:rFonts w:ascii="Times New Roman;sans-serif" w:hAnsi="Times New Roman;sans-serif"/>
          <w:b w:val="false"/>
          <w:color w:val="000000"/>
          <w:sz w:val="20"/>
        </w:rPr>
        <w:t>,” “</w:t>
      </w:r>
      <w:r>
        <w:rPr>
          <w:rFonts w:ascii="Times New Roman;sans-serif" w:hAnsi="Times New Roman;sans-serif"/>
          <w:b/>
          <w:i/>
          <w:color w:val="000000"/>
          <w:sz w:val="20"/>
        </w:rPr>
        <w:t>our</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is an exhibit to our disclosure on Form SD for the year ended December 31, 2022 (our “</w:t>
      </w:r>
      <w:hyperlink w:anchor="a2022sd.htm">
        <w:r>
          <w:rPr>
            <w:rStyle w:val="InternetLink"/>
            <w:rFonts w:ascii="Times New Roman;sans-serif" w:hAnsi="Times New Roman;sans-serif"/>
            <w:b/>
            <w:i/>
            <w:color w:val="0000FF"/>
            <w:sz w:val="20"/>
            <w:u w:val="single"/>
          </w:rPr>
          <w:t>2022 Form SD</w:t>
        </w:r>
      </w:hyperlink>
      <w:r>
        <w:rPr>
          <w:color w:val="000000"/>
        </w:rPr>
        <w:t>”</w:t>
      </w:r>
      <w:r>
        <w:rPr>
          <w:rFonts w:ascii="Times New Roman;sans-serif" w:hAnsi="Times New Roman;sans-serif"/>
          <w:b w:val="false"/>
          <w:color w:val="000000"/>
          <w:sz w:val="20"/>
        </w:rPr>
        <w:t>), which we have filed with the SEC pursuant to Rule 13p-1 (the “</w:t>
      </w:r>
      <w:r>
        <w:rPr>
          <w:rFonts w:ascii="Times New Roman;sans-serif" w:hAnsi="Times New Roman;sans-serif"/>
          <w:b/>
          <w:i/>
          <w:color w:val="000000"/>
          <w:sz w:val="20"/>
        </w:rPr>
        <w:t>Rule</w:t>
      </w:r>
      <w:r>
        <w:rPr>
          <w:color w:val="000000"/>
        </w:rPr>
        <w:t>”</w:t>
      </w:r>
      <w:r>
        <w:rPr>
          <w:rFonts w:ascii="Times New Roman;sans-serif" w:hAnsi="Times New Roman;sans-serif"/>
          <w:b w:val="false"/>
          <w:color w:val="000000"/>
          <w:sz w:val="20"/>
        </w:rPr>
        <w:t xml:space="preserve">) under the Securities Exchange Act of 1934, as amended. Terms used and not otherwise defined in this CMR have the meanings ascribed to them on our </w:t>
      </w:r>
      <w:hyperlink w:anchor="a2022sd.htm">
        <w:r>
          <w:rPr>
            <w:rStyle w:val="InternetLink"/>
          </w:rPr>
          <w:t xml:space="preserve">2022 </w:t>
        </w:r>
      </w:hyperlink>
      <w:hyperlink w:anchor="a2022sd.htm">
        <w:r>
          <w:rPr>
            <w:rStyle w:val="InternetLink"/>
          </w:rPr>
          <w:t>Form SD</w:t>
        </w:r>
      </w:hyperlink>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is a leading global energy services company providing equipment and services used in the drilling, evaluation, well construction, completion, production, intervention and responsible abandonment of wells across the broad spectrum of energy sources. Many of our businesses, including those of our predecessor companies, have been operating for more than 50 years. We conduct operations in approximately 75 countries, answering the challenges of the energy industry with 345 operating locations including manufacturing, research and development, service, and training facilities.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Through our RCOI, we seek to trace the origins of any Covered Minerals incorporated into products manufactured by, or contracted to be manufactured for, Weatherford to ensure that we are sourcing materials and components from companies that share our values and commitment to human rights, ethics and environmental responsibility. Weatherford supports efforts to increase transparency regarding Covered Minerals with a view to enabling the Democratic Republic of the Congo and Adjoining Countries (each a “</w:t>
      </w:r>
      <w:r>
        <w:rPr>
          <w:rFonts w:ascii="Times New Roman;sans-serif" w:hAnsi="Times New Roman;sans-serif"/>
          <w:b/>
          <w:i/>
          <w:color w:val="000000"/>
          <w:sz w:val="20"/>
        </w:rPr>
        <w:t>Covered Country</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i/>
          <w:color w:val="000000"/>
          <w:sz w:val="20"/>
        </w:rPr>
        <w:t>Covered Region</w:t>
      </w:r>
      <w:r>
        <w:rPr>
          <w:color w:val="000000"/>
        </w:rPr>
        <w:t>”</w:t>
      </w:r>
      <w:r>
        <w:rPr>
          <w:rFonts w:ascii="Times New Roman;sans-serif" w:hAnsi="Times New Roman;sans-serif"/>
          <w:b w:val="false"/>
          <w:color w:val="000000"/>
          <w:sz w:val="20"/>
        </w:rPr>
        <w:t>) to benefit from their mineral resources while preventing the extraction and trade of minerals from being a source of conflict, human rights abuses, and insecurity. We have also implemented other due diligence measures, which together with our RCOI, we believe conform in all material respects with the Rule and OECD Due Diligence Guidance for Responsible Supply Chains of Minerals from Conflict-Affected and High-Risk Areas, third edition (“</w:t>
      </w:r>
      <w:r>
        <w:rPr>
          <w:rFonts w:ascii="Times New Roman;sans-serif" w:hAnsi="Times New Roman;sans-serif"/>
          <w:b/>
          <w:i/>
          <w:color w:val="000000"/>
          <w:sz w:val="20"/>
        </w:rPr>
        <w:t>OECD Guidance</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Covered Products Overview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business is to provide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Drilling and Evaluation (“DRE”) offers a suite of services including managed pressure drilling, drilling services, wireline and drilling fluids. DRE offerings range from early well planning to reservoir management through innovative tools and expert engineering to optimize reservoir access and productivity.</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Well Construction and Completions (“WCC”) 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Production and Intervention (“PRI”) offers production optimization technologies through the Company’s ability to design and deliver a complete production ecosystem ranging from boosting productivity to responsible abandonment for our customers. The primary offerings are intervention services &amp; drilling tools, artificial lift, digital solutions (previously production automation &amp; software),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We have evaluated each of our product lines and made a good faith determination that Covered Minerals were necessary for the production or functionality of some products manufactured by, or contracted to be manufactured for, Weatherford during calendar year 2022 (the “</w:t>
      </w:r>
      <w:r>
        <w:rPr>
          <w:rFonts w:ascii="Times New Roman;sans-serif" w:hAnsi="Times New Roman;sans-serif"/>
          <w:b/>
          <w:i/>
          <w:color w:val="000000"/>
          <w:sz w:val="20"/>
        </w:rPr>
        <w:t>Covered Products</w:t>
      </w:r>
      <w:r>
        <w:rPr>
          <w:color w:val="000000"/>
        </w:rPr>
        <w:t>”</w:t>
      </w:r>
      <w:r>
        <w:rPr>
          <w:rFonts w:ascii="Times New Roman;sans-serif" w:hAnsi="Times New Roman;sans-serif"/>
          <w:b w:val="false"/>
          <w:color w:val="000000"/>
          <w:sz w:val="20"/>
        </w:rPr>
        <w:t>). Our Covered Products include, but are not limited to: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liner hanger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fishing recovery tools,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rotating cement heads,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downhole deployment valves,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pressure control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inflatable packers,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casing packers,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thru-tubing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wellbore tubulars,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casing and running tools,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drilling casing bits,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centralizers,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float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stimulation sleeves,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expandable sand screens,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composite plugs,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inflow control devices,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gravel pack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production packers,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isolation valves,</w:t>
      </w:r>
    </w:p>
    <w:p>
      <w:pPr>
        <w:pStyle w:val="TextBody"/>
        <w:bidi w:val="0"/>
        <w:spacing w:lineRule="auto" w:line="276"/>
        <w:ind w:left="0" w:right="0" w:hanging="360"/>
        <w:jc w:val="left"/>
        <w:rPr/>
      </w:pPr>
      <w:r>
        <w:rPr>
          <w:color w:val="000000"/>
        </w:rPr>
        <w:t>•</w:t>
      </w:r>
      <w:r>
        <w:rPr>
          <w:rFonts w:ascii="Times New Roman;sans-serif" w:hAnsi="Times New Roman;sans-serif"/>
          <w:b w:val="false"/>
          <w:color w:val="000000"/>
          <w:sz w:val="20"/>
        </w:rPr>
        <w:t>RFID enabled tools,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subsurface safety valves,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pressure pumping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continuous rod products,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gas lift valve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rotaflex pump units,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gas lift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power generation units,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reciprocating rod lifts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flow measurement products,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SurgeMaster</w:t>
      </w:r>
      <w:r>
        <w:rPr>
          <w:rFonts w:ascii="Times New Roman;sans-serif" w:hAnsi="Times New Roman;sans-serif"/>
          <w:b w:val="false"/>
          <w:color w:val="000000"/>
          <w:sz w:val="13"/>
        </w:rPr>
        <w:t>®</w:t>
      </w:r>
      <w:r>
        <w:rPr>
          <w:rFonts w:ascii="Times New Roman;sans-serif" w:hAnsi="Times New Roman;sans-serif"/>
          <w:b w:val="false"/>
          <w:color w:val="000000"/>
          <w:sz w:val="20"/>
        </w:rPr>
        <w:t>II tool,</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drilling rental tools,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performance drilling tools,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mechanized rig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conventional tubular running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pump and fluid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well servicing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logging while drilling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measurement while drilling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directional drilling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rotary steerable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managed pressure drilling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rotating control devices,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advanced flow detection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steady state continuous flow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under-reamers,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open hole logging tools,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cased hole logging tools,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automated tubular running equipment,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downhole pressure, temperature and flow measurement gauges,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distributed fiber optics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stage tools,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industrial pump systems,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sub-surface plugs,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artificial lift controllers,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drill pipe risers,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flowbank tanks,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surface manifolds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Supply Chain Overview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global supply chain function is responsible for sourcing, procurement, supply and operations planning, and inventory management of raw materials, inventory, finished goods, and services to support the Company’s operations. We have approximately 14,000 suppliers in seven geographic regions globally. The major categories in our supply chain related to Covered Minerals are machining services, field equipment manufacturers and raw materials. Approximately 45% of our suppliers are based in North America.</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Weatherford’s global supply chain is complex with multiple levels of suppliers between us and upstream producers of Covered Minerals. Further, our Covered Products consist of many component materials and parts, with multiple suppliers potentially contributing to a single product. As a downstream purchaser and user of Covered Minerals, we do not have direct visibility into, and are many layers removed from, smelters or refiners of Covered Minerals (“</w:t>
      </w:r>
      <w:r>
        <w:rPr>
          <w:rFonts w:ascii="Times New Roman;sans-serif" w:hAnsi="Times New Roman;sans-serif"/>
          <w:b/>
          <w:i/>
          <w:color w:val="000000"/>
          <w:sz w:val="20"/>
        </w:rPr>
        <w:t>SORs</w:t>
      </w:r>
      <w:r>
        <w:rPr>
          <w:color w:val="000000"/>
        </w:rPr>
        <w:t>”</w:t>
      </w:r>
      <w:r>
        <w:rPr>
          <w:rFonts w:ascii="Times New Roman;sans-serif" w:hAnsi="Times New Roman;sans-serif"/>
          <w:b w:val="false"/>
          <w:color w:val="000000"/>
          <w:sz w:val="20"/>
        </w:rPr>
        <w:t>) and the associated mines of origin of the Covered Minerals. Therefore, we must rely on our direct suppliers (“</w:t>
      </w:r>
      <w:r>
        <w:rPr>
          <w:rFonts w:ascii="Times New Roman;sans-serif" w:hAnsi="Times New Roman;sans-serif"/>
          <w:b/>
          <w:i/>
          <w:color w:val="000000"/>
          <w:sz w:val="20"/>
        </w:rPr>
        <w:t>tier 1 suppliers</w:t>
      </w:r>
      <w:r>
        <w:rPr>
          <w:color w:val="000000"/>
        </w:rPr>
        <w:t>”</w:t>
      </w:r>
      <w:r>
        <w:rPr>
          <w:rFonts w:ascii="Times New Roman;sans-serif" w:hAnsi="Times New Roman;sans-serif"/>
          <w:b w:val="false"/>
          <w:color w:val="000000"/>
          <w:sz w:val="20"/>
        </w:rPr>
        <w:t>) and their suppliers (“</w:t>
      </w:r>
      <w:r>
        <w:rPr>
          <w:rFonts w:ascii="Times New Roman;sans-serif" w:hAnsi="Times New Roman;sans-serif"/>
          <w:b/>
          <w:i/>
          <w:color w:val="000000"/>
          <w:sz w:val="20"/>
        </w:rPr>
        <w:t>tier 2 suppliers</w:t>
      </w:r>
      <w:r>
        <w:rPr>
          <w:color w:val="000000"/>
        </w:rPr>
        <w:t>”</w:t>
      </w:r>
      <w:r>
        <w:rPr>
          <w:rFonts w:ascii="Times New Roman;sans-serif" w:hAnsi="Times New Roman;sans-serif"/>
          <w:b w:val="false"/>
          <w:color w:val="000000"/>
          <w:sz w:val="20"/>
        </w:rPr>
        <w:t>) to provide the information necessary to trace the source and chain of custody of Covered Minerals that may exist in our Covered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Reasonable Country of Origin Inquiry (RCOI)</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year, we strive to improve our RCOI process to better identify whether any Covered Minerals are or may become necessary to the functionality or production of any of our Covered Products. Our RCOI begins with the identification of our Covered Products based on information maintained by our various business segments and functional support groups. We then manually review and validate the list of Covered Products. We identified specific product components supplied to Weatherford that may contain Covered Minerals and the corresponding tier 1 suppliers. We assessed the risk posed by each such tier 1 supplier based on the type(s) of product component(s) supplied by, and our total spend with, the supplier. Through this review and risk assessment, we focused our RCOI on the tier 1 suppliers that we deemed appropriate. This year, our review identified 736 tier 1 suppliers within the scope of the Rule for 2022. This represents approximately a 14% decrease from 2021. We attribute this decrease to our continuing efforts to streamline our supply chain, improve efficiency in our operations, become more knowledgeable about our tier 2 suppliers, and improve supplier compliance with our policies.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Weatherford, with the assistance of a third-party consultant, contacted the 736 tier 1 suppliers to request and collect information about the use and origin of Covered Minerals used in the products and components supplied to Weatherford. Utilizing the Responsible Minerals Initiative’s Conflict Minerals Reporting Template (“</w:t>
      </w:r>
      <w:r>
        <w:rPr>
          <w:rFonts w:ascii="Times New Roman;sans-serif" w:hAnsi="Times New Roman;sans-serif"/>
          <w:b/>
          <w:i/>
          <w:color w:val="000000"/>
          <w:sz w:val="20"/>
        </w:rPr>
        <w:t>CMRT</w:t>
      </w:r>
      <w:r>
        <w:rPr>
          <w:color w:val="000000"/>
        </w:rPr>
        <w:t>”</w:t>
      </w:r>
      <w:r>
        <w:rPr>
          <w:rFonts w:ascii="Times New Roman;sans-serif" w:hAnsi="Times New Roman;sans-serif"/>
          <w:b w:val="false"/>
          <w:color w:val="000000"/>
          <w:sz w:val="20"/>
        </w:rPr>
        <w:t>), suppliers were each asked to provide information regarding any Covered Minerals necessary to the functionality or production of products that it sold to Weatherford and its sourcing of materials, with the ultimate goal of identifying the SORs and associated countries of origin with respect to such Covered Minerals. We identified, for each such supplier, the products and components that Weatherford sourced from it, and this information was communicated to that supplier as part of the data request. The suppliers were asked to select a given product or set of products for which a CMRT was being submitted. Suppliers were able to submit multiple CMRTs as needed to address all indicated products.</w:t>
      </w:r>
    </w:p>
    <w:p>
      <w:pPr>
        <w:pStyle w:val="TextBody"/>
        <w:bidi w:val="0"/>
        <w:spacing w:before="0" w:after="0"/>
        <w:jc w:val="left"/>
        <w:rPr/>
      </w:pPr>
      <w:r>
        <w:rPr/>
      </w:r>
    </w:p>
    <w:p>
      <w:pPr>
        <w:pStyle w:val="TextBody"/>
        <w:bidi w:val="0"/>
        <w:spacing w:lineRule="auto" w:line="27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suppliers did not respond to our request for information, our third-party consultant made additional attempts to contact them via emails and telephone calls and offered assistance in completing the CMRTs and providing the requested information. Through our third-party consultant, we continued to inform, educate and assist our suppliers with information about the Rule and its applicability to us, Weatherford’s due diligence efforts related to Covered Minerals, our related policies and the supplier’s obligations under their contracts with Weatherford and our Supplier Code of Conduct. If, after these efforts, a supplier still did not register within the system or provide the information requested, the matter was further escalated internally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there was direct outreach by Weatherford employees in our supply chain function that have direct business interactions with the tier 1 suppliers.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RCOI Results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reporting year, 555 suppliers, or approximately 75%, responded to our request for CMRTs, which is roughly equivalent to the 73% response rate we achieved last year. Of the suppliers who responded, 32% included information suggesting to us that one or more of the Covered Minerals sourced from the Covered Region may be necessary to the functionality or production of one or more of our Covered Products. We performed additional due diligence measures on the source and chain of custody of Covered Minerals in our Covered Products, as described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Due Diligence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design of Weatherford’s due diligence framework conforms in all material respects with the Rule and OECD Guidance.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Measures Undertaken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third-party consultant evaluated the CMRT responses provided by our suppliers for plausibility, consistency, and gaps in information. Suppliers were asked to correct or confirm any information that may have raised questions or violated any quality control thresholds. Suppliers that failed to respond to such requests were automatically contacted again on a bi-weekly basis up to an additional three times. Examples of quality control thresholds are: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One or more SORs were listed but no Covered Mineral was listed by the supplier;</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SOR information was not provided for a Covered Mineral used by the supplier, or the listed SOR was not a verified metal processor in the database of our third-party consultant;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Supplier answered yes to sourcing from the Covered Region, but none of the SORs listed are known to source from the region;</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Supplier indicated that they have not received 3TG data for each metal from all relevant suppliers;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Supplier indicated that they have not identified all of the SORs used for the Covered Products;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Supplier indicated they have not provided all applicable SOR information received;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Supplier indicated 100% of the 3TG for products covered by the declaration originated from recycled or scrap sources, but one or more SORs listed are not known to be exclusive recyclers.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For each supplier-identified SOR our third-party consultant sought to verify: (1) the types of metal processing performed, including recycling; (2) the mine countries of origin of the Covered Minerals, excluding recycled materials; (3) the current conflict-free certification status; and (4) the extent of any known third-party due diligence underway. With respect to item 3, we referenced (collectively, the “</w:t>
      </w:r>
      <w:r>
        <w:rPr>
          <w:rFonts w:ascii="Times New Roman;sans-serif" w:hAnsi="Times New Roman;sans-serif"/>
          <w:b/>
          <w:i/>
          <w:color w:val="000000"/>
          <w:sz w:val="20"/>
        </w:rPr>
        <w:t>Certifying Organizations</w:t>
      </w:r>
      <w:r>
        <w:rPr>
          <w:color w:val="000000"/>
        </w:rPr>
        <w:t>”</w:t>
      </w:r>
      <w:r>
        <w:rPr>
          <w:rFonts w:ascii="Times New Roman;sans-serif" w:hAnsi="Times New Roman;sans-serif"/>
          <w:b w:val="false"/>
          <w:color w:val="000000"/>
          <w:sz w:val="20"/>
        </w:rPr>
        <w:t>): (a) the Responsible Minerals Assurance Process developed by the Responsible Minerals Initiative; (b) the London Bullion Market Association Good Delivery Rules; and (c) the Responsible Jewellery Council Chain-of-Custody Certification. Our third-party consultant attempted to contact each uncertified SOR to gain more information about its sourcing practices, including countries of origin and transfer, and whether there were any internal due diligence procedures in place or other processes the SOR takes to track the chain-of-custody on the source of its mineral ores. As appropriate, our third-party consultant made additional attempts to contact SORs and conducted internet searches for publicly available information about them and their sourcing practices.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Due Diligence Results</w:t>
      </w:r>
    </w:p>
    <w:p>
      <w:pPr>
        <w:pStyle w:val="TextBody"/>
        <w:bidi w:val="0"/>
        <w:spacing w:before="0" w:after="0"/>
        <w:jc w:val="left"/>
        <w:rPr/>
      </w:pPr>
      <w:r>
        <w:rPr/>
      </w:r>
    </w:p>
    <w:p>
      <w:pPr>
        <w:pStyle w:val="TextBody"/>
        <w:bidi w:val="0"/>
        <w:spacing w:lineRule="auto" w:line="27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third-party consultant verified 336 supplier-identified SORs within our supply chain (see Annex I). Of these SORs, 285 did not indicate sourcing within the Covered Region, and 51 indicated sourcing within the Covered Region. Of these 51 SORs, all but eight are certified as conflict-free with respect to the applicable Covered Mineral(s) by at least one of the Certifying Organizations, compared to six in the prior year. Of the eight uncertified SORs identified this year: (1) one SOR that supplied gold is, itself, located in the Covered Region and reported no known country of origin for its source material; (2) two SORs that supplied tin and are reportedly in the process of obtaining their “conflict-free” certification or designation from one of the Certifying Organizations; and (3) each of the remaining five SORs reported sourcing material within the Covered Region as well as from numerous countries outside the Covered Region. We plan to engage those of our suppliers that, directly or indirectly, introduced product into our supply chain from one or more of the six SORs that are neither certified nor in the process of obtaining certification to explore joint outreach and alternative sourcing options available to Weatherford. With respect to the two SORs who are in the process of obtaining certification, we plan to monitor each one’s respective progress toward obtaining its conflict-free certification. Of the three SORs that were reportedly in the process of obtaining certification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prior year report, all three remain in our supply chain, two are now certified and one remains in the process of obtaining certification.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Description of Ongoing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Weatherford’s conflict minerals policy was amended and restated on May 26, 2021 can be found at https://www.weatherford.com/documents/corporate-documents/governance-and-policies/conflict-minerals-policy-(november-2013)/. The policy is also included within our Supplier Code of Conduct which can be found at https://www.weatherford.com/en/documents/corporate-documents/supplier-code-of-conduct/supplier-code-of-conduct-english/. Our website and the information accessible through it are not incorporated herein by reference.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require, as part of our standard terms and conditions, that our suppliers complete a CMRT and agree to the Supplier Code of Conduct (which stresses our commitment to integrity throughout the supply chain and holding our business partners to the same high standards and commitment to a culture of compliance). We continue to improve our internal procedures to validate compliance with our Supplier Code of Conduct and vendor on-boarding including creating an escalation path within our supply chain and up to executive officers when vendors fail to provide CMRTs or are identified as utilizing SORs that are not certified as conflict free or sourcing from locations outside the Covered Region.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are also generally identified by the words “expects,” “plans,” “intends,” “will,” “may,” “remain,” “continue,” “ongoing,” and similar terms, although not all forward-looking statements contain these identifying words. Forward-looking statements are not guarantees of future performance. Weatherford assumes no obligation to revise or update any forward-looking statements for any reason, except as required by law. Subsequent events may affect Weatherford’s future determinations under the Rule.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is an aggregation of data provided by Weatherford’s suppliers through May 2, 2023 and lists SORs within our supply chain that either (i) indicated “no known country of origin” and that are perceived by Weatherford, as a result of its due diligence, to present a lower risk regarding potential sourcing of Covered Minerals within the Covered Region, or (ii) indicated no sourcing of Covered Minerals within the Covered Region.</w:t>
      </w:r>
    </w:p>
    <w:tbl>
      <w:tblPr>
        <w:tblW w:w="10205" w:type="dxa"/>
        <w:jc w:val="left"/>
        <w:tblInd w:w="0" w:type="dxa"/>
        <w:tblLayout w:type="fixed"/>
        <w:tblCellMar>
          <w:top w:w="28" w:type="dxa"/>
          <w:left w:w="28" w:type="dxa"/>
          <w:bottom w:w="28" w:type="dxa"/>
          <w:right w:w="28" w:type="dxa"/>
        </w:tblCellMar>
      </w:tblPr>
      <w:tblGrid>
        <w:gridCol w:w="223"/>
        <w:gridCol w:w="196"/>
        <w:gridCol w:w="197"/>
        <w:gridCol w:w="1045"/>
        <w:gridCol w:w="639"/>
        <w:gridCol w:w="406"/>
        <w:gridCol w:w="460"/>
        <w:gridCol w:w="460"/>
        <w:gridCol w:w="461"/>
        <w:gridCol w:w="1835"/>
        <w:gridCol w:w="1768"/>
        <w:gridCol w:w="251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20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1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8853 S.p.A.</w:t>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Refinery Pty Ltd.</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Abington Reldan Metals, LLC</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Chemical Company</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Peru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Aida Chemical Industries Co., Ltd.</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Canada, Japan, Peru, Portugal and Spain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Etihad Gold Refinery DMCC</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Albino Mountinho Lda.</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Alexy Metals</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Allgemeine Gold-und Silberscheideanstalt A.G.</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China, Germany, Japan, Laos, Nigeria, Philippines, Sierra Leone and Thailand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AngloGold Ashanti Corrego do Sitio Mineracao</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and South Africa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Argor-Heraeus S.A.</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Chile, China, Hong Kong, Indonesia, Philippines, Singapore, South Africa and Switzerland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Pretec Corp.</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Guinea, Guyana, Hong Kong, Hungary, India, Indonesia, Ireland, Israel, Ivory Coast, Japan, Kazakhstan, Korea, Republic of, Laos, Luxembourg, Madagascar, Malaysia, Mexico, Mongolia, Myanmar, Namibia, Netherlands, Nigeria, Papua New Guinea, Peru, Portugal, Russian Federation, Sierra Leone, Singapore, Slovakia, Spain, Suriname, Taiwan, Thailand, United Kingdom, United States, Uzbekistan,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Refining Canada Ltd.</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and 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Refining USA Inc.</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Bermuda, Canada, Chile, China, Hong Kong, Indonesia, Malaysia, Peru, United States and Uzbekistan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Atasay Kuyumculuk Sanayi Ve Ticaret A.S.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Indonesia and Turkey</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 Traders and Refiners</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Augmont Enterprises Private Limited</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Aurubis AG</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Canada, China, Germany, Hong Kong, Indonesia, Japan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Bangalore Refinery</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Bangko Sentral ng Pilipinas (Central Bank of the Philippines)</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Canada, China, Indonesia, Italy and Philippines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Boliden AB</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China, Finland, Indonesia, Ireland and Sweden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Hafner GmbH + Co. KG</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Chile, China, Germany, Japan and Peru</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 Metales Procesados Industriales SAS</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Caridad</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Chile, China, Japan, Korea, Republic of and Mexico</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681"/>
        <w:gridCol w:w="377"/>
        <w:gridCol w:w="379"/>
        <w:gridCol w:w="465"/>
        <w:gridCol w:w="465"/>
        <w:gridCol w:w="466"/>
        <w:gridCol w:w="2095"/>
        <w:gridCol w:w="1923"/>
        <w:gridCol w:w="2738"/>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4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7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Cendres + Metaux S.A.</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Germany and Switzerland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CGR Metalloys Pvt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Chimet S.p.A.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Italy, Mexico and Turkey</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Chugai Mining</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Chile, Indonesia, Japan, Peru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Daye Non-Ferrous Metals Mining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w:t>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Belgium, Canada, Chile, China, Hong Kong, Japan, Malaysia, Mexico, Singapore, South Africa, Switzerland, United Kingdom, United States and Uzbekistan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Degussa Sonne / Mond Goldhandel GmbH</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Dijllah Gold Refinery FZC</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Dongwu Gold Group</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Hong Kong, Hungary, India, Indonesia, Ireland, Israel, Ivory Coast, Japan, Kazakhstan, Korea, Republic of, Laos, Luxembourg, Madagascar, Malaysia, Mexico, Mongolia, Myanmar, Namibia, Netherlands, Nigeria, Peru, Philippines,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DSC (Do Sung Corporation)</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Korea, Republic of and South Africa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Eco-System Recycling Co., Ltd. East Plant</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Canada, Indonesia, Japan and Mozambique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Eco-System Recycling Co., Ltd. North Plant</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Eco-System Recycling Co., Ltd. West Plant</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Jewel Industry India Limited (Unit 1)</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Jewel Industry India Limited (Unit 2)</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Jewel Industry India Limited (Unit 3)</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Jewel Industry India Limited (Unit 4)</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Emirates Gold DMCC</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Fidelity Printers and Refiners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Fujairah Gold FZC</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Geib Refining Corporation</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GGC Gujrat Gold Centre Pvt. Ltd.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 by Gold Colombia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 Coast Refinery</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 Refinery of Zijin Mining Group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Canada, China, Indonesia, Japan, Kyrgyzstan, Malaysia, Mongolia, Mozambique, Papua New Guinea, Peru, Poland, Russian Federation and Tajikistan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Wall Precious Metals Co., Ltd. of CBPM</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w:t>
            </w:r>
          </w:p>
        </w:tc>
        <w:tc>
          <w:tcPr>
            <w:tcW w:w="6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Russian Federation</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1138"/>
        <w:gridCol w:w="733"/>
        <w:gridCol w:w="737"/>
        <w:gridCol w:w="539"/>
        <w:gridCol w:w="539"/>
        <w:gridCol w:w="540"/>
        <w:gridCol w:w="1603"/>
        <w:gridCol w:w="1551"/>
        <w:gridCol w:w="2209"/>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2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6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53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Guangdong Jinding Gold Limited</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China, Peru and Taiwan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Guoda Safina High-Tech Environmental Refinery Co., Ltd.</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Hangzhou Fuchunjiang Smelting Co., Ltd.</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Korea, Republic of</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Heimerle + Meule GmbH</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Austria, Canada, China, Germany, Hong Kong, Jersey, Malaysia, Mexico, Mongolia, Mozambique, Philippines and South Africa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Heraeus Metals Hong Kong Ltd.</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France, Germany, Hong Kong, Japan, Laos, Malaysia, Mozambique, Peru, Philippines, Singapore, South Africa, Switzerland, Taiwan, Thailand and Viet Nam</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Heraeus Precious Metals GmbH &amp; Co. KG</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Chile, China, Germany, Hong Kong, Jersey, Malaysia, Peru, Saudi Arabia, Switzerland, Turkey, United Arab Emirates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Chenzhou Mining Co., Ltd.</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Mozambique and Switzerland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Guiyang yinxing Nonferrous Smelting Co., Ltd.</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HwaSeong CJ CO., LTD.</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Hong Kong, Japan, Korea, Republic of, Mexico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Refining Company</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Inner Mongolia Qiankun Gold and Silver Refinery Share Co., Ltd.</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Mexico and Mongolia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Precious Metal Refiners</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Ishifuku Metal Industry Co., Ltd.</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Japan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Istanbul Gold Refinery</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Italpreziosi</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RJC, RMAP</w:t>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JALAN &amp; Company</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Mint</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Italy, Japan and Mexico</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JSC Ekaterinburg Non-Ferrous Metal Processing Plant</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Japan and Russian Federation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JSC Uralelectromed</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Russian Federation, Switzerland and Taiwan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JX Nippon Mining &amp; Metals Co., Ltd.</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 Indonesia, Saudi Arabia, Taiwan and United Kingdom</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 Rasmussen</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Kaloti Precious Metals</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Kazakhmys Smelting LLC</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 and Kyrgyzstan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Kazzinc</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China, Japan, Kazakhstan, Peru, Switzerland and Taiwan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Kennecott Utah Copper LLC</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KGHM Polska Miedz Spolka Akcyjna</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841"/>
        <w:gridCol w:w="755"/>
        <w:gridCol w:w="375"/>
        <w:gridCol w:w="465"/>
        <w:gridCol w:w="465"/>
        <w:gridCol w:w="466"/>
        <w:gridCol w:w="1866"/>
        <w:gridCol w:w="1799"/>
        <w:gridCol w:w="2557"/>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9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2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Kojima Chemicals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Zinc Co., Ltd.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Kundan Care Products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Kyrgyzaltyn JSC</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and Kyrgyzstan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Kyshtym Copper-Electrolytic Plant ZAO</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L'azurde Company For Jewelry</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Japan, Saudi Arabia and Taiwan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Lingbao Gold Co.,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Lingbao Jinyuan Tonghui Refinery Co.,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L'Orfebre S.A.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LS-NIKKO Copper Inc.</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Chile, China, Hong Kong, India, Indonesia, Japan, Kazakhstan, Korea, Republic of, Mexico, Peru, Singapore, South Africa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 Metal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Luoyang Zijin Yinhui Gold Refinery Co.,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Marsam Metals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Materion</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Matsuda Sangyo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Hong Kong, Indonesia, Japan, United Kingdom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 Overseas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 Concentrators SA (Pty)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Metallix Refining Inc.</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Technologies (Hong Kong)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China, Hong Kong, Japan, Peru, Switzerland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Technologies (Singapore) Pte., Ltd.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Singapore and Switzerland</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Technologies (Suzhou)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RJC, RMAP</w:t>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South Africa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Technologies S.A.</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 Canada, China, Hong Kong, Indonesia, Ivory Coast, Sweden, Switzerland, United Kingdom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USA Refining Corporation</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China, Mexico, Switzerland and United States</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1313"/>
        <w:gridCol w:w="561"/>
        <w:gridCol w:w="463"/>
        <w:gridCol w:w="460"/>
        <w:gridCol w:w="460"/>
        <w:gridCol w:w="461"/>
        <w:gridCol w:w="1763"/>
        <w:gridCol w:w="1696"/>
        <w:gridCol w:w="241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23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58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Metalurgica Met-Mex Penoles S.A. De C.V.</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Mexico</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Mitsui Mining and Smelting Co., Ltd.</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and Japan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MMTC-PAMP India Pvt., Ltd.</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Modeltech Sdn Bhd</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Morris and Watson</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Moscow Special Alloys Processing Plant</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China and Russian Federation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Nadir Metal Rafineri San. Ve Tic. A.S.</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 Turkey and United Arab Emirates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Navoi Mining and Metallurgical Combinat</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Indonesia, United States and Uzbekistan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NH Recytech Company</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Ogussa Osterreichische Gold- und Silber-Scheideanstalt GmbH</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RJC, RMAP</w:t>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 and Indonesia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Ohura Precious Metal Industry Co., Ltd.</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South Africa,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OJSC "The Gulidov Krasnoyarsk Non-Ferrous Metals Plant" (OJSC Krastsvetmet)</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OJSC Novosibirsk Refinery</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Brazil, Canada, China, Italy, Malaysia, Peru, Philippines, Russian Federation and Switzerland</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PAMP S.A.</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Hong Kong, Indonesia, Japan, Mexico, South Africa, Switzerland, United Kingdom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Pease &amp; Curren</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Penglai Penggang Gold Industry Co., Ltd.</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Planta Recuperadora de Metales SpA</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Aneka Tambang (Persero) Tbk</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Canada, Chile, Ethiopia, Germany, Indonesia, Malaysia, Peru and Switzerland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PX Precinox S.A.</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Mozambique and Switzerland</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QG Refining, LLC</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Refinery of Seemine Gold Co., Ltd.</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REMONDIS PMR B.V.</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 Canadian Mint</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Chile, Germany, Guyana, Japan, Mexico, Peru, Suriname, Switzerland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SAAMP</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RJC, RMAP</w:t>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Sabin Metal Corp.</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Canada, China, Mexico, Portugal, Russian Federation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Safimet S.p.A</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1030"/>
        <w:gridCol w:w="447"/>
        <w:gridCol w:w="448"/>
        <w:gridCol w:w="465"/>
        <w:gridCol w:w="465"/>
        <w:gridCol w:w="466"/>
        <w:gridCol w:w="1851"/>
        <w:gridCol w:w="1824"/>
        <w:gridCol w:w="2593"/>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9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2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SAFINA A.S.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Sai Refinery</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SAMWON METALS Corp.</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Hong Kong, Korea, Republic of and Sweden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 ZFS (L’Orfebre, SA)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Sellem Industries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SEMPSA Joyeria Plateria S.A.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Gold Smelting Co., Ltd.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Peru</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Humon Smelting Co.,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Tiancheng Biological Gold Industrial Co.,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Zhaojin Gold &amp; Silver Refinery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Japan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Shenzhen CuiLu Gold Co.,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Shenzhen Zhonghenglong Real Industry Co.,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Shirpur Gold Refinery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Sichuan Tianze Precious Metals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Singway Technology Co.,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SOE Shyolkovsky Factory of Secondary Precious Metals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 Russian Federation and Taiwan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Applied Materials Technology Corp.</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Hong Kong, Hungary, India, Indonesia, Ireland, Israel, Ivory Coast, Japan, Kazakhstan, Korea, Republic of, Laos, Luxembourg, Madagascar, Malaysia, Mongolia, Myanmar, Namibia, Netherlands, Nigeria, Peru, Portugal, Russian Federation, Sierra Leone, Singapore, Slovakia,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Sovereign Metals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Research Institute Center for Physical Sciences and Technology</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Sudan Gold Refinery</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Sumitomo Metal Mining Co., Ltd.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Chile, Indonesia, Japan, Philippines and United States</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7"/>
        <w:gridCol w:w="305"/>
        <w:gridCol w:w="309"/>
        <w:gridCol w:w="1080"/>
        <w:gridCol w:w="401"/>
        <w:gridCol w:w="403"/>
        <w:gridCol w:w="463"/>
        <w:gridCol w:w="463"/>
        <w:gridCol w:w="465"/>
        <w:gridCol w:w="1763"/>
        <w:gridCol w:w="1736"/>
        <w:gridCol w:w="2470"/>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8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59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SungEel HiMetal Co., Ltd.</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 Dragon Technology Co., Ltd.</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Taiwan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 S.p.A</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Tanaka Kikinzoku Kogyo K.K.</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Belgium, Bolivia, Canada, Chile, China, Hong Kong, Indonesia, Japan, Malaysia, Mexico, Singapore, South Africa, Switzerland, United Kingdom, United States and Uzbekistan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Tokuriki Honten Co., Ltd.</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Chile, China, Hong Kong, Japan, Peru and United States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Tongling Nonferrous Metals Group Co., Ltd.</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 Tau-Ken-Altyn</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Torecom</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Brazil, Chile, China, Indonesia, Korea, Republic of, Mexico and Russian Federation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Umicore Precious Metals Thailand</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Peru, Thailand and United States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Umicore S.A. Business Unit Precious Metals Refining</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Canada, China and Japan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Precious Metal Refining, Inc.</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Belgium, Bolivia, Canada, China, Indonesia, Japan, Peru, Russian Federation, Switzerland, Thailand and United States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Valcambi S.A.</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China, Germany, Hong Kong, Japan, Switzerland and Taiwan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WEEEREFINING</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Australian Mint (T/a The Perth Mint)</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Chile, China, Guinea, Hong Kong, Korea, Republic of, Papua New Guinea and Peru</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WIELAND Edelmetalle GmbH</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Yamakin Co., Ltd.</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Canada, China, Japan, Mozambique and United States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Yokohama Metal Co., Ltd.</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China, Japan, Malaysia and Spain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Yunnan Copper Industry Co., Ltd.</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Chile and China</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Zhongyuan Gold Smelter of Zhongjin Gold Corporation</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China, Ethiopia, Germany, Laos, Mongolia, Mozambique, Philippines, Switzerland and Thailand</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5D Production OU</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Block Metals, LLC</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 Metals &amp; Resource Ltd.</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Switzerland, Taiwan, Thailand, United Kingdom, United States, Viet Nam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7"/>
        <w:gridCol w:w="305"/>
        <w:gridCol w:w="309"/>
        <w:gridCol w:w="905"/>
        <w:gridCol w:w="396"/>
        <w:gridCol w:w="398"/>
        <w:gridCol w:w="461"/>
        <w:gridCol w:w="461"/>
        <w:gridCol w:w="462"/>
        <w:gridCol w:w="1819"/>
        <w:gridCol w:w="1792"/>
        <w:gridCol w:w="2550"/>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6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1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Hengyang King Xing Lifeng New Materials Co., Ltd.</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Dinghai Tantalum &amp; Niobium Co., Ltd.</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Tuohong New Raw Material</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Metallurgical Products India Pvt., Ltd.</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Jersey, Kazakhstan, Kenya, Korea, Republic of, Laos, Luxembourg, Madagascar, Malaysia, Mongolia, Mozambique, Myanmar, Namibia, Netherlands, Nigeria, Peru, Portugal, Russian Federation, Sierra Leone, Singapore, Slovakia, South Africa, Spain, Suriname, Switzerland, Taiwan, Thailand, United Kingdom, United States, Viet Nam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Mineracao Taboca S.A.</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Mitsui Mining and Smelting Co., Ltd.</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Chile, Japan, Malaysia and United Kingdom</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NPM Silmet AS</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QuantumClean</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Poland and United States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Resind Industria e Comercio Ltda.</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RFH Yancheng Jinye New Material Technology Co., Ltd.</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Solikamsk Magnesium Works OAO</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Suriname, Switzerland, Taiwan, Thailand, United Kingdom, United States, Viet Nam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7"/>
        <w:gridCol w:w="305"/>
        <w:gridCol w:w="309"/>
        <w:gridCol w:w="1327"/>
        <w:gridCol w:w="476"/>
        <w:gridCol w:w="478"/>
        <w:gridCol w:w="458"/>
        <w:gridCol w:w="458"/>
        <w:gridCol w:w="459"/>
        <w:gridCol w:w="1652"/>
        <w:gridCol w:w="1625"/>
        <w:gridCol w:w="2311"/>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22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55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Telex Metals</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XinXing Haorong Electronic Material Co., Ltd.</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Yanling Jincheng Tantalum &amp; Niobium Co., Ltd.</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Peru and Russian Federation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Alpha</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Jersey, Kazakhstan, Korea, Republic of, Laos, Luxembourg, Madagascar, Malaysia, Mongolia, Myanmar, Namibia, Netherlands, Nigeria, Peru, Portugal, Russian Federation, Sierra Leone, Singapore, Slovakia, Spain, Suriname, Sweden, Switzerland, Taiwan, Thailand, United Kingdom, United States, Viet Nam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Vinh Joint Stock Mineral Processing Company</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Turkey and Viet Nam</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Chenzhou Yunxiang Mining and Metallurgy Co., Ltd.</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Chifeng Dajingzi Tin Industry Co., Ltd.</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Tin Group Co., Ltd.</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Indonesia, Mexico, Russian Federation, Switzerland and United States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CRM Fundicao De Metais E Comercio De Equipamentos Eletronicos Do Brasil Ltda</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CRM Synergies</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 Ayi Jaya</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Dongguan CiEXPO Environmental Engineering Co., Ltd.</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Dowa</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 Myanmar</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Electro-Mechanical Facility of the Cao Bang Minerals &amp; Metallurgy Joint Stock Company</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Canada, Chile, China, United States and Viet Nam</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693"/>
        <w:gridCol w:w="392"/>
        <w:gridCol w:w="393"/>
        <w:gridCol w:w="469"/>
        <w:gridCol w:w="469"/>
        <w:gridCol w:w="470"/>
        <w:gridCol w:w="1977"/>
        <w:gridCol w:w="1951"/>
        <w:gridCol w:w="277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47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4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70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Estanho de Rondonia S.A.</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and Taiwan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Fabrica Auricchio Industria e Comercio Ltda.</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Fenix Metals</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China, Indonesia, Kazakhstan, Peru and Poland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City Fuxiang Industry and Trade Co., Ltd.</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Kai Meng Industry and Trade LLC</w:t>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Non-Ferrous Metal Processing Co., Ltd.</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Yunxin Nonferrous Electrolysis Co., Ltd.</w:t>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Zili Mining And Metallurgy Co., Ltd.</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China and Indonesia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Guangdong Hanhe Non-Ferrous Metal Co., Ltd.</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New Nanshan Technology Ltd.</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China, Portugal and Russian Federation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Luna Smelter, Ltd.</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Melt Metais e Ligas S.A.</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Metallic Resources, Inc.</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Metallo Spain S.L.U.</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Mineracao Taboca S.A.</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and Thailand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Minsur</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Mitsubishi Materials Corporation</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Indonesia, Japan and Papua New Guinea</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Modeltech Sdn Bhd</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887"/>
        <w:gridCol w:w="397"/>
        <w:gridCol w:w="399"/>
        <w:gridCol w:w="465"/>
        <w:gridCol w:w="465"/>
        <w:gridCol w:w="466"/>
        <w:gridCol w:w="1968"/>
        <w:gridCol w:w="1875"/>
        <w:gridCol w:w="2667"/>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6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5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Nghe Tinh Non-Ferrous Metals Joint Stock Company</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Estonia and Viet Nam</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Novosibirsk Processing Plant Ltd.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 Peru, Philippines, Russian Federation and United States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 Manufacturing (Thailand)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Netherlands, Philippines and Thailand</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 Manufacturing Philippines, Inc.</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Brazil, Canada, China, Japan, Malaysia, Peru and Philippines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Pongpipat Company Limited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Precious Minerals and Smelting Limited</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Aries Kencana Sejahtera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Artha Cipta Langgeng</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Mexico, Mongolia, Myanmar, Namibia, Netherlands, Nigeria, Peru, Portugal, Russian Federation, Sierra Leone, Singapore, Slovakia, Spain, Suriname, Switzerland, Taiwan, Thailand, United Kingdom, United States, Uzbekistan,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ATD Makmur Mandiri Jaya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Babel Inti Perkasa</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Philippines,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Babel Surya Alam Lestari</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605" cy="14605"/>
                <wp:effectExtent l="0" t="0" r="0" b="0"/>
                <wp:wrapNone/>
                <wp:docPr id="19" name="Frame1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567"/>
        <w:gridCol w:w="331"/>
        <w:gridCol w:w="332"/>
        <w:gridCol w:w="469"/>
        <w:gridCol w:w="469"/>
        <w:gridCol w:w="470"/>
        <w:gridCol w:w="2049"/>
        <w:gridCol w:w="2023"/>
        <w:gridCol w:w="2879"/>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2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4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9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Bangka Prima Tin</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Bangka Serumpun</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Belitung Industri Sejahtera</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Cipta Persada Mulia</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Chile, China, India, Indonesia, Japan, Kazakhstan, Korea, Republic of, Peru, Singapore, South Africa and United States</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Menara Cipta Mulia</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Mitra Stania Prima</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Kyrgyzstan, Laos, Luxembourg, Madagascar, Malaysia, Mexico,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Mitra Sukses Globalindo</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Panca Mega Persada</w:t>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Premium Tin Indonesia</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Uzbekistan, Viet Nam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628"/>
        <w:gridCol w:w="341"/>
        <w:gridCol w:w="342"/>
        <w:gridCol w:w="469"/>
        <w:gridCol w:w="469"/>
        <w:gridCol w:w="471"/>
        <w:gridCol w:w="2026"/>
        <w:gridCol w:w="1999"/>
        <w:gridCol w:w="284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3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4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8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Prima Timah Utama</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Putera Sarana Shakti (PT PSS)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Rajawali Rimba Perkasa</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Refined Bangka Tin</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Philippines,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Sariwiguna Binasentosa</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Sukses Inti Makmur</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Timah Tbk Kundur</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Timah Tbk Mentok</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6"/>
        <w:gridCol w:w="289"/>
        <w:gridCol w:w="814"/>
        <w:gridCol w:w="417"/>
        <w:gridCol w:w="419"/>
        <w:gridCol w:w="465"/>
        <w:gridCol w:w="465"/>
        <w:gridCol w:w="466"/>
        <w:gridCol w:w="1847"/>
        <w:gridCol w:w="1821"/>
        <w:gridCol w:w="2590"/>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6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25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Tirus Putra Mandiri</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Indonesia</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Tommy Utama</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Resind Industria e Comercio Ltda.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Rui Da Hung</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China, Japan and Taiwan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 Ligas</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Tin Technology &amp; Refining</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Tuyen Quang Non-Ferrous Metals Joint Stock Company</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and Viet Nam</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 Solder Metalurgia e Mineracao Ltda.</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China, Germany, Peru and Thailand</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Yunnan Chengfeng Non-ferrous Metals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Singapore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Yunnan Tin Company Limited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Belgium, Bolivia, Brazil, Canada, China, Ethiopia, Germany, Hong Kong, Indonesia, Malaysia, Myanmar, Peru and United States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Yunnan Yunfan Non-ferrous Metals Co.,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Metais Eireli</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Albasteel Industria e Comercio de Ligas Para Fundicao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Artek LLC</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Chenzhou Diamond Tungsten Products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Molybdenum Co., Ltd.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CNMC (Guangxi) PGMA Co.,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Cronimet Brasil Ltda</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DONGKUK INDUSTRIES CO., LTD.</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Progressing</w:t>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Fujian Ganmin RareMetal Co., Ltd.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Fujian Xinlu Tungsten</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Ganzhou Haichuang Tungsten Co., Ltd.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6"/>
        <w:gridCol w:w="289"/>
        <w:gridCol w:w="649"/>
        <w:gridCol w:w="385"/>
        <w:gridCol w:w="387"/>
        <w:gridCol w:w="466"/>
        <w:gridCol w:w="466"/>
        <w:gridCol w:w="467"/>
        <w:gridCol w:w="1914"/>
        <w:gridCol w:w="1887"/>
        <w:gridCol w:w="2683"/>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4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4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Ganzhou Seadragon W &amp; Mo Co., Ltd.</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Tungsten &amp; Powders Corp.</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Guangdong Xianglu Tungsten Co., Ltd.</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HANNAE FOR T Co., Ltd.</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Chenzhou Mining Co., Ltd.</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Chunchang Nonferrous Metals Co., Ltd.</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Mozambique,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New Metals Co., Ltd.</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Jiangwu H.C. Starck Tungsten Products Co., Ltd.</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6"/>
        <w:gridCol w:w="289"/>
        <w:gridCol w:w="826"/>
        <w:gridCol w:w="427"/>
        <w:gridCol w:w="429"/>
        <w:gridCol w:w="464"/>
        <w:gridCol w:w="464"/>
        <w:gridCol w:w="465"/>
        <w:gridCol w:w="1839"/>
        <w:gridCol w:w="1812"/>
        <w:gridCol w:w="2578"/>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68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2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Gan Bei Tungsten Co., Ltd.</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Minmetals Gao'an Non-ferrous Metals Co., Ltd.</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Tonggu Non-ferrous Metallurgical &amp; Chemical Co., Ltd.</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Korea, Republic of</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Yaosheng Tungsten Co., Ltd.</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Brazil, Canada, Chile, China, Guinea, Japan, Mexico, Papua New Guinea, Peru, Singapore and United States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Jingmen Dewei GEM Tungsten Resources Recycling Co., Ltd.</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JSC "Kirovgrad Hard Alloys Plant"</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Kennametal Fallon</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China, Portugal, Russian Federation, United States and Viet Nam</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Kennametal Huntsville</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South Africa, Spain, Suriname, Switzerland, Taiwan, Thailand, United Kingdom, United States, Viet Nam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Lianyou Metals Co., Ltd.</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 Vostok</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Malipo Haiyu Tungsten Co., Ltd.</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Masan High-Tech Materials</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Moliren Ltd.</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6"/>
        <w:gridCol w:w="289"/>
        <w:gridCol w:w="722"/>
        <w:gridCol w:w="503"/>
        <w:gridCol w:w="363"/>
        <w:gridCol w:w="465"/>
        <w:gridCol w:w="465"/>
        <w:gridCol w:w="466"/>
        <w:gridCol w:w="1865"/>
        <w:gridCol w:w="1839"/>
        <w:gridCol w:w="2616"/>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5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3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Niagara Refining LLC</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Mexico, Mongolia, Myanmar, Namibia, Netherlands, Nigeria, Peru, Portugal, Russian Federation, Sierra Leone, Singapore, Slovakia, Spain, Suriname, Switzerland, Taiwan, Thailand, United Kingdom, United States, Viet Nam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NPP Tyazhmetprom LLC</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OOO “Technolom” 1</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OOO “Technolom” 2</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 Chuangxin Industrial Co., Inc.</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Smelting GmbH &amp; Co. KG</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Tungsten Vietnam Joint Stock Company</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Unecha Refractory Metals Plant</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Wolfram Bergbau und Hutten AG</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Austria and China</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YUDU ANSHENG TUNGSTEN CO., LTD.</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68" w:before="0" w:after="0"/>
        <w:jc w:val="left"/>
        <w:rPr/>
      </w:pPr>
      <w:r>
        <w:rPr>
          <w:rFonts w:ascii="Times New Roman;sans-serif" w:hAnsi="Times New Roman;sans-serif"/>
          <w:b w:val="false"/>
          <w:color w:val="000000"/>
          <w:sz w:val="20"/>
        </w:rPr>
        <w:t>The table below is an aggregation of data provided by Weatherford’s suppliers through May 2, 2023 and lists SORs within our supply chain that for the reporting year 2022, either: (i) indicated “no known country or origin” and that are perceived by Weatherford, as a result of its due diligence, to present a higher risk regarding potential sourcing of Covered Minerals within the Covered Region, or (ii) indicated some sourcing of Covered Minerals within the Covered Region.</w:t>
      </w:r>
      <w:r>
        <w:rPr>
          <w:color w:val="000000"/>
        </w:rPr>
        <w:t xml:space="preserve"> </w:t>
      </w:r>
      <w:r>
        <w:rPr>
          <w:rFonts w:ascii="Times New Roman;sans-serif" w:hAnsi="Times New Roman;sans-serif"/>
          <w:b w:val="false"/>
          <w:color w:val="000000"/>
          <w:sz w:val="20"/>
        </w:rPr>
        <w:t>Of these 51 SORs, all but eight are certified as conflict-free with respect to the applicable Covered Mineral(s) by at least one of the Certifying Organizations, compared to six in the prior year. Of the eight uncertified SORs identified this year: (1) one SOR that supplied gold is, itself, located in the Covered Region and reported no known country of origin for its source material; (2) two SORs that supplied tin and are reportedly in the process of obtaining their “conflict-free” certification or designation from one of the Certifying Organizations; and (3) each of the remaining five SORs reported sourcing material within the Covered Region as well as from numerous countries outside the Covered Region.</w:t>
      </w:r>
    </w:p>
    <w:tbl>
      <w:tblPr>
        <w:tblW w:w="10205" w:type="dxa"/>
        <w:jc w:val="left"/>
        <w:tblInd w:w="0" w:type="dxa"/>
        <w:tblLayout w:type="fixed"/>
        <w:tblCellMar>
          <w:top w:w="28" w:type="dxa"/>
          <w:left w:w="28" w:type="dxa"/>
          <w:bottom w:w="28" w:type="dxa"/>
          <w:right w:w="28" w:type="dxa"/>
        </w:tblCellMar>
      </w:tblPr>
      <w:tblGrid>
        <w:gridCol w:w="347"/>
        <w:gridCol w:w="305"/>
        <w:gridCol w:w="309"/>
        <w:gridCol w:w="1011"/>
        <w:gridCol w:w="400"/>
        <w:gridCol w:w="364"/>
        <w:gridCol w:w="453"/>
        <w:gridCol w:w="453"/>
        <w:gridCol w:w="454"/>
        <w:gridCol w:w="1999"/>
        <w:gridCol w:w="1697"/>
        <w:gridCol w:w="2413"/>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7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1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Gold Refinery</w:t>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Almalyk Mining and Metallurgical Complex (AMMC)</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Brazil, Canada, Chile, China, DRC- Congo (Kinshasa), Germany, Japan, Mexico, Peru, Switzerland, United States, Uzbekistan and Zambia</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Asaka Riken Co., Ltd.</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Armenia, Burundi, Japan, Mexico, Mozambique, Niger, Nigeria and Rwanda</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CCR Refinery - Glencore Canada Corporation</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Canada, Chile, China, DRC- Congo (Kinshasa), Germany, Indonesia, Japan, Peru, Switzerland, United States and Zambia</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Copper Co., Ltd.</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 China, Japan, Rwanda and United States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Mitsubishi Materials Corporation</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 Canada, Chile, Congo (Brazzaville), Hong Kong, Japan, Mongolia, Mozambique, Papua New Guinea and United Kingdom</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Nihon Material Co., Ltd.</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Canada, Chile, China, DRC- Congo (Kinshasa), Indonesia, Japan, Malaysia, Mozambique, Niger, Nigeria, Peru, Portugal, Rwanda, Spain, Switzerland and Thailand</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Prioksky Plant of Non-Ferrous Metals</w:t>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Canada, China, Ethiopia, Germany, India, Japan, Mozambique, Namibia, Russian Federation, Rwanda, Sierra Leone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 Refinery (Pty) Ltd.</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LBMA, RMAP</w:t>
            </w:r>
          </w:p>
        </w:tc>
        <w:tc>
          <w:tcPr>
            <w:tcW w:w="6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Austria, Canada, China, DRC- Congo (Kinshasa), Germany, Ghana, Guinea, Hong Kong, Jersey, Malaysia, Mali, Mozambique, Namibia, Papua New Guinea, Philippines, South Africa, Switzerland and Tanzania</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Samduck Precious Metals</w:t>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Canada, China, Ethiopia, Germany, India, Japan, Korea, Republic of, Mozambique, Namibia, Rwanda, Sierra Leone, Thailand, United States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AMG Brasil</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Changsha South Tantalum Niobium Co., Ltd.</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Canada, China, DRC- Congo (Kinshasa), Mozambique, Russian Federation and Thailand</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F&amp;X Electro-Materials Ltd.</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Rwanda, Sierra Leone, Singapore, Slovakia, South Sudan, Spain, Suriname, Switzerland, Taiwan, Tanzania, Thailand, Uganda, United Kingdom, United States, Viet Nam, Zambia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7"/>
        <w:gridCol w:w="305"/>
        <w:gridCol w:w="309"/>
        <w:gridCol w:w="586"/>
        <w:gridCol w:w="354"/>
        <w:gridCol w:w="355"/>
        <w:gridCol w:w="455"/>
        <w:gridCol w:w="455"/>
        <w:gridCol w:w="456"/>
        <w:gridCol w:w="2030"/>
        <w:gridCol w:w="1880"/>
        <w:gridCol w:w="2673"/>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2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5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Advanced Metals Aizu</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Rwanda, Sierra Leone, Singapore, Slovakia, South Sudan, Spain, Suriname, Switzerland, Taiwan, Tanzania, Thailand, Uganda, United Kingdom, United States, Viet Nam, Zambia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Advanced Metals Boyertown</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Ivory Coast, Japan, Kazakhstan, Korea, Republic of, Laos, Luxembourg, Madagascar, Malaysia, Mongolia, Mozambique, Myanmar, Namibia, Netherlands, Nigeria, Peru, Portugal, Russian Federation, Rwanda, Sierra Leone, Singapore, Slovakia, South Sudan, Spain, Suriname, Switzerland, Taiwan, Tanzania, Thailand, Uganda, United Kingdom, United States, Viet Nam, Zambia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H.C. Starck Inc.</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Burundi, Canada, China, Congo (Brazzaville), Ethiopia, Germany, India, Japan, Mozambique, Namibia, Nigeria, Rwanda, Sierra Leone, United States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JiuJiang JinXin Nonferrous Metals Co., Ltd.</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Italy, Ivory Coast, Japan, Kazakhstan, Korea, Republic of, Laos, Luxembourg, Madagascar, Malaysia, Mongolia, Myanmar, Namibia, Netherlands, Nigeria, Peru, Portugal, Russian Federation, Rwanda, Sierra Leone, Singapore, Slovakia, South Sudan, Spain, Suriname, Switzerland, Taiwan, Tanzania, Thailand, Uganda, United Kingdom, United States, Viet Nam, Zambia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Jiujiang Tanbre Co., Ltd.</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Ivory Coast, Japan, Kazakhstan, Kenya, Korea, Republic of, Laos, Luxembourg, Madagascar, Malaysia, Mongolia, Mozambique, Myanmar, Namibia, Netherlands, Nigeria, Peru, Philippines, Portugal, Russian Federation, Rwanda, Sierra Leone, Singapore, Slovakia, South Africa, South Sudan, Spain, Suriname, Switzerland, Taiwan, Tanzania, Thailand, Uganda, United Kingdom, United States, Viet Nam, Zambia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Jiujiang Zhongao Tantalum &amp; Niobium Co., Ltd.</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7"/>
        <w:gridCol w:w="305"/>
        <w:gridCol w:w="309"/>
        <w:gridCol w:w="544"/>
        <w:gridCol w:w="339"/>
        <w:gridCol w:w="341"/>
        <w:gridCol w:w="454"/>
        <w:gridCol w:w="454"/>
        <w:gridCol w:w="455"/>
        <w:gridCol w:w="2051"/>
        <w:gridCol w:w="1901"/>
        <w:gridCol w:w="270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2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6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KEMET de Mexico</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Ghana, Guinea, Guyana, Hungary, India, Indonesia, Ireland, Israel, Ivory Coast, Japan, Kazakhstan, Korea, Republic of, Laos, Luxembourg, Madagascar, Malaysia, Mali, Mexico, Mongolia, Mozambique, Myanmar, Namibia, Netherlands, Niger, Nigeria, Peru, Portugal, Russian Federation, Rwanda, Sierra Leone, Singapore, Slovakia, South Africa, South Sudan, Spain, Suriname, Switzerland, Taiwan, Tanzania, Thailand, Uganda, United Kingdom, United States, Viet Nam, Zambia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Ningxia Orient Tantalum Industry Co., Ltd.</w:t>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Ivory Coast, Japan, Kazakhstan, Korea, Republic of, Laos, Luxembourg, Madagascar, Malaysia, Mexico, Mongolia, Mozambique, Myanmar, Namibia, Netherlands, Niger, Nigeria, Peru, Portugal, Russian Federation, Rwanda, Sierra Leone, Singapore, Slovakia, South Sudan, Spain, Suriname, Switzerland, Taiwan, Tanzania, Thailand, Uganda, United Kingdom, United States, Viet Nam, Zambia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Taki Chemical Co., Ltd.</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Ecuador, Egypt, Estonia, Ethiopia, France, Germany, Guyana, Hungary, India, Indonesia, Ireland, Israel, Ivory Coast, Japan, Kazakhstan, Korea, Republic of, Laos, Luxembourg, Madagascar, Malaysia, Mongolia, Myanmar, Namibia, Netherlands, Nigeria, Peru, Portugal, Russian Federation, Rwanda, Sierra Leone, Singapore, Slovakia, South Sudan, Spain, Suriname, Switzerland, Taiwan, Tanzania, Thailand, Uganda, United Kingdom, United States, Viet Nam, Zambia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Co., Ltd.</w:t>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Ivory Coast, Japan, Kazakhstan, Kenya, Korea, Republic of, Laos, Luxembourg, Madagascar, Malaysia, Mexico, Mongolia, Mozambique, Myanmar, Namibia, Netherlands, Nigeria, Peru, Portugal, Russian Federation, Rwanda, Sierra Leone, Singapore, Slovakia, South Africa, South Sudan, Spain, Suriname, Switzerland, Taiwan, Tanzania, Thailand, Uganda, United Kingdom, United States, Viet Nam, Zambia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GmbH</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Ivory Coast, Japan, Kazakhstan, Korea, Republic of, Laos, Luxembourg, Madagascar, Malaysia, Mongolia, Mozambique, Myanmar, Namibia, Netherlands, Nigeria, Peru, Portugal, Russian Federation, Rwanda, Sierra Leone, Singapore, Slovakia, South Sudan, Spain, Suriname, Switzerland, Taiwan, Tanzania, Thailand, Uganda, United Kingdom, United States, Viet Nam, Zambia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Japan Co., Ltd.</w:t>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Canada, China, Ethiopia, Germany, India, Japan, Mozambique, Namibia, Rwanda, Sierra Leone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7"/>
        <w:gridCol w:w="305"/>
        <w:gridCol w:w="309"/>
        <w:gridCol w:w="966"/>
        <w:gridCol w:w="350"/>
        <w:gridCol w:w="351"/>
        <w:gridCol w:w="453"/>
        <w:gridCol w:w="453"/>
        <w:gridCol w:w="455"/>
        <w:gridCol w:w="1923"/>
        <w:gridCol w:w="1772"/>
        <w:gridCol w:w="2521"/>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66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2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Smelting GmbH &amp; Co. KG</w:t>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Burundi, Cambodia, Canada, Chile, China, Colombia, Congo (Brazzaville), Czech Republic, Djibouti, DRC- Congo (Kinshasa), Ecuador, Egypt, Estonia, Ethiopia, France, Germany, Guyana, Hungary, India, Indonesia, Ireland, Israel, Ivory Coast, Japan, Kazakhstan, Korea, Republic of, Laos, Luxembourg, Madagascar, Malaysia, Mongolia, Mozambique, Myanmar, Namibia, Netherlands, Nigeria, Portugal, Russian Federation, Rwanda, Sierra Leone, Singapore, Slovakia, Spain, Suriname, Switzerland, Taiwan, Thailand, United Kingdom, United States, Viet Nam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Ulba Metallurgical Plant JSC</w:t>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Belarus, Belgium, Bolivia, Brazil, Burundi, Cambodia, Canada, Central African Republic, Chile, China, Colombia, Congo (Brazzaville), Czech Republic, Djibouti, DRC- Congo (Kinshasa), Ecuador, Egypt, Estonia, Ethiopia, France, Germany, Guyana, Hungary, India, Indonesia, Ireland, Israel, Ivory Coast, Japan, Kazakhstan, Korea, Republic of, Laos, Luxembourg, Madagascar, Malaysia, Mongolia, Mozambique, Myanmar, Namibia, Netherlands, Nigeria, Peru, Portugal, Russian Federation, Rwanda, Sierra Leone, Singapore, Slovakia, South Sudan, Spain, Suriname, Switzerland, Taiwan, Tanzania, Thailand, Uganda, United Kingdom, United States, Viet Nam, Zambia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XIMEI RESOURCES (GUANGDONG) LIMITED</w:t>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Philippines, Portugal, Russian Federation, Rwanda, Sierra Leone, Singapore, Slovakia, Spain, Suriname, Switzerland, Taiwan, Thailand, United Kingdom, United States, Viet Nam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 Venus Inti Perkasa</w:t>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Chile, Congo (Brazzaville), Germany, Guyana, Indonesia, Japan, Mexico, Peru, Suriname and Switzerland</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 Vinto</w:t>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Congo (Brazzaville),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Magnu's Minerais Metais e Ligas Ltda.</w:t>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 Smelting Corporation (MSC)</w:t>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Burundi, Cambodia, Central African Republic, China, Colombia, Congo (Brazzaville), Czech Republic, Djibouti, DRC- Congo (Kinshasa), Ecuador, Egypt, Estonia, Ethiopia, France, Germany, Guyana, Hungary, India, Indonesia, Ireland, Israel, Ivory Coast, Kazakhstan, Kenya, Korea, Republic of, Laos, Luxembourg, Madagascar, Malaysia, Mongolia, Mozambique, Myanmar, Namibia, Netherlands, Russian Federation, Sierra Leone, Singapore, Slovakia, South Africa, South Sudan, Suriname, Taiwan, Tanzania, Uganda, United Kingdom, United States, Viet Nam, Zambia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223"/>
        <w:gridCol w:w="196"/>
        <w:gridCol w:w="197"/>
        <w:gridCol w:w="683"/>
        <w:gridCol w:w="325"/>
        <w:gridCol w:w="326"/>
        <w:gridCol w:w="465"/>
        <w:gridCol w:w="465"/>
        <w:gridCol w:w="466"/>
        <w:gridCol w:w="2108"/>
        <w:gridCol w:w="1962"/>
        <w:gridCol w:w="2789"/>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3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8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Metallo Belgium N.V.</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Operaciones Metalurgicas S.A.</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Philippines,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Bangka Tin Industry</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Progressing</w:t>
            </w:r>
          </w:p>
        </w:tc>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Bukit Timah</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Poland, Portugal, Russian Federation, Sierra Leone, Singapore, Slovakia, Spain, Suriname, Switzerland, Taiwan, Thailand, United Kingdom, United States, Viet Nam and Zimbabwe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Stanindo Inti Perkasa</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Armenia,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Mexico, Mongolia, Mozambique, Myanmar, Namibia, Netherlands, Nigeria, Peru, Portugal, Russian Federation, Sierra Leone, Singapore, Slovakia, Spain, Suriname, Switzerland, Taiwan, Thailand, United Kingdom, United States, Viet Nam and Zimbabwe</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Timah Nusantara</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Brazil, Burundi, China, Congo (Brazzaville), DRC- Congo (Kinshasa), Indonesia, Malaysia, Niger, Nigeria and Rwanda</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Tinindo Inter Nusa</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Rwanda, Sierra Leone, Singapore, Slovakia, Spain, Suriname, Switzerland, Taiwan, Thailand, United Kingdom, United States, Viet Nam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6"/>
        <w:gridCol w:w="289"/>
        <w:gridCol w:w="773"/>
        <w:gridCol w:w="351"/>
        <w:gridCol w:w="352"/>
        <w:gridCol w:w="455"/>
        <w:gridCol w:w="455"/>
        <w:gridCol w:w="456"/>
        <w:gridCol w:w="1994"/>
        <w:gridCol w:w="1844"/>
        <w:gridCol w:w="262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4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46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Thaisarco</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DRC- Congo (Kinshasa), Ecuador, Egypt, Estonia, Ethiopia, France, Germany, Guyana, Hungary, India, Indonesia, Ireland, Israel, Ivory Coast, Japan, Kazakhstan, Korea, Republic of, Laos, Luxembourg, Madagascar, Malaysia, Mongolia, Morocco, Myanmar, Namibia, Netherlands, Nigeria, Peru, Poland, Portugal, Russian Federation, Rwanda, Sierra Leone, Singapore, Slovakia, South Sudan, Spain, Suriname, Switzerland, Taiwan, Tanzania, Thailand, Uganda, United Kingdom, United States, Viet Nam, Zambia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VQB Mineral and Trading Group JSC</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DRC- Congo (Kinshasa), Indonesia, Japan, Malaysia, Peru and Viet Nam</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A.L.M.T. TUNGSTEN Corp.</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Burundi,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 Nigeria, Peru, Portugal, Russian Federation, Rwanda, Sierra Leone, Singapore, Slovakia, Spain, Suriname, Switzerland, Taiwan, Thailand, United Kingdom, United States, Viet Nam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Tungsten Products Vietnam Ltd.</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Angola, Argentina, Australia, Austria, Belgium, Bolivia, Brazil, Burundi, Cambodia, Canada, Central African Republic, Chile, China, Colombia, Congo (Brazzaville), Czech Republic, Djibouti, Ecuador, Egypt, Estonia, Ethiopia, France, Germany, Guyana, Hungary, India, Indonesia, Ireland, Israel, Ivory Coast, Japan, Kazakhstan, Korea, Republic of, Laos, Luxembourg, Madagascar, Malaysia, Mongolia, Myanmar, Namibia, Netherlands, Nigeria, Peru, Portugal, Russian Federation, Rwanda, Sierra Leone, Singapore, Slovakia, South Sudan, Spain, Suriname, Switzerland, Taiwan, Tanzania, Thailand, Uganda, United Kingdom, United States, Viet Nam, Zambia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Chongyi Zhangyuan Tungsten Co., Ltd.</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Kazakhstan, Korea, Republic of, Laos, Luxembourg, Madagascar, Malaysia, Mongolia, Myanmar, Namibia, Netherlands, Nigeria, Peru, Philippines, Portugal, Russian Federation, Sierra Leone, Singapore, Slovakia, Spain, Suriname, Switzerland, Taiwan, Thailand, United Kingdom, United States, Viet Nam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Ganzhou Huaxing Tungsten Products Co., Ltd.</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Mozambique, Myanmar, Namibia, Netherlands, Niger, Nigeria, Peru, Portugal, Russian Federation, Rwanda, Sierra Leone, Singapore,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Ganzhou Jiangwu Ferrotungsten Co., Ltd.</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Sierra Leone, Singapore, Slovakia, Spain, Suriname, Switzerland, Taiwan, Thailand, United Kingdom, United States, Viet Nam and Zimbabwe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6"/>
        <w:gridCol w:w="289"/>
        <w:gridCol w:w="848"/>
        <w:gridCol w:w="480"/>
        <w:gridCol w:w="364"/>
        <w:gridCol w:w="461"/>
        <w:gridCol w:w="461"/>
        <w:gridCol w:w="462"/>
        <w:gridCol w:w="1848"/>
        <w:gridCol w:w="1808"/>
        <w:gridCol w:w="2572"/>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Metal</w:t>
            </w:r>
          </w:p>
        </w:tc>
        <w:tc>
          <w:tcPr>
            <w:tcW w:w="16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Official Smelter Name</w:t>
            </w:r>
          </w:p>
        </w:tc>
        <w:tc>
          <w:tcPr>
            <w:tcW w:w="13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Conflict-Free Certifications</w:t>
            </w:r>
          </w:p>
        </w:tc>
        <w:tc>
          <w:tcPr>
            <w:tcW w:w="62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Mine Countries of Origin</w:t>
              <w:br/>
              <w:t>(excluding recycled or scrap materials)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H.C. Starck Tungsten GmbH</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Ecuador, Egypt, Estonia, Ethiopia, France, Germany, Guyana, Hungary, India, Indonesia, Ireland, Israel, Ivory Coast, Japan, Kazakhstan, Korea, Republic of, Laos, Luxembourg, Madagascar, Malaysia, Mongolia, Mozambique, Myanmar, Namibia, Netherlands, Nigeria, Peru, Portugal, Russian Federation, Rwanda, Sierra Leone, Singapore, Slovakia, Spain, Suriname, Switzerland, Taiwan, Thailand, United Kingdom, United States, Viet Nam and Zimbabwe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Hydrometallurg, JSC</w:t>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Czech Republic, Djibouti, DRC- Congo (Kinshasa), Ecuador, Egypt, Estonia, Ethiopia, France, Germany, Guyana, Hungary, India, Indonesia, Ireland, Israel, Ivory Coast, Japan, Kazakhstan, Korea, Republic of, Laos, Luxembourg, Madagascar, Malaysia, Mongolia, Myanmar, Namibia, Netherlands, Nigeria, Peru, Portugal, Russian Federation, Sierra Leone, Slovakia, Spain, Suriname, Switzerland, Taiwan, Thailand, United Kingdom, United States, Viet Nam and Zimbabwe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Xinsheng Tungsten Industry Co., Ltd.</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Canada, China, DRC- Congo (Kinshasa), Indonesia, Malaysia, Peru and Russian Federation</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Xiamen Tungsten (H.C.) Co., Ltd.</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Bolivia, Brazil, Burundi, Canada, China, Malaysia, Mexico, Niger, Nigeria, Russian Federation, Rwanda, Spain and Thailand</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Xiamen Tungsten Co., Ltd.</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RMAP</w:t>
            </w:r>
          </w:p>
        </w:tc>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 Australia, Austria, Belgium, Bolivia, Brazil, Cambodia, Canada, Chile, China, Colombia, Czech Republic, Djibouti, DRC- Congo (Kinshasa), Ecuador, Egypt, Estonia, Ethiopia, France, Germany, Guyana, Hungary, India, Indonesia, Ireland, Israel, Ivory Coast, Japan, Kazakhstan, Korea, Republic of, Laos, Luxembourg, Madagascar, Malaysia, Mexico, Mongolia, Myanmar, Namibia, Netherlands, Niger, Nigeria, Peru, Portugal, Russian Federation, Rwanda, Sierra Leone, Singapore, Slovakia, Spain, Suriname, Switzerland, Taiwan, Thailand, United Kingdom, United States, Viet Nam and Zimbabwe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- 24</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13080</Words>
  <Characters>84796</Characters>
  <CharactersWithSpaces>96300</CharactersWithSpaces>
  <Paragraphs>1592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