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G48833118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Research Global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5,823,242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5,823,242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5,823,242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8.2%</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Weatherford International PLC</w:t>
      </w:r>
    </w:p>
    <w:p>
      <w:pPr>
        <w:spacing w:after="0" w:line="97" w:lineRule="exact"/>
        <w:rPr>
          <w:rFonts w:ascii="Times New Roman" w:cs="Times New Roman" w:eastAsia="Times New Roman" w:hAnsi="Times New Roman"/>
          <w:sz w:val="22"/>
          <w:szCs w:val="22"/>
          <w:b w:val="1"/>
          <w:bCs w:val="1"/>
          <w:color w:val="auto"/>
        </w:rPr>
      </w:pPr>
    </w:p>
    <w:p>
      <w:pPr>
        <w:ind w:left="1620" w:right="5120" w:hanging="707"/>
        <w:spacing w:after="0" w:line="286" w:lineRule="auto"/>
        <w:tabs>
          <w:tab w:leader="none" w:pos="16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2000 St. James Place, N/A, Houston, TX 77056</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620" w:hanging="707"/>
        <w:spacing w:after="0"/>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Capital Research Global Investors</w:t>
      </w:r>
    </w:p>
    <w:p>
      <w:pPr>
        <w:spacing w:after="0" w:line="97" w:lineRule="exact"/>
        <w:rPr>
          <w:rFonts w:ascii="Times New Roman" w:cs="Times New Roman" w:eastAsia="Times New Roman" w:hAnsi="Times New Roman"/>
          <w:sz w:val="22"/>
          <w:szCs w:val="22"/>
          <w:b w:val="1"/>
          <w:bCs w:val="1"/>
          <w:color w:val="auto"/>
        </w:rPr>
      </w:pPr>
    </w:p>
    <w:p>
      <w:pPr>
        <w:ind w:left="1620" w:right="402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333 South Hope Street, 55th Fl, Los Angeles, CA 90071</w:t>
      </w:r>
    </w:p>
    <w:p>
      <w:pPr>
        <w:spacing w:after="0" w:line="45" w:lineRule="exact"/>
        <w:rPr>
          <w:rFonts w:ascii="Times New Roman" w:cs="Times New Roman" w:eastAsia="Times New Roman" w:hAnsi="Times New Roman"/>
          <w:sz w:val="21"/>
          <w:szCs w:val="21"/>
          <w:b w:val="1"/>
          <w:bCs w:val="1"/>
          <w:color w:val="auto"/>
        </w:rPr>
      </w:pPr>
    </w:p>
    <w:p>
      <w:pPr>
        <w:ind w:left="1620" w:right="838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620" w:right="702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G48833118</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40"/>
          </w:cols>
          <w:pgMar w:left="400" w:top="419" w:right="45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8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6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6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28"/>
          </w:cols>
          <w:pgMar w:left="400" w:top="419" w:right="459" w:bottom="0" w:gutter="0" w:footer="0" w:header="0"/>
          <w:type w:val="continuous"/>
        </w:sect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40"/>
          </w:cols>
          <w:pgMar w:left="400" w:top="419" w:right="45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5,823,242 **</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8.2%</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5,823,242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5,823,242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600" w:space="260"/>
            <w:col w:w="4180"/>
          </w:cols>
          <w:pgMar w:left="400" w:top="419" w:right="459" w:bottom="0" w:gutter="0" w:footer="0" w:header="0"/>
          <w:type w:val="continuous"/>
        </w:sectPr>
      </w:pPr>
    </w:p>
    <w:p>
      <w:pPr>
        <w:spacing w:after="0" w:line="251" w:lineRule="auto"/>
        <w:rPr>
          <w:sz w:val="20"/>
          <w:szCs w:val="20"/>
          <w:color w:val="auto"/>
        </w:rPr>
      </w:pPr>
      <w:r>
        <w:rPr>
          <w:rFonts w:ascii="Times New Roman" w:cs="Times New Roman" w:eastAsia="Times New Roman" w:hAnsi="Times New Roman"/>
          <w:sz w:val="21"/>
          <w:szCs w:val="21"/>
          <w:color w:val="auto"/>
        </w:rPr>
        <w:t>**Capital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w:t>
      </w:r>
    </w:p>
    <w:p>
      <w:pPr>
        <w:sectPr>
          <w:pgSz w:w="11900" w:h="16838" w:orient="portrait"/>
          <w:cols w:equalWidth="0" w:num="1">
            <w:col w:w="11040"/>
          </w:cols>
          <w:pgMar w:left="400" w:top="419" w:right="459" w:bottom="0" w:gutter="0" w:footer="0" w:header="0"/>
          <w:type w:val="continuous"/>
        </w:sectPr>
      </w:pPr>
    </w:p>
    <w:bookmarkStart w:id="3" w:name="page4"/>
    <w:bookmarkEnd w:id="3"/>
    <w:p>
      <w:pPr>
        <w:ind w:right="140"/>
        <w:spacing w:after="0" w:line="259" w:lineRule="auto"/>
        <w:rPr>
          <w:sz w:val="20"/>
          <w:szCs w:val="20"/>
          <w:color w:val="auto"/>
        </w:rPr>
      </w:pPr>
      <w:r>
        <w:rPr>
          <w:rFonts w:ascii="Times New Roman" w:cs="Times New Roman" w:eastAsia="Times New Roman" w:hAnsi="Times New Roman"/>
          <w:sz w:val="22"/>
          <w:szCs w:val="22"/>
          <w:color w:val="auto"/>
        </w:rPr>
        <w:t>the name "Capital Research Global Investors." CRGI is deemed to be the beneficial owner of 5,823,242 shares or 8.2% of the 70,608,639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Growth Fund of America</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Donald H. Rolfe</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Donald H. Rolfe</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2023-02-13T14:40:17Z</dcterms:created>
  <dcterms:modified xsi:type="dcterms:W3CDTF">2023-02-13T14:40:17Z</dcterms:modified>
</cp:coreProperties>
</file>