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4928" w:type="dxa"/>
        <w:jc w:val="center"/>
        <w:tblInd w:w="0" w:type="dxa"/>
        <w:tblLayout w:type="fixed"/>
        <w:tblCellMar>
          <w:top w:w="28" w:type="dxa"/>
          <w:left w:w="28" w:type="dxa"/>
          <w:bottom w:w="28" w:type="dxa"/>
          <w:right w:w="28" w:type="dxa"/>
        </w:tblCellMar>
      </w:tblPr>
      <w:tblGrid>
        <w:gridCol w:w="124"/>
        <w:gridCol w:w="109"/>
        <w:gridCol w:w="109"/>
        <w:gridCol w:w="1403"/>
        <w:gridCol w:w="1403"/>
        <w:gridCol w:w="14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859" w:type="dxa"/>
        <w:jc w:val="center"/>
        <w:tblInd w:w="0" w:type="dxa"/>
        <w:tblLayout w:type="fixed"/>
        <w:tblCellMar>
          <w:top w:w="28" w:type="dxa"/>
          <w:left w:w="28" w:type="dxa"/>
          <w:bottom w:w="28" w:type="dxa"/>
          <w:right w:w="28" w:type="dxa"/>
        </w:tblCellMar>
      </w:tblPr>
      <w:tblGrid>
        <w:gridCol w:w="380"/>
        <w:gridCol w:w="334"/>
        <w:gridCol w:w="336"/>
        <w:gridCol w:w="109"/>
        <w:gridCol w:w="109"/>
        <w:gridCol w:w="109"/>
        <w:gridCol w:w="195"/>
        <w:gridCol w:w="195"/>
        <w:gridCol w:w="196"/>
        <w:gridCol w:w="174"/>
        <w:gridCol w:w="174"/>
        <w:gridCol w:w="176"/>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Form</w:t>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103"/>
        <w:gridCol w:w="1103"/>
        <w:gridCol w:w="1047"/>
        <w:gridCol w:w="1058"/>
        <w:gridCol w:w="1030"/>
        <w:gridCol w:w="1030"/>
        <w:gridCol w:w="1030"/>
        <w:gridCol w:w="1030"/>
        <w:gridCol w:w="1058"/>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w:t>
            </w:r>
          </w:p>
        </w:tc>
        <w:tc>
          <w:tcPr>
            <w:tcW w:w="3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__________________________________to __________________________________</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001-36504</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Weatherford International plc</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9242" w:type="dxa"/>
        <w:jc w:val="center"/>
        <w:tblInd w:w="0" w:type="dxa"/>
        <w:tblLayout w:type="fixed"/>
        <w:tblCellMar>
          <w:top w:w="28" w:type="dxa"/>
          <w:left w:w="28" w:type="dxa"/>
          <w:bottom w:w="28" w:type="dxa"/>
          <w:right w:w="28" w:type="dxa"/>
        </w:tblCellMar>
      </w:tblPr>
      <w:tblGrid>
        <w:gridCol w:w="684"/>
        <w:gridCol w:w="603"/>
        <w:gridCol w:w="603"/>
        <w:gridCol w:w="333"/>
        <w:gridCol w:w="333"/>
        <w:gridCol w:w="333"/>
        <w:gridCol w:w="333"/>
        <w:gridCol w:w="333"/>
        <w:gridCol w:w="333"/>
        <w:gridCol w:w="333"/>
        <w:gridCol w:w="333"/>
        <w:gridCol w:w="333"/>
        <w:gridCol w:w="333"/>
        <w:gridCol w:w="333"/>
        <w:gridCol w:w="333"/>
        <w:gridCol w:w="109"/>
        <w:gridCol w:w="109"/>
        <w:gridCol w:w="109"/>
        <w:gridCol w:w="884"/>
        <w:gridCol w:w="884"/>
        <w:gridCol w:w="1261"/>
      </w:tblGrid>
      <w:tr>
        <w:trPr/>
        <w:tc>
          <w:tcPr>
            <w:tcW w:w="68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8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58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58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ind w:left="0" w:right="0" w:firstLine="36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713.836.4000 </w:t>
      </w:r>
    </w:p>
    <w:tbl>
      <w:tblPr>
        <w:tblW w:w="7743" w:type="dxa"/>
        <w:jc w:val="center"/>
        <w:tblInd w:w="0" w:type="dxa"/>
        <w:tblLayout w:type="fixed"/>
        <w:tblCellMar>
          <w:top w:w="28" w:type="dxa"/>
          <w:left w:w="28" w:type="dxa"/>
          <w:bottom w:w="28" w:type="dxa"/>
          <w:right w:w="28" w:type="dxa"/>
        </w:tblCellMar>
      </w:tblPr>
      <w:tblGrid>
        <w:gridCol w:w="124"/>
        <w:gridCol w:w="109"/>
        <w:gridCol w:w="109"/>
        <w:gridCol w:w="781"/>
        <w:gridCol w:w="781"/>
        <w:gridCol w:w="781"/>
        <w:gridCol w:w="781"/>
        <w:gridCol w:w="781"/>
        <w:gridCol w:w="781"/>
        <w:gridCol w:w="781"/>
        <w:gridCol w:w="781"/>
        <w:gridCol w:w="7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119" w:type="dxa"/>
        <w:jc w:val="center"/>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ind w:left="0" w:right="0" w:firstLine="450"/>
        <w:jc w:val="both"/>
        <w:rPr/>
      </w:pPr>
      <w:r>
        <w:rPr/>
      </w:r>
    </w:p>
    <w:p>
      <w:pPr>
        <w:pStyle w:val="TextBody"/>
        <w:bidi w:val="0"/>
        <w:spacing w:lineRule="auto" w:line="288" w:before="60" w:after="6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60" w:after="6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2" w:type="dxa"/>
        <w:jc w:val="center"/>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60"/>
        <w:ind w:left="0" w:right="0" w:firstLine="36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all documents and reports required to be filed by Section 12, 13 or 15(d) of the Securities Exchange Act of 1934 subsequent to the distribution of securities under a plan confirmed by a court.   Yes ☑    No ☐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19, 2023, there were 72,074,659 Weatherford ordinary shares, $0.001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public limited company</w:t>
      </w:r>
    </w:p>
    <w:p>
      <w:pPr>
        <w:pStyle w:val="TextBody"/>
        <w:bidi w:val="0"/>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Form 10-Q for the Second Quarter Ended June 30, 2023 </w:t>
      </w:r>
    </w:p>
    <w:tbl>
      <w:tblPr>
        <w:tblW w:w="8810" w:type="dxa"/>
        <w:jc w:val="left"/>
        <w:tblInd w:w="0" w:type="dxa"/>
        <w:tblLayout w:type="fixed"/>
        <w:tblCellMar>
          <w:top w:w="28" w:type="dxa"/>
          <w:left w:w="28" w:type="dxa"/>
          <w:bottom w:w="28" w:type="dxa"/>
          <w:right w:w="28" w:type="dxa"/>
        </w:tblCellMar>
      </w:tblPr>
      <w:tblGrid>
        <w:gridCol w:w="1483"/>
        <w:gridCol w:w="1298"/>
        <w:gridCol w:w="1298"/>
        <w:gridCol w:w="1298"/>
        <w:gridCol w:w="1298"/>
        <w:gridCol w:w="1318"/>
        <w:gridCol w:w="235"/>
        <w:gridCol w:w="235"/>
        <w:gridCol w:w="347"/>
      </w:tblGrid>
      <w:tr>
        <w:trPr/>
        <w:tc>
          <w:tcPr>
            <w:tcW w:w="148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0">
              <w:r>
                <w:rPr>
                  <w:rStyle w:val="InternetLink"/>
                  <w:rFonts w:ascii="Times New Roman;sans-serif" w:hAnsi="Times New Roman;sans-serif"/>
                  <w:b/>
                  <w:color w:val="0000FF"/>
                  <w:sz w:val="20"/>
                  <w:u w:val="single"/>
                </w:rPr>
                <w:t>PART I – FINANCIAL INFORMATION</w:t>
              </w:r>
            </w:hyperlink>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3">
              <w:r>
                <w:rPr>
                  <w:rStyle w:val="InternetLink"/>
                  <w:rFonts w:ascii="Times New Roman;sans-serif" w:hAnsi="Times New Roman;sans-serif"/>
                  <w:b w:val="false"/>
                  <w:color w:val="0000FF"/>
                  <w:sz w:val="20"/>
                  <w:u w:val="single"/>
                </w:rPr>
                <w:t>Item 1. Financial Statements.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13">
              <w:r>
                <w:rPr>
                  <w:rStyle w:val="InternetLink"/>
                  <w:rFonts w:ascii="Times New Roman;sans-serif" w:hAnsi="Times New Roman;sans-serif"/>
                  <w:b w:val="false"/>
                  <w:color w:val="0000FF"/>
                  <w:sz w:val="20"/>
                  <w:u w:val="single"/>
                </w:rPr>
                <w:t>2</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85">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85">
              <w:r>
                <w:rPr>
                  <w:rStyle w:val="InternetLink"/>
                  <w:rFonts w:ascii="Times New Roman;sans-serif" w:hAnsi="Times New Roman;sans-serif"/>
                  <w:b w:val="false"/>
                  <w:color w:val="0000FF"/>
                  <w:sz w:val="20"/>
                  <w:u w:val="single"/>
                </w:rPr>
                <w:t>16</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69">
              <w:r>
                <w:rPr>
                  <w:rStyle w:val="InternetLink"/>
                  <w:rFonts w:ascii="Times New Roman;sans-serif" w:hAnsi="Times New Roman;sans-serif"/>
                  <w:b w:val="false"/>
                  <w:color w:val="0000FF"/>
                  <w:sz w:val="20"/>
                  <w:u w:val="single"/>
                </w:rPr>
                <w:t>Item 3. Quantitative and Qualitative Disclosures About Market Risk.</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169">
              <w:r>
                <w:rPr>
                  <w:rStyle w:val="InternetLink"/>
                  <w:rFonts w:ascii="Times New Roman;sans-serif" w:hAnsi="Times New Roman;sans-serif"/>
                  <w:b w:val="false"/>
                  <w:color w:val="0000FF"/>
                  <w:sz w:val="20"/>
                  <w:u w:val="single"/>
                </w:rPr>
                <w:t>27</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72">
              <w:r>
                <w:rPr>
                  <w:rStyle w:val="InternetLink"/>
                  <w:rFonts w:ascii="Times New Roman;sans-serif" w:hAnsi="Times New Roman;sans-serif"/>
                  <w:b w:val="false"/>
                  <w:color w:val="0000FF"/>
                  <w:sz w:val="20"/>
                  <w:u w:val="single"/>
                </w:rPr>
                <w:t>Item 4. Controls and Procedures.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172">
              <w:r>
                <w:rPr>
                  <w:rStyle w:val="InternetLink"/>
                  <w:rFonts w:ascii="Times New Roman;sans-serif" w:hAnsi="Times New Roman;sans-serif"/>
                  <w:b w:val="false"/>
                  <w:color w:val="0000FF"/>
                  <w:sz w:val="20"/>
                  <w:u w:val="single"/>
                </w:rPr>
                <w:t>28</w:t>
              </w:r>
            </w:hyperlink>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72">
              <w:r>
                <w:rPr>
                  <w:rStyle w:val="InternetLink"/>
                  <w:rFonts w:ascii="Times New Roman;sans-serif" w:hAnsi="Times New Roman;sans-serif"/>
                  <w:b/>
                  <w:color w:val="0000FF"/>
                  <w:sz w:val="20"/>
                  <w:u w:val="single"/>
                </w:rPr>
                <w:t>PART II – OTHER INFORMATION</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78">
              <w:r>
                <w:rPr>
                  <w:rStyle w:val="InternetLink"/>
                  <w:rFonts w:ascii="Times New Roman;sans-serif" w:hAnsi="Times New Roman;sans-serif"/>
                  <w:b w:val="false"/>
                  <w:color w:val="0000FF"/>
                  <w:sz w:val="20"/>
                  <w:u w:val="single"/>
                </w:rPr>
                <w:t>Item 1. Legal Proceedings.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178">
              <w:r>
                <w:rPr>
                  <w:rStyle w:val="InternetLink"/>
                  <w:rFonts w:ascii="Times New Roman;sans-serif" w:hAnsi="Times New Roman;sans-serif"/>
                  <w:b w:val="false"/>
                  <w:color w:val="0000FF"/>
                  <w:sz w:val="20"/>
                  <w:u w:val="single"/>
                </w:rPr>
                <w:t>28</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81">
              <w:r>
                <w:rPr>
                  <w:rStyle w:val="InternetLink"/>
                  <w:rFonts w:ascii="Times New Roman;sans-serif" w:hAnsi="Times New Roman;sans-serif"/>
                  <w:b w:val="false"/>
                  <w:color w:val="0000FF"/>
                  <w:sz w:val="20"/>
                  <w:u w:val="single"/>
                </w:rPr>
                <w:t>Item 1A. Risk Factors.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181">
              <w:r>
                <w:rPr>
                  <w:rStyle w:val="InternetLink"/>
                  <w:rFonts w:ascii="Times New Roman;sans-serif" w:hAnsi="Times New Roman;sans-serif"/>
                  <w:b w:val="false"/>
                  <w:color w:val="0000FF"/>
                  <w:sz w:val="20"/>
                  <w:u w:val="single"/>
                </w:rPr>
                <w:t>28</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84">
              <w:r>
                <w:rPr>
                  <w:rStyle w:val="InternetLink"/>
                  <w:rFonts w:ascii="Times New Roman;sans-serif" w:hAnsi="Times New Roman;sans-serif"/>
                  <w:b w:val="false"/>
                  <w:color w:val="0000FF"/>
                  <w:sz w:val="20"/>
                  <w:u w:val="single"/>
                </w:rPr>
                <w:t>Item 2. Unregistered Sales of Equity Securities and Use of Proceeds.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184">
              <w:r>
                <w:rPr>
                  <w:rStyle w:val="InternetLink"/>
                  <w:rFonts w:ascii="Times New Roman;sans-serif" w:hAnsi="Times New Roman;sans-serif"/>
                  <w:b w:val="false"/>
                  <w:color w:val="0000FF"/>
                  <w:sz w:val="20"/>
                  <w:u w:val="single"/>
                </w:rPr>
                <w:t>28</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87">
              <w:r>
                <w:rPr>
                  <w:rStyle w:val="InternetLink"/>
                  <w:rFonts w:ascii="Times New Roman;sans-serif" w:hAnsi="Times New Roman;sans-serif"/>
                  <w:b w:val="false"/>
                  <w:color w:val="0000FF"/>
                  <w:sz w:val="20"/>
                  <w:u w:val="single"/>
                </w:rPr>
                <w:t>Item 3. Defaults Upon Senior Securities.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187">
              <w:r>
                <w:rPr>
                  <w:rStyle w:val="InternetLink"/>
                  <w:rFonts w:ascii="Times New Roman;sans-serif" w:hAnsi="Times New Roman;sans-serif"/>
                  <w:b w:val="false"/>
                  <w:color w:val="0000FF"/>
                  <w:sz w:val="20"/>
                  <w:u w:val="single"/>
                </w:rPr>
                <w:t>28</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90">
              <w:r>
                <w:rPr>
                  <w:rStyle w:val="InternetLink"/>
                  <w:rFonts w:ascii="Times New Roman;sans-serif" w:hAnsi="Times New Roman;sans-serif"/>
                  <w:b w:val="false"/>
                  <w:color w:val="0000FF"/>
                  <w:sz w:val="20"/>
                  <w:u w:val="single"/>
                </w:rPr>
                <w:t>Item 4. Mine Safety Disclosures</w:t>
              </w:r>
            </w:hyperlink>
            <w:r>
              <w:rPr>
                <w:rFonts w:ascii="Times New Roman;sans-serif" w:hAnsi="Times New Roman;sans-serif"/>
                <w:b w:val="false"/>
                <w:color w:val="000000"/>
                <w:sz w:val="20"/>
              </w:rPr>
              <w:t>.</w:t>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190">
              <w:r>
                <w:rPr>
                  <w:rStyle w:val="InternetLink"/>
                  <w:rFonts w:ascii="Times New Roman;sans-serif" w:hAnsi="Times New Roman;sans-serif"/>
                  <w:b w:val="false"/>
                  <w:color w:val="0000FF"/>
                  <w:sz w:val="20"/>
                  <w:u w:val="single"/>
                </w:rPr>
                <w:t>28</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93">
              <w:r>
                <w:rPr>
                  <w:rStyle w:val="InternetLink"/>
                  <w:rFonts w:ascii="Times New Roman;sans-serif" w:hAnsi="Times New Roman;sans-serif"/>
                  <w:b w:val="false"/>
                  <w:color w:val="0000FF"/>
                  <w:sz w:val="20"/>
                  <w:u w:val="single"/>
                </w:rPr>
                <w:t>Item 5. Other Information.</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193">
              <w:r>
                <w:rPr>
                  <w:rStyle w:val="InternetLink"/>
                  <w:rFonts w:ascii="Times New Roman;sans-serif" w:hAnsi="Times New Roman;sans-serif"/>
                  <w:b w:val="false"/>
                  <w:color w:val="0000FF"/>
                  <w:sz w:val="20"/>
                  <w:u w:val="single"/>
                </w:rPr>
                <w:t>28</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96">
              <w:r>
                <w:rPr>
                  <w:rStyle w:val="InternetLink"/>
                  <w:rFonts w:ascii="Times New Roman;sans-serif" w:hAnsi="Times New Roman;sans-serif"/>
                  <w:b w:val="false"/>
                  <w:color w:val="0000FF"/>
                  <w:sz w:val="20"/>
                  <w:u w:val="single"/>
                </w:rPr>
                <w:t>Item 6. Exhibits.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196">
              <w:r>
                <w:rPr>
                  <w:rStyle w:val="InternetLink"/>
                  <w:rFonts w:ascii="Times New Roman;sans-serif" w:hAnsi="Times New Roman;sans-serif"/>
                  <w:b w:val="false"/>
                  <w:color w:val="0000FF"/>
                  <w:sz w:val="20"/>
                  <w:u w:val="single"/>
                </w:rPr>
                <w:t>29</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a2865370d5a4e0d9e602fc470bed25c_199">
              <w:r>
                <w:rPr>
                  <w:rStyle w:val="InternetLink"/>
                  <w:rFonts w:ascii="Times New Roman;sans-serif" w:hAnsi="Times New Roman;sans-serif"/>
                  <w:b w:val="false"/>
                  <w:color w:val="0000FF"/>
                  <w:sz w:val="20"/>
                  <w:u w:val="single"/>
                </w:rPr>
                <w:t>SIGNATURES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a2865370d5a4e0d9e602fc470bed25c_199">
              <w:r>
                <w:rPr>
                  <w:rStyle w:val="InternetLink"/>
                  <w:rFonts w:ascii="Times New Roman;sans-serif" w:hAnsi="Times New Roman;sans-serif"/>
                  <w:b w:val="false"/>
                  <w:color w:val="0000FF"/>
                  <w:sz w:val="20"/>
                  <w:u w:val="singl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60"/>
        <w:ind w:left="0" w:right="0" w:firstLine="360"/>
        <w:jc w:val="center"/>
        <w:rPr/>
      </w:pPr>
      <w:r>
        <w:rPr>
          <w:rFonts w:ascii="Times New Roman;sans-serif" w:hAnsi="Times New Roman;sans-serif"/>
          <w:b/>
          <w:color w:val="000000"/>
          <w:sz w:val="20"/>
        </w:rPr>
        <w:t xml:space="preserve">PART I </w:t>
      </w:r>
      <w:r>
        <w:rPr>
          <w:color w:val="000000"/>
        </w:rPr>
        <w:t xml:space="preserve">– </w:t>
      </w:r>
      <w:r>
        <w:rPr>
          <w:rFonts w:ascii="Times New Roman;sans-serif" w:hAnsi="Times New Roman;sans-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tbl>
      <w:tblPr>
        <w:tblW w:w="9427" w:type="dxa"/>
        <w:jc w:val="center"/>
        <w:tblInd w:w="0" w:type="dxa"/>
        <w:tblLayout w:type="fixed"/>
        <w:tblCellMar>
          <w:top w:w="28" w:type="dxa"/>
          <w:left w:w="28" w:type="dxa"/>
          <w:bottom w:w="28" w:type="dxa"/>
          <w:right w:w="28" w:type="dxa"/>
        </w:tblCellMar>
      </w:tblPr>
      <w:tblGrid>
        <w:gridCol w:w="1922"/>
        <w:gridCol w:w="1690"/>
        <w:gridCol w:w="1697"/>
        <w:gridCol w:w="238"/>
        <w:gridCol w:w="576"/>
        <w:gridCol w:w="123"/>
        <w:gridCol w:w="238"/>
        <w:gridCol w:w="576"/>
        <w:gridCol w:w="123"/>
        <w:gridCol w:w="109"/>
        <w:gridCol w:w="109"/>
        <w:gridCol w:w="109"/>
        <w:gridCol w:w="211"/>
        <w:gridCol w:w="616"/>
        <w:gridCol w:w="109"/>
        <w:gridCol w:w="211"/>
        <w:gridCol w:w="616"/>
        <w:gridCol w:w="154"/>
      </w:tblGrid>
      <w:tr>
        <w:trPr/>
        <w:tc>
          <w:tcPr>
            <w:tcW w:w="1922"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per share amounts)</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Revenues: </w:t>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Revenues </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C2C2C"/>
                <w:sz w:val="20"/>
              </w:rPr>
            </w:pPr>
            <w:r>
              <w:rPr>
                <w:rFonts w:ascii="Times New Roman;sans-serif" w:hAnsi="Times New Roman;sans-serif"/>
                <w:b w:val="false"/>
                <w:color w:val="2C2C2C"/>
                <w:sz w:val="20"/>
              </w:rPr>
              <w:t>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 of $16, $6, $32 and $11</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C2C2C"/>
                <w:sz w:val="20"/>
              </w:rPr>
            </w:pPr>
            <w:r>
              <w:rPr>
                <w:rFonts w:ascii="Times New Roman;sans-serif" w:hAnsi="Times New Roman;sans-serif"/>
                <w:b w:val="false"/>
                <w:color w:val="2C2C2C"/>
                <w:sz w:val="20"/>
              </w:rPr>
              <w:t>(48)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C2C2C"/>
                <w:sz w:val="20"/>
              </w:rPr>
            </w:pPr>
            <w:r>
              <w:rPr>
                <w:rFonts w:ascii="Times New Roman;sans-serif" w:hAnsi="Times New Roman;sans-serif"/>
                <w:b w:val="false"/>
                <w:color w:val="2C2C2C"/>
                <w:sz w:val="20"/>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C2C2C"/>
                <w:sz w:val="20"/>
              </w:rPr>
            </w:pPr>
            <w:r>
              <w:rPr>
                <w:rFonts w:ascii="Times New Roman;sans-serif" w:hAnsi="Times New Roman;sans-serif"/>
                <w:b w:val="false"/>
                <w:color w:val="2C2C2C"/>
                <w:sz w:val="20"/>
              </w:rPr>
              <w:t>(96)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Blue Chip Swap Securities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C2C2C"/>
              </w:rPr>
            </w:pPr>
            <w:r>
              <w:rPr>
                <w:color w:val="2C2C2C"/>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C2C2C"/>
              </w:rPr>
            </w:pPr>
            <w:r>
              <w:rPr>
                <w:color w:val="2C2C2C"/>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Weatherford</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before="1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98780"/>
                <wp:effectExtent l="0" t="0" r="0" b="0"/>
                <wp:wrapNone/>
                <wp:docPr id="3" name="Frame3"/>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(LOSS) </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89" w:type="dxa"/>
        <w:jc w:val="center"/>
        <w:tblInd w:w="0" w:type="dxa"/>
        <w:tblLayout w:type="fixed"/>
        <w:tblCellMar>
          <w:top w:w="28" w:type="dxa"/>
          <w:left w:w="28" w:type="dxa"/>
          <w:bottom w:w="28" w:type="dxa"/>
          <w:right w:w="28" w:type="dxa"/>
        </w:tblCellMar>
      </w:tblPr>
      <w:tblGrid>
        <w:gridCol w:w="1921"/>
        <w:gridCol w:w="1687"/>
        <w:gridCol w:w="1702"/>
        <w:gridCol w:w="290"/>
        <w:gridCol w:w="497"/>
        <w:gridCol w:w="150"/>
        <w:gridCol w:w="290"/>
        <w:gridCol w:w="497"/>
        <w:gridCol w:w="150"/>
        <w:gridCol w:w="109"/>
        <w:gridCol w:w="109"/>
        <w:gridCol w:w="109"/>
        <w:gridCol w:w="223"/>
        <w:gridCol w:w="493"/>
        <w:gridCol w:w="115"/>
        <w:gridCol w:w="223"/>
        <w:gridCol w:w="461"/>
        <w:gridCol w:w="163"/>
      </w:tblGrid>
      <w:tr>
        <w:trPr/>
        <w:tc>
          <w:tcPr>
            <w:tcW w:w="192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(Loss) Attributable to Weatherford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98780"/>
                <wp:effectExtent l="0" t="0" r="0" b="0"/>
                <wp:wrapNone/>
                <wp:docPr id="4" name="Frame4"/>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880"/>
        <w:gridCol w:w="2334"/>
        <w:gridCol w:w="2344"/>
        <w:gridCol w:w="287"/>
        <w:gridCol w:w="760"/>
        <w:gridCol w:w="132"/>
        <w:gridCol w:w="314"/>
        <w:gridCol w:w="920"/>
        <w:gridCol w:w="234"/>
      </w:tblGrid>
      <w:tr>
        <w:trPr/>
        <w:tc>
          <w:tcPr>
            <w:tcW w:w="2880"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par value)</w:t>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Assets:</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$19 at June 30, 2023 and $26 at December 31, 2022</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$825 at June 30, 2023 and $773 at December 31, 2022</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 of $560 at June 30, 2023 and $480 at December 31, 2022</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Taxes Payable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 Par Value $0.001; Authorized 1,356 shares, Issued and Outstanding 72 shares at June 30, 2023 and 71 at December 31, 2022</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Shareholders’ Equity</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98780"/>
                <wp:effectExtent l="0" t="0" r="0" b="0"/>
                <wp:wrapNone/>
                <wp:docPr id="5" name="Frame5"/>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9777" w:type="dxa"/>
        <w:jc w:val="center"/>
        <w:tblInd w:w="0" w:type="dxa"/>
        <w:tblLayout w:type="fixed"/>
        <w:tblCellMar>
          <w:top w:w="28" w:type="dxa"/>
          <w:left w:w="28" w:type="dxa"/>
          <w:bottom w:w="28" w:type="dxa"/>
          <w:right w:w="28" w:type="dxa"/>
        </w:tblCellMar>
      </w:tblPr>
      <w:tblGrid>
        <w:gridCol w:w="2657"/>
        <w:gridCol w:w="2334"/>
        <w:gridCol w:w="2358"/>
        <w:gridCol w:w="280"/>
        <w:gridCol w:w="602"/>
        <w:gridCol w:w="155"/>
        <w:gridCol w:w="280"/>
        <w:gridCol w:w="795"/>
        <w:gridCol w:w="316"/>
      </w:tblGrid>
      <w:tr>
        <w:trPr/>
        <w:tc>
          <w:tcPr>
            <w:tcW w:w="2657"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millions)</w:t>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Blue Chip Swap Securities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Write-downs and Other Charges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Charges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Disposition of Assets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Provision (Benefit)</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 Net</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for Property, Plant and Equipment</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 of Assets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Blue Chip Swap Securities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Blue Chip Swap Securities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Investing Activities</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and Repurchases of Long-term Debt</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Remittance on Equity Awards Vested</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 of Refunds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98780"/>
                <wp:effectExtent l="0" t="0" r="0" b="0"/>
                <wp:wrapNone/>
                <wp:docPr id="6" name="Frame6"/>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60" w:after="283"/>
        <w:ind w:left="0" w:right="0" w:firstLine="360"/>
        <w:jc w:val="both"/>
        <w:rPr/>
      </w:pPr>
      <w:hyperlink w:anchor="i1a2865370d5a4e0d9e602fc470bed25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 – Basis of Presentation and Summary of Significant Accounting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2022 (“2022 Form 10-K”).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Condensed Consolidated Financial Statements reflect all adjustments (consisting of normal recurring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1 – Summary of Significant Accounting Policies” of our Consolidated Financial Statements from our 2022 Form 10-K for the discussion on our significant accounting policies. Certain reclassifications have been made to these Condensed Consolidated Financial Statements and accompanying footnotes for the three and six months ended June 30, 2022 to conform to the presentation for the three and six months ended June 30,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new accounting pronouncements that have been issued but not yet effective are currently being evaluated and at this time are not expected to have a material impact on our financial position or results of operations.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2 – Segment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segment is summarized below. The accounting policies of the segments are the same as those described in the summary of significant accounting policies as presented in our 2022 Form 10-K. We have three reportable segments: (1) Drilling and Evaluation “DRE”, (2) Well Construction and Completions “WCC”, and (3) Production and Intervention “PRI”.</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measure of segment profitability is segment adjusted EBITDA, which is based on segment earnings before interest, taxes, depreciation, amortization, share-based compensation expense and other adjustments. Research and development expenses are included in segment adjusted EBITDA. All other includes results from non-core business activities (including integrated services and projects), and corporate includes overhead support and centrally managed or shared facilities costs. All other and corporate do not individually meet the criteria for segment reporting. </w:t>
      </w:r>
    </w:p>
    <w:tbl>
      <w:tblPr>
        <w:tblW w:w="8555" w:type="dxa"/>
        <w:jc w:val="center"/>
        <w:tblInd w:w="0" w:type="dxa"/>
        <w:tblLayout w:type="fixed"/>
        <w:tblCellMar>
          <w:top w:w="28" w:type="dxa"/>
          <w:left w:w="28" w:type="dxa"/>
          <w:bottom w:w="28" w:type="dxa"/>
          <w:right w:w="28" w:type="dxa"/>
        </w:tblCellMar>
      </w:tblPr>
      <w:tblGrid>
        <w:gridCol w:w="1031"/>
        <w:gridCol w:w="905"/>
        <w:gridCol w:w="913"/>
        <w:gridCol w:w="109"/>
        <w:gridCol w:w="109"/>
        <w:gridCol w:w="109"/>
        <w:gridCol w:w="291"/>
        <w:gridCol w:w="871"/>
        <w:gridCol w:w="150"/>
        <w:gridCol w:w="291"/>
        <w:gridCol w:w="871"/>
        <w:gridCol w:w="150"/>
        <w:gridCol w:w="109"/>
        <w:gridCol w:w="109"/>
        <w:gridCol w:w="109"/>
        <w:gridCol w:w="263"/>
        <w:gridCol w:w="787"/>
        <w:gridCol w:w="136"/>
        <w:gridCol w:w="263"/>
        <w:gridCol w:w="787"/>
        <w:gridCol w:w="192"/>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1,274</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1,064</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2,460</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2,002</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w:t>
            </w: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w:t>
            </w: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w:t>
            </w: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w:t>
            </w: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3 – Revenues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Disaggregated Revenue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are recognized when control of the promised goods or services is transferred to our customers in an amount that reflects the consideration we expect to be entitled to receive in exchange for those goods or services. The majority of our revenue is derived from short 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lease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rental revenues were $39 million and $72 million in the three and six months ended June 30, 2023, respectively, and $35 million and $66 million for the three and six months ended June 30, 2022,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disaggregates our revenues from contracts with customers by geographic region and includes equipment rental revenues. North America in the table below consists of the U.S. and Canada. </w:t>
      </w:r>
    </w:p>
    <w:tbl>
      <w:tblPr>
        <w:tblW w:w="8198" w:type="dxa"/>
        <w:jc w:val="center"/>
        <w:tblInd w:w="0" w:type="dxa"/>
        <w:tblLayout w:type="fixed"/>
        <w:tblCellMar>
          <w:top w:w="28" w:type="dxa"/>
          <w:left w:w="28" w:type="dxa"/>
          <w:bottom w:w="28" w:type="dxa"/>
          <w:right w:w="28" w:type="dxa"/>
        </w:tblCellMar>
      </w:tblPr>
      <w:tblGrid>
        <w:gridCol w:w="1020"/>
        <w:gridCol w:w="896"/>
        <w:gridCol w:w="904"/>
        <w:gridCol w:w="295"/>
        <w:gridCol w:w="864"/>
        <w:gridCol w:w="152"/>
        <w:gridCol w:w="295"/>
        <w:gridCol w:w="864"/>
        <w:gridCol w:w="152"/>
        <w:gridCol w:w="109"/>
        <w:gridCol w:w="109"/>
        <w:gridCol w:w="109"/>
        <w:gridCol w:w="267"/>
        <w:gridCol w:w="781"/>
        <w:gridCol w:w="138"/>
        <w:gridCol w:w="267"/>
        <w:gridCol w:w="781"/>
        <w:gridCol w:w="195"/>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by Geographic Areas: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 East/North Africa/Asia</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Europe/Sub-Sahara Africa/Russia</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our revenue recognition, billings and cash collections results in the recording of accounts receivable, contract assets, and contract liabilities. The following table summarizes these balances as of June 30, 2023 and December 31, 2022:</w:t>
      </w:r>
    </w:p>
    <w:tbl>
      <w:tblPr>
        <w:tblW w:w="8518" w:type="dxa"/>
        <w:jc w:val="left"/>
        <w:tblInd w:w="0" w:type="dxa"/>
        <w:tblLayout w:type="fixed"/>
        <w:tblCellMar>
          <w:top w:w="28" w:type="dxa"/>
          <w:left w:w="28" w:type="dxa"/>
          <w:bottom w:w="28" w:type="dxa"/>
          <w:right w:w="28" w:type="dxa"/>
        </w:tblCellMar>
      </w:tblPr>
      <w:tblGrid>
        <w:gridCol w:w="1981"/>
        <w:gridCol w:w="1739"/>
        <w:gridCol w:w="1755"/>
        <w:gridCol w:w="287"/>
        <w:gridCol w:w="839"/>
        <w:gridCol w:w="148"/>
        <w:gridCol w:w="448"/>
        <w:gridCol w:w="992"/>
        <w:gridCol w:w="329"/>
      </w:tblGrid>
      <w:tr>
        <w:trPr/>
        <w:tc>
          <w:tcPr>
            <w:tcW w:w="198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for Product and Services in Accounts Receivable,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for Equipment Rentals in Account Receivable, Net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 Other Current Assets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 Other Non-Current Assets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 Other Current Liabilities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 Other Non-Current Liabilities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9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4 – Inventories, Net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net of reserves of $126 million and $129 million as of June 30, 2023 and December 31, 2022, respectively, are presented by category in the table below: </w:t>
      </w:r>
    </w:p>
    <w:tbl>
      <w:tblPr>
        <w:tblW w:w="8574" w:type="dxa"/>
        <w:jc w:val="center"/>
        <w:tblInd w:w="0" w:type="dxa"/>
        <w:tblLayout w:type="fixed"/>
        <w:tblCellMar>
          <w:top w:w="28" w:type="dxa"/>
          <w:left w:w="28" w:type="dxa"/>
          <w:bottom w:w="28" w:type="dxa"/>
          <w:right w:w="28" w:type="dxa"/>
        </w:tblCellMar>
      </w:tblPr>
      <w:tblGrid>
        <w:gridCol w:w="1883"/>
        <w:gridCol w:w="1653"/>
        <w:gridCol w:w="1668"/>
        <w:gridCol w:w="342"/>
        <w:gridCol w:w="756"/>
        <w:gridCol w:w="176"/>
        <w:gridCol w:w="109"/>
        <w:gridCol w:w="109"/>
        <w:gridCol w:w="109"/>
        <w:gridCol w:w="448"/>
        <w:gridCol w:w="992"/>
        <w:gridCol w:w="329"/>
      </w:tblGrid>
      <w:tr>
        <w:trPr/>
        <w:tc>
          <w:tcPr>
            <w:tcW w:w="18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 and Raw Materials, Components and Supplies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inventory reserves includes the inventory charges below, primarily offset by the disposal of inventory previously reserved. Inventory charges were recognized in the following captions on our Condensed Consolidated Statements of Operations:</w:t>
      </w:r>
    </w:p>
    <w:tbl>
      <w:tblPr>
        <w:tblW w:w="9009" w:type="dxa"/>
        <w:jc w:val="center"/>
        <w:tblInd w:w="0" w:type="dxa"/>
        <w:tblLayout w:type="fixed"/>
        <w:tblCellMar>
          <w:top w:w="28" w:type="dxa"/>
          <w:left w:w="28" w:type="dxa"/>
          <w:bottom w:w="28" w:type="dxa"/>
          <w:right w:w="28" w:type="dxa"/>
        </w:tblCellMar>
      </w:tblPr>
      <w:tblGrid>
        <w:gridCol w:w="1432"/>
        <w:gridCol w:w="1258"/>
        <w:gridCol w:w="1269"/>
        <w:gridCol w:w="425"/>
        <w:gridCol w:w="818"/>
        <w:gridCol w:w="219"/>
        <w:gridCol w:w="425"/>
        <w:gridCol w:w="516"/>
        <w:gridCol w:w="219"/>
        <w:gridCol w:w="364"/>
        <w:gridCol w:w="623"/>
        <w:gridCol w:w="188"/>
        <w:gridCol w:w="364"/>
        <w:gridCol w:w="623"/>
        <w:gridCol w:w="266"/>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24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Charges in “Cost of Products”</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Charges in “Other Charges (Credits)”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Charges</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5 – Intangibles,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net were as follows:</w:t>
      </w:r>
    </w:p>
    <w:tbl>
      <w:tblPr>
        <w:tblW w:w="10205" w:type="dxa"/>
        <w:jc w:val="center"/>
        <w:tblInd w:w="0" w:type="dxa"/>
        <w:tblLayout w:type="fixed"/>
        <w:tblCellMar>
          <w:top w:w="28" w:type="dxa"/>
          <w:left w:w="28" w:type="dxa"/>
          <w:bottom w:w="28" w:type="dxa"/>
          <w:right w:w="28" w:type="dxa"/>
        </w:tblCellMar>
      </w:tblPr>
      <w:tblGrid>
        <w:gridCol w:w="2709"/>
        <w:gridCol w:w="2287"/>
        <w:gridCol w:w="2288"/>
        <w:gridCol w:w="294"/>
        <w:gridCol w:w="651"/>
        <w:gridCol w:w="151"/>
        <w:gridCol w:w="109"/>
        <w:gridCol w:w="109"/>
        <w:gridCol w:w="109"/>
        <w:gridCol w:w="378"/>
        <w:gridCol w:w="838"/>
        <w:gridCol w:w="282"/>
      </w:tblGrid>
      <w:tr>
        <w:trPr/>
        <w:tc>
          <w:tcPr>
            <w:tcW w:w="2709"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7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and Acquired Technology, Net of Accumulated Amortization of $419 at June 30, 2023 and $359 at December 31, 2022</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Net of Accumulated Amortization of $141 at June 30, 2023 and $121 at December 31, 2022</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 of $560 at June 30, 2023 and $480 at December 31, 2022</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$40 million and $80 million in the three and six months ended June 30, 2023, respectively, and $39 million and $78 million in the three and six months ended June 30, 2022, respectively, and was reported in “Selling, General and Administrative” on our Condensed Consolidated Statements of Operations.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6 – Borrowings and Other Debt Obligations</w:t>
      </w:r>
    </w:p>
    <w:tbl>
      <w:tblPr>
        <w:tblW w:w="10205" w:type="dxa"/>
        <w:jc w:val="center"/>
        <w:tblInd w:w="0" w:type="dxa"/>
        <w:tblLayout w:type="fixed"/>
        <w:tblCellMar>
          <w:top w:w="28" w:type="dxa"/>
          <w:left w:w="28" w:type="dxa"/>
          <w:bottom w:w="28" w:type="dxa"/>
          <w:right w:w="28" w:type="dxa"/>
        </w:tblCellMar>
      </w:tblPr>
      <w:tblGrid>
        <w:gridCol w:w="2495"/>
        <w:gridCol w:w="2184"/>
        <w:gridCol w:w="2203"/>
        <w:gridCol w:w="283"/>
        <w:gridCol w:w="829"/>
        <w:gridCol w:w="146"/>
        <w:gridCol w:w="109"/>
        <w:gridCol w:w="109"/>
        <w:gridCol w:w="109"/>
        <w:gridCol w:w="372"/>
        <w:gridCol w:w="1089"/>
        <w:gridCol w:w="277"/>
      </w:tblGrid>
      <w:tr>
        <w:trPr/>
        <w:tc>
          <w:tcPr>
            <w:tcW w:w="2495"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6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88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688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688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688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6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6.50% Senior Secured Notes due 2028 “2028 Senior Secured Notes”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11.00% Exit Notes due 2024 “Exit Notes”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6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11.00% Exit Notes due 2024 “Exit Notes”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6.50% Senior Secured Notes due 2028 “2028 Senior Secured Notes”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8.625% Senior Notes due 2030 “2030 Senior Notes”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Portion Finance Leases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Exit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13, 2019, Weatherford International Ltd., a Bermuda exempted company (“Weatherford Bermuda”) issued 11.00% senior unsecured notes in aggregate principal amount of $2.1 billion maturing December 1, 2024 (the “Exit Notes”). Interest was payable semiannually on June 1 and December 1 of each year. The Exit Notes have been refinanced or redeemed in the years since issuance. During 2023, we redeemed $20 million in principal of our Exit Notes in the first quarter and redeemed the remaining principal of $105 million in the second quarter.</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2028 Senior Secured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2021, Weatherford Bermuda issued 6.50% senior secured notes in aggregate principal amount of $500 million maturing September 15, 2028 (the “2028 Senior Secured Notes”). Interest is payable semiannually on September 15 and March 15 of each year, and commenced on March 15, 2022. On April 19, 2023, Weatherford Bermuda, the Company and Weatherford International, LLC, a Delaware limited liability company (“Weatherford Delaware”), entered into a Second Supplemental Indenture relating to the 2028 Senior Secured Notes which amended the “Limitation on Restricted Payments” covenant to permit the purchase, repurchase, redemption, defeasance or other acquisition or retirement of the Exit Notes. In the second quarter of 2023 and for the six months ended June 30, 2023, we repurchased $54 million and $96 million in principal, respectively, of our 2028 Senior Secured Notes. At June 30, 2023, the carrying value represents the remaining unpaid principal of $396 million offset by unamortized deferred issuance cost of $9 million. At December 31, 2022, the carrying value represented unpaid principal of $492 million offset by unamortized deferred issuance cost of $10 million.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2030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27, 2021, Weatherford Bermuda issued 8.625% senior notes in aggregate principal amount of $1.6 billion maturing April 30, 2030 (the “2030 Senior Notes”). Interest is payable semiannually on June 1 and December 1 of each year, and commenced on June 1, 2022. On December 1, 2022, the indenture related to our 2030 Senior Notes was amended and supplemented to add Weatherford Delaware as co-issuer and co-obligor, and concurrently releases the guarantee of Weatherford Delaware. At June 30, 2023 and December 31, 2022, the carrying value represents the remaining unpaid principal of $1.6 billion offset by unamortized deferred issuance cost of $14 million in each period,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Bermuda, Weatherford Delaware, and Weatherford Canada Ltd. (“Weatherford Canada”), together, as borrowers, and the Company as parent, have an amended and restated credit agreement (the “Credit Agreement”). The Credit Agreement allows for a total commitment amount of $400 million maturing on October 17, 2026 (subject to a $250 million minimum liquidity covenant and a minimum interest coverage ratio and maximum ratio of funded debt). On March 24, 2023, we further amended the Credit Agreement to permit unlimited prepayments and other redemptions of indebtedness subject to (i) the ratio of funded debt (net of unrestricted cash in excess of $400 million) to consolidated adjusted EBITDA as defined in the Credit Agreement, not exceeding 2.50 to 1.00, (ii) no default or event of default existing and (iii) aggregate proforma liquidity in the event of a debt reduction equaling or exceeding $300 million (which previously was $350 million). The material terms of the Credit Agreement are otherwise unchanged. The obligations under the Credit Agreement are guaranteed by the Company and certain of our subsidiaries and secured by substantially all of the personal property of the Company and those subsidiaries.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$385 million of letters of credit outstanding, consisting of the $250 million under the Credit Agreement and another $135 million under various uncommitted bi-lateral facilities (of which there was $128 million in cash collateral held and recorded in “Restricted Cash” on the Condensed Consolidated Balance Sheets). As of December 31, 2022, we had $395 million of letters of credit outstanding, consisting of the $195 million under the Credit Agreement and another $200 million under various uncommitted bi-lateral facilities (of which there was $199 million in cash collateral held and recorded in “Restricted Cash” on the Condensed Consolidated Balance Sheets). As of June 30, 2023 and December 31, 2022, our revolving loan capacity available was $45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Accrued Interest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we had accrued interest of approximately $19 million and $22 million, respectively, in “Other Current Liabilities” primarily related to our outstanding debt as of the respective dates.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Fair Value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our short-term borrowings approximates their fair value due to their short maturities.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observable inputs in less active markets. The table below presents the fair value and carrying value of our long-term debt (excluding finance leases).</w:t>
      </w:r>
    </w:p>
    <w:tbl>
      <w:tblPr>
        <w:tblW w:w="9023" w:type="dxa"/>
        <w:jc w:val="center"/>
        <w:tblInd w:w="0" w:type="dxa"/>
        <w:tblLayout w:type="fixed"/>
        <w:tblCellMar>
          <w:top w:w="28" w:type="dxa"/>
          <w:left w:w="28" w:type="dxa"/>
          <w:bottom w:w="28" w:type="dxa"/>
          <w:right w:w="28" w:type="dxa"/>
        </w:tblCellMar>
      </w:tblPr>
      <w:tblGrid>
        <w:gridCol w:w="1350"/>
        <w:gridCol w:w="1187"/>
        <w:gridCol w:w="1197"/>
        <w:gridCol w:w="324"/>
        <w:gridCol w:w="948"/>
        <w:gridCol w:w="167"/>
        <w:gridCol w:w="230"/>
        <w:gridCol w:w="671"/>
        <w:gridCol w:w="118"/>
        <w:gridCol w:w="109"/>
        <w:gridCol w:w="109"/>
        <w:gridCol w:w="109"/>
        <w:gridCol w:w="324"/>
        <w:gridCol w:w="948"/>
        <w:gridCol w:w="167"/>
        <w:gridCol w:w="229"/>
        <w:gridCol w:w="669"/>
        <w:gridCol w:w="167"/>
      </w:tblGrid>
      <w:tr>
        <w:trPr/>
        <w:tc>
          <w:tcPr>
            <w:tcW w:w="135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11.00% Exit Notes due 2024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6.50% Senior Secured Notes due 2028</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8.625% Senior Notes due 2030</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(excluding Finance Leases)</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7 – Disputes, Litigation and Legal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litigation and settlements recorded in “Other Current Liabilities” on the accompanying Condensed Consolidated Balance Sheets as of June 30, 2023 and December 31, 2022 were $46 million and $41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GAMCO Shareholder Litigation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the Court granted the motion on May 14, 2021. URS appealed the Court’s Opinion on Dismissal to the Court of Appeals for the Fifth Circuit, and the parties are continuing to await a decision. We cannot reliably predict the outcome of the claims, including the amount of any possible loss.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8 – Shareholders’ Equity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shares issued and outstanding on our Condensed Consolidated Balance Sheets from 71 million as of December 31, 2022 to 72 million as of June 30, 2023, was due to equity awards granted, vested, and exercised, net of shares withheld for taxes. The following summarizes our shareholders’ equity activity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039"/>
        <w:gridCol w:w="438"/>
        <w:gridCol w:w="442"/>
        <w:gridCol w:w="109"/>
        <w:gridCol w:w="109"/>
        <w:gridCol w:w="109"/>
        <w:gridCol w:w="250"/>
        <w:gridCol w:w="731"/>
        <w:gridCol w:w="129"/>
        <w:gridCol w:w="109"/>
        <w:gridCol w:w="109"/>
        <w:gridCol w:w="109"/>
        <w:gridCol w:w="211"/>
        <w:gridCol w:w="637"/>
        <w:gridCol w:w="109"/>
        <w:gridCol w:w="109"/>
        <w:gridCol w:w="109"/>
        <w:gridCol w:w="109"/>
        <w:gridCol w:w="469"/>
        <w:gridCol w:w="836"/>
        <w:gridCol w:w="243"/>
        <w:gridCol w:w="109"/>
        <w:gridCol w:w="109"/>
        <w:gridCol w:w="109"/>
        <w:gridCol w:w="455"/>
        <w:gridCol w:w="780"/>
        <w:gridCol w:w="236"/>
        <w:gridCol w:w="109"/>
        <w:gridCol w:w="109"/>
        <w:gridCol w:w="109"/>
        <w:gridCol w:w="376"/>
        <w:gridCol w:w="832"/>
        <w:gridCol w:w="195"/>
        <w:gridCol w:w="162"/>
      </w:tblGrid>
      <w:tr>
        <w:trPr/>
        <w:tc>
          <w:tcPr>
            <w:tcW w:w="103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Retained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Awards Granted, Vested and Exercised,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Awards Granted, Vested and Exercised,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Awards Granted, Vested and Exercised,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Awards Granted, Vested and Exercised,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our accumulated other comprehensive income (loss) by component for the six months ended June 30, 2023 and 2022:</w:t>
      </w:r>
    </w:p>
    <w:tbl>
      <w:tblPr>
        <w:tblW w:w="8771" w:type="dxa"/>
        <w:jc w:val="center"/>
        <w:tblInd w:w="0" w:type="dxa"/>
        <w:tblLayout w:type="fixed"/>
        <w:tblCellMar>
          <w:top w:w="28" w:type="dxa"/>
          <w:left w:w="28" w:type="dxa"/>
          <w:bottom w:w="28" w:type="dxa"/>
          <w:right w:w="28" w:type="dxa"/>
        </w:tblCellMar>
      </w:tblPr>
      <w:tblGrid>
        <w:gridCol w:w="971"/>
        <w:gridCol w:w="853"/>
        <w:gridCol w:w="860"/>
        <w:gridCol w:w="898"/>
        <w:gridCol w:w="1604"/>
        <w:gridCol w:w="467"/>
        <w:gridCol w:w="636"/>
        <w:gridCol w:w="1132"/>
        <w:gridCol w:w="331"/>
        <w:gridCol w:w="109"/>
        <w:gridCol w:w="109"/>
        <w:gridCol w:w="211"/>
        <w:gridCol w:w="43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 Adjustment</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Defined Benefit Pension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2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2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9 – Income (Loss) per Share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for all periods presented equals net income (loss) divided by our weighted average shares outstanding during the period. Diluted income (loss) per share is computed by dividing net income (loss) by our weighted average shares outstanding during the period including potential dilutive ordinary shares. Antidilutive shares represent securities that could potentially dilute income (loss) per share in the future, which are excluded from the computation as their impact was antidilutive. These include potential ordinary shares issuable for restricted share units, performance share units, phantom restricted share units, and outstanding warrants. Our basic and dilutive weighted average shares outstanding for periods presented with a net loss are equivalent as the inclusion of potential dilutive securities is antidilutive. A reconciliation of the number of shares used for the basic and diluted income (loss) per share calculation was as follows:</w:t>
      </w:r>
    </w:p>
    <w:tbl>
      <w:tblPr>
        <w:tblW w:w="10205" w:type="dxa"/>
        <w:jc w:val="center"/>
        <w:tblInd w:w="0" w:type="dxa"/>
        <w:tblLayout w:type="fixed"/>
        <w:tblCellMar>
          <w:top w:w="28" w:type="dxa"/>
          <w:left w:w="28" w:type="dxa"/>
          <w:bottom w:w="28" w:type="dxa"/>
          <w:right w:w="28" w:type="dxa"/>
        </w:tblCellMar>
      </w:tblPr>
      <w:tblGrid>
        <w:gridCol w:w="1773"/>
        <w:gridCol w:w="1550"/>
        <w:gridCol w:w="1556"/>
        <w:gridCol w:w="328"/>
        <w:gridCol w:w="797"/>
        <w:gridCol w:w="169"/>
        <w:gridCol w:w="328"/>
        <w:gridCol w:w="797"/>
        <w:gridCol w:w="169"/>
        <w:gridCol w:w="109"/>
        <w:gridCol w:w="109"/>
        <w:gridCol w:w="109"/>
        <w:gridCol w:w="284"/>
        <w:gridCol w:w="690"/>
        <w:gridCol w:w="146"/>
        <w:gridCol w:w="284"/>
        <w:gridCol w:w="789"/>
        <w:gridCol w:w="218"/>
      </w:tblGrid>
      <w:tr>
        <w:trPr/>
        <w:tc>
          <w:tcPr>
            <w:tcW w:w="177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per share amounts)</w:t>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Weatherford</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Awards Granted in Stock Incentive Plans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Attributable to Weatherford</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 Attributable to Weatherford</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10 – Income Taxes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changed to calculating the income tax provision using the estimated annual effective tax rate method in accordance with Accounting Standards Codification “ASC” 740 - Income Taxes and is no longer applying the exception, which allowed the use of the year-to-date effective tax rate method. We believed the change was appropriate as we are more reliably able to calculate the estimated annual effective tax rate due to sustained profitability and confidence in future earnings. This method is applied for the three and six months ended June 30,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2022, we determined our quarterly tax provision using the year-to-date effective tax rate method because the estimated annual approach was not reliable given that small changes in estimated ordinary annual income resulted in significant changes in our estimated annual effective tax rate.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June 30, 2023, we recognized a tax benefit of $16 million and for the six months ended June 30, 2023, we recognized a tax expense of $22 million, compared to the three and six months ended June 30, 2022 where we recognized tax expense of $12 million and $40 million,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deemed profit countries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income tax expense was lower by $67 million, respectively, due to the release of valuation allowances and the recognition of a benefit from previously uncertain tax positions in the second quarter. Those benefits were offset by the establishment of valuation allowance of approximately $20 million related to the $57 million loss on the sale of Blue Chip Swap securities in Argentina, further described in the following footnote. During the three and six months ended June 30, 2022, income tax expense was lower by $27 million, respectively, due the recognition of a benefit from previously uncertain tax positions.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routinely undergo tax examination in various jurisdictions. We cannot predict the timing or outcome regarding resolution of these tax examinations or if they will have a material impact on our financial statements. As of June 30, 2023, we anticipate that it is reasonably possible that our uncertain tax positions of $257 million, including interest and penalties, may decrease by up to $5 million in the next twelve months due to expiration of statutes of limitations, settlements and/or conclusions of tax examinations.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11 – Blue Chip Swap Securities - Argentina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limited our ability to access U.S. dollars in Argentina and to remit cash from our Argentine operations. During the second quarter of 2023 we utilized an indirect foreign exchange mechanism known as a Blue Chip Swap (“BCS”) to remit U.S. dollars from Argentina through the purchase and sale of BCS securities. The transactions were completed at implied exchange rates (“BCS rates”) that were approximately 106% higher than the official exchange rate resulting in a loss of $57 million during the second quarter of 2023. We continue to use the official exchange rate for remeasurement of our Argentine peso-denominated net monetary assets under U.S. GAAP as the BCS rate does not meet the criteria for remeasurement under U.S.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operations in approximately 75 countries, answering the challenges of the energy industry with 340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Drilling and Evaluation</w:t>
      </w:r>
      <w:r>
        <w:rPr>
          <w:color w:val="000000"/>
        </w:rPr>
        <w:t xml:space="preserve"> </w:t>
      </w:r>
      <w:r>
        <w:rPr>
          <w:rFonts w:ascii="Times New Roman;sans-serif" w:hAnsi="Times New Roman;sans-serif"/>
          <w:b/>
          <w:i/>
          <w:color w:val="000000"/>
          <w:sz w:val="20"/>
        </w:rPr>
        <w:t>(“DRE”)</w:t>
      </w:r>
      <w:r>
        <w:rPr>
          <w:color w:val="000000"/>
        </w:rPr>
        <w:t xml:space="preserve"> </w:t>
      </w:r>
      <w:r>
        <w:rPr>
          <w:rFonts w:ascii="Times New Roman;sans-serif" w:hAnsi="Times New Roman;sans-serif"/>
          <w:b w:val="false"/>
          <w:color w:val="000000"/>
          <w:sz w:val="20"/>
        </w:rPr>
        <w:t xml:space="preserve">offers a suite of services including managed pressure drilling, drilling services, wireline and drilling fluids. DRE offerings range from early well planning to reservoir management through innovative tools and expert engineering to optimize reservoir access and productivity.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Well Construction and Completions (“WCC”)</w:t>
      </w:r>
      <w:r>
        <w:rPr>
          <w:color w:val="000000"/>
        </w:rPr>
        <w:t xml:space="preserve"> </w:t>
      </w:r>
      <w:r>
        <w:rPr>
          <w:rFonts w:ascii="Times New Roman;sans-serif" w:hAnsi="Times New Roman;sans-serif"/>
          <w:b w:val="false"/>
          <w:color w:val="000000"/>
          <w:sz w:val="20"/>
        </w:rPr>
        <w:t>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Production and Intervention (“PRI”)</w:t>
      </w:r>
      <w:r>
        <w:rPr>
          <w:color w:val="000000"/>
        </w:rPr>
        <w:t xml:space="preserve"> </w:t>
      </w:r>
      <w:r>
        <w:rPr>
          <w:rFonts w:ascii="Times New Roman;sans-serif" w:hAnsi="Times New Roman;sans-serif"/>
          <w:b w:val="false"/>
          <w:color w:val="000000"/>
          <w:sz w:val="20"/>
        </w:rPr>
        <w:t>offers production optimization technologies through the Company’s ability to design and deliver a complete production ecosystem ranging from boosting productivity to responsible end of life well abandonment for our customers. The primary offerings are intervention services &amp; drilling tools, artificial lift, digital solutions (previously production automation &amp; software), sub-sea intervention and pressure pumping services in select markets. PRI utilizes a suite of reservoir stimulation designs, and engineering capabilities that help isolate zones and unlock reserves in conventional and unconventional wells, deep water, and aging reservoirs.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Industry Trends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the average oil and natural gas prices for West Texas Intermediate (“WTI”) and Brent North Sea (“Brent”) crude oil and Henry Hub natural gas. </w:t>
      </w:r>
    </w:p>
    <w:tbl>
      <w:tblPr>
        <w:tblW w:w="10205" w:type="dxa"/>
        <w:jc w:val="center"/>
        <w:tblInd w:w="0" w:type="dxa"/>
        <w:tblLayout w:type="fixed"/>
        <w:tblCellMar>
          <w:top w:w="28" w:type="dxa"/>
          <w:left w:w="28" w:type="dxa"/>
          <w:bottom w:w="28" w:type="dxa"/>
          <w:right w:w="28" w:type="dxa"/>
        </w:tblCellMar>
      </w:tblPr>
      <w:tblGrid>
        <w:gridCol w:w="124"/>
        <w:gridCol w:w="109"/>
        <w:gridCol w:w="944"/>
        <w:gridCol w:w="920"/>
        <w:gridCol w:w="925"/>
        <w:gridCol w:w="126"/>
        <w:gridCol w:w="126"/>
        <w:gridCol w:w="126"/>
        <w:gridCol w:w="408"/>
        <w:gridCol w:w="1195"/>
        <w:gridCol w:w="211"/>
        <w:gridCol w:w="211"/>
        <w:gridCol w:w="245"/>
        <w:gridCol w:w="838"/>
        <w:gridCol w:w="126"/>
        <w:gridCol w:w="126"/>
        <w:gridCol w:w="126"/>
        <w:gridCol w:w="174"/>
        <w:gridCol w:w="174"/>
        <w:gridCol w:w="174"/>
        <w:gridCol w:w="228"/>
        <w:gridCol w:w="308"/>
        <w:gridCol w:w="900"/>
        <w:gridCol w:w="158"/>
        <w:gridCol w:w="211"/>
        <w:gridCol w:w="721"/>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59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5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203"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211" w:type="dxa"/>
            <w:tcBorders/>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Oil price - WTI </w:t>
            </w:r>
            <w:r>
              <w:rPr>
                <w:rFonts w:ascii="Times New Roman;sans-serif" w:hAnsi="Times New Roman;sans-serif"/>
                <w:b w:val="false"/>
                <w:color w:val="000000"/>
                <w:sz w:val="13"/>
              </w:rPr>
              <w:t>(1)</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Oil price - Brent </w:t>
            </w:r>
            <w:r>
              <w:rPr>
                <w:rFonts w:ascii="Times New Roman;sans-serif" w:hAnsi="Times New Roman;sans-serif"/>
                <w:b w:val="false"/>
                <w:color w:val="000000"/>
                <w:sz w:val="13"/>
              </w:rPr>
              <w:t>(1)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Natural gas price - Henry Hub </w:t>
            </w:r>
            <w:r>
              <w:rPr>
                <w:rFonts w:ascii="Times New Roman;sans-serif" w:hAnsi="Times New Roman;sans-serif"/>
                <w:b w:val="false"/>
                <w:color w:val="000000"/>
                <w:sz w:val="13"/>
              </w:rPr>
              <w:t>(2)</w:t>
            </w:r>
          </w:p>
        </w:tc>
        <w:tc>
          <w:tcPr>
            <w:tcW w:w="37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Oil price measured in dollars per barrel (rounded to the nearest $0.01)</w:t>
            </w:r>
          </w:p>
        </w:tc>
        <w:tc>
          <w:tcPr>
            <w:tcW w:w="522" w:type="dxa"/>
            <w:gridSpan w:val="3"/>
            <w:tcBorders/>
            <w:vAlign w:val="center"/>
          </w:tcPr>
          <w:p>
            <w:pPr>
              <w:pStyle w:val="TableContents"/>
              <w:bidi w:val="0"/>
              <w:spacing w:before="0" w:after="283"/>
              <w:jc w:val="left"/>
              <w:rPr>
                <w:sz w:val="4"/>
                <w:szCs w:val="4"/>
              </w:rPr>
            </w:pPr>
            <w:r>
              <w:rPr>
                <w:sz w:val="4"/>
                <w:szCs w:val="4"/>
              </w:rPr>
            </w:r>
          </w:p>
        </w:tc>
        <w:tc>
          <w:tcPr>
            <w:tcW w:w="2797"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3" w:type="dxa"/>
            <w:gridSpan w:val="15"/>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Natural gas price measured in dollars per million British thermal units (rounded to the nearest $0.01)</w:t>
            </w:r>
          </w:p>
        </w:tc>
        <w:tc>
          <w:tcPr>
            <w:tcW w:w="522" w:type="dxa"/>
            <w:gridSpan w:val="3"/>
            <w:tcBorders/>
            <w:vAlign w:val="center"/>
          </w:tcPr>
          <w:p>
            <w:pPr>
              <w:pStyle w:val="TableContents"/>
              <w:bidi w:val="0"/>
              <w:spacing w:before="0" w:after="283"/>
              <w:jc w:val="left"/>
              <w:rPr>
                <w:sz w:val="4"/>
                <w:szCs w:val="4"/>
              </w:rPr>
            </w:pPr>
            <w:r>
              <w:rPr>
                <w:sz w:val="4"/>
                <w:szCs w:val="4"/>
              </w:rPr>
            </w:r>
          </w:p>
        </w:tc>
        <w:tc>
          <w:tcPr>
            <w:tcW w:w="2797" w:type="dxa"/>
            <w:gridSpan w:val="8"/>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historical average rig counts based on the weekly Baker Hughes Company rig count information. </w:t>
      </w:r>
    </w:p>
    <w:tbl>
      <w:tblPr>
        <w:tblW w:w="8120" w:type="dxa"/>
        <w:jc w:val="center"/>
        <w:tblInd w:w="0" w:type="dxa"/>
        <w:tblLayout w:type="fixed"/>
        <w:tblCellMar>
          <w:top w:w="28" w:type="dxa"/>
          <w:left w:w="28" w:type="dxa"/>
          <w:bottom w:w="28" w:type="dxa"/>
          <w:right w:w="28" w:type="dxa"/>
        </w:tblCellMar>
      </w:tblPr>
      <w:tblGrid>
        <w:gridCol w:w="472"/>
        <w:gridCol w:w="415"/>
        <w:gridCol w:w="418"/>
        <w:gridCol w:w="109"/>
        <w:gridCol w:w="109"/>
        <w:gridCol w:w="109"/>
        <w:gridCol w:w="938"/>
        <w:gridCol w:w="938"/>
        <w:gridCol w:w="308"/>
        <w:gridCol w:w="308"/>
        <w:gridCol w:w="176"/>
        <w:gridCol w:w="450"/>
        <w:gridCol w:w="409"/>
        <w:gridCol w:w="409"/>
        <w:gridCol w:w="409"/>
        <w:gridCol w:w="135"/>
        <w:gridCol w:w="135"/>
        <w:gridCol w:w="135"/>
        <w:gridCol w:w="308"/>
        <w:gridCol w:w="308"/>
        <w:gridCol w:w="176"/>
        <w:gridCol w:w="308"/>
        <w:gridCol w:w="308"/>
        <w:gridCol w:w="176"/>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738" w:type="dxa"/>
            <w:gridSpan w:val="7"/>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42"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tcBorders/>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Worldwide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Russia Ukraine Conflict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 With respect to our continued operations in Russia, we continuously monitor developments in the conflict, changes in sanctions against Russia and restrictions imposed on western companies operating in Russia along with other associated risks including potential nationalization of our assets in Russia.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in Russia were approximately 6% of our total revenues for both the three and six months ended June 30, 2023 and June 30, 2022, respectively. As of June 30, 2023, our Russia operations include $57 million in cash, $85 million in other current assets, $58 million in property, plant and equipment and other non-current assets, and $44 million in liabilities. As the Russia Ukraine Conflict and related sanctions persist or are escalated, our business may be negatively impacted, potentially lowering revenues or triggering asset impairments in Russia.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Consolidated Statements of Operations - Operating Summary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of $1.3 billion and $2.5 billion in the three and six months ended June 30, 2023, increased 20% and 23% compared to $1.1 billion and $2.0 billion in the three and six months ended June 30, 2022, respectively. Year-over-year in the second quarter, product revenues increased 18% and service revenues increased 21%. DRE, WCC, and PRI contributed to 37%, 27% and 10% of the increase in revenues, respectively, with the remainder coming from higher activity in integrated services and projects. Year-over-year in the six months ended June 30, product revenues increased 23% and service revenues increased 23%. DRE, WCC, and PRI contributed to 34%, 29% and 18% of the increase in revenues, respectively, with the remaining 18% from higher activity in integrated services and projects.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80% of our revenue increase in each of the three and six months June 30, was due to increased customer demand, which management believes is attributable to greater investment in oil and gas production capacity on a global basis, caused by a desire to drive energy security and to meet global consumption needs. The production capacity increase is consistent with the increase in global rig counts, which increased by 9% and 12% year-over-year in the three and six months ended June 30,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Geographically, the year-over-year second quarter revenue growth was led by improvements in Latin America, Middle East/North Africa/Asia, and Europe/Sub-Sahara Africa/Russia, which contributed to 50%, 34%, and 17% of the increase, respectively, partially offset by decline of 1% in North America. The year-over-year six months ended June 30 revenue growth was led by improvements in Latin America, Middle East/North Africa/Asia, Europe/Sub-Sahara Africa/Russia and North America, which contributed to 43%, 30%, 17% and 10% of the increase,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and six months ended June 30, 2023, the U.S. accounted for 17% and 18% of revenue, respectively, and Mexico accounted for 13% in each period, respectively. In the three and six months ended June 30, 2022, the U.S. accounted for 19% of revenue in each period. No other country accounted for more than 10% of our revenue in the periods presented in these financials.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of $847 million and $1.6 billion in the three and six months ended June 30, 2023, increased 12% and 14% compared to $756 million and $1.4 billion in the three and six months ended June 30, 2022, respectively. Approximately 80% of our increase in each of the three and six months ended June 30, 2023 was attributable to cost increases necessary to meet increased demand, with a larger portion of the remainder from a shift in service and product mix and the rest due to inflation in the cost of labor and materials. Our cost of products and services as a percentage of revenues was 66% and 67% in the three and six months ended June 30, 2023, compared to 71% and 72% in the three and six months ended June 30, 2022. The improvement was primarily driven by improved utilization of service-related resources.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administrative and research and development costs of $225 million and $441 million in the three and six months ended June 30, 2023, increased 3% and 6% compared to $218 million and $417 million in the three and six months ended June 30, 2022, respectively. The increase primarily reflects an increase in research and development investment in newer technologies and an increase in overhead to support the organization growth. Selling, general, administrative and research and development costs as a percentage of revenues was 18% in both in the three and six months ended June 30, 2023, respectively, a decrease compared to 21% in both the three and six months ended June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was $31 million and $62 million in the three and six months ended June 30, 2023, respectively, and $48 million and $96 million in the three and six months ended June 30, 2022. Interest expense, net is interest expense net of interest income, and overall has decreased in the periods presented primarily due to a decrease in interest expense on our outstanding long-term debt and an increase of interest income.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$47 million and $94 million in the three and six months ended June 30, 2023, respectively, and $54 million and $107 million in the three and six months ended June 30, 2022, respectively. Interest expense has decreased in the periods presented primarily due to the reduction in our outstanding long-term debt. As of June 30, 2023, we have fully repaid our outstanding Exit Notes and have made partial repurchases of principal on our 2028 Senior Secured Notes since June 30, 2022. See “Note 6 – Borrowings and Other Debt Obligations” to our Condensed Consolidated Financial Statements for additional details.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was $16 million and $32 million in the three and six months ended June 30, 2023, respectively, and $6 million and $11 million in the three and six months ended June 30, 2022. Interest income has increased primarily due to higher interest rates on short-term demand deposits.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Blue Chip Swap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indirect foreign exchange mechanism known as the Blue Chip Swap (“BCS”) allows entities to remit U.S. dollars from operations in Argentina. We entered into a series of BCS securities transactions that resulted in a “Loss on Blue Chip Swap Securities” of $57 million in both the three and six months ended June 30, 2023. We may enter into additional BCS transactions in the future which may drive additional losses to the extent that the implied exchange rates are higher than the official exchange rates. See “Note 11 – Blue Chip Swap Securities - Argentina” to our Condensed Consolidated Financial Statements for additional details.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net was $39 million and $74 million in the three and six months ended June 30, 2023, respectively, and $32 million and $48 million in the three and six ended June 30, 2022, respectively. Other expense, net primarily represents foreign exchange losses attributed to currency losses in countries with no or limited markets to hedge, letter of credit fees and other financing charges, including when applicable, bond redemption premiums partially offset by certain investment gains and losses. When economically advantageous, we enter into foreign currency forward contracts to mitigate the risk of future cash flows denominated in a foreign currency.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Foreign exchange losses in the three and six months ended June 30, 2023 were primarily attributable to currency losses on the Argentinian Peso. Foreign exchanges losses in the three and six months ended June 30, 2022 were primarily attributed to changes in fair value and settlements of certain foreign currency forward contracts.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 Please see “Note 10 – Income Taxes” to our Condensed Consolidated Financial Statements for additional details.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Results of Operations by Segment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information by segment is summarized below. </w:t>
      </w:r>
    </w:p>
    <w:tbl>
      <w:tblPr>
        <w:tblW w:w="8102" w:type="dxa"/>
        <w:jc w:val="center"/>
        <w:tblInd w:w="0" w:type="dxa"/>
        <w:tblLayout w:type="fixed"/>
        <w:tblCellMar>
          <w:top w:w="28" w:type="dxa"/>
          <w:left w:w="28" w:type="dxa"/>
          <w:bottom w:w="28" w:type="dxa"/>
          <w:right w:w="28" w:type="dxa"/>
        </w:tblCellMar>
      </w:tblPr>
      <w:tblGrid>
        <w:gridCol w:w="1267"/>
        <w:gridCol w:w="1110"/>
        <w:gridCol w:w="1118"/>
        <w:gridCol w:w="211"/>
        <w:gridCol w:w="631"/>
        <w:gridCol w:w="271"/>
        <w:gridCol w:w="211"/>
        <w:gridCol w:w="631"/>
        <w:gridCol w:w="271"/>
        <w:gridCol w:w="109"/>
        <w:gridCol w:w="109"/>
        <w:gridCol w:w="109"/>
        <w:gridCol w:w="211"/>
        <w:gridCol w:w="481"/>
        <w:gridCol w:w="109"/>
        <w:gridCol w:w="268"/>
        <w:gridCol w:w="272"/>
        <w:gridCol w:w="55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Favorable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(Unfavorable)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or 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(Dollars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Revenues: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w:t>
            </w:r>
            <w:r>
              <w:rPr>
                <w:color w:val="000000"/>
              </w:rPr>
              <w: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Margins: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tbl>
      <w:tblPr>
        <w:tblW w:w="8043" w:type="dxa"/>
        <w:jc w:val="center"/>
        <w:tblInd w:w="0" w:type="dxa"/>
        <w:tblLayout w:type="fixed"/>
        <w:tblCellMar>
          <w:top w:w="28" w:type="dxa"/>
          <w:left w:w="28" w:type="dxa"/>
          <w:bottom w:w="28" w:type="dxa"/>
          <w:right w:w="28" w:type="dxa"/>
        </w:tblCellMar>
      </w:tblPr>
      <w:tblGrid>
        <w:gridCol w:w="1267"/>
        <w:gridCol w:w="1110"/>
        <w:gridCol w:w="1118"/>
        <w:gridCol w:w="211"/>
        <w:gridCol w:w="631"/>
        <w:gridCol w:w="271"/>
        <w:gridCol w:w="211"/>
        <w:gridCol w:w="631"/>
        <w:gridCol w:w="271"/>
        <w:gridCol w:w="109"/>
        <w:gridCol w:w="109"/>
        <w:gridCol w:w="109"/>
        <w:gridCol w:w="211"/>
        <w:gridCol w:w="481"/>
        <w:gridCol w:w="109"/>
        <w:gridCol w:w="239"/>
        <w:gridCol w:w="242"/>
        <w:gridCol w:w="55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Favorable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(Unfavorable)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or 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(Dollars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Revenues: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2,002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w:t>
            </w:r>
            <w:r>
              <w:rPr>
                <w:color w:val="000000"/>
              </w:rPr>
              <w: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Margins: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DRE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DRE revenues of $394 million and $766 million in the three and six months ended June 30, 2023, increased $77 million or 24%, and $157 million or 26%, compared to $317 million and $609 million in the three and six months ended June 30, 2022,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the year-over-year revenue increase in the second quarter of 2023, approximately 65% was from drilling-related services. Geographically, international regions contributed approximately 90% to the overall revenue growth and approximately half of the international growth came from Latin America. The increase in revenue was attributable to higher activity.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year-over-year revenue increase in the six months ended June 30, 2023, approximately 70% was from drilling-related services. Geographically, Latin America contributed approximately 50% to the overall revenue growth, with each remaining geography contributing equally. The increase in revenue was approximately 85% attributable to higher activity with the remainder primarily attributable to pricing.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 of $106 million and $214 million in the three and six months ended June 30, 2023, increased $37 million or 54%, and $86 million or 67%, compared to $69 million and $128 million in the three and six months ended June 30, 2022. DRE segment adjusted EBITDA margin was 26.9% and 27.9% in the three and six months ended June 30, 2023, compared to 21.8% and 21.0% in the three and six months ended June 30, 2022. The improvement in segment adjusted EBITDA was more than half attributable to pricing, including timing of cost inflation related recoveries with the remainder from higher activity.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WCC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WCC revenues of $440 million and $861 million in the three and six months ended June 30, 2023, increased $57 million or 15%, and $134 million or 18%, compared to $383 million and $727 million in the three and six months ended June 30, 2022, respectively.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year-over-year revenue increase in the second quarter 2023, approximately 95% was from completions and cementation products. Geographically, international regions contributed approximately to all of the overall revenue growth, and approximately 55% of the international growth came from Latin America.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the year-over-year revenue increase in the six months ended June 30, 2023, approximately 80% was from cementation products and completions. Geographically, international regions contributed approximately 90% to the overall revenue growth, and approximately 40% of the international growth came from Latin America, with the rest of the international regions contributing equally.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WCC segment adjusted EBITDA of $109 million and $205 million in the three and six months ended June 30, 2023, increased $42 million or 63%, and $71 million or 53%, compared to $67 million and $134 million in the three and six months ended June 30, 2022. WCC segment adjusted EBITDA margin was 24.8% and 23.8% in the three and six months ended June 30, 2023, compared to 17.5% and 18.4% in the three and six months ended June 30, 2022. The increase in revenue and segment adjusted EBITDA was primarily attributable to higher activity, resulting in margin fall through.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PRI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 revenues of $366 million and $715 million in the three and six months ended June 30, 2023, increased $21 million or 6%, and $84 million or 13%, compared to $345 million and $631 million in the three and six months ended June 30, 2022,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year-over-year revenue increase in the second quarter of 2023, approximately 95% was from intervention services and drilling tools, pressure pumping and artificial lift. Geographically, Latin America contributed approximately 70% to the regions with overall revenue growth, offset by a revenue decline in North America.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year-over-year revenue increase in the six months ended June 30, 2023, approximately 90% was from intervention services and drilling tools, pressure pumping and artificial lift. Geographically, international regions contributed approximately 90% to the overall revenue growth and approximately half of the international growth came from Latin America.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 of $81 million and $149 million in the three and six months ended June 30, 2023, increased $13 million or 19%, and $42 million, or 39%, compared to $68 million and $107 million in the three and six months ended June 30, 2022. PRI segment adjusted EBITDA margin was 22.1% and 20.8% in the three and six months ended June 30, 2023, an improvement compared to 19.7% and 17.0% in the three and six months ended June 30, 2022. The increase in revenue and segment adjusted EBITDA was primarily attributable to higher activity, resulting in margin fall through.</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All Other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Other revenues of $74 million and $118 million in the three and six months ended June 30, 2023, increased $55 million or 289%, and $83 million or 237%, compared to $19 million and $35 million in the three and six months ended June 30, 2022, respectively. The year-over-year increase was primarily due to improved results in integrated services and projects in the Middle East/North Africa/Asia and Latin America that did not individually meet the criteria for segment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Corporate was a net expense of $14 million and $26 million in the three and six months ended June 30, 2023 compared to a net expense of $18 million and $34 million in the three and six months ended June 30, 2022, respectively. The year-over-year decrease in expense was primarily due to the impact of certain one-time items in 2023 and 2022.</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was $81 million and $161 million in the three and six months ended June 30, 2023 compared to $90 million and $177 million in the three and six months ended June 30, 2022, respectively. The year-over-year decrease was primarily from a lower asset base.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 Expense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$8 million and $17 million of share-based compensation expense in the three and six months ended June 30, 2023 compared to $6 million and $13 million of share-based compensation expense in the three and six months ended June 30, 2022, respectively. The increase was primarily attributable to a higher number of performance share units expected to vest.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Outlook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Growth and spending in the energy services industry is highly dependent on many external factors. These include but are not limited to: inflation; geopolitical uncertainty; supply chain disruptions; energy policies at local and regional levels; rig counts; and the price of oil and natural gas. We continue to expect overall 2023 growth over 2022, led by increased demand in customer activity levels. We continue to closely monitor the global market and are well positioned to pivot our strategy as changes in external factors require.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pressures us to deliver our products and services at competitive rates. While we believe we are well positioned to satisfy our customers’ needs, the level of improvement in our businesses in the future will continue to depend heavily on pricing, volume of work, our ability to offer cost efficient, innovative and effective technology solutions, and our success in gaining market share in new and existing markets.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follow our long-term strategy, aimed at achieving sustainable profitability and cash flow generation in our businesses, servicing our customers and creating value for our shareholders. Our long-term success will be determined by our ability to effectively manage the cyclicality of our industry, including growth during the current up-cycles and potential prolonged industry downturns, our ability to respond to industry changes and demands, manage risks we may be exposed to, and ultimately our ability to generate consistent positive cash flow and positive returns on invested capital.</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we had cash and cash equivalents of $787 million and $135 million in restricted cash, compared to $910 million of cash and cash equivalents and $202 million in restricted cash at December 31, 2022.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cash flows provided by (used in) each type of business activity in the periods presented:</w:t>
      </w:r>
    </w:p>
    <w:tbl>
      <w:tblPr>
        <w:tblW w:w="6793" w:type="dxa"/>
        <w:jc w:val="center"/>
        <w:tblInd w:w="0" w:type="dxa"/>
        <w:tblLayout w:type="fixed"/>
        <w:tblCellMar>
          <w:top w:w="28" w:type="dxa"/>
          <w:left w:w="28" w:type="dxa"/>
          <w:bottom w:w="28" w:type="dxa"/>
          <w:right w:w="28" w:type="dxa"/>
        </w:tblCellMar>
      </w:tblPr>
      <w:tblGrid>
        <w:gridCol w:w="1579"/>
        <w:gridCol w:w="1387"/>
        <w:gridCol w:w="1399"/>
        <w:gridCol w:w="308"/>
        <w:gridCol w:w="791"/>
        <w:gridCol w:w="159"/>
        <w:gridCol w:w="308"/>
        <w:gridCol w:w="637"/>
        <w:gridCol w:w="225"/>
      </w:tblGrid>
      <w:tr>
        <w:trPr/>
        <w:tc>
          <w:tcPr>
            <w:tcW w:w="15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was $285 million for the six months ended June 30, 2023. The primary source of cash provided by operating activities was mostly attributed to more revenues billed from increased demand and more collections that more than offset our operating spend.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was $4 million for the six months ended June 30, 2022. The primary uses of cash in operating activities were working capital investments to support increased customer activity and interest payments. The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used in operating activities was minimized by accounts receivable collections and by a short-term monetization transaction we entered into during the three months ended June 30, 2022 on certain accounts receivable balances. This transaction resulted in net cash proceeds of $59 million in the three months ended June 30, 2022, which decreased our net cash outflows in the six months ended June 30,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was $122 million for the six months ended June 30, 2023. The primary investing activities were cash used for capital expenditures of $100 million and the purchase of Blue Chip Swap securities in Argentina for $110 million. The uses of cash were partially offset by Blue Chip Swap proceeds of $53 million (see Note 11 – Blue Chip Swap Securities - Argentina) and additional cash proceeds of $33 million from the sales of our investments in marketable securities in Argentina, presented as part of “Other Investing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was $7 million for the six months ended June 30, 2022. The primary investing activities included proceeds from the sale of assets of $43 million and a release of funds in escrow related to the sale of business for $9 million, which was offset by cash used for capital expenditures of $44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was $297 million for the six months ended June 30, 2023. The primary uses of cash were $230 million for repayments and repurchases of long-term debt (see “Note 6 – Borrowings and Other Debt Obligations”) and $54 million in tax remittances on equity awards vested. The tax remittances were higher than the same period of the prior year due to an increase in both the share price and the quantity of shares vested.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was $25 million for the six months ended June 30, 2022. The primary uses of cash were for finance lease payments and dividends paid to noncontrolling interests.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Sources of Liquidity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sources of available liquidity include cash generated by our operations, cash and cash equivalent balances, the borrowing capacity available to us under our Credit Agreement and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we expect to have sufficient cash from operations and cash on hand to fund our cash requirements (discussed below and in “Note 6 – Borrowings and Other Debt Obligations”) and financial obligations, both in the short-term and long-term.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requirements will continue to include payments for principal and interest on our long-term debt, capital expenditures, payments on our finance and operating leases, payments for short-term working capital needs and operating costs. To the extent business activity continues to rise, we expect to make more tax payments and to utilize cash on reducing our debt structure and invest in capital assets and our working capital. In addition, we may further invest in research and development investment in newer technologies as well as overhead to support the organization growth. Our cash requirements also include improvements made to our technology platforms and personnel costs including awards under our employee incentive programs as well as other amounts to settle litigation related matters.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our primary debt outstanding was the $396 million in aggregate principal amount of our 2028 Senior Secured Notes and $1.6 billion in aggregate principal amount of our 2030 Senior Notes. Considering the balances of our outstanding notes as of June 30, 2023, we would expect $172 million in interest payments in 2023 in total, of which we have paid $91 million during the six months ended June 30, 2023. See “Note 6 – Borrowings and Other Debt Obligations”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spending for 2023 is projected to be between 4-5% of total year revenues. Our payments on our operating and finance leases in 2023 are expected to be approximately $65 million and $20 million, respectively.</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and restricted cash are held by subsidiaries outside of Ireland. At June 30, 2023 and December 31, 2022, we had approximately $112 million and $177 million, respectively, of our cash and cash equivalents that cannot be immediately repatriated from various countries due to country central bank controls or other regulations. Repatriation of those cash balances might result in incremental taxes or losses similar to the Argentine Blue Chip Swap “BCS” transactions executed in the second quarter of 2023 (see Note 11 – Blue Chip Swap Securities - Argentina), which contributed to the decrease in cash and cash equivalents that cannot be immediately repatriated. As of June 30, 2023 and December 31, 2022, our Argentine operations include $30 million and $115 million in cash denominated in Argentine pesos, respectively. To safeguard our cash from the effects of Argentine inflation and devaluation, we may consider additional BCS transactions in the future.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Ratings Services’ Credit Ratings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ratings at June 30, 2023 were maintained since December 31, 2022.</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Standard and Poor’s corporate family and senior unsecured notes ratings are at B, and our senior secured notes and Credit Agreement ratings are BB-. The outlook is stable.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Moody’s Investors Service corporate family rating is at B2, our senior unsecured notes rating is at B3, and our senior secured notes and Credit Agreement ratings are at Ba3. The outlook is stable.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Customer Receivables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delayed customer payments and payment defaults due to, among other reasons, a weaker economic environment, reductions in our customers’ cash flow from operations, our customers’ inability to access credit markets, as well as unsettled political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our net accounts receivables in Mexico were 28% and 21% of our total net account receivables, respectively. From time to time, we experience delays in payments from customers in Mexico, and although the balances due are not in dispute and we do not expect to have any material write-offs of receivables, delays or failure to pay in the future could differ from management’s expectations and negatively impact future results of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our net accounts receivables in the U.S. was 12% of total net accounts receivables. Except for the above, no other country accounted for more than 10% of our net accounts receivables balance.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Accounts Receivable Factoring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participate in factoring arrangements to sell accounts receivable to third-party financial institutions for cash proceeds net of discounts and hold-backs. During the three and six months ended June 30, 2023, we sold accounts receivable balances of $63 million and $109 million, and received cash proceeds of $61 million and $103 million, respectively. During the three and six months ended June 30, 2022, we sold accounts receivable balances of $9 million and $26 million, and received cash proceeds of $8 million and $23 million,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Exit Notes and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Our Exit Notes were fully redeemed and repurchased in May 2023.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2030 Senior Notes were issued by Weatherford Bermuda and guaranteed by the Company and other subsidiary guarantors party thereto. On December 1, 2022, the indenture related to our 2030 Senior Notes was amended and supplemented to add Weatherford Delaware as co-issuer and co-obligor, and concurrently released the guarantee of Weatherford Delaware.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Credit Agreement, Letter of Credit and Surety Bonds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Bermuda, Weatherford Delaware, and Weatherford Canada Ltd. (“Weatherford Canada”), together, as borrowers, and the Company as parent, have an amended and restated credit agreement (the “Credit Agreement”). The Credit Agreement allows for a total commitment amount of $400 million maturing on October 17, 2026 (subject to a $250 million minimum liquidity covenant and a minimum interest coverage ratio and maximum ratio of funded debt). On March 24, 2023, we further amended the Credit Agreement to permit unlimited prepayments and other redemptions of indebtedness subject to (i) the ratio of funded debt (net of unrestricted cash in excess of $400 million) to consolidated adjusted EBITDA as defined in the Credit Agreement, not exceeding 2.50 to 1.00, (ii) no default or event of default existing and (iii) aggregate proforma liquidity in the event of a debt reduction equaling or exceeding $300 million (which previously was $350 million). The material terms of the Credit Agreement are otherwise unchanged. The obligations under the Credit Agreement are guaranteed by the Company and certain of our subsidiaries and secured by substantially all of the personal property of the Company and those subsidiaries.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$385 million of letters of credit outstanding, consisting of the $250 million under the Credit Agreement and another $135 million under various uncommitted bi-lateral facilities (of which there was $128 million in cash collateral held and recorded in “Restricted Cash” on the Condensed Consolidated Balance Sheets). As of December 31, 2022, we had $395 million of letters of credit outstanding, consisting of the $195 million under the Credit Agreement and another $200 million under various uncommitted bi-lateral facilities (of which there was $199 million in cash collateral held and recorded in “Restricted Cash” on the Condensed Consolidated Balance Sheets). As of June 30, 2023 and December 31, 2022, our revolving loan capacity available was $45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surety bonds as part of our customary business practice in Latin America. As of June 30, 2023 and December 31, 2022, we had surety bonds outstanding of $434 million and $415 million, respectively. Any of our outstanding letters of credit or surety bonds could be called by the beneficiaries should we breach certain contractual or performance obligations and could reduce our available liquidity if we are unable to mitigate the issue.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Risk Factors”, sets forth certain risks and uncertainties relating to our forward-looking statements that may cause actual results to be materially different from our present expectations or projections: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political, economic and market conditions, political disturbances, war, terrorist attacks, changes in global trade policies, weak local economic conditions and international currency fluctuations (including the Russia Ukraine Conflict);</w:t>
      </w:r>
    </w:p>
    <w:p>
      <w:pPr>
        <w:pStyle w:val="TextBody"/>
        <w:bidi w:val="0"/>
        <w:spacing w:lineRule="auto" w:line="288" w:before="0" w:after="0"/>
        <w:ind w:left="0" w:right="0" w:hanging="360"/>
        <w:jc w:val="both"/>
        <w:rPr>
          <w:color w:val="000000"/>
        </w:rPr>
      </w:pPr>
      <w:r>
        <w:rPr>
          <w:color w:val="000000"/>
        </w:rPr>
        <w:t xml:space="preserve">• </w:t>
      </w:r>
      <w:r>
        <w:rPr>
          <w:rFonts w:ascii="Times New Roman;sans-serif" w:hAnsi="Times New Roman;sans-serif"/>
          <w:b w:val="false"/>
          <w:color w:val="000000"/>
          <w:sz w:val="20"/>
        </w:rPr>
        <w:t>general global economic repercussions related to U.S. and global inflationary pressures and potential recessionary concerns;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effectively and timely address the need to conduct our operations and provide services to our customers more sustainably and with a lower carbon footprint;</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risks associated with disease outbreaks and other public health issues, including the COVID-19 pandemic;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including vaccination requirements and the associated availability of vaccines, restrictions on business operations or social distancing requirements, and the duration and efficacy of such restrictions;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price and price volatility of, and demand for, oil, natural gas and natural gas liquids;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member-country quota compliance within the Organization of Petroleum Exporting Countries;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realize expected revenues and profitability levels from current and future contracts;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generate cash flow from operations to fund our operations;</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increases in the prices, lead times and lack of availability of our procured products and services;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timely collect from customers;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realize cost savings and business enhancements from our revenue and cost improvement efforts;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attract, motivate and retain employees, including key personnel;</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access to capital markets on terms that are commercially acceptable to the Company;</w:t>
      </w:r>
    </w:p>
    <w:p>
      <w:pPr>
        <w:pStyle w:val="TextBody"/>
        <w:bidi w:val="0"/>
        <w:spacing w:lineRule="auto" w:line="288" w:before="0" w:after="0"/>
        <w:ind w:left="0" w:right="0" w:hanging="360"/>
        <w:jc w:val="both"/>
        <w:rPr>
          <w:color w:val="000000"/>
        </w:rPr>
      </w:pPr>
      <w:r>
        <w:rPr>
          <w:color w:val="000000"/>
        </w:rPr>
        <w:t xml:space="preserve">• </w:t>
      </w:r>
      <w:r>
        <w:rPr>
          <w:rFonts w:ascii="Times New Roman;sans-serif" w:hAnsi="Times New Roman;sans-serif"/>
          <w:b w:val="false"/>
          <w:color w:val="000000"/>
          <w:sz w:val="20"/>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service our debt obligations;</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potential non-cash asset impairment charges for long-lived assets, intangible assets or other assets;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weather conditions in certain regions of our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our future results will depend upon various other risks and uncertainties, including, but not limited to, those detailed in our current and past filings with the SEC under the Exchange Act and the Securities Act of 1933, as amended.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market risk has not changed materially since December 31, 2022. For additional information, see “Note 6 – Borrowings and Other Debt Obligations” and “Note 11 – Blue Chip Swap Securities - Argentina” in the Notes to Condensed Consolidated Financial Statements, as well as “Other Expense, Net” and “Liquidity and Capital Resources” under Item 2. Management’s Discussion and Analysis of Financial Condition and Results of Operations.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Evaluation of Disclosure Controls and Procedures. </w:t>
      </w:r>
      <w:r>
        <w:rPr>
          <w:rFonts w:ascii="Times New Roman;sans-serif" w:hAnsi="Times New Roman;sans-serif"/>
          <w:b w:val="false"/>
          <w:color w:val="000000"/>
          <w:sz w:val="20"/>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under the supervision and with the participation of our CEO and CFO, evaluated the effectiveness of the design and operation of our disclosure controls and procedures at June 30, 2023. Based on that evaluation, our CEO and CFO concluded that our disclosure controls and procedures were effective as of June 30,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identified no change in our internal control over financial reporting that occurred during the three months ended June 30, 2023 that has materially affected, or is reasonably likely to materially affect, our internal control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7 – Disputes, Litigation and Legal Contingencies” in our Notes to Condensed Consolidated Financial Statements for details regarding our ongoing disputes and litigation.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securities involves various risks. You should consider carefully all of the risk factors described in our 2022 Form 10-K, Part I, under the heading “Item 1A. Risk Factors” and other information included and incorporated by reference in this report. As of June 30, 2023, there have been no material changes in our assessment of our risk factors from the aforementioned.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April 2023, we issued 1 ordinary share upon the exercise of an outstanding warrant, resulting in cash proceeds to the Company of $99.96. The ordinary share was issued pursuant to an exemption from registration under Section 4(a)(2) and Regulation D of the Securities Act of 1933.</w:t>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0" w:after="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exhibits designated with a dagger (†) are filed herewith or double dagger (††) are furnished herewith.</w:t>
      </w:r>
    </w:p>
    <w:tbl>
      <w:tblPr>
        <w:tblW w:w="10205" w:type="dxa"/>
        <w:jc w:val="left"/>
        <w:tblInd w:w="0" w:type="dxa"/>
        <w:tblLayout w:type="fixed"/>
        <w:tblCellMar>
          <w:top w:w="28" w:type="dxa"/>
          <w:left w:w="28" w:type="dxa"/>
          <w:bottom w:w="28" w:type="dxa"/>
          <w:right w:w="28" w:type="dxa"/>
        </w:tblCellMar>
      </w:tblPr>
      <w:tblGrid>
        <w:gridCol w:w="349"/>
        <w:gridCol w:w="306"/>
        <w:gridCol w:w="308"/>
        <w:gridCol w:w="109"/>
        <w:gridCol w:w="109"/>
        <w:gridCol w:w="109"/>
        <w:gridCol w:w="1949"/>
        <w:gridCol w:w="1833"/>
        <w:gridCol w:w="1851"/>
        <w:gridCol w:w="859"/>
        <w:gridCol w:w="709"/>
        <w:gridCol w:w="711"/>
        <w:gridCol w:w="291"/>
        <w:gridCol w:w="291"/>
        <w:gridCol w:w="421"/>
      </w:tblGrid>
      <w:tr>
        <w:trPr/>
        <w:tc>
          <w:tcPr>
            <w:tcW w:w="3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Filed Exhibit</w:t>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Second Supplemental Indenture, dated as of April 19, 2023, by and among Weatherford International Ltd., Weatherford International plc, Weatherford International, LLC and Wilmington Trust, National Association, as trustee and collateral agent.</w:t>
              </w:r>
            </w:hyperlink>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4.1 of the Company’s Current Report on Form 8-K filed April 20, 2023</w:t>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3"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3"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3"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3"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3"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3"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q2ex311ceo302cert.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q2ex312cfo302cert.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q2ex321ceo906cert.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q2ex322cfo906cert.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1a2865370d5a4e0d9e602fc470bed25c_7">
        <w:r>
          <w:rPr>
            <w:rStyle w:val="InternetLink"/>
          </w:rPr>
          <w:t xml:space="preserve">Table of </w:t>
        </w:r>
      </w:hyperlink>
      <w:hyperlink w:anchor="i1a2865370d5a4e0d9e602fc470bed25c_7">
        <w:r>
          <w:rPr>
            <w:rStyle w:val="InternetLink"/>
          </w:rPr>
          <w:t>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6613"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Arunava Mitra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Desmond J. Mills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Desmond J. Mills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Girishchandra K. Saligram, certify that: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Weatherford International plc;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551" w:type="dxa"/>
        <w:jc w:val="left"/>
        <w:tblInd w:w="0" w:type="dxa"/>
        <w:tblLayout w:type="fixed"/>
        <w:tblCellMar>
          <w:top w:w="28" w:type="dxa"/>
          <w:left w:w="28" w:type="dxa"/>
          <w:bottom w:w="28" w:type="dxa"/>
          <w:right w:w="28" w:type="dxa"/>
        </w:tblCellMar>
      </w:tblPr>
      <w:tblGrid>
        <w:gridCol w:w="124"/>
        <w:gridCol w:w="109"/>
        <w:gridCol w:w="109"/>
        <w:gridCol w:w="319"/>
        <w:gridCol w:w="319"/>
        <w:gridCol w:w="322"/>
        <w:gridCol w:w="657"/>
        <w:gridCol w:w="657"/>
        <w:gridCol w:w="9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Arunava Mitra, certify that: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Weatherford International plc;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80" w:type="dxa"/>
        <w:jc w:val="left"/>
        <w:tblInd w:w="0" w:type="dxa"/>
        <w:tblLayout w:type="fixed"/>
        <w:tblCellMar>
          <w:top w:w="28" w:type="dxa"/>
          <w:left w:w="28" w:type="dxa"/>
          <w:bottom w:w="28" w:type="dxa"/>
          <w:right w:w="28" w:type="dxa"/>
        </w:tblCellMar>
      </w:tblPr>
      <w:tblGrid>
        <w:gridCol w:w="124"/>
        <w:gridCol w:w="109"/>
        <w:gridCol w:w="109"/>
        <w:gridCol w:w="442"/>
        <w:gridCol w:w="442"/>
        <w:gridCol w:w="447"/>
        <w:gridCol w:w="908"/>
        <w:gridCol w:w="908"/>
        <w:gridCol w:w="1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906 OF THE SARBANES-OXLEY ACT OF 2002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Weatherford International plc (the "Company") for the period ended June 30, 2023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509" w:type="dxa"/>
        <w:jc w:val="left"/>
        <w:tblInd w:w="0" w:type="dxa"/>
        <w:tblLayout w:type="fixed"/>
        <w:tblCellMar>
          <w:top w:w="28" w:type="dxa"/>
          <w:left w:w="28" w:type="dxa"/>
          <w:bottom w:w="28" w:type="dxa"/>
          <w:right w:w="28" w:type="dxa"/>
        </w:tblCellMar>
      </w:tblPr>
      <w:tblGrid>
        <w:gridCol w:w="233"/>
        <w:gridCol w:w="205"/>
        <w:gridCol w:w="207"/>
        <w:gridCol w:w="1054"/>
        <w:gridCol w:w="1054"/>
        <w:gridCol w:w="1057"/>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Weatherford International plc (the "Company") for the period ended June 30, 2023 as filed with the Securities and Exchange Commission on the date hereof (the "Report"), I, Arunava Mitra, Executive Vice President and Chief Financial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739" w:type="dxa"/>
        <w:jc w:val="left"/>
        <w:tblInd w:w="0" w:type="dxa"/>
        <w:tblLayout w:type="fixed"/>
        <w:tblCellMar>
          <w:top w:w="28" w:type="dxa"/>
          <w:left w:w="28" w:type="dxa"/>
          <w:bottom w:w="28" w:type="dxa"/>
          <w:right w:w="28" w:type="dxa"/>
        </w:tblCellMar>
      </w:tblPr>
      <w:tblGrid>
        <w:gridCol w:w="233"/>
        <w:gridCol w:w="205"/>
        <w:gridCol w:w="207"/>
        <w:gridCol w:w="1462"/>
        <w:gridCol w:w="1462"/>
        <w:gridCol w:w="1471"/>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3923/000110465923047448/tm2313227d1_ex4-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14653</Words>
  <Characters>78949</Characters>
  <CharactersWithSpaces>92640</CharactersWithSpaces>
  <Paragraphs>1789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