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4912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912995"/>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Weatherholt Scott C</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02/06/2025</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002"/>
        <w:spacing w:after="0"/>
        <w:rPr>
          <w:sz w:val="20"/>
          <w:szCs w:val="20"/>
          <w:color w:val="auto"/>
        </w:rPr>
      </w:pPr>
      <w:r>
        <w:rPr>
          <w:rFonts w:ascii="Times New Roman" w:cs="Times New Roman" w:eastAsia="Times New Roman" w:hAnsi="Times New Roman"/>
          <w:sz w:val="17"/>
          <w:szCs w:val="17"/>
          <w:color w:val="0000FF"/>
        </w:rPr>
        <w:t>EVP, GC &amp; CCO</w:t>
      </w:r>
    </w:p>
    <w:p>
      <w:pPr>
        <w:spacing w:after="0" w:line="308" w:lineRule="exact"/>
        <w:rPr>
          <w:sz w:val="24"/>
          <w:szCs w:val="24"/>
          <w:color w:val="auto"/>
        </w:rPr>
      </w:pPr>
    </w:p>
    <w:p>
      <w:pPr>
        <w:sectPr>
          <w:pgSz w:w="11900" w:h="16838" w:orient="portrait"/>
          <w:cols w:equalWidth="0" w:num="3">
            <w:col w:w="3180" w:space="720"/>
            <w:col w:w="3200" w:space="638"/>
            <w:col w:w="3342"/>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70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700" w:type="dxa"/>
            <w:vAlign w:val="bottom"/>
            <w:gridSpan w:val="7"/>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19"/>
                <w:szCs w:val="19"/>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77056</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6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8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02/06/2025</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39,478</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right="3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164,497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02/06/2025</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25"/>
                <w:szCs w:val="25"/>
                <w:color w:val="0000FF"/>
                <w:w w:val="81"/>
                <w:vertAlign w:val="subscript"/>
              </w:rPr>
              <w:t>F</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15,535</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65.36</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148,962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Price of</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Security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2022 Annual</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57"/>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39,478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ind w:left="220"/>
              <w:spacing w:after="0" w:line="128" w:lineRule="exact"/>
              <w:rPr>
                <w:sz w:val="20"/>
                <w:szCs w:val="20"/>
                <w:color w:val="auto"/>
              </w:rPr>
            </w:pPr>
            <w:r>
              <w:rPr>
                <w:rFonts w:ascii="Times New Roman" w:cs="Times New Roman" w:eastAsia="Times New Roman" w:hAnsi="Times New Roman"/>
                <w:sz w:val="13"/>
                <w:szCs w:val="13"/>
                <w:color w:val="0000FF"/>
              </w:rPr>
              <w:t>02/06/2025</w:t>
            </w: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4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39,478</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-1996440</wp:posOffset>
            </wp:positionV>
            <wp:extent cx="29210" cy="2001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01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8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performance share units ("PSUs") granted on January 18, 2022 under the Issuer's 2019 Equity Incentive Plan, as amended and restated (the "2019 EIP"). The award vested at 182% based on achievement of performance metrics during the three-year performance period, which ended on December 31, 2024.</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PSUs to satisfy the reporting person's tax obligations upon vesting, pursuant to the 2019 EIP and the relevant award agreements.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02/10/2025</w:t>
            </w: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9429"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2025-02-10T16:28:23Z</dcterms:created>
  <dcterms:modified xsi:type="dcterms:W3CDTF">2025-02-10T16:28:23Z</dcterms:modified>
</cp:coreProperties>
</file>