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5002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0253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Sandhu Depinder</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682"/>
        <w:spacing w:after="0"/>
        <w:rPr>
          <w:sz w:val="20"/>
          <w:szCs w:val="20"/>
          <w:color w:val="auto"/>
        </w:rPr>
      </w:pPr>
      <w:r>
        <w:rPr>
          <w:rFonts w:ascii="Times New Roman" w:cs="Times New Roman" w:eastAsia="Times New Roman" w:hAnsi="Times New Roman"/>
          <w:sz w:val="17"/>
          <w:szCs w:val="17"/>
          <w:color w:val="0000FF"/>
        </w:rPr>
        <w:t>EVP, Global Product Lines</w:t>
      </w:r>
    </w:p>
    <w:p>
      <w:pPr>
        <w:spacing w:after="0" w:line="308" w:lineRule="exact"/>
        <w:rPr>
          <w:sz w:val="24"/>
          <w:szCs w:val="24"/>
          <w:color w:val="auto"/>
        </w:rPr>
      </w:pPr>
    </w:p>
    <w:p>
      <w:pPr>
        <w:sectPr>
          <w:pgSz w:w="11900" w:h="16838" w:orient="portrait"/>
          <w:cols w:equalWidth="0" w:num="3">
            <w:col w:w="3180" w:space="720"/>
            <w:col w:w="3200" w:space="638"/>
            <w:col w:w="3342"/>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6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01/02/2025</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20,000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22,536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01/02/2025</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7,997</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72.29</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14,539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2021</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5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6"/>
                <w:szCs w:val="16"/>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01/02/2025</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6"/>
                <w:szCs w:val="16"/>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tcPr>
          <w:p>
            <w:pPr>
              <w:ind w:left="20"/>
              <w:spacing w:after="0" w:line="192" w:lineRule="exact"/>
              <w:rPr>
                <w:sz w:val="20"/>
                <w:szCs w:val="20"/>
                <w:color w:val="auto"/>
              </w:rPr>
            </w:pPr>
            <w:r>
              <w:rPr>
                <w:rFonts w:ascii="Times New Roman" w:cs="Times New Roman" w:eastAsia="Times New Roman" w:hAnsi="Times New Roman"/>
                <w:sz w:val="17"/>
                <w:szCs w:val="17"/>
                <w:color w:val="0000FF"/>
              </w:rPr>
              <w:t>20,000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80" w:type="dxa"/>
            <w:vAlign w:val="bottom"/>
            <w:gridSpan w:val="2"/>
          </w:tcPr>
          <w:p>
            <w:pPr>
              <w:ind w:left="60"/>
              <w:spacing w:after="0" w:line="104" w:lineRule="exact"/>
              <w:rPr>
                <w:sz w:val="20"/>
                <w:szCs w:val="20"/>
                <w:color w:val="auto"/>
              </w:rPr>
            </w:pPr>
            <w:r>
              <w:rPr>
                <w:rFonts w:ascii="Times New Roman" w:cs="Times New Roman" w:eastAsia="Times New Roman" w:hAnsi="Times New Roman"/>
                <w:sz w:val="12"/>
                <w:szCs w:val="12"/>
                <w:color w:val="0000FF"/>
              </w:rPr>
              <w:t>Performance</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ind w:left="100"/>
              <w:spacing w:after="0" w:line="104"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Share 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(i) 8,000 performance share units ("PSUs") granted on November 1, 2021, (ii) 10,000 PSUs granted on June 30, 2022 and (iii) 2,000 PSUs granted on December 31, 2022 under the 2021 Weatherford Accelerating Growth &amp; Efficiency ("WAGE") Program under the Issuer's 2019 Equity Incentive Plan, as amended (the "Plan"). The awards vested at 100% based on achievement of performance metrics during the three-year performance period which ended on December 31, 2024.</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PSUs to satisfy the reporting person's tax obligations upon vesting, pursuant to the Plan, and the relevant award agreement.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01/03/2025</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817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2025-01-03T15:42:59Z</dcterms:created>
  <dcterms:modified xsi:type="dcterms:W3CDTF">2025-01-03T15:42:59Z</dcterms:modified>
</cp:coreProperties>
</file>