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0001682885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8"/>
        <w:gridCol w:w="4697"/>
      </w:tblGrid>
      <w:tr>
        <w:trPr/>
        <w:tc>
          <w:tcPr>
            <w:tcW w:w="5508" w:type="dxa"/>
            <w:tcBorders/>
            <w:vAlign w:val="center"/>
          </w:tcPr>
          <w:p>
            <w:pPr>
              <w:pStyle w:val="TableContents"/>
              <w:bidi w:val="0"/>
              <w:spacing w:before="0" w:after="283"/>
              <w:jc w:val="left"/>
              <w:rPr/>
            </w:pPr>
            <w:r>
              <w:rPr/>
              <w:t>Name of Issuer</w:t>
            </w:r>
          </w:p>
        </w:tc>
        <w:tc>
          <w:tcPr>
            <w:tcW w:w="4697" w:type="dxa"/>
            <w:tcBorders/>
            <w:vAlign w:val="center"/>
          </w:tcPr>
          <w:p>
            <w:pPr>
              <w:pStyle w:val="TableContents"/>
              <w:bidi w:val="0"/>
              <w:spacing w:before="0" w:after="0"/>
              <w:jc w:val="left"/>
              <w:rPr/>
            </w:pPr>
            <w:r>
              <w:rPr/>
              <w:t>Weatherford International Public Limited Company</w:t>
            </w:r>
          </w:p>
        </w:tc>
      </w:tr>
      <w:tr>
        <w:trPr/>
        <w:tc>
          <w:tcPr>
            <w:tcW w:w="5508" w:type="dxa"/>
            <w:tcBorders/>
            <w:vAlign w:val="center"/>
          </w:tcPr>
          <w:p>
            <w:pPr>
              <w:pStyle w:val="TableContents"/>
              <w:bidi w:val="0"/>
              <w:spacing w:before="0" w:after="283"/>
              <w:jc w:val="left"/>
              <w:rPr/>
            </w:pPr>
            <w:r>
              <w:rPr/>
              <w:t>SEC File Number</w:t>
            </w:r>
          </w:p>
        </w:tc>
        <w:tc>
          <w:tcPr>
            <w:tcW w:w="4697" w:type="dxa"/>
            <w:tcBorders/>
            <w:vAlign w:val="center"/>
          </w:tcPr>
          <w:p>
            <w:pPr>
              <w:pStyle w:val="TableContents"/>
              <w:bidi w:val="0"/>
              <w:spacing w:before="0" w:after="0"/>
              <w:jc w:val="left"/>
              <w:rPr/>
            </w:pPr>
            <w:r>
              <w:rPr/>
              <w:t>001-36504</w:t>
            </w:r>
          </w:p>
        </w:tc>
      </w:tr>
      <w:tr>
        <w:trPr/>
        <w:tc>
          <w:tcPr>
            <w:tcW w:w="5508" w:type="dxa"/>
            <w:tcBorders/>
            <w:vAlign w:val="center"/>
          </w:tcPr>
          <w:p>
            <w:pPr>
              <w:pStyle w:val="TableContents"/>
              <w:bidi w:val="0"/>
              <w:spacing w:before="0" w:after="283"/>
              <w:jc w:val="left"/>
              <w:rPr/>
            </w:pPr>
            <w:r>
              <w:rPr/>
              <w:t>Address of Issuer</w:t>
            </w:r>
          </w:p>
        </w:tc>
        <w:tc>
          <w:tcPr>
            <w:tcW w:w="4697" w:type="dxa"/>
            <w:tcBorders/>
            <w:vAlign w:val="center"/>
          </w:tcPr>
          <w:p>
            <w:pPr>
              <w:pStyle w:val="TableContents"/>
              <w:bidi w:val="0"/>
              <w:spacing w:before="0" w:after="0"/>
              <w:jc w:val="left"/>
              <w:rPr/>
            </w:pPr>
            <w:r>
              <w:rPr/>
              <w:t>2000 St. James Place</w:t>
              <w:br/>
              <w:t>Houston</w:t>
              <w:br/>
              <w:t xml:space="preserve">TEXAS </w:t>
              <w:br/>
              <w:t>77056</w:t>
            </w:r>
          </w:p>
        </w:tc>
      </w:tr>
      <w:tr>
        <w:trPr/>
        <w:tc>
          <w:tcPr>
            <w:tcW w:w="5508" w:type="dxa"/>
            <w:tcBorders/>
            <w:vAlign w:val="center"/>
          </w:tcPr>
          <w:p>
            <w:pPr>
              <w:pStyle w:val="TableContents"/>
              <w:bidi w:val="0"/>
              <w:spacing w:before="0" w:after="283"/>
              <w:jc w:val="left"/>
              <w:rPr/>
            </w:pPr>
            <w:r>
              <w:rPr/>
              <w:t>Phone</w:t>
            </w:r>
          </w:p>
        </w:tc>
        <w:tc>
          <w:tcPr>
            <w:tcW w:w="4697" w:type="dxa"/>
            <w:tcBorders/>
            <w:vAlign w:val="center"/>
          </w:tcPr>
          <w:p>
            <w:pPr>
              <w:pStyle w:val="TableContents"/>
              <w:bidi w:val="0"/>
              <w:spacing w:before="0" w:after="0"/>
              <w:jc w:val="left"/>
              <w:rPr/>
            </w:pPr>
            <w:r>
              <w:rPr/>
              <w:t>1-713-836-4000</w:t>
            </w:r>
          </w:p>
        </w:tc>
      </w:tr>
      <w:tr>
        <w:trPr/>
        <w:tc>
          <w:tcPr>
            <w:tcW w:w="5508" w:type="dxa"/>
            <w:tcBorders/>
            <w:vAlign w:val="center"/>
          </w:tcPr>
          <w:p>
            <w:pPr>
              <w:pStyle w:val="TableContents"/>
              <w:bidi w:val="0"/>
              <w:spacing w:before="0" w:after="283"/>
              <w:jc w:val="left"/>
              <w:rPr/>
            </w:pPr>
            <w:r>
              <w:rPr/>
              <w:t>Name of Person for Whose Account the Securities are To Be Sold</w:t>
            </w:r>
          </w:p>
        </w:tc>
        <w:tc>
          <w:tcPr>
            <w:tcW w:w="4697" w:type="dxa"/>
            <w:tcBorders/>
            <w:vAlign w:val="center"/>
          </w:tcPr>
          <w:p>
            <w:pPr>
              <w:pStyle w:val="TableContents"/>
              <w:bidi w:val="0"/>
              <w:spacing w:before="0" w:after="0"/>
              <w:jc w:val="left"/>
              <w:rPr/>
            </w:pPr>
            <w:r>
              <w:rPr/>
              <w:t>Girishchandra Krishnamurty Saligram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8" w:type="dxa"/>
            <w:tcBorders/>
            <w:vAlign w:val="center"/>
          </w:tcPr>
          <w:p>
            <w:pPr>
              <w:pStyle w:val="TableContents"/>
              <w:bidi w:val="0"/>
              <w:spacing w:before="0" w:after="283"/>
              <w:jc w:val="left"/>
              <w:rPr/>
            </w:pPr>
            <w:r>
              <w:rPr/>
              <w:t>Relationship to Issuer</w:t>
            </w:r>
          </w:p>
        </w:tc>
        <w:tc>
          <w:tcPr>
            <w:tcW w:w="469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100000</w:t>
            </w:r>
          </w:p>
        </w:tc>
        <w:tc>
          <w:tcPr>
            <w:tcW w:w="1391" w:type="dxa"/>
            <w:tcBorders/>
            <w:vAlign w:val="center"/>
          </w:tcPr>
          <w:p>
            <w:pPr>
              <w:pStyle w:val="TableContents"/>
              <w:bidi w:val="0"/>
              <w:spacing w:before="0" w:after="283"/>
              <w:jc w:val="left"/>
              <w:rPr/>
            </w:pPr>
            <w:r>
              <w:rPr/>
              <w:t>10551000</w:t>
            </w:r>
          </w:p>
        </w:tc>
        <w:tc>
          <w:tcPr>
            <w:tcW w:w="1565" w:type="dxa"/>
            <w:tcBorders/>
            <w:vAlign w:val="center"/>
          </w:tcPr>
          <w:p>
            <w:pPr>
              <w:pStyle w:val="TableContents"/>
              <w:bidi w:val="0"/>
              <w:spacing w:before="0" w:after="283"/>
              <w:jc w:val="left"/>
              <w:rPr/>
            </w:pPr>
            <w:r>
              <w:rPr/>
              <w:t>71717593</w:t>
            </w:r>
          </w:p>
        </w:tc>
        <w:tc>
          <w:tcPr>
            <w:tcW w:w="1574" w:type="dxa"/>
            <w:tcBorders/>
            <w:vAlign w:val="center"/>
          </w:tcPr>
          <w:p>
            <w:pPr>
              <w:pStyle w:val="TableContents"/>
              <w:bidi w:val="0"/>
              <w:spacing w:before="0" w:after="283"/>
              <w:jc w:val="left"/>
              <w:rPr/>
            </w:pPr>
            <w:r>
              <w:rPr/>
              <w:t>02/06/2026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10/12/2023</w:t>
            </w:r>
          </w:p>
        </w:tc>
        <w:tc>
          <w:tcPr>
            <w:tcW w:w="1492" w:type="dxa"/>
            <w:tcBorders/>
            <w:vAlign w:val="center"/>
          </w:tcPr>
          <w:p>
            <w:pPr>
              <w:pStyle w:val="TableContents"/>
              <w:bidi w:val="0"/>
              <w:spacing w:before="0" w:after="283"/>
              <w:jc w:val="left"/>
              <w:rPr/>
            </w:pPr>
            <w:r>
              <w:rPr/>
              <w:t>Acquired as compensation -- Restricted Stock Awards</w:t>
            </w:r>
          </w:p>
        </w:tc>
        <w:tc>
          <w:tcPr>
            <w:tcW w:w="1140" w:type="dxa"/>
            <w:tcBorders/>
            <w:vAlign w:val="center"/>
          </w:tcPr>
          <w:p>
            <w:pPr>
              <w:pStyle w:val="TableContents"/>
              <w:bidi w:val="0"/>
              <w:spacing w:before="0" w:after="283"/>
              <w:jc w:val="left"/>
              <w:rPr/>
            </w:pPr>
            <w:r>
              <w:rPr/>
              <w:t>The 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10000</w:t>
            </w:r>
          </w:p>
        </w:tc>
        <w:tc>
          <w:tcPr>
            <w:tcW w:w="1041" w:type="dxa"/>
            <w:tcBorders/>
            <w:vAlign w:val="center"/>
          </w:tcPr>
          <w:p>
            <w:pPr>
              <w:pStyle w:val="TableContents"/>
              <w:bidi w:val="0"/>
              <w:spacing w:before="0" w:after="283"/>
              <w:jc w:val="left"/>
              <w:rPr/>
            </w:pPr>
            <w:r>
              <w:rPr/>
              <w:t>10/12/2023</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02/08/2023</w:t>
            </w:r>
          </w:p>
        </w:tc>
        <w:tc>
          <w:tcPr>
            <w:tcW w:w="1492" w:type="dxa"/>
            <w:tcBorders/>
            <w:vAlign w:val="center"/>
          </w:tcPr>
          <w:p>
            <w:pPr>
              <w:pStyle w:val="TableContents"/>
              <w:bidi w:val="0"/>
              <w:spacing w:before="0" w:after="283"/>
              <w:jc w:val="left"/>
              <w:rPr/>
            </w:pPr>
            <w:r>
              <w:rPr/>
              <w:t>Acquired as compensation -- Restricted Stock Awards</w:t>
            </w:r>
          </w:p>
        </w:tc>
        <w:tc>
          <w:tcPr>
            <w:tcW w:w="1140" w:type="dxa"/>
            <w:tcBorders/>
            <w:vAlign w:val="center"/>
          </w:tcPr>
          <w:p>
            <w:pPr>
              <w:pStyle w:val="TableContents"/>
              <w:bidi w:val="0"/>
              <w:spacing w:before="0" w:after="283"/>
              <w:jc w:val="left"/>
              <w:rPr/>
            </w:pPr>
            <w:r>
              <w:rPr/>
              <w:t>The 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42105</w:t>
            </w:r>
          </w:p>
        </w:tc>
        <w:tc>
          <w:tcPr>
            <w:tcW w:w="1041" w:type="dxa"/>
            <w:tcBorders/>
            <w:vAlign w:val="center"/>
          </w:tcPr>
          <w:p>
            <w:pPr>
              <w:pStyle w:val="TableContents"/>
              <w:bidi w:val="0"/>
              <w:spacing w:before="0" w:after="283"/>
              <w:jc w:val="left"/>
              <w:rPr/>
            </w:pPr>
            <w:r>
              <w:rPr/>
              <w:t>02/08/2023</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01/02/2025</w:t>
            </w:r>
          </w:p>
        </w:tc>
        <w:tc>
          <w:tcPr>
            <w:tcW w:w="1492" w:type="dxa"/>
            <w:tcBorders/>
            <w:vAlign w:val="center"/>
          </w:tcPr>
          <w:p>
            <w:pPr>
              <w:pStyle w:val="TableContents"/>
              <w:bidi w:val="0"/>
              <w:spacing w:before="0" w:after="283"/>
              <w:jc w:val="left"/>
              <w:rPr/>
            </w:pPr>
            <w:r>
              <w:rPr/>
              <w:t>Acquired as compensation -- Restricted Stock Awards</w:t>
            </w:r>
          </w:p>
        </w:tc>
        <w:tc>
          <w:tcPr>
            <w:tcW w:w="1140" w:type="dxa"/>
            <w:tcBorders/>
            <w:vAlign w:val="center"/>
          </w:tcPr>
          <w:p>
            <w:pPr>
              <w:pStyle w:val="TableContents"/>
              <w:bidi w:val="0"/>
              <w:spacing w:before="0" w:after="283"/>
              <w:jc w:val="left"/>
              <w:rPr/>
            </w:pPr>
            <w:r>
              <w:rPr/>
              <w:t>The 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47895</w:t>
            </w:r>
          </w:p>
        </w:tc>
        <w:tc>
          <w:tcPr>
            <w:tcW w:w="1041" w:type="dxa"/>
            <w:tcBorders/>
            <w:vAlign w:val="center"/>
          </w:tcPr>
          <w:p>
            <w:pPr>
              <w:pStyle w:val="TableContents"/>
              <w:bidi w:val="0"/>
              <w:spacing w:before="0" w:after="283"/>
              <w:jc w:val="left"/>
              <w:rPr/>
            </w:pPr>
            <w:r>
              <w:rPr/>
              <w:t>01/02/2025</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5"/>
        <w:gridCol w:w="8460"/>
      </w:tblGrid>
      <w:tr>
        <w:trPr/>
        <w:tc>
          <w:tcPr>
            <w:tcW w:w="1745" w:type="dxa"/>
            <w:tcBorders/>
            <w:vAlign w:val="center"/>
          </w:tcPr>
          <w:p>
            <w:pPr>
              <w:pStyle w:val="TableContents"/>
              <w:bidi w:val="0"/>
              <w:spacing w:before="0" w:after="283"/>
              <w:jc w:val="left"/>
              <w:rPr/>
            </w:pPr>
            <w:r>
              <w:rPr/>
              <w:t>Remarks</w:t>
            </w:r>
          </w:p>
        </w:tc>
        <w:tc>
          <w:tcPr>
            <w:tcW w:w="8460" w:type="dxa"/>
            <w:tcBorders/>
            <w:vAlign w:val="center"/>
          </w:tcPr>
          <w:p>
            <w:pPr>
              <w:pStyle w:val="TableContents"/>
              <w:bidi w:val="0"/>
              <w:spacing w:before="0" w:after="0"/>
              <w:jc w:val="left"/>
              <w:rPr/>
            </w:pPr>
            <w:r>
              <w:rPr/>
              <w:t>Total number of shares to be sold Includes 47,895 shares by Saligram Management Trust and 52,105 shares by PKS Spousal Trust.</w:t>
            </w:r>
          </w:p>
        </w:tc>
      </w:tr>
      <w:tr>
        <w:trPr/>
        <w:tc>
          <w:tcPr>
            <w:tcW w:w="1745" w:type="dxa"/>
            <w:tcBorders/>
            <w:vAlign w:val="center"/>
          </w:tcPr>
          <w:p>
            <w:pPr>
              <w:pStyle w:val="TableContents"/>
              <w:bidi w:val="0"/>
              <w:spacing w:before="0" w:after="283"/>
              <w:jc w:val="left"/>
              <w:rPr/>
            </w:pPr>
            <w:r>
              <w:rPr/>
              <w:t>Date of Notice</w:t>
            </w:r>
          </w:p>
        </w:tc>
        <w:tc>
          <w:tcPr>
            <w:tcW w:w="8460" w:type="dxa"/>
            <w:tcBorders/>
            <w:vAlign w:val="center"/>
          </w:tcPr>
          <w:p>
            <w:pPr>
              <w:pStyle w:val="TableContents"/>
              <w:bidi w:val="0"/>
              <w:spacing w:before="0" w:after="0"/>
              <w:jc w:val="left"/>
              <w:rPr/>
            </w:pPr>
            <w:r>
              <w:rPr/>
              <w:t>02/06/2026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5" w:type="dxa"/>
            <w:tcBorders/>
            <w:vAlign w:val="center"/>
          </w:tcPr>
          <w:p>
            <w:pPr>
              <w:pStyle w:val="TableContents"/>
              <w:bidi w:val="0"/>
              <w:spacing w:before="0" w:after="283"/>
              <w:jc w:val="left"/>
              <w:rPr/>
            </w:pPr>
            <w:r>
              <w:rPr/>
              <w:t>Signature</w:t>
            </w:r>
          </w:p>
        </w:tc>
        <w:tc>
          <w:tcPr>
            <w:tcW w:w="8460" w:type="dxa"/>
            <w:tcBorders/>
            <w:vAlign w:val="center"/>
          </w:tcPr>
          <w:p>
            <w:pPr>
              <w:pStyle w:val="TableContents"/>
              <w:bidi w:val="0"/>
              <w:spacing w:before="0" w:after="0"/>
              <w:jc w:val="left"/>
              <w:rPr/>
            </w:pPr>
            <w:r>
              <w:rPr/>
              <w:t>Goldman Sachs &amp; Co. LLC on behalf of Girishchandra Krishnamurty Saligram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3284</Characters>
  <CharactersWithSpaces>3851</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