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2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-59055</wp:posOffset>
            </wp:positionV>
            <wp:extent cx="653224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2245" cy="8255"/>
                    </a:xfrm>
                    <a:prstGeom prst="rect">
                      <a:avLst/>
                    </a:prstGeom>
                    <a:noFill/>
                  </pic:spPr>
                </pic:pic>
              </a:graphicData>
            </a:graphic>
          </wp:anchor>
        </w:drawing>
      </w:r>
    </w:p>
    <w:p>
      <w:pPr>
        <w:spacing w:after="0" w:line="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October 3, 2025</w:t>
      </w:r>
    </w:p>
    <w:p>
      <w:pPr>
        <w:spacing w:after="0" w:line="22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Weatherford International plc</w:t>
      </w:r>
    </w:p>
    <w:p>
      <w:pPr>
        <w:spacing w:after="0" w:line="65" w:lineRule="exact"/>
        <w:rPr>
          <w:sz w:val="24"/>
          <w:szCs w:val="24"/>
          <w:color w:val="auto"/>
        </w:rPr>
      </w:pPr>
    </w:p>
    <w:tbl>
      <w:tblPr>
        <w:tblLayout w:type="fixed"/>
        <w:tblInd w:w="160" w:type="dxa"/>
        <w:tblCellMar>
          <w:top w:w="0" w:type="dxa"/>
          <w:left w:w="0" w:type="dxa"/>
          <w:bottom w:w="0" w:type="dxa"/>
          <w:right w:w="0" w:type="dxa"/>
        </w:tblCellMar>
      </w:tblPr>
      <w:tr>
        <w:trPr>
          <w:trHeight w:val="236"/>
        </w:trPr>
        <w:tc>
          <w:tcPr>
            <w:tcW w:w="3440" w:type="dxa"/>
            <w:vAlign w:val="bottom"/>
          </w:tcPr>
          <w:p>
            <w:pPr>
              <w:spacing w:after="0"/>
              <w:rPr>
                <w:sz w:val="20"/>
                <w:szCs w:val="20"/>
                <w:color w:val="auto"/>
              </w:rPr>
            </w:pPr>
          </w:p>
        </w:tc>
        <w:tc>
          <w:tcPr>
            <w:tcW w:w="41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3320" w:type="dxa"/>
            <w:vAlign w:val="bottom"/>
          </w:tcPr>
          <w:p>
            <w:pPr>
              <w:spacing w:after="0"/>
              <w:rPr>
                <w:sz w:val="20"/>
                <w:szCs w:val="20"/>
                <w:color w:val="auto"/>
              </w:rPr>
            </w:pPr>
          </w:p>
        </w:tc>
      </w:tr>
      <w:tr>
        <w:trPr>
          <w:trHeight w:val="238"/>
        </w:trPr>
        <w:tc>
          <w:tcPr>
            <w:tcW w:w="344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Ireland</w:t>
            </w:r>
          </w:p>
        </w:tc>
        <w:tc>
          <w:tcPr>
            <w:tcW w:w="41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001-36504</w:t>
            </w:r>
          </w:p>
        </w:tc>
        <w:tc>
          <w:tcPr>
            <w:tcW w:w="3320" w:type="dxa"/>
            <w:vAlign w:val="bottom"/>
            <w:tcBorders>
              <w:bottom w:val="single" w:sz="8" w:color="auto"/>
            </w:tcBorders>
          </w:tcPr>
          <w:p>
            <w:pPr>
              <w:jc w:val="right"/>
              <w:ind w:right="1310"/>
              <w:spacing w:after="0"/>
              <w:rPr>
                <w:sz w:val="20"/>
                <w:szCs w:val="20"/>
                <w:color w:val="auto"/>
              </w:rPr>
            </w:pPr>
            <w:r>
              <w:rPr>
                <w:rFonts w:ascii="Times New Roman" w:cs="Times New Roman" w:eastAsia="Times New Roman" w:hAnsi="Times New Roman"/>
                <w:sz w:val="18"/>
                <w:szCs w:val="18"/>
                <w:b w:val="1"/>
                <w:bCs w:val="1"/>
                <w:color w:val="auto"/>
              </w:rPr>
              <w:t>98-0606750</w:t>
            </w:r>
          </w:p>
        </w:tc>
      </w:tr>
      <w:tr>
        <w:trPr>
          <w:trHeight w:val="228"/>
        </w:trPr>
        <w:tc>
          <w:tcPr>
            <w:tcW w:w="344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8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3320" w:type="dxa"/>
            <w:vAlign w:val="bottom"/>
          </w:tcPr>
          <w:p>
            <w:pPr>
              <w:jc w:val="center"/>
              <w:ind w:right="2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344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b w:val="1"/>
                <w:bCs w:val="1"/>
                <w:color w:val="auto"/>
              </w:rPr>
              <w:t>2000 St. James Place,   Houston,</w:t>
            </w:r>
          </w:p>
        </w:tc>
        <w:tc>
          <w:tcPr>
            <w:tcW w:w="418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Texas</w:t>
            </w:r>
          </w:p>
        </w:tc>
        <w:tc>
          <w:tcPr>
            <w:tcW w:w="3320" w:type="dxa"/>
            <w:vAlign w:val="bottom"/>
            <w:tcBorders>
              <w:bottom w:val="single" w:sz="8" w:color="auto"/>
            </w:tcBorders>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77056</w:t>
            </w:r>
          </w:p>
        </w:tc>
      </w:tr>
      <w:tr>
        <w:trPr>
          <w:trHeight w:val="228"/>
        </w:trPr>
        <w:tc>
          <w:tcPr>
            <w:tcW w:w="7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32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67" w:lineRule="exact"/>
        <w:rPr>
          <w:sz w:val="24"/>
          <w:szCs w:val="24"/>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713.836.4000</w:t>
      </w:r>
    </w:p>
    <w:p>
      <w:pPr>
        <w:spacing w:after="0" w:line="144"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19685</wp:posOffset>
            </wp:positionV>
            <wp:extent cx="690054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00545" cy="8255"/>
                    </a:xfrm>
                    <a:prstGeom prst="rect">
                      <a:avLst/>
                    </a:prstGeom>
                    <a:noFill/>
                  </pic:spPr>
                </pic:pic>
              </a:graphicData>
            </a:graphic>
          </wp:anchor>
        </w:drawing>
      </w:r>
    </w:p>
    <w:p>
      <w:pPr>
        <w:spacing w:after="0" w:line="2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0" w:lineRule="exact"/>
        <w:rPr>
          <w:sz w:val="24"/>
          <w:szCs w:val="24"/>
          <w:color w:val="auto"/>
        </w:rPr>
      </w:pPr>
    </w:p>
    <w:p>
      <w:pPr>
        <w:jc w:val="both"/>
        <w:ind w:right="6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6"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2" w:lineRule="exact"/>
        <w:rPr>
          <w:rFonts w:ascii="MS PGothic" w:cs="MS PGothic" w:eastAsia="MS PGothic" w:hAnsi="MS PGothic"/>
          <w:sz w:val="22"/>
          <w:szCs w:val="22"/>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500" w:type="dxa"/>
            <w:vAlign w:val="bottom"/>
          </w:tcPr>
          <w:p>
            <w:pPr>
              <w:spacing w:after="0"/>
              <w:rPr>
                <w:sz w:val="20"/>
                <w:szCs w:val="20"/>
                <w:color w:val="auto"/>
              </w:rPr>
            </w:pPr>
          </w:p>
        </w:tc>
      </w:tr>
      <w:tr>
        <w:trPr>
          <w:trHeight w:val="351"/>
        </w:trPr>
        <w:tc>
          <w:tcPr>
            <w:tcW w:w="80" w:type="dxa"/>
            <w:vAlign w:val="bottom"/>
          </w:tcPr>
          <w:p>
            <w:pPr>
              <w:spacing w:after="0"/>
              <w:rPr>
                <w:sz w:val="24"/>
                <w:szCs w:val="24"/>
                <w:color w:val="auto"/>
              </w:rPr>
            </w:pPr>
          </w:p>
        </w:tc>
        <w:tc>
          <w:tcPr>
            <w:tcW w:w="43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80" w:type="dxa"/>
            <w:vAlign w:val="bottom"/>
          </w:tcPr>
          <w:p>
            <w:pPr>
              <w:spacing w:after="0"/>
              <w:rPr>
                <w:sz w:val="19"/>
                <w:szCs w:val="19"/>
                <w:color w:val="auto"/>
              </w:rPr>
            </w:pPr>
          </w:p>
        </w:tc>
        <w:tc>
          <w:tcPr>
            <w:tcW w:w="43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Ordinary shares, $0.001 par value per share</w:t>
            </w:r>
          </w:p>
        </w:tc>
        <w:tc>
          <w:tcPr>
            <w:tcW w:w="2240" w:type="dxa"/>
            <w:vAlign w:val="bottom"/>
          </w:tcPr>
          <w:p>
            <w:pPr>
              <w:jc w:val="center"/>
              <w:ind w:right="230"/>
              <w:spacing w:after="0"/>
              <w:rPr>
                <w:sz w:val="20"/>
                <w:szCs w:val="20"/>
                <w:color w:val="auto"/>
              </w:rPr>
            </w:pPr>
            <w:r>
              <w:rPr>
                <w:rFonts w:ascii="Times New Roman" w:cs="Times New Roman" w:eastAsia="Times New Roman" w:hAnsi="Times New Roman"/>
                <w:sz w:val="18"/>
                <w:szCs w:val="18"/>
                <w:color w:val="auto"/>
                <w:w w:val="99"/>
              </w:rPr>
              <w:t>WFRD</w:t>
            </w:r>
          </w:p>
        </w:tc>
        <w:tc>
          <w:tcPr>
            <w:tcW w:w="45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58" w:lineRule="exact"/>
        <w:rPr>
          <w:sz w:val="24"/>
          <w:szCs w:val="24"/>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1860"/>
        <w:spacing w:after="0" w:line="242"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21"/>
          <w:szCs w:val="21"/>
          <w:color w:val="auto"/>
        </w:rPr>
        <w:t>☐</w:t>
      </w:r>
    </w:p>
    <w:p>
      <w:pPr>
        <w:spacing w:after="0" w:line="17"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553085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39" w:right="399" w:bottom="1440" w:gutter="0" w:footer="0" w:header="0"/>
        </w:sectPr>
      </w:pPr>
    </w:p>
    <w:bookmarkStart w:id="1" w:name="page2"/>
    <w:bookmarkEnd w:id="1"/>
    <w:p>
      <w:pPr>
        <w:ind w:left="20"/>
        <w:spacing w:after="0"/>
        <w:tabs>
          <w:tab w:leader="none" w:pos="16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right="320"/>
        <w:spacing w:after="0"/>
        <w:rPr>
          <w:sz w:val="20"/>
          <w:szCs w:val="20"/>
          <w:color w:val="auto"/>
        </w:rPr>
      </w:pPr>
      <w:r>
        <w:rPr>
          <w:rFonts w:ascii="Times New Roman" w:cs="Times New Roman" w:eastAsia="Times New Roman" w:hAnsi="Times New Roman"/>
          <w:sz w:val="18"/>
          <w:szCs w:val="18"/>
          <w:color w:val="auto"/>
        </w:rPr>
        <w:t>Weatherford International plc (“Weatherford” or the “Company”) previously announced a cash tender offer (the “Tender Offer”) to purchase up to $1.3 billion aggregate principal amount of its outstanding 8.625% Senior Notes due 2030 (the “Notes”). As of 5:00 p.m., New York City time, on October 3, 2025 (the “Early Tender Deadline”), based on information provided by D.F. King &amp; Co., Inc., the information and tender agent for the Tender Offer, an aggregate principal amount of $892,828,000 of Notes had been validly tendered and not validly withdrawn.</w:t>
      </w: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Tender Offer is being made by Weatherford International, LLC and Weatherford International Ltd. by and pursuant to the terms and conditions set forth in the Offer to Purchase dated September 22, 2025, as amended.</w:t>
      </w:r>
    </w:p>
    <w:p>
      <w:pPr>
        <w:spacing w:after="0" w:line="54"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Holders who validly tendered their Notes at or prior to the Early Tender Deadline and whose Notes are accepted for purchase will receive the Total Consideration of $1,023.90 per $1,000 principal amount, which includes an Early Tender Payment of $30.00. Such holders will also receive accrued and unpaid interest to, but excluding, the Early Settlement Date, which Weatherford expects to be October 7, 2025.</w:t>
      </w:r>
    </w:p>
    <w:p>
      <w:pPr>
        <w:spacing w:after="0" w:line="6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The Tender Offer will expire at 5:00 p.m., New York City time, on October 21, 2025 (the “Expiration Time”), unless extended. Holders who validly tender (and do not validly withdraw) their Notes after the Early Tender Deadline and at or prior to the Expiration Time will be eligible to receive the Tender Offer Consideration of $993.90 per $1,000 principal amount, but will not be eligible to receive the Early Tender Payment. Such holders will also be eligible to receive accrued and unpaid interest to, but excluding, the Final Settlement Date, which Weatherford expects to be October 23, 2025.</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Current Report is neither an offer to purchase or sell nor a solicitation of an offer to sell or buy any securities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9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Section 27A of the Securities Act and Section 21E of the Exchange Act. All statements, other than statements of historical fact included in this Current Report on Form 8-K, concerning, among other things, the Tender Offer are forward-looking statements and are also generally identified by the words “believe,” “project,” “expect,” “anticipate,” “estimate,” “outlook,” “budget,” “intend,” “strategy,” “plan,” “guidance,” “may,” “should,” “could,” “will,” “would,” “will be,” “will continue,” “will likely result” and similar expressions, although not all forward-looking statements contain these identifying words. Such statements are based upon the current beliefs of Weatherford’s management and are subject to significant risks, assumptions, and uncertainties. Should one or more of these risks or uncertainties materialize, or underlying assumptions prove incorrect, actual results may vary materially from those indicated in our forward-looking statements.</w:t>
      </w:r>
    </w:p>
    <w:p>
      <w:pPr>
        <w:spacing w:after="0" w:line="7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18"/>
          <w:szCs w:val="18"/>
          <w:color w:val="auto"/>
        </w:rPr>
        <w:t>These risks and uncertainties are more fully described in Weatherford’s reports and registration statements filed with the Securities and Exchange Commission, including the risk factors described in Weatherford’s Annual Report on Form 10-K and Quarterly Reports on Form 10-Q. Accordingly, you should not place undue reliance on any of the Company’s forward-looking statements. Any forward-looking statements speaks only as of the date on which such statement is made, and the Company undertakes no obligation to correct or update any forward-looking statement, whether as a result of new information, future events or otherwise, except as required by applicable law, and we caution you not to rely on them unduly.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ind w:left="40"/>
        <w:spacing w:after="0"/>
        <w:tabs>
          <w:tab w:leader="none" w:pos="2860" w:val="left"/>
          <w:tab w:leader="none" w:pos="3380" w:val="left"/>
        </w:tabs>
        <w:rPr>
          <w:sz w:val="20"/>
          <w:szCs w:val="20"/>
          <w:color w:val="auto"/>
        </w:rPr>
      </w:pPr>
      <w:r>
        <w:rPr>
          <w:rFonts w:ascii="Times New Roman" w:cs="Times New Roman" w:eastAsia="Times New Roman" w:hAnsi="Times New Roman"/>
          <w:sz w:val="18"/>
          <w:szCs w:val="18"/>
          <w:color w:val="auto"/>
        </w:rPr>
        <w:t>Date: October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C. Weatherholt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14605</wp:posOffset>
            </wp:positionV>
            <wp:extent cx="4972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1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Scott C. Weatherholt</w:t>
      </w:r>
    </w:p>
    <w:p>
      <w:pPr>
        <w:spacing w:after="0" w:line="27"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color w:val="auto"/>
        </w:rPr>
        <w:t>Executive Vice President, General Counsel and Chief Compliance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2025-10-06T06:34:03Z</dcterms:created>
  <dcterms:modified xsi:type="dcterms:W3CDTF">2025-10-06T06:34:03Z</dcterms:modified>
</cp:coreProperties>
</file>