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-149860</wp:posOffset>
            </wp:positionV>
            <wp:extent cx="68402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0220" cy="8255"/>
                    </a:xfrm>
                    <a:prstGeom prst="rect">
                      <a:avLst/>
                    </a:prstGeom>
                    <a:noFill/>
                  </pic:spPr>
                </pic:pic>
              </a:graphicData>
            </a:graphic>
          </wp:anchor>
        </w:drawing>
      </w:r>
    </w:p>
    <w:p>
      <w:pPr>
        <w:spacing w:after="0" w:line="1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4"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35" w:lineRule="exact"/>
        <w:rPr>
          <w:sz w:val="24"/>
          <w:szCs w:val="24"/>
          <w:color w:val="auto"/>
        </w:rPr>
      </w:pPr>
    </w:p>
    <w:p>
      <w:pPr>
        <w:ind w:left="800" w:hanging="54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2" w:lineRule="exact"/>
        <w:rPr>
          <w:sz w:val="24"/>
          <w:szCs w:val="24"/>
          <w:color w:val="auto"/>
        </w:rPr>
      </w:pPr>
    </w:p>
    <w:p>
      <w:pPr>
        <w:ind w:left="800"/>
        <w:spacing w:after="0"/>
        <w:tabs>
          <w:tab w:leader="none" w:pos="4600" w:val="left"/>
        </w:tabs>
        <w:rPr>
          <w:sz w:val="20"/>
          <w:szCs w:val="20"/>
          <w:color w:val="auto"/>
        </w:rPr>
      </w:pPr>
      <w:r>
        <w:rPr>
          <w:rFonts w:ascii="Times New Roman" w:cs="Times New Roman" w:eastAsia="Times New Roman" w:hAnsi="Times New Roman"/>
          <w:sz w:val="17"/>
          <w:szCs w:val="17"/>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2022</w:t>
      </w:r>
    </w:p>
    <w:p>
      <w:pPr>
        <w:spacing w:after="0" w:line="2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color w:val="auto"/>
        </w:rPr>
        <w:t>or</w:t>
      </w:r>
    </w:p>
    <w:p>
      <w:pPr>
        <w:spacing w:after="0" w:line="16" w:lineRule="exact"/>
        <w:rPr>
          <w:sz w:val="24"/>
          <w:szCs w:val="24"/>
          <w:color w:val="auto"/>
        </w:rPr>
      </w:pPr>
    </w:p>
    <w:p>
      <w:pPr>
        <w:ind w:left="800" w:right="1900" w:hanging="545"/>
        <w:spacing w:after="0" w:line="279" w:lineRule="auto"/>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color w:val="auto"/>
        </w:rPr>
        <w:t>For the transition period from __________________________________to __________________________________</w:t>
      </w:r>
    </w:p>
    <w:tbl>
      <w:tblPr>
        <w:tblLayout w:type="fixed"/>
        <w:tblInd w:w="80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Commission file number</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001-36504</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Weatherford International plc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080" w:type="dxa"/>
            <w:vAlign w:val="bottom"/>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4"/>
              </w:rPr>
              <w:t>Ireland</w:t>
            </w:r>
          </w:p>
        </w:tc>
        <w:tc>
          <w:tcPr>
            <w:tcW w:w="1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0" w:type="dxa"/>
            <w:vAlign w:val="bottom"/>
          </w:tcPr>
          <w:p>
            <w:pPr>
              <w:jc w:val="right"/>
              <w:ind w:right="1232"/>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3"/>
        </w:trPr>
        <w:tc>
          <w:tcPr>
            <w:tcW w:w="47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2000" w:type="dxa"/>
            <w:vAlign w:val="bottom"/>
          </w:tcPr>
          <w:p>
            <w:pPr>
              <w:spacing w:after="0"/>
              <w:rPr>
                <w:sz w:val="19"/>
                <w:szCs w:val="19"/>
                <w:color w:val="auto"/>
              </w:rPr>
            </w:pPr>
          </w:p>
        </w:tc>
        <w:tc>
          <w:tcPr>
            <w:tcW w:w="400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7"/>
        </w:trPr>
        <w:tc>
          <w:tcPr>
            <w:tcW w:w="3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000" w:type="dxa"/>
            <w:vAlign w:val="bottom"/>
          </w:tcPr>
          <w:p>
            <w:pPr>
              <w:spacing w:after="0"/>
              <w:rPr>
                <w:sz w:val="19"/>
                <w:szCs w:val="19"/>
                <w:color w:val="auto"/>
              </w:rPr>
            </w:pPr>
          </w:p>
        </w:tc>
        <w:tc>
          <w:tcPr>
            <w:tcW w:w="4000" w:type="dxa"/>
            <w:vAlign w:val="bottom"/>
          </w:tcPr>
          <w:p>
            <w:pPr>
              <w:jc w:val="right"/>
              <w:ind w:right="1432"/>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31"/>
        </w:trPr>
        <w:tc>
          <w:tcPr>
            <w:tcW w:w="47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2000" w:type="dxa"/>
            <w:vAlign w:val="bottom"/>
          </w:tcPr>
          <w:p>
            <w:pPr>
              <w:spacing w:after="0"/>
              <w:rPr>
                <w:sz w:val="20"/>
                <w:szCs w:val="20"/>
                <w:color w:val="auto"/>
              </w:rPr>
            </w:pPr>
          </w:p>
        </w:tc>
        <w:tc>
          <w:tcPr>
            <w:tcW w:w="40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1"/>
        </w:trPr>
        <w:tc>
          <w:tcPr>
            <w:tcW w:w="3080" w:type="dxa"/>
            <w:vAlign w:val="bottom"/>
          </w:tcPr>
          <w:p>
            <w:pPr>
              <w:spacing w:after="0"/>
              <w:rPr>
                <w:sz w:val="24"/>
                <w:szCs w:val="24"/>
                <w:color w:val="auto"/>
              </w:rPr>
            </w:pPr>
          </w:p>
        </w:tc>
        <w:tc>
          <w:tcPr>
            <w:tcW w:w="7680" w:type="dxa"/>
            <w:vAlign w:val="bottom"/>
            <w:gridSpan w:val="3"/>
          </w:tcPr>
          <w:p>
            <w:pPr>
              <w:jc w:val="center"/>
              <w:ind w:right="2492"/>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713.836.4000</w:t>
            </w:r>
          </w:p>
        </w:tc>
      </w:tr>
      <w:tr>
        <w:trPr>
          <w:trHeight w:val="231"/>
        </w:trPr>
        <w:tc>
          <w:tcPr>
            <w:tcW w:w="3080" w:type="dxa"/>
            <w:vAlign w:val="bottom"/>
          </w:tcPr>
          <w:p>
            <w:pPr>
              <w:spacing w:after="0"/>
              <w:rPr>
                <w:sz w:val="20"/>
                <w:szCs w:val="20"/>
                <w:color w:val="auto"/>
              </w:rPr>
            </w:pPr>
          </w:p>
        </w:tc>
        <w:tc>
          <w:tcPr>
            <w:tcW w:w="7680" w:type="dxa"/>
            <w:vAlign w:val="bottom"/>
            <w:gridSpan w:val="3"/>
          </w:tcPr>
          <w:p>
            <w:pPr>
              <w:jc w:val="center"/>
              <w:ind w:right="2512"/>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r>
      <w:tr>
        <w:trPr>
          <w:trHeight w:val="343"/>
        </w:trPr>
        <w:tc>
          <w:tcPr>
            <w:tcW w:w="3080" w:type="dxa"/>
            <w:vAlign w:val="bottom"/>
            <w:tcBorders>
              <w:bottom w:val="single" w:sz="8" w:color="auto"/>
            </w:tcBorders>
          </w:tcPr>
          <w:p>
            <w:pPr>
              <w:jc w:val="center"/>
              <w:ind w:left="115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46"/>
        </w:trPr>
        <w:tc>
          <w:tcPr>
            <w:tcW w:w="4760" w:type="dxa"/>
            <w:vAlign w:val="bottom"/>
            <w:gridSpan w:val="2"/>
          </w:tcPr>
          <w:p>
            <w:pPr>
              <w:jc w:val="center"/>
              <w:ind w:right="352"/>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00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WFRD</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9" w:lineRule="exact"/>
        <w:rPr>
          <w:sz w:val="24"/>
          <w:szCs w:val="24"/>
          <w:color w:val="auto"/>
        </w:rPr>
      </w:pPr>
    </w:p>
    <w:p>
      <w:pPr>
        <w:ind w:right="1820"/>
        <w:spacing w:after="0" w:line="237"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p>
      <w:pPr>
        <w:ind w:left="140"/>
        <w:spacing w:after="0" w:line="196" w:lineRule="exact"/>
        <w:tabs>
          <w:tab w:leader="none" w:pos="1840" w:val="left"/>
          <w:tab w:leader="none" w:pos="2200" w:val="left"/>
          <w:tab w:leader="none" w:pos="3540" w:val="left"/>
          <w:tab w:leader="none" w:pos="3920" w:val="left"/>
          <w:tab w:leader="none" w:pos="5560" w:val="left"/>
          <w:tab w:leader="none" w:pos="5960" w:val="left"/>
          <w:tab w:leader="none" w:pos="8020" w:val="left"/>
          <w:tab w:leader="none" w:pos="8440" w:val="left"/>
          <w:tab w:leader="none" w:pos="1050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1"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June 30, 2022 was approximately $1.5 billion based upon the closing price on the Nasdaq Global Select Market as of such date. The registrant had 70,890,321 ordinary shares outstanding as of February 1, 2023.</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2"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8"/>
          <w:szCs w:val="18"/>
          <w:color w:val="auto"/>
        </w:rPr>
        <w:t>Certain information required to be furnished pursuant to Part III of this Form 10-K will be set forth in, and will be incorporated by reference from, Weatherford’s definitive proxy statement for the 2023 Annual General Meeting of Shareholders to be filed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349250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Weatherford with the Securities and Exchange Commission (“SEC”) pursuant to Regulation 14A within 120 days after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347345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0"/>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0" w:type="dxa"/>
            <w:vAlign w:val="bottom"/>
            <w:gridSpan w:val="13"/>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7"/>
              </w:rPr>
              <w:t>Form 10-K for the Year Ended December 31, 2022</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32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4"/>
        </w:trPr>
        <w:tc>
          <w:tcPr>
            <w:tcW w:w="20" w:type="dxa"/>
            <w:vAlign w:val="bottom"/>
          </w:tcPr>
          <w:p>
            <w:pPr>
              <w:spacing w:after="0"/>
              <w:rPr>
                <w:sz w:val="23"/>
                <w:szCs w:val="23"/>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1340" w:type="dxa"/>
            <w:vAlign w:val="bottom"/>
            <w:gridSpan w:val="4"/>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bottom w:val="single" w:sz="8" w:color="0000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Business</w:t>
            </w:r>
          </w:p>
        </w:tc>
        <w:tc>
          <w:tcPr>
            <w:tcW w:w="7540" w:type="dxa"/>
            <w:vAlign w:val="bottom"/>
            <w:tcBorders>
              <w:bottom w:val="single" w:sz="8" w:color="CCEEFF"/>
            </w:tcBorders>
            <w:gridSpan w:val="20"/>
            <w:shd w:val="clear" w:color="auto" w:fill="CCEEFF"/>
          </w:tcPr>
          <w:p>
            <w:pPr>
              <w:spacing w:after="0"/>
              <w:rPr>
                <w:sz w:val="18"/>
                <w:szCs w:val="18"/>
                <w:color w:val="auto"/>
              </w:rPr>
            </w:pP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rPr>
              <w:t>2</w:t>
            </w:r>
          </w:p>
        </w:tc>
        <w:tc>
          <w:tcPr>
            <w:tcW w:w="54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4"/>
              </w:rPr>
              <w:t>Risk Factors</w:t>
            </w:r>
          </w:p>
        </w:tc>
        <w:tc>
          <w:tcPr>
            <w:tcW w:w="7280" w:type="dxa"/>
            <w:vAlign w:val="bottom"/>
            <w:gridSpan w:val="18"/>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rPr>
              <w:t>9</w:t>
            </w: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right w:val="single" w:sz="8" w:color="CCEEFF"/>
            </w:tcBorders>
            <w:gridSpan w:val="1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6120" w:type="dxa"/>
            <w:vAlign w:val="bottom"/>
            <w:gridSpan w:val="12"/>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20</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0000FF"/>
              </w:rPr>
              <w:t>Properties</w:t>
            </w:r>
          </w:p>
        </w:tc>
        <w:tc>
          <w:tcPr>
            <w:tcW w:w="6120" w:type="dxa"/>
            <w:vAlign w:val="bottom"/>
            <w:gridSpan w:val="12"/>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20</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8160" w:type="dxa"/>
            <w:vAlign w:val="bottom"/>
            <w:gridSpan w:val="22"/>
          </w:tcPr>
          <w:p>
            <w:pPr>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20</w:t>
            </w:r>
          </w:p>
        </w:tc>
      </w:tr>
      <w:tr>
        <w:trPr>
          <w:trHeight w:val="235"/>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lef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tcBorders>
              <w:top w:val="single" w:sz="8" w:color="0000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1280" w:type="dxa"/>
            <w:vAlign w:val="bottom"/>
            <w:gridSpan w:val="3"/>
            <w:shd w:val="clear" w:color="auto" w:fill="CCEEFF"/>
          </w:tcPr>
          <w:p>
            <w:pPr>
              <w:spacing w:after="0"/>
              <w:rPr>
                <w:sz w:val="16"/>
                <w:szCs w:val="16"/>
                <w:color w:val="auto"/>
              </w:rPr>
            </w:pPr>
          </w:p>
        </w:tc>
        <w:tc>
          <w:tcPr>
            <w:tcW w:w="7900" w:type="dxa"/>
            <w:vAlign w:val="bottom"/>
            <w:gridSpan w:val="21"/>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Shareholder Matters and Issuer Purchases of Equity Securities</w:t>
            </w:r>
          </w:p>
        </w:tc>
        <w:tc>
          <w:tcPr>
            <w:tcW w:w="26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6</w:t>
            </w:r>
          </w:p>
        </w:tc>
        <w:tc>
          <w:tcPr>
            <w:tcW w:w="7900" w:type="dxa"/>
            <w:vAlign w:val="bottom"/>
            <w:gridSpan w:val="21"/>
          </w:tcPr>
          <w:p>
            <w:pPr>
              <w:spacing w:after="0" w:line="186" w:lineRule="exact"/>
              <w:rPr>
                <w:sz w:val="20"/>
                <w:szCs w:val="20"/>
                <w:color w:val="auto"/>
              </w:rPr>
            </w:pPr>
            <w:r>
              <w:rPr>
                <w:rFonts w:ascii="Times New Roman" w:cs="Times New Roman" w:eastAsia="Times New Roman" w:hAnsi="Times New Roman"/>
                <w:sz w:val="18"/>
                <w:szCs w:val="18"/>
                <w:color w:val="0000FF"/>
              </w:rPr>
              <w:t>Selected Financial Data</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6340" w:type="dxa"/>
            <w:vAlign w:val="bottom"/>
            <w:tcBorders>
              <w:right w:val="single" w:sz="8" w:color="CCEEFF"/>
            </w:tcBorders>
            <w:gridSpan w:val="2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820" w:type="dxa"/>
            <w:vAlign w:val="bottom"/>
            <w:gridSpan w:val="2"/>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22</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60" w:type="dxa"/>
            <w:vAlign w:val="bottom"/>
            <w:tcBorders>
              <w:right w:val="single" w:sz="8" w:color="CCEEFF"/>
            </w:tcBorders>
            <w:shd w:val="clear" w:color="auto" w:fill="0000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340" w:type="dxa"/>
            <w:vAlign w:val="bottom"/>
            <w:gridSpan w:val="20"/>
          </w:tcPr>
          <w:p>
            <w:pPr>
              <w:ind w:left="80"/>
              <w:spacing w:after="0" w:line="186" w:lineRule="exact"/>
              <w:rPr>
                <w:sz w:val="20"/>
                <w:szCs w:val="20"/>
                <w:color w:val="auto"/>
              </w:rPr>
            </w:pPr>
            <w:r>
              <w:rPr>
                <w:rFonts w:ascii="Times New Roman" w:cs="Times New Roman" w:eastAsia="Times New Roman" w:hAnsi="Times New Roman"/>
                <w:sz w:val="18"/>
                <w:szCs w:val="18"/>
                <w:color w:val="0000FF"/>
              </w:rPr>
              <w:t>Financial Results Overview</w:t>
            </w:r>
          </w:p>
        </w:tc>
        <w:tc>
          <w:tcPr>
            <w:tcW w:w="18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160" w:type="dxa"/>
            <w:vAlign w:val="bottom"/>
            <w:gridSpan w:val="22"/>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Business Outlook</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25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160" w:type="dxa"/>
            <w:vAlign w:val="bottom"/>
            <w:gridSpan w:val="22"/>
          </w:tcPr>
          <w:p>
            <w:pPr>
              <w:ind w:left="80"/>
              <w:spacing w:after="0" w:line="186"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30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160" w:type="dxa"/>
            <w:vAlign w:val="bottom"/>
            <w:gridSpan w:val="22"/>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Critical Accounting Estimates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33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7A</w:t>
            </w:r>
          </w:p>
        </w:tc>
        <w:tc>
          <w:tcPr>
            <w:tcW w:w="8160" w:type="dxa"/>
            <w:vAlign w:val="bottom"/>
            <w:gridSpan w:val="22"/>
          </w:tcPr>
          <w:p>
            <w:pPr>
              <w:spacing w:after="0" w:line="18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37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gridSpan w:val="1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gridSpan w:val="2"/>
            <w:shd w:val="clear" w:color="auto" w:fill="CCEEFF"/>
          </w:tcPr>
          <w:p>
            <w:pPr>
              <w:spacing w:after="0"/>
              <w:rPr>
                <w:sz w:val="16"/>
                <w:szCs w:val="16"/>
                <w:color w:val="auto"/>
              </w:rPr>
            </w:pPr>
          </w:p>
        </w:tc>
        <w:tc>
          <w:tcPr>
            <w:tcW w:w="3900" w:type="dxa"/>
            <w:vAlign w:val="bottom"/>
            <w:gridSpan w:val="6"/>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38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9</w:t>
            </w:r>
          </w:p>
        </w:tc>
        <w:tc>
          <w:tcPr>
            <w:tcW w:w="8160" w:type="dxa"/>
            <w:vAlign w:val="bottom"/>
            <w:gridSpan w:val="22"/>
          </w:tcPr>
          <w:p>
            <w:pPr>
              <w:spacing w:after="0" w:line="18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76</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6340" w:type="dxa"/>
            <w:vAlign w:val="bottom"/>
            <w:tcBorders>
              <w:right w:val="single" w:sz="8" w:color="CCEEFF"/>
            </w:tcBorders>
            <w:gridSpan w:val="2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1820" w:type="dxa"/>
            <w:vAlign w:val="bottom"/>
            <w:gridSpan w:val="2"/>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76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9B</w:t>
            </w:r>
          </w:p>
        </w:tc>
        <w:tc>
          <w:tcPr>
            <w:tcW w:w="1660" w:type="dxa"/>
            <w:vAlign w:val="bottom"/>
            <w:gridSpan w:val="8"/>
          </w:tcPr>
          <w:p>
            <w:pPr>
              <w:spacing w:after="0" w:line="186" w:lineRule="exact"/>
              <w:rPr>
                <w:sz w:val="20"/>
                <w:szCs w:val="20"/>
                <w:color w:val="auto"/>
              </w:rPr>
            </w:pPr>
            <w:r>
              <w:rPr>
                <w:rFonts w:ascii="Times New Roman" w:cs="Times New Roman" w:eastAsia="Times New Roman" w:hAnsi="Times New Roman"/>
                <w:sz w:val="18"/>
                <w:szCs w:val="18"/>
                <w:color w:val="0000FF"/>
              </w:rPr>
              <w:t>Other Information</w:t>
            </w:r>
          </w:p>
        </w:tc>
        <w:tc>
          <w:tcPr>
            <w:tcW w:w="6500" w:type="dxa"/>
            <w:vAlign w:val="bottom"/>
            <w:gridSpan w:val="14"/>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76</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9C</w:t>
            </w:r>
          </w:p>
        </w:tc>
        <w:tc>
          <w:tcPr>
            <w:tcW w:w="8160" w:type="dxa"/>
            <w:vAlign w:val="bottom"/>
            <w:gridSpan w:val="2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77</w:t>
            </w:r>
          </w:p>
        </w:tc>
      </w:tr>
      <w:tr>
        <w:trPr>
          <w:trHeight w:val="225"/>
        </w:trPr>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FF"/>
            </w:tcBorders>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left w:val="single" w:sz="8" w:color="CCEEFF"/>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right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10</w:t>
            </w:r>
          </w:p>
        </w:tc>
        <w:tc>
          <w:tcPr>
            <w:tcW w:w="8160" w:type="dxa"/>
            <w:vAlign w:val="bottom"/>
            <w:gridSpan w:val="22"/>
          </w:tcPr>
          <w:p>
            <w:pPr>
              <w:spacing w:after="0" w:line="18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77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Executive Compensation</w:t>
            </w:r>
          </w:p>
        </w:tc>
        <w:tc>
          <w:tcPr>
            <w:tcW w:w="4160" w:type="dxa"/>
            <w:vAlign w:val="bottom"/>
            <w:gridSpan w:val="7"/>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77</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12</w:t>
            </w:r>
          </w:p>
        </w:tc>
        <w:tc>
          <w:tcPr>
            <w:tcW w:w="8160" w:type="dxa"/>
            <w:vAlign w:val="bottom"/>
            <w:gridSpan w:val="22"/>
          </w:tcPr>
          <w:p>
            <w:pPr>
              <w:spacing w:after="0" w:line="186" w:lineRule="exact"/>
              <w:rPr>
                <w:sz w:val="20"/>
                <w:szCs w:val="20"/>
                <w:color w:val="auto"/>
              </w:rPr>
            </w:pPr>
            <w:r>
              <w:rPr>
                <w:rFonts w:ascii="Times New Roman" w:cs="Times New Roman" w:eastAsia="Times New Roman" w:hAnsi="Times New Roman"/>
                <w:sz w:val="18"/>
                <w:szCs w:val="18"/>
                <w:color w:val="0000FF"/>
              </w:rPr>
              <w:t>Security Ownership of Certain Beneficial Owners and Related Stockholder Matters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77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5880" w:type="dxa"/>
            <w:vAlign w:val="bottom"/>
            <w:gridSpan w:val="1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280" w:type="dxa"/>
            <w:vAlign w:val="bottom"/>
            <w:gridSpan w:val="3"/>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78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14</w:t>
            </w:r>
          </w:p>
        </w:tc>
        <w:tc>
          <w:tcPr>
            <w:tcW w:w="534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2820" w:type="dxa"/>
            <w:vAlign w:val="bottom"/>
            <w:gridSpan w:val="4"/>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78</w:t>
            </w:r>
          </w:p>
        </w:tc>
      </w:tr>
      <w:tr>
        <w:trPr>
          <w:trHeight w:val="235"/>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lef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left w:val="single" w:sz="8" w:color="CCEEFF"/>
            </w:tcBorders>
            <w:shd w:val="clear" w:color="auto" w:fill="CCEEFF"/>
          </w:tcPr>
          <w:p>
            <w:pPr>
              <w:spacing w:after="0"/>
              <w:rPr>
                <w:sz w:val="20"/>
                <w:szCs w:val="20"/>
                <w:color w:val="auto"/>
              </w:rPr>
            </w:pPr>
          </w:p>
        </w:tc>
        <w:tc>
          <w:tcPr>
            <w:tcW w:w="280" w:type="dxa"/>
            <w:vAlign w:val="bottom"/>
            <w:tcBorders>
              <w:top w:val="single" w:sz="8" w:color="0000FF"/>
              <w:righ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480" w:type="dxa"/>
            <w:vAlign w:val="bottom"/>
            <w:tcBorders>
              <w:top w:val="single" w:sz="8" w:color="0000FF"/>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0" w:type="dxa"/>
            <w:vAlign w:val="bottom"/>
            <w:tcBorders>
              <w:top w:val="single" w:sz="8" w:color="0000FF"/>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15</w:t>
            </w:r>
          </w:p>
        </w:tc>
        <w:tc>
          <w:tcPr>
            <w:tcW w:w="1220" w:type="dxa"/>
            <w:vAlign w:val="bottom"/>
            <w:gridSpan w:val="2"/>
            <w:shd w:val="clear" w:color="auto" w:fill="CCEEFF"/>
          </w:tcPr>
          <w:p>
            <w:pPr>
              <w:spacing w:after="0"/>
              <w:rPr>
                <w:sz w:val="16"/>
                <w:szCs w:val="16"/>
                <w:color w:val="auto"/>
              </w:rPr>
            </w:pPr>
          </w:p>
        </w:tc>
        <w:tc>
          <w:tcPr>
            <w:tcW w:w="2840" w:type="dxa"/>
            <w:vAlign w:val="bottom"/>
            <w:tcBorders>
              <w:right w:val="single" w:sz="8" w:color="CCEEFF"/>
            </w:tcBorders>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6"/>
              </w:rPr>
              <w:t>Exhibits, Financial Statement Schedules</w:t>
            </w:r>
          </w:p>
        </w:tc>
        <w:tc>
          <w:tcPr>
            <w:tcW w:w="5320" w:type="dxa"/>
            <w:vAlign w:val="bottom"/>
            <w:gridSpan w:val="9"/>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78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16</w:t>
            </w:r>
          </w:p>
        </w:tc>
        <w:tc>
          <w:tcPr>
            <w:tcW w:w="1520" w:type="dxa"/>
            <w:vAlign w:val="bottom"/>
            <w:gridSpan w:val="7"/>
          </w:tcPr>
          <w:p>
            <w:pPr>
              <w:spacing w:after="0" w:line="186"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320" w:type="dxa"/>
            <w:vAlign w:val="bottom"/>
            <w:gridSpan w:val="6"/>
          </w:tcPr>
          <w:p>
            <w:pPr>
              <w:spacing w:after="0"/>
              <w:rPr>
                <w:sz w:val="16"/>
                <w:szCs w:val="16"/>
                <w:color w:val="auto"/>
              </w:rPr>
            </w:pPr>
          </w:p>
        </w:tc>
        <w:tc>
          <w:tcPr>
            <w:tcW w:w="5320" w:type="dxa"/>
            <w:vAlign w:val="bottom"/>
            <w:gridSpan w:val="9"/>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85</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8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4"/>
              </w:rPr>
              <w:t>SIGNATURES</w:t>
            </w:r>
          </w:p>
        </w:tc>
        <w:tc>
          <w:tcPr>
            <w:tcW w:w="440" w:type="dxa"/>
            <w:vAlign w:val="bottom"/>
            <w:gridSpan w:val="2"/>
            <w:shd w:val="clear" w:color="auto" w:fill="CCEEFF"/>
          </w:tcPr>
          <w:p>
            <w:pPr>
              <w:spacing w:after="0"/>
              <w:rPr>
                <w:sz w:val="16"/>
                <w:szCs w:val="16"/>
                <w:color w:val="auto"/>
              </w:rPr>
            </w:pPr>
          </w:p>
        </w:tc>
        <w:tc>
          <w:tcPr>
            <w:tcW w:w="6640" w:type="dxa"/>
            <w:vAlign w:val="bottom"/>
            <w:gridSpan w:val="15"/>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86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 w:name="page4"/>
    <w:bookmarkEnd w:id="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Weatherford International plc, an Irish public limited company, together with its subsidiaries (“Weatherford,” the “Company,” “we,” “us” and “our”),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Many of our businesses, including those of our predecessor companies, have been operating for more than 50 years.</w:t>
      </w:r>
    </w:p>
    <w:p>
      <w:pPr>
        <w:spacing w:after="0" w:line="16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We conduct operations in approximately 75 countries, answering the challenges of the energy industry with 345 operating locations including manufacturing, research and development, service, and training facilities. Our operational performance is reviewed and managed across the life cycle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wellbore and we report in three segments (1) Drilling and Evaluation, (2) Well Construction and Completions, and (3) Production and Intervention.</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June 1, 2021,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w:t>
      </w:r>
    </w:p>
    <w:p>
      <w:pPr>
        <w:spacing w:after="0" w:line="204"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proxy statements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19"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Our goal is to create and deliver value for our shareholders through industry cycles by creating sustainable profitability that enables cash flow generation in our products and services. We accomplish this goal by disciplined use of capital, rigor around safety and operations, and a strong customer focus.</w:t>
      </w:r>
    </w:p>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customers’ objectives are continually evolving and are currently focused on disciplined capital and operational expenditures, generating investor and shareholder returns, reducing emissions, participating in the energy transition, and enhancing safety. Weatherford has aligned our technology development and operations around these objectives and expanded its role as a market leading provider of solutions that assist our customers in addressing their key operational challenges not just in conventional reservoirs but also in mature fields, unconventionals, offshore, and in digitalization and automation.</w:t>
      </w:r>
    </w:p>
    <w:p>
      <w:pPr>
        <w:spacing w:after="0" w:line="1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driven this solution-based focus across our organization through a commitment to improving safety and service quality, embedding a returns-focused mindset in our organization, and developing and commercializing new technologies that add value to our customers’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Technology is critical to the energy services marketplace as a result of the maturity of the world’s oil and natural gas reservoirs, declining production rates and the focus on complex well designs, in both land and offshore markets. With energy security being a driver for many customers and countries, our technology serves as an enabler in that regard. Customers continue to seek, test and use production-enabling technologies at an increasing rate. We invest substantial resources into building our technology offerings, which enable our customers to evaluate, develop and produce from their oil and natural gas reservoirs more efficiently. Our products and services enable our customers to increase production rates while reducing their costs of drilling and production.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 w:name="page5"/>
    <w:bookmarkEnd w:id="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 maker, our chief executive officer, regularly reviews information to make operating decisions, allocate resources and assess performance of the business. 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Managed Pressure Drilling </w:t>
      </w:r>
      <w:r>
        <w:rPr>
          <w:rFonts w:ascii="Times New Roman" w:cs="Times New Roman" w:eastAsia="Times New Roman" w:hAnsi="Times New Roman"/>
          <w:sz w:val="18"/>
          <w:szCs w:val="18"/>
          <w:color w:val="auto"/>
        </w:rPr>
        <w:t>helps to manage wellbore pressures to optimize drilling performance. We incorporate various technologies,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rotating control devices and advanced automated control systems, as well as several drilling techniques, such as closed-loop drilling, air drilling, managed-pressure drilling and underbalanced drilling.</w:t>
      </w:r>
    </w:p>
    <w:p>
      <w:pPr>
        <w:spacing w:after="0" w:line="197" w:lineRule="exact"/>
        <w:rPr>
          <w:sz w:val="20"/>
          <w:szCs w:val="20"/>
          <w:color w:val="auto"/>
        </w:rPr>
      </w:pPr>
    </w:p>
    <w:p>
      <w:pPr>
        <w:jc w:val="both"/>
        <w:ind w:lef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Services </w:t>
      </w:r>
      <w:r>
        <w:rPr>
          <w:rFonts w:ascii="Times New Roman" w:cs="Times New Roman" w:eastAsia="Times New Roman" w:hAnsi="Times New Roman"/>
          <w:sz w:val="18"/>
          <w:szCs w:val="18"/>
          <w:color w:val="auto"/>
        </w:rPr>
        <w:t>includes directional drilling, logging while drilling, measurement while drilling and rotary-steerable systems. We provide a full range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downhole equipment, including high-temperature and high-pressure sensors, drilling reamers and circulation subs.</w:t>
      </w:r>
    </w:p>
    <w:p>
      <w:pPr>
        <w:spacing w:after="0" w:line="18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Wireline </w:t>
      </w:r>
      <w:r>
        <w:rPr>
          <w:rFonts w:ascii="Times New Roman" w:cs="Times New Roman" w:eastAsia="Times New Roman" w:hAnsi="Times New Roman"/>
          <w:sz w:val="18"/>
          <w:szCs w:val="18"/>
          <w:color w:val="auto"/>
        </w:rPr>
        <w:t>includes open-hole and cased-hole logging services that measure the geophysical properties of subsurface formations to determine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locate resources and detect cement and casing integrity issues. We also execute well intervention and remediation operations by conveying equipment via cable into existing wells.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Drilling Fluids </w:t>
      </w:r>
      <w:r>
        <w:rPr>
          <w:rFonts w:ascii="Times New Roman" w:cs="Times New Roman" w:eastAsia="Times New Roman" w:hAnsi="Times New Roman"/>
          <w:sz w:val="18"/>
          <w:szCs w:val="18"/>
          <w:color w:val="auto"/>
        </w:rPr>
        <w:t>provides fluids and chemicals essential to the drilling process.</w:t>
      </w:r>
    </w:p>
    <w:p>
      <w:pPr>
        <w:spacing w:after="0" w:line="23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Tubular Running Services </w:t>
      </w:r>
      <w:r>
        <w:rPr>
          <w:rFonts w:ascii="Times New Roman" w:cs="Times New Roman" w:eastAsia="Times New Roman" w:hAnsi="Times New Roman"/>
          <w:sz w:val="18"/>
          <w:szCs w:val="18"/>
          <w:color w:val="auto"/>
        </w:rPr>
        <w:t>provides equipment, tubular handling, tubular management and tubular connection services for the drilling, completions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workover of various types of wells. We include conventional rig services, automated rig systems, real-time torque-monitoring and remote viewing of the makeup and breakout verification process.</w:t>
      </w:r>
    </w:p>
    <w:p>
      <w:pPr>
        <w:spacing w:after="0" w:line="19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Cementation Products </w:t>
      </w:r>
      <w:r>
        <w:rPr>
          <w:rFonts w:ascii="Times New Roman" w:cs="Times New Roman" w:eastAsia="Times New Roman" w:hAnsi="Times New Roman"/>
          <w:sz w:val="18"/>
          <w:szCs w:val="18"/>
          <w:color w:val="auto"/>
        </w:rPr>
        <w:t>enable operators to centralize the casing throughout the wellbore and control the displacement of cement and other fluids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 zonal isolation. Specialized equipment includes plugs, float and stage equipment and torque-and-drag reduction technology. Our cementation engineers analyze customer requirements and provide software enabled design input from pre-job planning to installation.</w:t>
      </w:r>
    </w:p>
    <w:p>
      <w:pPr>
        <w:spacing w:after="0" w:line="19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Completions </w:t>
      </w:r>
      <w:r>
        <w:rPr>
          <w:rFonts w:ascii="Times New Roman" w:cs="Times New Roman" w:eastAsia="Times New Roman" w:hAnsi="Times New Roman"/>
          <w:sz w:val="18"/>
          <w:szCs w:val="18"/>
          <w:color w:val="auto"/>
        </w:rPr>
        <w:t>offer customers a comprehensive line of completion tools, such as safety valves, production packers, downhole reservoir monitoring, 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isolation packers, multistage fracturing systems and sand-control technologies that set the stage for maximum production with minimal cost per barrel.</w:t>
      </w:r>
    </w:p>
    <w:p>
      <w:pPr>
        <w:spacing w:after="0" w:line="19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Liner Hangers </w:t>
      </w:r>
      <w:r>
        <w:rPr>
          <w:rFonts w:ascii="Times New Roman" w:cs="Times New Roman" w:eastAsia="Times New Roman" w:hAnsi="Times New Roman"/>
          <w:sz w:val="18"/>
          <w:szCs w:val="18"/>
          <w:color w:val="auto"/>
        </w:rPr>
        <w:t>suspend a casing string within a previous casing string thereby eliminating the need to run casing to the surface.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liner-hanger portfolio, along with engineering and execution experience, for a wide range of applications that include high-temperature and high-pressure wells.</w:t>
      </w:r>
    </w:p>
    <w:p>
      <w:pPr>
        <w:spacing w:after="0" w:line="183" w:lineRule="exact"/>
        <w:rPr>
          <w:sz w:val="20"/>
          <w:szCs w:val="20"/>
          <w:color w:val="auto"/>
        </w:rPr>
      </w:pPr>
    </w:p>
    <w:p>
      <w:pPr>
        <w:ind w:left="480" w:right="3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Services </w:t>
      </w:r>
      <w:r>
        <w:rPr>
          <w:rFonts w:ascii="Times New Roman" w:cs="Times New Roman" w:eastAsia="Times New Roman" w:hAnsi="Times New Roman"/>
          <w:sz w:val="18"/>
          <w:szCs w:val="18"/>
          <w:color w:val="auto"/>
        </w:rPr>
        <w:t>provides through tubing products and services which ensure consistent delivery of well solutions that extend the economic life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assets.</w:t>
      </w:r>
    </w:p>
    <w:p>
      <w:pPr>
        <w:spacing w:after="0" w:line="182"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production optimization technologies through the Company’s ability to design and deliver a complete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ecosystem ranging from boosting productivity to responsible abandonment for our customers. The primary offerings are intervention services &amp; drilling tools, artificial lift, digital solutions (previously production automation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5" w:name="page6"/>
    <w:bookmarkEnd w:id="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ind w:firstLine="6"/>
        <w:spacing w:after="0" w:line="274" w:lineRule="auto"/>
        <w:tabs>
          <w:tab w:leader="none" w:pos="2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Intervention Services &amp; Drilling Tools </w:t>
      </w:r>
      <w:r>
        <w:rPr>
          <w:rFonts w:ascii="Times New Roman" w:cs="Times New Roman" w:eastAsia="Times New Roman" w:hAnsi="Times New Roman"/>
          <w:sz w:val="18"/>
          <w:szCs w:val="18"/>
          <w:color w:val="auto"/>
        </w:rPr>
        <w:t>provides re-entry, fishing and well abandonment services as well as patented bottom hole, tubular-handling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pressure-control equipment and drill pipe and collars for various types of wells.</w:t>
      </w:r>
    </w:p>
    <w:p>
      <w:pPr>
        <w:spacing w:after="0" w:line="208"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Lift </w:t>
      </w:r>
      <w:r>
        <w:rPr>
          <w:rFonts w:ascii="Times New Roman" w:cs="Times New Roman" w:eastAsia="Times New Roman" w:hAnsi="Times New Roman"/>
          <w:sz w:val="18"/>
          <w:szCs w:val="18"/>
          <w:color w:val="auto"/>
        </w:rPr>
        <w:t>provides pressure enabling methods to produce reservoir fluids from wells lacking sufficient reservoir pressure for natural flow.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83" w:lineRule="exact"/>
        <w:rPr>
          <w:sz w:val="20"/>
          <w:szCs w:val="20"/>
          <w:color w:val="auto"/>
        </w:rPr>
      </w:pPr>
    </w:p>
    <w:p>
      <w:pPr>
        <w:jc w:val="both"/>
        <w:ind w:left="480"/>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Solutions </w:t>
      </w:r>
      <w:r>
        <w:rPr>
          <w:rFonts w:ascii="Times New Roman" w:cs="Times New Roman" w:eastAsia="Times New Roman" w:hAnsi="Times New Roman"/>
          <w:sz w:val="18"/>
          <w:szCs w:val="18"/>
          <w:color w:val="auto"/>
        </w:rPr>
        <w:t>(previously Production Automation &amp; Software) provides software, automation and flow measurement solutions. For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drilling operations, the solutions deliver data aggregation, engineering, and optimization including performance analytics in real-time. For our customers’ production operations, the solutions provide flow measurement, surveillance and control to deliver production optimization by integrating workflows and data for the well, surface facilities and the reservoir.</w:t>
      </w:r>
    </w:p>
    <w:p>
      <w:pPr>
        <w:spacing w:after="0" w:line="217" w:lineRule="exact"/>
        <w:rPr>
          <w:sz w:val="20"/>
          <w:szCs w:val="20"/>
          <w:color w:val="auto"/>
        </w:rPr>
      </w:pPr>
    </w:p>
    <w:p>
      <w:pPr>
        <w:jc w:val="both"/>
        <w:ind w:left="480"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Sub-Sea Intervention </w:t>
      </w:r>
      <w:r>
        <w:rPr>
          <w:rFonts w:ascii="Times New Roman" w:cs="Times New Roman" w:eastAsia="Times New Roman" w:hAnsi="Times New Roman"/>
          <w:sz w:val="18"/>
          <w:szCs w:val="18"/>
          <w:color w:val="auto"/>
        </w:rPr>
        <w:t>provides electrical and hydraulic power transmission to subsea equipment in order to facilitate workovers in deep and ultra-deep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 operations in select markets.</w:t>
      </w:r>
    </w:p>
    <w:p>
      <w:pPr>
        <w:spacing w:after="0" w:line="18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 Pumping Services </w:t>
      </w:r>
      <w:r>
        <w:rPr>
          <w:rFonts w:ascii="Times New Roman" w:cs="Times New Roman" w:eastAsia="Times New Roman" w:hAnsi="Times New Roman"/>
          <w:sz w:val="18"/>
          <w:szCs w:val="18"/>
          <w:color w:val="auto"/>
        </w:rPr>
        <w:t>offers advanced chemistry-based solutions and associated pumping services for safe and effective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In select international markets, we provide pressure pumping and reservoir stimulation services, including acidizing, fracturing, cementing and coiled-tubing intervention.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provide our products and services worldwide and compete in a variety of distinct segments with a number of global and regional competitors. Our principal competitors include SLB, Halliburton, Baker Hughes, National Oilwell Varco, Nabors Industries, ChampionX and Expro Group Holdings. We also compete with various other regional suppliers that provide a range of equipment and services typically focused on local or regional markets.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impact of consolidation and acquisitions of our competitors is difficult to predict and may harm our business as a result.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purchase a wide variety of raw materials, as well as parts and components. We integrate products and components produced by other parties into the products and systems we sell. We continually evaluate our supplier portfolio to reduce our risk from sole sourcing and to ensure the availability of resources and raw materials and in supporting our sustainability efforts.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Substantially all of our customers are engaged in the energy industry and include national oil companies, international and independent oil and natural gas companies as well as new energy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Patents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maintain world-class technology and training centers throughout the world. Additionally, we have research, development and engineering teams focused on developing new technologies and improving existing products and services to meet customer demands for improved drilling performance, well integrity, and enhanced reservoir productivity, with emphasis on efficiency, reliability, safety and the environment. Weatherford has significant expertise, trade secrets, intellectual property and know-how with respect to the design, manufacturing and use of our equipment and providing our services. As many areas of our business rely on patents and proprietary technology, we seek to protect and defend our intellectual property through trade secrets and patent protection both inside and outside the U.S. for products and methods that we believe to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 w:name="page7"/>
    <w:bookmarkEnd w:id="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widespread geographical locations of our operations serve to mitigate the overall impact of the seasonal nature of our business in any particular geographic region. Weather and natural phenomena can temporarily affect the level of demand for our products and services. Spring months in Canada and winter months in the North Sea and Russia typically have lower demand, driving a negative impact on operations. Additionally, heavy rains, hurricanes, unusual extreme freezes or other climate changes may impact our results. Unpredictable or unusually harsh weather conditions could lengthen the periods of reduced activity and have a detrimental impact on our results of operations. In addition, customer spending patterns for our products and services may result in higher activity in the fourth quarter of each calendar year as our customers seek to fully utilize their annual budgets.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24, 2022, the military conflict between Russia and Ukraine (“Russia Ukraine Conflict”) began and in response, we evaluated, and continue to evaluate, our operations, with the immediate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response to the Russia Ukraine Conflict, the United States, the European Union, the United Kingdom, Switzerland and other countries have imposed certain restrictions and broad sanctions against Russia, certain Russian individuals and entities and certain activities involving Russia or such persons or entities. We continue to monitor and intend to remain in full compliance with the evolving sanctions landscape and will continue to fulfill existing contractual obligations within applicable laws and sanctions.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Revenues in Russia were approximately 7% of our total revenues for the years ended December 31, 2022, 2021 and 2020. As of December 31, 2022, our Russia operations include $30 million in cash, $98 million in other current assets, $65 million in property, plant and equipment and other non-current assets, and $52 million in liabilities. As the Russia Ukraine Conflict and related sanctions persist or are escalated, our business may be negatively impacted, potentially lowering revenues or triggering asset impairments in Russia.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Regulation and Environmental Matters</w:t>
      </w:r>
    </w:p>
    <w:p>
      <w:pPr>
        <w:spacing w:after="0" w:line="206"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in the U.S. and globally relating to the energy industry in general and the environment in particular. Our 2022 expenditures to comply with environmental laws and regulations were not material, and we currently do not expect the cost of compliance with environmental laws and regulations for 2023 to be material. We continuously monitor and strive to maintain compliance with changes in laws and regulations that impact our business.</w:t>
      </w:r>
    </w:p>
    <w:p>
      <w:pPr>
        <w:spacing w:after="0" w:line="22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a former facility in Midland, Texas where we are performing a TCEQ-approved Remedial Action Plan (“RAP”) to address contaminated ground water. The performance of the RAP and related expenses are scheduled to be performed over a twenty to thirty-year period and, may cost as much as $11 million, all of which is recorded as an undiscounted obligation on the Consolidated Balance Sheets as of December 31, 2022. We recorded $6 million as an undiscounted obligation on the Consolidated Balance Sheets as of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Focus on People and Culture</w:t>
      </w:r>
    </w:p>
    <w:p>
      <w:pPr>
        <w:spacing w:after="0" w:line="23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At Weatherford, our global team is driven to further our mission – producing energy for today and tomorrow. Pivotal to our culture and ensuring we fulfill our mission and vision is our “One Weatherford” spirit – individually, we are impressive, and together, we are unstoppable. Our One Weatherford spirit motivates our global teams to collaborate for shared success and to seek out unique perspectives, fostering a culture where everyone can grow and contribute.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3"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Our global team comprises experts in various disciplines, including engineering, oilfield services support, and multiple corporate functions. In addition to our commitment to operating sustainably with safety, quality, and integrity, our actions are driven by our Core Values:</w:t>
      </w:r>
    </w:p>
    <w:p>
      <w:pPr>
        <w:spacing w:after="0" w:line="217" w:lineRule="exact"/>
        <w:rPr>
          <w:sz w:val="20"/>
          <w:szCs w:val="20"/>
          <w:color w:val="auto"/>
        </w:rPr>
      </w:pPr>
    </w:p>
    <w:p>
      <w:pPr>
        <w:ind w:left="640" w:hanging="316"/>
        <w:spacing w:after="0" w:line="230" w:lineRule="auto"/>
        <w:tabs>
          <w:tab w:leader="none" w:pos="6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Passion: We are energized by our work and inspired to make a positive impact in our industry, for our customers, across our Company, and in our communities;</w:t>
      </w:r>
    </w:p>
    <w:p>
      <w:pPr>
        <w:ind w:left="640" w:hanging="316"/>
        <w:spacing w:after="0" w:line="210" w:lineRule="auto"/>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Accountability: We operate with integrity, enable our people and teams to be successful, and aim to be true to our word;</w:t>
      </w:r>
    </w:p>
    <w:p>
      <w:pPr>
        <w:spacing w:after="0" w:line="1" w:lineRule="exact"/>
        <w:rPr>
          <w:rFonts w:ascii="Arial" w:cs="Arial" w:eastAsia="Arial" w:hAnsi="Arial"/>
          <w:sz w:val="21"/>
          <w:szCs w:val="21"/>
          <w:color w:val="auto"/>
        </w:rPr>
      </w:pPr>
    </w:p>
    <w:p>
      <w:pPr>
        <w:ind w:left="640" w:hanging="316"/>
        <w:spacing w:after="0" w:line="210" w:lineRule="auto"/>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Innovation: We are driven to deliver advancements that propel our Company, industry, and customers forward; and</w:t>
      </w:r>
    </w:p>
    <w:p>
      <w:pPr>
        <w:spacing w:after="0" w:line="13" w:lineRule="exact"/>
        <w:rPr>
          <w:rFonts w:ascii="Arial" w:cs="Arial" w:eastAsia="Arial" w:hAnsi="Arial"/>
          <w:sz w:val="21"/>
          <w:szCs w:val="21"/>
          <w:color w:val="auto"/>
        </w:rPr>
      </w:pPr>
    </w:p>
    <w:p>
      <w:pPr>
        <w:ind w:left="640" w:hanging="316"/>
        <w:spacing w:after="0" w:line="219" w:lineRule="auto"/>
        <w:tabs>
          <w:tab w:leader="none" w:pos="6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Value Creation: We aspire to achieving long-term value for all our stakeholders by providing compelling and unique benefits through technology differentiation and operational excellence.</w:t>
      </w:r>
    </w:p>
    <w:p>
      <w:pPr>
        <w:spacing w:after="0" w:line="19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believe that ensuring we have the right talent in place is essential to delivering positive results for the business. We remain focused on developing our talent through training, competency, and mentoring, as well as attracting diverse and qualified individuals who will bring a fresh perspectives and skill sets to the team. Through role-specific competency-based training and leadership development programs, we seek to expand our employees’ skill sets and regularly reinforce important topics that align with our core values and strategic priorities.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Focus on Safety</w:t>
      </w:r>
    </w:p>
    <w:p>
      <w:pPr>
        <w:spacing w:after="0" w:line="23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Weatherford is committed to the health, safety, and well-being of our employees, customers, and the communities in which we operate. We strive to be a company that is incident free, delivers on our promises, and leaves the environments and communities in which we operate better than we found them. Our company values are built on the foundation of safety, and we realize that a safe operation is indeed an efficient operation. Our commitment to safety and service quality is embedded into every level of our organization. Our Operational Excellence and Performance System (“OEPS”), is our integrated quality, health, safety, security, and environmental management system. OEPS meets or exceeds criteria outlined by international management system standards such as ISO 45001, supports our employees in the field, and enables us to deliver on our customer commitments without sacrificing quality, health, safety, security, or environmental performance. In addition, we have safety programs that are designed to educate employees and our Stop Work Authority program empowers them to intervene when they see unsafe behaviors or conditions.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Throughout the past year, we continued to focus on the safety and well-being of our employees as we navigated challenging circumstances including geopolitical events and the continuation of the COVID-19 pandemic.</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in aligning our employees’ compensation with the positive performance of our Company and returns realized for our shareholders. The goal of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compensation programs with our strategic priorities supports a cohesive drive towards value creation for all our stakeholders. In the past year, our Company underwent a strategic project to implement a new job structure that provides a consistent methodology and framework to support our organizational goals. The new job structure creates a foundation for defined career paths, learning and development, total rewards (i.e., benefits, compensation, and other rewards), workforce planning, and succession planning. We will continue to build out this project throughout the next year as we focus on further enhancing our compensation programs.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understand the importance of operating in a collaborative and inclusive manner across all levels of our organization, embracing the full spectrum of diversity among our employees and recognizing the strength and competitive advantages that our differences afford us as a Company. Our Diversity, Equity, and Inclusion (“DE&amp;I”) Program is a core element of our One Weatherford culture. Through our DE&amp;I efforts, we aim to provide learning, engagement, and philanthropic opportunities to help our people and our communities flourish.</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commitment to embedding our DE&amp;I Program into our organization is championed from the Executive team to the frontline employees. In 2022 we continued to advance our program and awareness throughout the organization, including creating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8" w:name="page9"/>
    <w:bookmarkEnd w:id="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DE&amp;I strategies for each of our regions, rolling out unconscious bias training, and conducting celebrations across the Company that foster collaboration and important conversations regarding DE&amp;I. We also expanded participation across all employee levels and regions in the Women of Weatherford employee resource group which seeks to engage, support, empower, and inspire women to foster professional growth, advancement, and leadership within Weatherford.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Community Impact and Volunteering</w:t>
      </w:r>
    </w:p>
    <w:p>
      <w:pPr>
        <w:spacing w:after="0" w:line="23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In addition to investing in our employees, we are committed to making a positive impact in the communities in which we live and work. Across the globe, our employees give back to organizations who need support in terms of donated items, volunteered time, and financial giving. For example, our team in Canada participates in an annual radiothon to support a local hospital, and our offices across the Latin America and Europe and Africa regions donate time and resources to orphanages, hospitals, and schools to support children and their families. In the United States, we continue to raise funds and awareness to find a cure for Multiple Sclerosis (“MS”) through the MS Society and through our annual Weatherford Walks event, we raised more than $400,000 benefiting a number of local organizations..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Statistics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2022, Weatherford had approximately 17,700 employees globally, located in 75 different countries. Some of our operations are subject to union contracts and these contracts cover approximately 13%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9" w:name="page10"/>
    <w:bookmarkEnd w:id="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Weatherford</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as of February 8, 2023,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Age</w:t>
            </w:r>
          </w:p>
        </w:tc>
        <w:tc>
          <w:tcPr>
            <w:tcW w:w="8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Position and Five-Year Business Experience</w:t>
            </w: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of Weatherford International plc, since October 2020</w:t>
            </w:r>
          </w:p>
        </w:tc>
      </w:tr>
      <w:tr>
        <w:trPr>
          <w:trHeight w:val="225"/>
        </w:trPr>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Senior Vice President and Chief Operating Officer of Exterran Corporation from August 2018 to September 2020</w:t>
            </w:r>
          </w:p>
        </w:tc>
      </w:tr>
      <w:tr>
        <w:trPr>
          <w:trHeight w:val="225"/>
        </w:trPr>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Global Services of Exterran Corporation from August 2016 to August 2018</w:t>
            </w:r>
          </w:p>
        </w:tc>
      </w:tr>
      <w:tr>
        <w:trPr>
          <w:trHeight w:val="231"/>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Arunava Mitra</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50</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Weatherford International plc, since January 2023</w:t>
            </w:r>
          </w:p>
        </w:tc>
      </w:tr>
      <w:tr>
        <w:trPr>
          <w:trHeight w:val="219"/>
        </w:trPr>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Mitsubishi Power Americas Inc. from October 2021 t</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2022</w:t>
            </w:r>
          </w:p>
        </w:tc>
      </w:tr>
      <w:tr>
        <w:trPr>
          <w:trHeight w:val="219"/>
        </w:trPr>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 of Mitsubishi Hitachi Power Systems of Americas Inc. fro</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2014 to October 2021</w:t>
            </w:r>
          </w:p>
        </w:tc>
      </w:tr>
      <w:tr>
        <w:trPr>
          <w:trHeight w:val="272"/>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Charles W. Davison, Jr. </w:t>
            </w:r>
            <w:r>
              <w:rPr>
                <w:rFonts w:ascii="Times New Roman" w:cs="Times New Roman" w:eastAsia="Times New Roman" w:hAnsi="Times New Roman"/>
                <w:sz w:val="22"/>
                <w:szCs w:val="22"/>
                <w:color w:val="auto"/>
                <w:vertAlign w:val="superscript"/>
              </w:rPr>
              <w:t>(a)</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Operations Officer of Weatherford International plc, since January 2023</w:t>
            </w:r>
          </w:p>
        </w:tc>
      </w:tr>
      <w:tr>
        <w:trPr>
          <w:trHeight w:val="199"/>
        </w:trPr>
        <w:tc>
          <w:tcPr>
            <w:tcW w:w="2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18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Executive Vice President of Operational Excellence of Weatherford International plc, from September 2022 t</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2023</w:t>
            </w:r>
          </w:p>
        </w:tc>
      </w:tr>
      <w:tr>
        <w:trPr>
          <w:trHeight w:val="252"/>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of Strike, LLC from June 2021 to September 2022</w:t>
            </w:r>
          </w:p>
        </w:tc>
      </w:tr>
      <w:tr>
        <w:trPr>
          <w:trHeight w:val="252"/>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Operating Officer of Oceaneering International from June 2019 to June 2021</w:t>
            </w:r>
          </w:p>
        </w:tc>
      </w:tr>
      <w:tr>
        <w:trPr>
          <w:trHeight w:val="219"/>
        </w:trPr>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 of Fairfield Geotechnologies from March 2018 t</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2019</w:t>
            </w:r>
          </w:p>
        </w:tc>
      </w:tr>
      <w:tr>
        <w:trPr>
          <w:trHeight w:val="252"/>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of Fairfield Geotechnologies from June 2015 to March 2018</w:t>
            </w:r>
          </w:p>
        </w:tc>
      </w:tr>
      <w:tr>
        <w:trPr>
          <w:trHeight w:val="198"/>
        </w:trPr>
        <w:tc>
          <w:tcPr>
            <w:tcW w:w="2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xml:space="preserve">Scott C. Weatherholt </w:t>
            </w:r>
            <w:r>
              <w:rPr>
                <w:rFonts w:ascii="Times New Roman" w:cs="Times New Roman" w:eastAsia="Times New Roman" w:hAnsi="Times New Roman"/>
                <w:sz w:val="22"/>
                <w:szCs w:val="22"/>
                <w:color w:val="auto"/>
                <w:vertAlign w:val="superscript"/>
              </w:rPr>
              <w:t>(b)</w:t>
            </w:r>
          </w:p>
        </w:tc>
        <w:tc>
          <w:tcPr>
            <w:tcW w:w="66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8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8"/>
              </w:rPr>
              <w:t>Executive Vice President, General Counsel, and Chief Compliance Officer of Weatherford International plc, sinc</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2020</w:t>
            </w:r>
          </w:p>
        </w:tc>
      </w:tr>
      <w:tr>
        <w:trPr>
          <w:trHeight w:val="227"/>
        </w:trPr>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General Counsel of Arena Energy, L.P., from September 2019 to July 2020</w:t>
            </w:r>
          </w:p>
        </w:tc>
      </w:tr>
      <w:tr>
        <w:trPr>
          <w:trHeight w:val="177"/>
        </w:trPr>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1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w w:val="99"/>
              </w:rPr>
              <w:t>Executive Vice President, General Counsel, and Corporate Secretary at Midstates Petroleum Company, Inc., fro</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2015 to August 2019</w:t>
            </w:r>
          </w:p>
        </w:tc>
      </w:tr>
      <w:tr>
        <w:trPr>
          <w:trHeight w:val="22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Mongrain</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People Officer of Weatherford International plc, since November 2021</w:t>
            </w:r>
          </w:p>
        </w:tc>
      </w:tr>
      <w:tr>
        <w:trPr>
          <w:trHeight w:val="177"/>
        </w:trPr>
        <w:tc>
          <w:tcPr>
            <w:tcW w:w="2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1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w w:val="99"/>
              </w:rPr>
              <w:t>Senior Vice President and Chief Human Resources Officer of Weatherford International plc, from March 2021 t</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2021</w:t>
            </w:r>
          </w:p>
        </w:tc>
      </w:tr>
      <w:tr>
        <w:trPr>
          <w:trHeight w:val="227"/>
        </w:trPr>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Human Resources of Anadarko Petroleum Corporation from September 2016 to August 2019</w:t>
            </w:r>
          </w:p>
        </w:tc>
      </w:tr>
      <w:tr>
        <w:trPr>
          <w:trHeight w:val="177"/>
        </w:trPr>
        <w:tc>
          <w:tcPr>
            <w:tcW w:w="21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Desmond J. Mills</w:t>
            </w:r>
          </w:p>
        </w:tc>
        <w:tc>
          <w:tcPr>
            <w:tcW w:w="66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50</w:t>
            </w:r>
          </w:p>
        </w:tc>
        <w:tc>
          <w:tcPr>
            <w:tcW w:w="81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Senior Vice President and Chief Accounting Officer of Weatherford International plc, since November 202</w:t>
            </w:r>
          </w:p>
        </w:tc>
      </w:tr>
      <w:tr>
        <w:trPr>
          <w:trHeight w:val="231"/>
        </w:trPr>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 August 2022 to January 2023)</w:t>
            </w:r>
          </w:p>
        </w:tc>
      </w:tr>
    </w:tbl>
    <w:p>
      <w:pPr>
        <w:spacing w:after="0" w:line="2" w:lineRule="exact"/>
        <w:rPr>
          <w:sz w:val="20"/>
          <w:szCs w:val="20"/>
          <w:color w:val="auto"/>
        </w:rPr>
      </w:pPr>
    </w:p>
    <w:p>
      <w:pPr>
        <w:ind w:left="3260"/>
        <w:spacing w:after="0" w:line="234" w:lineRule="auto"/>
        <w:rPr>
          <w:sz w:val="20"/>
          <w:szCs w:val="20"/>
          <w:color w:val="auto"/>
        </w:rPr>
      </w:pPr>
      <w:r>
        <w:rPr>
          <w:rFonts w:ascii="Times New Roman" w:cs="Times New Roman" w:eastAsia="Times New Roman" w:hAnsi="Times New Roman"/>
          <w:sz w:val="18"/>
          <w:szCs w:val="18"/>
          <w:color w:val="auto"/>
        </w:rPr>
        <w:t>Vice President and Chief Accounting Officer of Weatherford International plc, from March 2021 to Novembe 2021</w:t>
      </w:r>
    </w:p>
    <w:p>
      <w:pPr>
        <w:spacing w:after="0" w:line="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Segment Compliance Manager, Construction Industries Segment, Caterpillar Inc., from July 2020 to March 2021</w:t>
      </w:r>
    </w:p>
    <w:p>
      <w:pPr>
        <w:spacing w:after="0" w:line="56" w:lineRule="exact"/>
        <w:rPr>
          <w:sz w:val="20"/>
          <w:szCs w:val="20"/>
          <w:color w:val="auto"/>
        </w:rPr>
      </w:pPr>
    </w:p>
    <w:p>
      <w:pPr>
        <w:ind w:left="3260"/>
        <w:spacing w:after="0" w:line="258" w:lineRule="auto"/>
        <w:rPr>
          <w:sz w:val="20"/>
          <w:szCs w:val="20"/>
          <w:color w:val="auto"/>
        </w:rPr>
      </w:pPr>
      <w:r>
        <w:rPr>
          <w:rFonts w:ascii="Times New Roman" w:cs="Times New Roman" w:eastAsia="Times New Roman" w:hAnsi="Times New Roman"/>
          <w:sz w:val="18"/>
          <w:szCs w:val="18"/>
          <w:color w:val="auto"/>
        </w:rPr>
        <w:t>Division Chief Financial Officer, Integrated Components and Solutions Division, Caterpillar Inc., from Septembe 2018 to July 2020</w:t>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Finance Director, Caterpillar Brasil Ltda., Caterpillar Inc., from January 2015 to August 2018</w:t>
      </w:r>
    </w:p>
    <w:p>
      <w:pPr>
        <w:spacing w:after="0" w:line="125" w:lineRule="exact"/>
        <w:rPr>
          <w:sz w:val="20"/>
          <w:szCs w:val="20"/>
          <w:color w:val="auto"/>
        </w:rPr>
      </w:pPr>
    </w:p>
    <w:p>
      <w:pPr>
        <w:jc w:val="both"/>
        <w:ind w:left="480" w:right="100" w:hanging="315"/>
        <w:spacing w:after="0" w:line="253" w:lineRule="auto"/>
        <w:tabs>
          <w:tab w:leader="none" w:pos="474"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joining Weatherford, Mr. Davison was the President and Chief Executive Officer of Strike, LLC from June 2021 to September 2022 when the company filed for bankruptcy protection on December 6, 2021 in the Federal Bankruptcy Court for the Southern District of Texas (Houston Division) and served the company before, during and after its bankruptcy.</w:t>
      </w:r>
    </w:p>
    <w:p>
      <w:pPr>
        <w:ind w:left="480" w:right="100" w:hanging="315"/>
        <w:spacing w:after="0" w:line="265" w:lineRule="auto"/>
        <w:tabs>
          <w:tab w:leader="none" w:pos="4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Weatherford International plc – 2022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10" w:name="page11"/>
    <w:bookmarkEnd w:id="1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7" w:lineRule="exact"/>
        <w:rPr>
          <w:sz w:val="20"/>
          <w:szCs w:val="20"/>
          <w:color w:val="auto"/>
        </w:rPr>
      </w:pPr>
    </w:p>
    <w:p>
      <w:pPr>
        <w:ind w:left="480"/>
        <w:spacing w:after="0" w:line="287" w:lineRule="auto"/>
        <w:rPr>
          <w:sz w:val="20"/>
          <w:szCs w:val="20"/>
          <w:color w:val="auto"/>
        </w:rPr>
      </w:pPr>
      <w:r>
        <w:rPr>
          <w:rFonts w:ascii="Times New Roman" w:cs="Times New Roman" w:eastAsia="Times New Roman" w:hAnsi="Times New Roman"/>
          <w:sz w:val="15"/>
          <w:szCs w:val="15"/>
          <w:color w:val="auto"/>
        </w:rPr>
        <w:t>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Energy Services Industry Risks</w:t>
      </w:r>
    </w:p>
    <w:p>
      <w:pPr>
        <w:spacing w:after="0" w:line="2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20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Demand for our products and services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declines in global demand for oil and natural gas, including reduced demand as a result of the COVID-19 pandemic, have previously led to our customers, including national oil companies and large oil and natural gas exploration and production companies, to greatly reduce planned future capital expenditures. Factors affecting the prices of oil and natural gas include, but are not limited to:</w:t>
      </w:r>
    </w:p>
    <w:p>
      <w:pPr>
        <w:spacing w:after="0" w:line="213" w:lineRule="exact"/>
        <w:rPr>
          <w:sz w:val="20"/>
          <w:szCs w:val="20"/>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and natural gas;</w:t>
      </w:r>
    </w:p>
    <w:p>
      <w:pPr>
        <w:spacing w:after="0" w:line="24" w:lineRule="exact"/>
        <w:rPr>
          <w:rFonts w:ascii="Times New Roman" w:cs="Times New Roman" w:eastAsia="Times New Roman" w:hAnsi="Times New Roman"/>
          <w:sz w:val="18"/>
          <w:szCs w:val="18"/>
          <w:color w:val="auto"/>
        </w:rPr>
      </w:pPr>
    </w:p>
    <w:p>
      <w:pPr>
        <w:ind w:left="960" w:hanging="318"/>
        <w:spacing w:after="0" w:line="230"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(“OPEC”) and the expanded alliance (“OPEC+”) and other high oil exporting non-OPEC+ nations to set and maintain oil production levels;</w:t>
      </w:r>
    </w:p>
    <w:p>
      <w:pPr>
        <w:spacing w:after="0" w:line="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natural gas production in the U.S. and by other non-OPEC+ countries;</w:t>
      </w:r>
    </w:p>
    <w:p>
      <w:pPr>
        <w:spacing w:after="0" w:line="4" w:lineRule="exact"/>
        <w:rPr>
          <w:rFonts w:ascii="Times New Roman" w:cs="Times New Roman" w:eastAsia="Times New Roman" w:hAnsi="Times New Roman"/>
          <w:sz w:val="18"/>
          <w:szCs w:val="18"/>
          <w:color w:val="auto"/>
        </w:rPr>
      </w:pPr>
    </w:p>
    <w:p>
      <w:pPr>
        <w:ind w:left="960" w:hanging="318"/>
        <w:spacing w:after="0" w:line="23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capacity;</w:t>
      </w:r>
    </w:p>
    <w:p>
      <w:pPr>
        <w:ind w:left="960" w:hanging="318"/>
        <w:spacing w:after="0" w:line="23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end-customer preferences toward sustainable energy sources, fuel efficiency and the use of natural gas;</w:t>
      </w:r>
    </w:p>
    <w:p>
      <w:pPr>
        <w:ind w:left="960" w:hanging="318"/>
        <w:spacing w:after="0" w:line="23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constraints associated with, producing and delivering oil and natural gas;</w:t>
      </w: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the policies of governments regarding the exploration for and production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development of their oil and natural gas reserves;</w:t>
      </w:r>
    </w:p>
    <w:p>
      <w:pPr>
        <w:spacing w:after="0" w:line="5" w:lineRule="exact"/>
        <w:rPr>
          <w:sz w:val="20"/>
          <w:szCs w:val="20"/>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and health or similar issues, such as pandemics or epidemics;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military, and economic conditions (including impacts from the Russia Ukraine Conflict); and</w:t>
      </w:r>
    </w:p>
    <w:p>
      <w:pPr>
        <w:spacing w:after="0" w:line="5" w:lineRule="exact"/>
        <w:rPr>
          <w:rFonts w:ascii="Times New Roman" w:cs="Times New Roman" w:eastAsia="Times New Roman" w:hAnsi="Times New Roman"/>
          <w:sz w:val="18"/>
          <w:szCs w:val="18"/>
          <w:color w:val="auto"/>
        </w:rPr>
      </w:pPr>
    </w:p>
    <w:p>
      <w:pPr>
        <w:ind w:left="720" w:right="2040" w:hanging="78"/>
        <w:spacing w:after="0" w:line="251" w:lineRule="auto"/>
        <w:tabs>
          <w:tab w:leader="none" w:pos="9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alternative energy and electric vehicles, including government initiatives to promote the use of sustainable, renewable energy sources and public sentiment around alternatives to oil and natural gas.</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Reductions in capital spending or reductions in the prices we receive for our products and services provided to our customers could have a material adverse effect on our business, financial condition and results of operations. Spending by exploration and production companies can also be impacted by conditions in the capital markets, which may be volatile at times. Limitations on the availability of capital or higher costs of capital may cause exploration and production companies to make additional reductions to their capital budgets even if oil and natural gas prices increase from current levels. In addition, the transition of the global energy sector from primarily a fossil fuel-based system to renewable energy sources could affect our customers' levels of expenditures. Any such reductions in spending could curtail drilling programs, as well as discretionary spending on well services, which may result in a reduction in the demand for certain of our products and services, the rates we can charge for and the utilization of our assets, any or all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1" w:name="page12"/>
    <w:bookmarkEnd w:id="1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2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Our fulfillment system relies on a global network of external suppliers and service providers, which may be impacted by macroeconomic conditions and geopolitical conflict and instability. Shortages, supplier capacity constraints, supplier production disruptions, supplier quality and sourcing issues or price increases could have a material adverse effect on our business, financial condition and results of operations.</w:t>
      </w:r>
    </w:p>
    <w:p>
      <w:pPr>
        <w:spacing w:after="0" w:line="188" w:lineRule="exact"/>
        <w:rPr>
          <w:sz w:val="20"/>
          <w:szCs w:val="20"/>
          <w:color w:val="auto"/>
        </w:rPr>
      </w:pPr>
    </w:p>
    <w:p>
      <w:pPr>
        <w:jc w:val="both"/>
        <w:ind w:firstLine="318"/>
        <w:spacing w:after="0" w:line="201" w:lineRule="exact"/>
        <w:rPr>
          <w:sz w:val="20"/>
          <w:szCs w:val="20"/>
          <w:color w:val="auto"/>
        </w:rPr>
      </w:pPr>
      <w:r>
        <w:rPr>
          <w:rFonts w:ascii="Times New Roman" w:cs="Times New Roman" w:eastAsia="Times New Roman" w:hAnsi="Times New Roman"/>
          <w:sz w:val="18"/>
          <w:szCs w:val="18"/>
          <w:color w:val="auto"/>
        </w:rPr>
        <w:t>We purchase a variety of raw materials, as well as parts and components made by other manufacturers and suppliers for use in our manufacturing facilities. Our global supply chain is also subject to macroeconomic conditions and political risks. Adverse macroeconomic conditions, including inflation, slower growth or recession and higher interest rates could create disruptions in our supply chain. Similarly, geopolitical risks, including instability resulting from civil unrest, political demonstrations, strikes and armed conflict or other crises in the oil and gas producing regions, such as the Russia Ukraine Conflict and the resulting sanctions could change the global supply chain dynamics and demand. A disruption in deliveries to or from suppliers or decreased availability of materials could have an adverse effect on our ability to meet our commitments to customers or increase our operating costs. Also, certain parts and equipment that we use in our operations may be available only from a small number of suppliers, manufacturers or service providers, or in some cases may be sourced through a single supplier, manufacturer or service provider. A disruption in the deliveries from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spacing w:after="0" w:line="22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Climate change, environmental, social and governance and sustainability initiatives may result in regulatory or structural industry changes that could require significant operational changes and expenditures, reduce demand for our products and services and adversely affect our business, financial condition, results of operations, stock price or access to capital markets.</w:t>
      </w:r>
    </w:p>
    <w:p>
      <w:pPr>
        <w:spacing w:after="0" w:line="20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Climate change, environmental, social and governance (“ESG”) and sustainability are a growing global movement. Continuing political and social attention to these issues has resulted in both existing and pending international agreements and national, regional and local legislation, regulatory measures, reporting obligations and policy changes.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significant equipment modifications, operational changes, taxes, or purchases of emission credits to reduce emission of greenhouse gases from our operations or those of our customers, which may result in substantial capital expenditures and compliance, operating, maintenance and remediation costs. As a result of heightened public awareness and attention to these issues as well as continued political and regulatory initiatives to reduce the reliance upon oil and natural gas, demand for hydrocarbons may be reduced, which could have an adverse effect on our business, financial condition, and results of operations. The imposition and enforcement of stringent greenhouse gas emissions reduction requirements could severely and adversely impact the oil and natural gas industry and therefore significantly reduce the value of our business.</w:t>
      </w:r>
    </w:p>
    <w:p>
      <w:pPr>
        <w:spacing w:after="0" w:line="206"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Certain financial institutions, institutional investors and other sources of capital have begun to limit or eliminate their investment in financing of conventional energy-related activities due to concerns about climate change, which could make it more difficult for our customers and for us to finance our respective businesses. Increasing attention to climate change, ESG and sustainability has resulted in governmental investigations, and public and private litigation, which could increase our costs or otherwise adversely affect our business or results of operations.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companies or industries, which could have a negative impact on the price of our securities and our access to and costs of capital.</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or all of these ESG and sustainability initiatives may result in significant operational changes and expenditures, reduced demand for our products and services, and could materially adversely affect our business, financial condition, results of operations, stock price or access to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1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need to operate more sustainably and with a lower carbon footprint and impact could adversely affect our business, results of operations and cash flows.</w:t>
      </w:r>
    </w:p>
    <w:p>
      <w:pPr>
        <w:spacing w:after="0" w:line="20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may also consider engaging with our customers to develop solutions to decarbonize our customers’ oil and natural gas operations. We could potentially lose engagement with customers, investors and/or certain financial institutions if we fail or are perceived to fail at effectively and timely addressing the need to conduct our operations and provision of services to our customers more sustainably and with a lower carbon footprint which could materially adversely affect our business, financial condition and results of operations.</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energy transition could materially adversely affect our business, financial condition and results of operations.</w:t>
      </w:r>
    </w:p>
    <w:p>
      <w:pPr>
        <w:spacing w:after="0" w:line="175"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Our long-term success depends on our ability to effectively participate in the energy transition, which will require adapting our technology portfolio to potentially changing market demand for products and services and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it could materially adversely affect our business, financial condition, results of reparations and our access to capital or the market for our securities.</w:t>
      </w:r>
    </w:p>
    <w:p>
      <w:pPr>
        <w:spacing w:after="0" w:line="22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Severe weather, including extreme weather conditions, has in the past, and could in the future, adversely affect our business and results of operations.</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has been, and in the future will likely be, affected by severe weather in areas where we operate, which could materially adversely affect our operations. In addition, the frequency and severity of extreme weather conditions may also materially affect our operations and financial results. Any such extreme weather-related events could have a material adverse effect on our business, financial condition and results of operations.</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Liability claims resulting from catastrophic incidents could have a material adverse effect on our business, financial condition and results of operations</w:t>
      </w:r>
    </w:p>
    <w:p>
      <w:pPr>
        <w:spacing w:after="0" w:line="18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equipment failures,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operations outside the U.S., which exposes us to risks inherent in doing business in each of the 75 countries in which we operate.</w:t>
      </w:r>
    </w:p>
    <w:p>
      <w:pPr>
        <w:spacing w:after="0" w:line="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U.S. accounted for 20%, 19% and 20% of revenues in 2022, 2021 and 2020, respectively. The rest of our revenues were from non-U.S.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Operations in countries other than the U.S. are subject to various risks, including:</w:t>
      </w:r>
    </w:p>
    <w:p>
      <w:pPr>
        <w:spacing w:after="0" w:line="210" w:lineRule="exact"/>
        <w:rPr>
          <w:sz w:val="20"/>
          <w:szCs w:val="20"/>
          <w:color w:val="auto"/>
        </w:rPr>
      </w:pPr>
    </w:p>
    <w:p>
      <w:pPr>
        <w:ind w:left="960" w:hanging="318"/>
        <w:spacing w:after="0" w:line="258"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29" w:lineRule="exact"/>
        <w:rPr>
          <w:sz w:val="20"/>
          <w:szCs w:val="20"/>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24" w:lineRule="exact"/>
        <w:rPr>
          <w:rFonts w:ascii="Times New Roman" w:cs="Times New Roman" w:eastAsia="Times New Roman" w:hAnsi="Times New Roman"/>
          <w:sz w:val="18"/>
          <w:szCs w:val="18"/>
          <w:color w:val="auto"/>
        </w:rPr>
      </w:pPr>
    </w:p>
    <w:p>
      <w:pPr>
        <w:ind w:left="960" w:right="20" w:hanging="318"/>
        <w:spacing w:after="0" w:line="238"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ind w:left="960" w:hanging="318"/>
        <w:spacing w:after="0" w:line="230"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the potential for such issues to exacerbate other risks we face;</w:t>
      </w:r>
    </w:p>
    <w:p>
      <w:pPr>
        <w:spacing w:after="0" w:line="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deprivation of contract rights or other governmental actions;</w:t>
      </w:r>
    </w:p>
    <w:p>
      <w:pPr>
        <w:spacing w:after="0" w:line="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political corruption;</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international laws and regulations;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responses to the COVID-19 pandemic and related restrictions;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5" w:lineRule="exact"/>
        <w:rPr>
          <w:rFonts w:ascii="Times New Roman" w:cs="Times New Roman" w:eastAsia="Times New Roman" w:hAnsi="Times New Roman"/>
          <w:sz w:val="18"/>
          <w:szCs w:val="18"/>
          <w:color w:val="auto"/>
        </w:rPr>
      </w:pPr>
    </w:p>
    <w:p>
      <w:pPr>
        <w:ind w:left="960" w:hanging="318"/>
        <w:spacing w:after="0" w:line="245"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Kingdom, the U.S. or other countries, including in response to the Russia Ukraine Conflict;</w:t>
      </w:r>
    </w:p>
    <w:p>
      <w:pPr>
        <w:spacing w:after="0" w:line="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under the U.S. Foreign Corrupt Practices Act or similar governmental legislation in other countries; and</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by cybersecurity incidents and other technology disruptions.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rely heavily on information systems and other digital technology to conduct and protect our business. These information systems and other digital technology may become increasingly more susceptible to sophisticated cybersecurity attacks, incursions or other incidents such as unauthorized access to data and systems, loss or destruction of data (including confidential customer, supplier and employee information), computer viruses, or other malicious code, phishing and cyberattacks, and other similar events. These incidents could arise from numerous sources, not all of which would necessarily be within our control, including fraud or malice on the part of third parties, governmental actors,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200"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Given the rapidly evolving nature of cybersecurity incidents, there can be no assurance that the controls we have designed and implemented to prevent or limit the effects of cybersecurity incidents or attacks will be sufficient in preventing all such incidents or attacks, or be able to avoid a material impact to our systems as such incidents or attacks occur. Recent widespread ransomware attacks and cybersecurity breaches in the U.S. and elsewhere have affected many companies. To date, none of these have had a material impact on us. Cybersecurity incidents can result in the disclosure of confidential or proprietary customer, supplier or employee information; theft or loss of intellectual property; impairment in our ability to operate or conduct our business; damage to our reputation with our customers, suppliers, employees and the market; failure to meet customer requirements or result in customer dissatisfaction; legal and regulatory exposure, including fines or legal proceedings (including as a result of our failure to make adequate or timely disclosures to the public, government agencies or affected individuals, whether due to delayed discovery or the time it takes to investigate or remediate); damage to equipment (which could cause environmental or safety issues) and other financial costs and losses, including as a result of any remediation efforts. While Weatherford imposes strict controls on third-party system connectivity to our systems, the threat of an attack via a third-party system is never null.</w:t>
      </w:r>
    </w:p>
    <w:p>
      <w:pPr>
        <w:spacing w:after="0" w:line="21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The occurrence of any cybersecurity incident can go unnoticed for a period of time despite efforts to detect and respond in a timely manner. Any investigation of a cybersecurity incident is inherently unpredictable, and it takes time before the completion of any investigation and before there is availability of full and reliable information. During such time we are not necessarily able to know the extent of the harm or how best to remediate it, and certain errors or actions could be repeated or compounded before they are discovered and remediated, all or any of which further increase the costs and consequences of a cybersecurity event or other security incident. As cybersecurity incidents and attacks continue to evolve, we may be required to expend significant additional resources and incur significant expenses to continue to modify or enhance our protective measures or to investigate, respond to or remediate any information security vulnerabilities.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cybersecurity incident could have a material adverse effect on our business, reputation, financial condition and results of operations.</w:t>
      </w:r>
    </w:p>
    <w:p>
      <w:pPr>
        <w:spacing w:after="0" w:line="22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The COVID-19 pandemic significantly weakened demand for our products and services and had a substantial negative impact on our business, financial condition, results of operations and cash flows. A future pandemic may result in similar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effects of the COVID-19 pandemic in 2020 and 2021, including actions taken by businesses and governments to contain the spread of the virus, resulted in a significant reduction in international and U.S. economic activity and severely impacted our business and our industry. The effects included adverse revenue and net income impacts; disruptions to our operations; customer shutdowns of oil and natural gas exploration and production; employee impacts from illness, school closures and other community response measures; and temporary closures of our facilities or the facilities of our customers and suppliers.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COVID-19 pandemic, and the volatile regional and global economic conditions stemming from the pandemic, exacerbated the potential negative impact from many of the other risks we face. We believe that in addition to the impacts described above, other impacts included or could in the future include, but are not limited to:</w:t>
      </w:r>
    </w:p>
    <w:p>
      <w:pPr>
        <w:spacing w:after="0" w:line="218" w:lineRule="exact"/>
        <w:rPr>
          <w:sz w:val="20"/>
          <w:szCs w:val="20"/>
          <w:color w:val="auto"/>
        </w:rPr>
      </w:pPr>
    </w:p>
    <w:p>
      <w:pPr>
        <w:ind w:left="640" w:hanging="316"/>
        <w:spacing w:after="0" w:line="223"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Structural shift in the global economy and its demand for oil and natural gas as a result of changes in the way people work, travel and interact, or in connection with a global or regional recession or depression;</w:t>
      </w:r>
    </w:p>
    <w:p>
      <w:pPr>
        <w:ind w:left="640" w:hanging="316"/>
        <w:spacing w:after="0" w:line="213"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Reduction of our global workforce to adjust to market conditions, including severance payments, retention issues, and an inability to hire employees when market conditions improve;</w:t>
      </w:r>
    </w:p>
    <w:p>
      <w:pPr>
        <w:ind w:left="640" w:hanging="316"/>
        <w:spacing w:after="0" w:line="210" w:lineRule="auto"/>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Infections and quarantining of our employees and the personnel of our customers, suppliers and other third parties in areas in which we operate;</w:t>
      </w:r>
    </w:p>
    <w:p>
      <w:pPr>
        <w:spacing w:after="0" w:line="13" w:lineRule="exact"/>
        <w:rPr>
          <w:rFonts w:ascii="Arial" w:cs="Arial" w:eastAsia="Arial" w:hAnsi="Arial"/>
          <w:sz w:val="21"/>
          <w:szCs w:val="21"/>
          <w:color w:val="auto"/>
        </w:rPr>
      </w:pPr>
    </w:p>
    <w:p>
      <w:pPr>
        <w:ind w:left="640" w:hanging="316"/>
        <w:spacing w:after="0" w:line="210" w:lineRule="auto"/>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Our insurance policies may not cover losses associated with pandemics or similar global health threats;</w:t>
      </w:r>
    </w:p>
    <w:p>
      <w:pPr>
        <w:ind w:left="640" w:hanging="316"/>
        <w:spacing w:after="0" w:line="219"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Litigation risk and possible loss contingencies related to a pandemic and its impact, including with respect to commercial contracts, employment matters, personal injury and insurance arrangements; and</w:t>
      </w:r>
    </w:p>
    <w:p>
      <w:pPr>
        <w:jc w:val="both"/>
        <w:ind w:left="640" w:hanging="316"/>
        <w:spacing w:after="0" w:line="213"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 experience a higher rate of cybersecurity attacks, intrusions or incidents in the current environment of remote connectivity, as well as increased geopolitical conflicts and tensions.</w:t>
      </w:r>
    </w:p>
    <w:p>
      <w:pPr>
        <w:spacing w:after="0" w:line="19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Our business is dependent upon our on our ability to efficiently and effectively perform and provide products and services to our customers. As such, we continue to find ways to improve and invest in our people, processes and systems. Our inability to efficiently and effectively execute for our customers and our inability to make timely investments in our people, processes and systems could have an adverse effect on our business, financial condition and results of operations.</w:t>
      </w:r>
    </w:p>
    <w:p>
      <w:pPr>
        <w:spacing w:after="0" w:line="20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customers rely on our ability to efficiently perform and execute on the delivery of our products and services, and a low success rate could adversely impact margins and our ability to obtain market share. Additionally, we continuously identify opportunities to invest in our people, processes and systems, however, we may not be able to adjust quickly enough to capitalize on market share during times of industry growth, or the returns on our investments may not outpace margin deterioration at times of slower activity.</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operational and financial growth, in part, is dependent upon our liquidity requirements and the adequacy of our capital resources.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liquidity, including our ability to meet our ongoing operational obligations, as well as service our debt, is dependent upon, among other things: (i) our ability to maintain adequate cash on hand; (ii) our ability to generate cash flow from operations; (iii) our ability to access the capital markets; and (iv) changes in market conditions that would negatively impact our revenue or our profits.</w:t>
      </w:r>
    </w:p>
    <w:p>
      <w:pPr>
        <w:spacing w:after="0" w:line="2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At times, the energy industry has faced negative sentiment in the capital markets which has impacted the ability of participants to access appropriate amounts of capital upon suitable terms. This negative sentiment has not only impacted our customers in North America, it has also affected the availability and the pricing for most credit lines and other capital resources extended to participants in the industry, including us.</w:t>
      </w:r>
    </w:p>
    <w:p>
      <w:pPr>
        <w:spacing w:after="0" w:line="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color w:val="auto"/>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spacing w:after="0" w:line="2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2022, we had $395 million of letters of credit outstanding, consisting of the $195 million under our senior secured letter of credit agreement, as amended (the “Credit Agreement”) and another $200 million under various uncommitted bi-lateral facilities (of which there was $199 million in cash collateral held and recorded in “Restricted Cash”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Latin America we utilize surety bonds as part of our customary business practice. As of December 31, 2022, we had $415 million of surety bonds outstanding. Any of our outstanding letters of credit or surety bonds could be called by the beneficiaries should we breach certain contractual or performance obligations and could reduce our available liquidity if we are unable mitigate the issue.</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We may not be fully indemnified against financial losses in all circumstances where damage to or loss of property, personal injury, death or environmental harm occur.</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8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2022, we had $45 million of short-term and $2.2 billion of long-term debt, all accruing interest. If business activity declines, or otherwise does not increase, our level of indebtedness could have negative consequences for our business, financial condition and results of operations, including:</w:t>
      </w:r>
    </w:p>
    <w:p>
      <w:pPr>
        <w:spacing w:after="0" w:line="204"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refinance our existing debt, on terms that are commercially acceptable to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thereby reducing our free cash flow and the amount of our cash flow available for other purposes;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possible competitive disadvantage with less leveraged competitors or competitors that may have better access to capital resources; and</w:t>
      </w:r>
    </w:p>
    <w:p>
      <w:pPr>
        <w:spacing w:after="0" w:line="69"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83"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as a result, could adversely impact our liquidity position. Any harm to our business and operations resulting from our current or future level of indebtedness could adversely affect our ability to pay amounts due to our lenders and noteholders.</w:t>
      </w:r>
    </w:p>
    <w:p>
      <w:pPr>
        <w:spacing w:after="0" w:line="21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2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21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There may be circumstances in which the interests of our significant shareholders could be in conflict with the interests of our other shareholders.</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aggregate, certain funds associated with our eight largest shareholders currently own in excess of 66%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could be in conflict with the interest of our other shareholders. In addition, our significant concentration of share ownership may adversely affect the trading price of our securities because investors may perceive disadvantages in owning securities in companies with significant shareholders and may restrict the trading volume in our ordinary shares.</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The terms of our indebtedness restrict our current and future operations, particularly our ability to respond to changes or to pursue our business strategies.</w:t>
      </w:r>
    </w:p>
    <w:p>
      <w:pPr>
        <w:spacing w:after="0" w:line="175"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The Credit Agreement and the indentures governing our 11.0% Senior Notes maturing on December 1, 2024 (“Exit Notes”) and 6.5% Senior Secured Notes maturing on September 15, 2028 (“2028 Senior Secured Notes”) and our 8.625% Senior Notes maturing April 30, 2030 (the “2030 Senior Notes”), contain certain restrictive covenants that may impose significant operating and financial restrictions on us and may limit our ability to engage in acts that we may believe to be in our long-term best interest, including restrictions on our ability to:</w:t>
      </w:r>
    </w:p>
    <w:p>
      <w:pPr>
        <w:spacing w:after="0" w:line="222"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distributions;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incur liens.</w:t>
      </w:r>
    </w:p>
    <w:p>
      <w:pPr>
        <w:spacing w:after="0" w:line="29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minimum interest coverage ratio, maximum ratio of funded debt, and certain other financial ratios, which may apply in certain circumstances, and other restrictions. Our ability to meet the liquidity thresholds or those financial ratios could be affected by events beyond our control.</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breach of the covenants and other restrictions in any of our indebtedness could result in an event of default thereunder. Such a default may allow the lenders, holders or the trustee, as applicable, to accelerate the related indebtedness which may result in the acceleration of any other indebtedness or to foreclose on our assets, of which substantially all of our assets are secured by certain lenders. In addition, an event of default under the Credit Agreement would permit the lenders thereunder to terminate all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Failure to attract, retain and develop qualified personnel could impede our operations.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future success depends on our ability to attract, retain and develop qualified personnel to operate and to provide services and support for our business. We may experience employee turnover or labor shortages if our business requirements and/or expectations are inconsistent with the expectations of our employees or if our employees or potential employees decide to pursue employment in fields with less volatility than in the energy industry. Additionally, during periods of increased demand for products and services in our industry, competition for qualified personnel may increase and the availability of qualified personnel may be further constrained. Failure to attract, retain and develop qualified personnel could have an adverse effect on our results of operations, financial condition and cash flows.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Legal, Tax and Regulatory Risks</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b w:val="1"/>
          <w:bCs w:val="1"/>
          <w:color w:val="auto"/>
        </w:rPr>
        <w:t>Our operations are subject to numerous current and future social and governance related legislative and regulatory measures both globally and in the specific geographic regions in which we and our customers operate, including treaties and international agreements related to “sustainability” initiatives like greenhouse gases, climate change and renewable energy sources. Our ability to comply with, and respond to current and future changes may expose us to significant liabilities, result in additional compliance costs and could reduce our business opportunities and revenues.</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or former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in the Gulf of Mexico and elsewhere in the world could be imposed, and those regulations could limit our business where they are imposed.</w:t>
      </w:r>
    </w:p>
    <w:p>
      <w:pPr>
        <w:spacing w:after="0" w:line="21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natural gas wells in low-permeability reservoirs. We previously provided (and may, in the future, resume providing) fracturing services to customers. Regulators periodically investigate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restricting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commitments and disclosures may expose us to reputational risks and legal liability.</w:t>
      </w:r>
    </w:p>
    <w:p>
      <w:pPr>
        <w:spacing w:after="0" w:line="23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Increasing focus on ESG factors has led to enhanced interest in, and review of performance results by investors and other stakeholders, and the potential for litigation and reputational risk. In 2022, we made certain public commitments to various corporate ESG initiatives, including our commitment to achieve net-zero emissions by 2050 and signing on to the UN Global Compact. Any failure, or perceived failure, to achieve or accurately report on our commitments in our disclosures, including our annual Sustainability Report and our other disclosures on these matters, could harm our reputation and adversely affect our client relationships or our recruitment and retention efforts, as well as expose us to potential legal liability. In addition, positions we take or do not take on social issues may be unpopular with some of our employees, our clients or potential clients, shareholders, investors, governments or advocacy groups, which may impact our ability to attract or retain employees or the demand for our services.</w:t>
      </w:r>
    </w:p>
    <w:p>
      <w:pPr>
        <w:spacing w:after="0" w:line="210"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Increasing focus on ESG matters has resulted in the adoption of legal and regulatory requirements designed to mitigate the effects of climate change on the environment, as well as legal and regulatory requirements requiring climate, human rights and supply chain-related disclosures. We expect these types of regulatory requirements related to ESG matters to continue to expand globally. If new laws or regulations are more stringent than current legal or regulatory requirements or involve reporting information according to differing standards and frameworks in the countries in which we operate, we may experience increased compliance burdens and costs to meet such obligations. In addition, our selection of voluntary disclosure frameworks and standards, and the interpretation or application of those frameworks and standards, may change from time to time or may not satisfy varying regulatory requirements or the expectations of investors or other stakeholders.</w:t>
      </w:r>
    </w:p>
    <w:p>
      <w:pPr>
        <w:spacing w:after="0" w:line="21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Our ability to achieve our ESG commitments, including our goals relating to sustainability and inclusion and diversity, is subject to numerous risks, many of which are outside of our control. Examples of such risks include: (1) our ability to operate more sustainably and with a lower carbon footprint; (2) the availability and cost of low- or non-carbon-based energy sources and technologies; (3) evolving and potentially conflicting global regulatory requirements affecting ESG standards or disclosures; (4) the availability of suppliers that can meet our sustainability, diversity and other standards; and (5) our ability to recruit, develop, and retain diverse talent.</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7"/>
          <w:szCs w:val="17"/>
          <w:color w:val="auto"/>
        </w:rPr>
        <w:t>In addition, standards for tracking and reporting on ESG matters, including climate change and human rights related matters, have not been harmonized and continue to evolve. Methodologies for reporting ESG data may be updated requiring that previously reported ESG data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to address obtaining information that resides in multiple internal systems and responding to multiple disparate standards for identifying, measuring, and reporting ESG metrics, including ESG-related disclosures that may be required by the SEC, European and other regulators. Such standards are currently not consistent and may change over time, which could result in significant revisions to our current goals, reported progress in achieving such goals, or ability to achieve such goals in the future.</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Changes in tax laws could significantly increase our tax expense and require us to take actions, at potential significant expense, to seek to preserve our current level of tax expense.</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2002, we reorganized from the U.S.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Organization of Economic Cooperation and Development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In addition, the OECD has advanced reforms focused on global profit allocation, and implementing a global minimum tax rate of at least 15% for large multinational corporations on a jurisdiction-by-jurisdiction basis, known as the “two pillar plan.” On October 8, 2021, the OECD announced an accord endorsing and providing an implementation plan for the two pillar plan agreed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by 136 nations. On December 15, 2022, the European Council formally adopted a European Union directive on the implementation of the plan by January 1, 2024. While the implementation of the accord is uncertain, if legislation is enacted to implement the accord in some or all of the jurisdictions in which we have operations, it could materially increase the amount of taxes we owe, on a retroactive or prospective basis, thereby negatively affecting our results of operations and our cash flows from operations.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substantially all of our deferred tax assets.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If a U.S. person is treated as owning at least 10% of our shares, such holder may be subject to adverse U.S. federal income tax consequences.</w:t>
      </w:r>
    </w:p>
    <w:p>
      <w:pPr>
        <w:spacing w:after="0" w:line="24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a result of the Tax Cuts and Jobs Act of 2017, many of our non-U.S. subsidiaries are now classified as “controlled foreign corporations”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person may be treated as a “U.S. shareholder” with respect to one or more of our controlled foreign corporation subsidiaries. In addition, if our shares are treated as owned more than 50% by U.S. shareholders, we would be treated as a controlled foreign corporation. A U.S.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U.S. shareholder. An individual U.S. shareholder generally would not be allowed certain tax deductions or foreign tax credits that would be allowed to a corporate U.S. shareholder with respect to a controlled foreign corporation.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controlled foreign corporations or whether any investor is a U.S. shareholder with respect to any such controlled foreign corporations. We also cannot guarantee that we will furnish to U.S. shareholders information that may be necessary for them to comply with the aforementioned obligations. U.S.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shares.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United States could treat Weatherford International plc (parent corporation) as a United States taxpayer under IRC Section 7874.</w:t>
      </w:r>
    </w:p>
    <w:p>
      <w:pPr>
        <w:spacing w:after="0" w:line="24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Following the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applies) of the shares of the foreign acquiring corporation after the acquisition by reason of holding shares in the U.S. acquired corporation, and (iii) the foreign corporation’s “expanded affiliated group” does not have substantial business activities in the foreign</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corporation’s country of organization or incorporation relative to such expanded affiliated group’s worldwide activities. Although it is not free from doubt, we believe that as a result of the implementation of the plan of reorganization in 2019,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202"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8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Similarly, judgments might not be enforceable in countries other than the United States where we have assets.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Interruptions in the proper functioning of our information systems or other issues with our enterprise resource systems could cause disruption to our operations.</w:t>
      </w:r>
    </w:p>
    <w:p>
      <w:pPr>
        <w:spacing w:after="0" w:line="18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rely extensively on our information systems to manage our business, data, communications, supply chain, ordering, pricing, billing, inventory replenishment, accounting functions, and other processes. Our enterprise resource systems are subject to damage or interruption from various sources, including obsolescence, power outages, computer and telecommunications failures, computer viruses, cyber security breaches, vandalism, severe weather conditions, catastrophic events, terrorism, and human error, and our disaster recovery planning cannot account for all eventualities. Our disaster recovery measures may or may not address all potential contingencies. If our systems are damaged, fail to function properly, or otherwise become compromised or unavailable, we may incur substantial costs to repair or replace them, and we may experience loss of critical data or interruptions or delays in our ability to perform critical functions, which could adversely affect our business, operating results, or financial condition.</w:t>
      </w:r>
    </w:p>
    <w:p>
      <w:pPr>
        <w:spacing w:after="0" w:line="2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certain of our information systems are aged and may require periodic modifications, upgrades, and replacements which may subject us to risks, including operating disruptions, substantial capital expenditures, or additional cost to implement new systems. The failure to properly or efficiently modify, upgrade, replace or implement such systems on a timely basis could materially disrupt our operations, and have a material adverse effect on our financial results.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If our long-lived assets and other assets are impaired, we may be required to record significant non-cash charges to our earnings.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1A | Risk Factors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operating lease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3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Our operations are conducted in approximately 75 countries and we have manufacturing facilities, research and technology centers, fluids and processing centers and sales, service and distribution locations throughout the world. Our principal executive offices are in Houston, Texas, U.S. We own or lease numerous other facilities such as service centers, shops, sales and administrative offices throughout the geographic regions in which we operate. The major service centers we operate to support our segment operations are located specifically in Villahermosa, Mexico; Villavicencio, Colombia; Dhahran, Saudi Arabia; North Rumaila, Iraq; Mina Abdulla, Kuwait; Williston, North Dakota, U.S. and Odessa, Texas, U.S. We operate research and technology centers in Houston, Texas, U.S.; Loughborough, United Kingdom and major manufacturing centers in JiangSu, China; Abu Dhabi, United Arab Emirates; Huntsville, Texas, U.S.; Houston, Texas, U.S.; Vadodara, India and Hannover, Germany.</w:t>
      </w:r>
    </w:p>
    <w:p>
      <w:pPr>
        <w:spacing w:after="0" w:line="2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of our material U.S. and United Kingdom properties are mortgaged to the lenders under our 2028 Senior Secured Notes and Credit Agreement. All of our remaining owned properties are unencumbered, however the lenders could require we mortgage certain of these properties as well. We believe the facilities that we currently occupy are suitable for their intended use.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90" w:lineRule="exact"/>
        <w:rPr>
          <w:sz w:val="20"/>
          <w:szCs w:val="20"/>
          <w:color w:val="auto"/>
        </w:rPr>
      </w:pPr>
    </w:p>
    <w:p>
      <w:pPr>
        <w:jc w:val="both"/>
        <w:ind w:left="640" w:hanging="316"/>
        <w:spacing w:after="0" w:line="272"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the subject of governmental and internal investigations related to alleged misconduct and violations of U.S. or international laws in the future, it could have a material adverse effect on our business, financial condition and results of operations. For additional information, see “Item 1A.</w:t>
      </w: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Risk Factors – Legal, Tax and Regulatory Risks.”</w:t>
      </w:r>
    </w:p>
    <w:p>
      <w:pPr>
        <w:spacing w:after="0" w:line="38"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“Item 1. - Business” and “Item 8. – Financial Statements and Supplementary Data – Notes to Consolidated Financial Statements – Note 14 – Disputes, Litigation and Legal Contingencies.”</w:t>
      </w:r>
    </w:p>
    <w:p>
      <w:pPr>
        <w:spacing w:after="0" w:line="21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It is possible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5 | Market for Registrants Ordinary Shares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1, 2021,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 As of February 1, 2023, we had 71 shareholders of record. The actual number of shareholders is considerably greater than the number of shareholders of record and includes shareholders who are beneficial owners but whose shares are held in street name by brokers and other nominees.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retain future earnings and/or repay debt and do not expect to pay cash dividends in the near future.</w:t>
      </w:r>
    </w:p>
    <w:p>
      <w:pPr>
        <w:spacing w:after="0" w:line="2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shareholder return on our ordinary shares, the Dow Jones U.S. Oil Equipment and Services Index and the Dow Jones U.S. Index from June 2, 2021 (date we began trading on NASDAQ) to December 30, 2022 (last day of trading in 2022), and an update as of February 1, 2023. The graph assumes $100 was invested in each of the Company’s ordinary shares, and aforementioned indices. Note that past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142875</wp:posOffset>
            </wp:positionV>
            <wp:extent cx="5157470" cy="3197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5747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06/02/21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12/30/22</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02/01/23</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c>
          <w:tcPr>
            <w:tcW w:w="15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Jones U.S. Oil Equipment and Services Index</w:t>
            </w:r>
          </w:p>
        </w:tc>
        <w:tc>
          <w:tcPr>
            <w:tcW w:w="152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Index</w:t>
            </w:r>
          </w:p>
        </w:tc>
        <w:tc>
          <w:tcPr>
            <w:tcW w:w="15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thereto included in “Item 8.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Risk Factors.”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Income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2022 vs 2021</w:t>
      </w:r>
    </w:p>
    <w:p>
      <w:pPr>
        <w:spacing w:after="0" w:line="23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Revenues totaled $4.33 billion in 2022, an increase of $686 million, or 19% compared to 2021. The year-over-year improvement was due to increased activity across all reporting segments. This activity increase was the result of increased customer demand, market share improvements, pricing improvements and operational focus. Revenues in 2022 reflect a 15% increase in service revenues and a 26% increase in product revenues. The revenue increase was led by the Drilling and Evaluation (“DRE”) and Production and Intervention (“PRI”) segments, and geographically, by improvements in Latin America, the Middle East/North Africa/Asia and the North America regions. Service and product quality excellence allowed us to benefit from a robust market with customers focusing on delivering energy supply with minimal disruption, globally. Imbalance across geographies driven by geopolitical conflicts, investment variances and supply disruptions caused a greater focus on energy security, globally. Our operational initiatives, put in place over the past couple of years, enabled us to regain share in a few product lines and geographies, as well as improve pricing through differentiation.</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 of products and services of $3.02 billion increased $304 million, or 11%, compared to 2021, to support the increased overall activity across our segments. Our cost of products and services as a percentage of revenues was 69.7% in 2022, an improvement compared to 74.5% in 2021, reflecting improved utilization on a more efficient operating cost structure, and pricing improvements to customers to offset impacts from supply chain disruptions and inflation. Additionally, higher gains on asset sales and lower inventory charges contributed to the lower cost structure as a percentage of revenues.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$868 million increased $45 million, or 5%, to keep up with increased activity and demand across our segments. These costs as a percentage of revenues were 20.0% in 2022, an improvement compared to 22.6% in 2021, reflecting our focus on cost control initiatives.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Operating income of $412 million improved 255% in 2022 compared to 2021, due to reasons noted above.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2021 vs 2020</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Revenues totaled $3.65 billion in 2021, a decline of 1% compared to 2020. We experienced significant declines in activity after the start of the pandemic in March of 2020 and although revenues are slightly lower in 2021, our revenues in 2021 reflect the ongoing recovery in business activity. Revenues in 2021 reflect a 5% increase in service revenues, which was offset by a 10% decline in product revenues. The revenue increases were related to higher demand for DRE and PRI businesses, primarily for managed pressure drilling, wireline, intervention and pressure pumping services. These improvements were partially offset by lower demand for products from our Well Construction and Completions (“WCC”), primarily for cementation products and liner hangers, and a decline in demand for the artificial lift within our PRI business.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 of products and services of $2.72 billion decreased $91 million, or 3%, compared to 2020, primarily due to cost improvement initiatives that were implemented during 2020 and early 2021. Our costs declined despite higher service activity and increased cost for supplies and logistics. Our cost of products and services as a percentage of revenues was 74.5% in 2021, an improvement compared to 76.2% in 2020, reflecting our cost initiative improvements and operational efficiency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4" w:name="page25"/>
    <w:bookmarkEnd w:id="2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in 2021 of $823 million decreased $111 million, or 12%, when compared to 2020 due to cost improvement initiatives to reduce overhead and corporate costs that were implemented during 2020 and early 2021. These costs as a percentage of revenues were 22.6% in 2021, an improvement compared to 25.3% in 2020, reflecting our cost initiative improvements.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Operating income of $116 million improved $1.6 billion in 2021 compared to 2020, due to reasons noted above.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6"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Interest expense, net primarily represented for each year, the interest on our outstanding long-term debt (see “Note 10 – Borrowings and Other Debt Obligations” to our Consolidated Financial Statements for additional details). Interest expense, net, of $179 million in 2022, decreased $81 million, or 31%, compared to 2021 primarily due to the early repayments of principal amounts on our 11.00% Senior Notes maturing on December 1, 2024. Interest expense, net, of $260 million in 2021, increased $9 million compared to $251 million in 2020 due to a combination of the various notes we carried and the interest on their outstanding principal.</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Extinguishment of Debt and Bond Redemption Premium</w:t>
      </w:r>
    </w:p>
    <w:p>
      <w:pPr>
        <w:spacing w:after="0" w:line="246"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The loss on extinguishment of debt was related to charges on unamortized debt issuance costs and bond redemption premiums, both upon the early redemption of debt. During 2022, we repaid $175 million in principal on our Exit Notes and incurred a $5 million bond redemption premium. During 2021, we repaid in full our 2024 Senior Secured Notes, repaid $200 million of Exit Notes, and refinanced $1.6 billion of Exit Notes. As such, we recognized a $170 million loss, comprised of a $39 million loss on extinguishment of debt and a $131 million bond redemption premium. See “Note 10 – Borrowings and Other Debt Obligations” for additional details.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Termination of ABL Credit Agreement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2020, we recorded a $15 million charge upon the termination of our senior secured asset-based lending agreement related to unamortized deferred debt issuance costs.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Other expense, net is primarily comprised of letter of credit fees, other financing charges and foreign exchange losses, primarily attributed to currency losses in countries with no or limited markets to hedge. Other expense, net, of $90 million in 2022 increased $61 million compared to 2021 expense of $29 million primarily attributable to currency losses in the Argentinian Peso, Russian Ruble and various other currencies. When economically advantageous, we enter into foreign currency forward contracts to mitigate the risk of future cash flows denominated in a foreign currency. Additionally, we enter into certain short-term investments which partially offset our foreign exchange losses, and certain of those amounts are recorded in “Interest Expense, Net”.</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expense, net, in 2021 decreased $24 million compared to the 2020 expense of $53 million due to lower currency volatility, as there had been significant volatility following the start of the COVID-19 pandemic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On September 26, 2019, our parent company ceased to be a Swiss tax resident and became an Irish tax resident subject to tax under the Irish tax regime. As a result, our effective rate differs from the Irish statutory tax rate as the majority of our operations are taxed in jurisdictions with different tax rates. In addition, we are unable to recognize tax benefit on our losses.</w:t>
      </w:r>
    </w:p>
    <w:p>
      <w:pPr>
        <w:spacing w:after="0" w:line="2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record deferred tax assets for net operating losses and temporary differences between the book and tax basis of assets and liabilities that are expected to produce tax deductions in future periods.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 The Company concluded it was not able to realize the benefit of its deferred tax assets and has established a valuation allowance. Continued performance improvement in certain jurisdictions could result in a change in our realization of deferred tax asset assessment in the near future, which would release valuation allowance.</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income tax provision and respective effective tax rate was $87 million and 63%, $86 million and (25)%, and $85 million and (5)%, for 2022, 2021 and 2020,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income tax provisions in 2022 and 2021 are primarily driven by income in certain jurisdictions, deemed profit countries and withholding taxes on intercompany and third-party transactions that do not directly correlate to ordinary income or loss. Impairments and other charges recognized do not result in significant tax benefit as a result of our inability to forecast realization of the tax benefit of such losses.</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We cannot predict the timing or outcome regarding resolution of these tax examinations or if they will have a material impact on our consolidated financial statements. As of December 31, 2022, we anticipate that it is reasonably possible that the amount of our uncertain tax positions of $191 million may decrease by up to $4 million in the next twelve months due to expiration of statutes of limitations, settlements and/or conclusions of tax examinations.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many countries have enacted tax relief measures to provide aid and economic stimulus to companies impacted by the COVID-19 pandemic. For the years ended December 31, 2021 and 2020, there were no material tax impacts to our financial statements as it relates to COVID-19 tax relief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6"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Growth and spending in the energy services industry is highly dependent on many external factors. These include but are not limited to; the impact from geopolitical conflicts; global response to any ongoing pandemics; our customers’ capital expenditures; environmental, social and governance (“ESG”) initiatives; world economic, political and weather conditions; the price of oil and natural gas; and, member-country quota compliance within the Organization of Petroleum Exporting Countries and the expanded alliance. Imbalance across geographies driven by geopolitical conflicts, investment variances and supply disruptions is driving a greater focus on energy security, which in turn is creating a shift towards national oil companies. We expect continued improvements in our customer activity levels and generally positive macroeconomic conditions that may offset inflationary pressures and potential recessionary concerns, all of which are expected to continue to provide a pathway to a multi-year energy demand expansion. We continue to closely monitor the recessionary concerns in the global market, ongoing supply chain disruptions, escalating costs, logistical constraints and travel restrictions.</w:t>
      </w:r>
    </w:p>
    <w:p>
      <w:pPr>
        <w:spacing w:after="0" w:line="20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Over the long-term, we expect demand for oil and natural gas exploration and production industry as well as new energy platforms to continue to require more advanced technology from the energy service industry. Weatherford delivers innovative energy services that integrate proven technologies with advanced digitalization to create sustainable offerings for maximized value and return on investment. During the COVID-19 pandemic, there was substantial negative impact on the global economy and demand in our industry in 2021 and 2021, with impacts carrying into 2022, including inflationary pressures, logistical delays and service and supply shortages. We managed to face these challenges by evolving our offerings, increasing the breadth of our digital portfolio and enhancing our applications to offer more fully integrated digital energy services solutions. We also increased our offerings of automated well construction and remote monitoring and predictive analytics related to our product offerings. As such, we believe we are well positioned to satisfy our customers’ needs, but the level of improvement in our businesses in the future will continue to depend heavily on pricing, volume of work, our ability to offer cost efficient, innovative and effective technology solutions, and our success in gaining market share in new and existing markets.</w:t>
      </w:r>
    </w:p>
    <w:p>
      <w:pPr>
        <w:spacing w:after="0" w:line="21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company performance, industry conditions and related perception, could make it more difficult to obtain our targeted cost reduction benefits and to recruit, motivate and retain employees, including key personnel. The implementation of new or escalation of existing sanctions imposed against countries in which we operate, including any further escalation of sanctions and other events around the Russia Ukraine Conflict, including increased exposure to cyber-attacks, increasing investor and government focus on ESG factors, supply chain challenges and disruptions, and the cyclicality of the energy industry may negatively impact demand for our products and services. The Russia Ukraine Conflict, or other future geopolitical conflicts, could also have the effect of heightening many other risks disclosed in our public filings, any of which could materially and adversely affect our business, financial condition, and results of operations. Such risks include, but are not limited to, adverse effects on global macroeconomic conditions; increased volatility in the price and demand of oil and natural gas, increased exposure to cyberattacks; limitations in our ability to implement and execute our business strategy; risks to employees and contractors that we have in the region; disruptions in global supply chains; exposure to foreign currency fluctuations; potential nationalizations and assets seizures in Russia or elsewhere; constraints or disruption in the capital markets and our sources of liquidity; our potential inability to service our remaining performance obligations and potential contractual breaches and litigation.</w:t>
      </w:r>
    </w:p>
    <w:p>
      <w:pPr>
        <w:spacing w:after="0" w:line="21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Prices</w:t>
      </w:r>
    </w:p>
    <w:p>
      <w:pPr>
        <w:spacing w:after="0" w:line="29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and Brent North Sea (“Brent”) crude oil and Henry Hub (“HH”) natural gas.</w:t>
      </w:r>
    </w:p>
    <w:p>
      <w:pPr>
        <w:spacing w:after="0" w:line="4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0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19"/>
                <w:szCs w:val="19"/>
                <w:color w:val="auto"/>
              </w:rPr>
            </w:pPr>
          </w:p>
        </w:tc>
      </w:tr>
      <w:tr>
        <w:trPr>
          <w:trHeight w:val="232"/>
        </w:trPr>
        <w:tc>
          <w:tcPr>
            <w:tcW w:w="60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4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25"/>
        </w:trPr>
        <w:tc>
          <w:tcPr>
            <w:tcW w:w="60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2"/>
                <w:szCs w:val="22"/>
                <w:color w:val="auto"/>
                <w:vertAlign w:val="superscript"/>
              </w:rPr>
              <w:t>(1)</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100.78</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25"/>
        </w:trPr>
        <w:tc>
          <w:tcPr>
            <w:tcW w:w="6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HH </w:t>
            </w:r>
            <w:r>
              <w:rPr>
                <w:rFonts w:ascii="Times New Roman" w:cs="Times New Roman" w:eastAsia="Times New Roman" w:hAnsi="Times New Roman"/>
                <w:sz w:val="22"/>
                <w:szCs w:val="22"/>
                <w:color w:val="auto"/>
                <w:vertAlign w:val="superscript"/>
              </w:rPr>
              <w:t>(2)</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ind w:left="500" w:hanging="158"/>
        <w:spacing w:after="0" w:line="216" w:lineRule="auto"/>
        <w:tabs>
          <w:tab w:leader="none" w:pos="5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Oil price measured in dollars per barrel (rounded to the nearest $0.01); average WTI and Brent as of January 31, 2023 was $78.08 and $82.44 respectively.</w:t>
      </w:r>
    </w:p>
    <w:p>
      <w:pPr>
        <w:spacing w:after="0" w:line="22" w:lineRule="exact"/>
        <w:rPr>
          <w:rFonts w:ascii="Times New Roman" w:cs="Times New Roman" w:eastAsia="Times New Roman" w:hAnsi="Times New Roman"/>
          <w:sz w:val="20"/>
          <w:szCs w:val="20"/>
          <w:color w:val="auto"/>
          <w:vertAlign w:val="superscript"/>
        </w:rPr>
      </w:pPr>
    </w:p>
    <w:p>
      <w:pPr>
        <w:ind w:left="500" w:hanging="158"/>
        <w:spacing w:after="0" w:line="197" w:lineRule="auto"/>
        <w:tabs>
          <w:tab w:leader="none" w:pos="5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Natural gas price measured in dollars per million British thermal units (Btu), or MMBtu; average HH as of January 31, 2023 was $3.27.</w:t>
      </w:r>
    </w:p>
    <w:p>
      <w:pPr>
        <w:spacing w:after="0" w:line="3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Commodity prices increased during 2022 due to demand outpacing supply as demand recovery built toward pre-pandemic levels with increased vaccination rates and increased global economic activity. WTI and Brent average oil prices for 2022 were approximately 39% and 43% higher than 2021, respectively, and natural gas prices increased by 64% over the same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 Count</w:t>
      </w:r>
    </w:p>
    <w:p>
      <w:pPr>
        <w:spacing w:after="0" w:line="246"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8"/>
          <w:szCs w:val="18"/>
          <w:color w:val="auto"/>
        </w:rPr>
        <w:t>Rig count is an indicator of the level of spending for the exploration and production of oil and natural gas reserves. The table below shows historical average rig counts based on the weekly Baker Hughes Company rig count information.</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19"/>
                <w:szCs w:val="19"/>
                <w:color w:val="auto"/>
              </w:rPr>
            </w:pPr>
          </w:p>
        </w:tc>
      </w:tr>
      <w:tr>
        <w:trPr>
          <w:trHeight w:val="232"/>
        </w:trPr>
        <w:tc>
          <w:tcPr>
            <w:tcW w:w="7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0"/>
                <w:szCs w:val="20"/>
                <w:color w:val="auto"/>
              </w:rPr>
            </w:pPr>
          </w:p>
        </w:tc>
        <w:tc>
          <w:tcPr>
            <w:tcW w:w="150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898</w:t>
            </w:r>
          </w:p>
        </w:tc>
        <w:tc>
          <w:tcPr>
            <w:tcW w:w="150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610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5"/>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851</w:t>
            </w:r>
          </w:p>
        </w:tc>
        <w:tc>
          <w:tcPr>
            <w:tcW w:w="15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755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7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1,749</w:t>
            </w:r>
          </w:p>
        </w:tc>
        <w:tc>
          <w:tcPr>
            <w:tcW w:w="1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1,365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5"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352"/>
              <w:spacing w:after="0"/>
              <w:rPr>
                <w:sz w:val="20"/>
                <w:szCs w:val="20"/>
                <w:color w:val="auto"/>
              </w:rPr>
            </w:pPr>
            <w:r>
              <w:rPr>
                <w:rFonts w:ascii="Times New Roman" w:cs="Times New Roman" w:eastAsia="Times New Roman" w:hAnsi="Times New Roman"/>
                <w:sz w:val="16"/>
                <w:szCs w:val="16"/>
                <w:b w:val="1"/>
                <w:bCs w:val="1"/>
                <w:color w:val="auto"/>
                <w:w w:val="98"/>
              </w:rPr>
              <w:t>Favorable</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14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 or bps</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 or bps</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2"/>
              <w:spacing w:after="0" w:line="205" w:lineRule="exact"/>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line="205" w:lineRule="exact"/>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2"/>
              <w:spacing w:after="0" w:line="205" w:lineRule="exact"/>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52"/>
              <w:spacing w:after="0"/>
              <w:rPr>
                <w:sz w:val="20"/>
                <w:szCs w:val="20"/>
                <w:color w:val="auto"/>
              </w:rPr>
            </w:pPr>
            <w:r>
              <w:rPr>
                <w:rFonts w:ascii="Times New Roman" w:cs="Times New Roman" w:eastAsia="Times New Roman" w:hAnsi="Times New Roman"/>
                <w:sz w:val="16"/>
                <w:szCs w:val="16"/>
                <w:b w:val="1"/>
                <w:bCs w:val="1"/>
                <w:color w:val="auto"/>
                <w:w w:val="97"/>
              </w:rPr>
              <w:t>2022 vs 2021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2021 vs 2020</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Drilling and Evaluation (“DRE”)</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8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6"/>
              </w:rPr>
              <w:t>262</w:t>
            </w: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Well Construction and Completions (“WCC”)</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96"/>
              </w:rPr>
              <w:t>168</w:t>
            </w:r>
          </w:p>
        </w:tc>
        <w:tc>
          <w:tcPr>
            <w:tcW w:w="9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Production and Intervention (“PRI”)</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96"/>
              </w:rPr>
              <w:t>268</w:t>
            </w: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Revenues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96"/>
              </w:rPr>
              <w:t>698</w:t>
            </w:r>
          </w:p>
        </w:tc>
        <w:tc>
          <w:tcPr>
            <w:tcW w:w="9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9"/>
              </w:rPr>
              <w:t>(12)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3,645</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96"/>
              </w:rPr>
              <w:t>686</w:t>
            </w:r>
          </w:p>
        </w:tc>
        <w:tc>
          <w:tcPr>
            <w:tcW w:w="9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4"/>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(40)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w:t>
            </w:r>
          </w:p>
        </w:tc>
        <w:tc>
          <w:tcPr>
            <w:tcW w:w="0" w:type="dxa"/>
            <w:vAlign w:val="bottom"/>
          </w:tcPr>
          <w:p>
            <w:pPr>
              <w:spacing w:after="0"/>
              <w:rPr>
                <w:sz w:val="1"/>
                <w:szCs w:val="1"/>
                <w:color w:val="auto"/>
              </w:rPr>
            </w:pPr>
          </w:p>
        </w:tc>
      </w:tr>
      <w:tr>
        <w:trPr>
          <w:trHeight w:val="265"/>
        </w:trPr>
        <w:tc>
          <w:tcPr>
            <w:tcW w:w="3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Drilling and Evaluation</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8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6"/>
              </w:rPr>
              <w:t>138</w:t>
            </w: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41%</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(6)%</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6"/>
              </w:rPr>
              <w:t>24%</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96"/>
              </w:rPr>
              <w:t>251</w:t>
            </w:r>
          </w:p>
        </w:tc>
        <w:tc>
          <w:tcPr>
            <w:tcW w:w="9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74</w:t>
            </w:r>
          </w:p>
        </w:tc>
        <w:tc>
          <w:tcPr>
            <w:tcW w:w="9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13%</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4"/>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38%</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13%</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Shared-based Compensation Expense</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65"/>
        </w:trPr>
        <w:tc>
          <w:tcPr>
            <w:tcW w:w="3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Adjustments :</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Long-Lived Assets Impairment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1,053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9"/>
              </w:rPr>
              <w:t>(22)</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 Credits</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(19)</w:t>
            </w:r>
          </w:p>
        </w:tc>
        <w:tc>
          <w:tcPr>
            <w:tcW w:w="960" w:type="dxa"/>
            <w:vAlign w:val="bottom"/>
            <w:tcBorders>
              <w:bottom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(190)%</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193</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9"/>
              </w:rPr>
              <w:t>(41)</w:t>
            </w: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(410)%</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$ 1,452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bottom w:val="single" w:sz="8" w:color="auto"/>
            </w:tcBorders>
            <w:shd w:val="clear" w:color="auto" w:fill="CCEEFF"/>
          </w:tcPr>
          <w:p>
            <w:pPr>
              <w:jc w:val="right"/>
              <w:ind w:right="92"/>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412</w:t>
            </w:r>
          </w:p>
        </w:tc>
        <w:tc>
          <w:tcPr>
            <w:tcW w:w="460" w:type="dxa"/>
            <w:vAlign w:val="bottom"/>
            <w:tcBorders>
              <w:bottom w:val="single" w:sz="8" w:color="auto"/>
            </w:tcBorders>
            <w:shd w:val="clear" w:color="auto" w:fill="CCEEFF"/>
          </w:tcPr>
          <w:p>
            <w:pPr>
              <w:jc w:val="right"/>
              <w:ind w:right="72"/>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116</w:t>
            </w:r>
          </w:p>
        </w:tc>
        <w:tc>
          <w:tcPr>
            <w:tcW w:w="580" w:type="dxa"/>
            <w:vAlign w:val="bottom"/>
            <w:tcBorders>
              <w:bottom w:val="single" w:sz="8" w:color="auto"/>
            </w:tcBorders>
            <w:shd w:val="clear" w:color="auto" w:fill="CCEEFF"/>
          </w:tcPr>
          <w:p>
            <w:pPr>
              <w:jc w:val="right"/>
              <w:ind w:right="212"/>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(1,486)</w:t>
            </w: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5"/>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ind w:right="73"/>
              <w:spacing w:after="0" w:line="192" w:lineRule="exact"/>
              <w:rPr>
                <w:sz w:val="20"/>
                <w:szCs w:val="20"/>
                <w:color w:val="auto"/>
              </w:rPr>
            </w:pPr>
            <w:r>
              <w:rPr>
                <w:rFonts w:ascii="Times New Roman" w:cs="Times New Roman" w:eastAsia="Times New Roman" w:hAnsi="Times New Roman"/>
                <w:sz w:val="18"/>
                <w:szCs w:val="18"/>
                <w:b w:val="1"/>
                <w:bCs w:val="1"/>
                <w:color w:val="auto"/>
                <w:w w:val="96"/>
              </w:rPr>
              <w:t>296</w:t>
            </w:r>
          </w:p>
        </w:tc>
        <w:tc>
          <w:tcPr>
            <w:tcW w:w="960" w:type="dxa"/>
            <w:vAlign w:val="bottom"/>
            <w:tcBorders>
              <w:bottom w:val="single" w:sz="8" w:color="auto"/>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255%</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73"/>
              <w:spacing w:after="0" w:line="192" w:lineRule="exact"/>
              <w:rPr>
                <w:sz w:val="20"/>
                <w:szCs w:val="20"/>
                <w:color w:val="auto"/>
              </w:rPr>
            </w:pPr>
            <w:r>
              <w:rPr>
                <w:rFonts w:ascii="Times New Roman" w:cs="Times New Roman" w:eastAsia="Times New Roman" w:hAnsi="Times New Roman"/>
                <w:sz w:val="18"/>
                <w:szCs w:val="18"/>
                <w:b w:val="1"/>
                <w:bCs w:val="1"/>
                <w:color w:val="auto"/>
              </w:rPr>
              <w:t>$ 1,602</w:t>
            </w:r>
          </w:p>
        </w:tc>
        <w:tc>
          <w:tcPr>
            <w:tcW w:w="900" w:type="dxa"/>
            <w:vAlign w:val="bottom"/>
            <w:tcBorders>
              <w:bottom w:val="single" w:sz="8" w:color="auto"/>
            </w:tcBorders>
            <w:shd w:val="clear" w:color="auto" w:fill="CCEEFF"/>
          </w:tcPr>
          <w:p>
            <w:pPr>
              <w:jc w:val="center"/>
              <w:ind w:right="12"/>
              <w:spacing w:after="0" w:line="192" w:lineRule="exact"/>
              <w:rPr>
                <w:sz w:val="20"/>
                <w:szCs w:val="20"/>
                <w:color w:val="auto"/>
              </w:rPr>
            </w:pPr>
            <w:r>
              <w:rPr>
                <w:rFonts w:ascii="Times New Roman" w:cs="Times New Roman" w:eastAsia="Times New Roman" w:hAnsi="Times New Roman"/>
                <w:sz w:val="18"/>
                <w:szCs w:val="18"/>
                <w:b w:val="1"/>
                <w:bCs w:val="1"/>
                <w:color w:val="auto"/>
                <w:w w:val="97"/>
              </w:rPr>
              <w:t>108%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Segment Adjusted EBITDA Margins</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Drilling and Evaluation</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 bps</w:t>
            </w:r>
          </w:p>
        </w:tc>
        <w:tc>
          <w:tcPr>
            <w:tcW w:w="140" w:type="dxa"/>
            <w:vAlign w:val="bottom"/>
          </w:tcPr>
          <w:p>
            <w:pPr>
              <w:spacing w:after="0"/>
              <w:rPr>
                <w:sz w:val="19"/>
                <w:szCs w:val="19"/>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bps</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 bps</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bps</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 bps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 bps</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20.8 %</w:t>
            </w:r>
          </w:p>
        </w:tc>
        <w:tc>
          <w:tcPr>
            <w:tcW w:w="138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17.9 %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n/m</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290 bps</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 bps</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bps calculates off rounding in this table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2022 vs 2021</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Revenues totaled $4.3 billion in 2022, an increase of 19% compared to 2021, and the primary drivers were discussed in the above consolidated section.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breakdown by segment revenues is as follows:</w:t>
      </w: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DRE revenues of $1.3 billion in 2022, increased 25% compared to 2021 due to higher demand and activity across all DRE product lines, and led primarily by managed pressure drilling and drilling services. Improvement in DRE was across all regions, and led primarily by the Latin America, North America and Middle East North Africa/Asia regions.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WCC revenues of $1.5 billion in 2022, increased 12% compared to 2021 due to higher demand and activity across all WCC product lines, and led primarily by cementation products. Improvement in WCC was across all regions and led primarily by the Middle East North Africa/Asia, Latin America and North America regions.</w:t>
      </w:r>
    </w:p>
    <w:p>
      <w:pPr>
        <w:spacing w:after="0" w:line="2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PRI revenues of $1.4 billion in 2022, increased 24% compared to 2021 due to higher demand and activity across all PRI product lines, and led primarily by artificial lift and pressure pumping. Improvement in PRI was across all regions.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2021 vs 2020</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totaled $3.65 billion in 2021, a decline of 1% compared to 2020, and the primary drivers were discussed in the above consolidated section. The breakdown by segment revenues is as follows: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DRE revenues of $1.1 billion in 2021, increased 2% compared to 2020 primarily due to higher demand for managed pressure drilling and wireline products and services, partially offset by a decline in drilling services and drilling fluids. The decline in drilling services revenue reflects the exit of certain drilling services in North America in the fourth quarter of 2020.</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WCC revenues of $1.4 billion in 2021 decreased 4% compared to 2020 primarily due to lower activity for cementation products, liner hangers and tubular running services. Internationally we experienced lower well construction and completions activity in the Middle East North Africa/Asia region, which was partially offset by higher activity in the North America and Latin America regions.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 revenues of $1.1 billion in 2021, increased 2% compared to 2020 primarily due to higher demand for pressure pumping, intervention services and drilling tools, and digital solutions, partially offset by a decline in demand for artificial lift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2022 vs 2021</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Segment adjusted EBITDA was $884 million in 2022, an increase of 40% compared to 2021, reflecting improved utilization on a more efficient operating cost structure, pricing improvements to customers to offset impacts from supply chain disruptions and inflation, and a proactive focus on higher margin offerings. This is reflected in our segments as follows: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DRE segment adjusted EBITDA of $324 million in 2022, increased 74% compared to 2021 primarily due to higher demand across all DRE product lines and contract pricing improvements, led by the Latin America and the Middle East North Africa/Asia regions, increase in services versus product mix, and a higher adoption of our technology offerings.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WCC segment adjusted EBITDA of $299 million in 2022, increased 17% compared to 2021 primarily due to higher demand for cementation products. The year-over-year segment adjusted EBITDA improvement was driven by pricing and increased activity levels in the North America and Latin America regions.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 segment adjusted EBITDA of $261 million in 2022, increased 37% compared to 2021 primarily due to higher demand for artificial lift and pressure pumping services. The year-over-year segment adjusted EBITDA improvement was driven by increased activity levels across all regions.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0" w:name="page31"/>
    <w:bookmarkEnd w:id="3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2021 vs 2020</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adjusted EBITDA was $633 million in 2021, an increase of 13% compared to 2020, which is reflected in our segments as follows:</w:t>
      </w:r>
    </w:p>
    <w:p>
      <w:pPr>
        <w:spacing w:after="0" w:line="2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DRE segment adjusted EBITDA of $186 million in 2021, increased 41% compared to 2020 primarily due to higher demand for managed pressure drilling and wireline and lower operating costs as a result of cost improvement initiatives that were implemented during 2020 and early 2021, partially offset by a decline in drilling fluids. Positively impacting DRE segment adjusted EBITDA was the exit of certain drilling services in North America in the fourth quarter of 2020. The year-over-year segment adjusted EBITDA improvement was driven by increased activity levels, increase in services versus product mix, higher adoption of our technology offerings and greater demand for services globally.</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WCC segment adjusted EBITDA of $256 million in 2021, decreased 6% compared to 2020 primarily due to lower activity for cementation products, liner hangers and tubular running services, which was partially offset by improvements in completions margins and cost efficiencies as a result of initiatives implemented during 2020 and early 2021. Internationally we experienced lower well construction and completions activity in the Middle East North Africa/Asia and Europe/Sub-Sahara Africa/Russia regions, which was partially offset by higher margin activity in North America and Latin America.</w:t>
      </w:r>
    </w:p>
    <w:p>
      <w:pPr>
        <w:spacing w:after="0" w:line="19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 segment adjusted EBITDA of $191 million in 2021, increased 24% compared to 2020 primarily due to higher demand for intervention services &amp; drilling tools, pressure pumping and software services, and lower operating costs as a result of cost improvement initiatives that were implemented during 2020 and early 2021, partially offset by a decline in artificial lift services. The year-over-year segment adjusted EBITDA improvement was driven by increased activity levels, increase in services versus product mix, and a higher adoption of our technology offerings.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32"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Corporate and other primarily includes corporate and other expenses (overhead support and centrally managed or shared facilities costs) and all other businesses that do not individually meet the criteria for segment reporting. Corporate and other expense of $67 million in 2022 increased slightly over the 2021 expense of $62 million, primarily due to lower profit on other businesses that did not individually meet the criteria for segment reporting (due to timing of certain projects). Corporate and other expense in 2021 improved $38 million compared to the 2020 expense of $100 million primarily due to losses incurred in other businesses that did not individually meet the criteria for segment reporting in 2020, as they were negatively impacted by COVID-19.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32"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Depreciation and amortization expense of $349 million decreased $91 million in 2022 compared to 2021 primarily from a lower asset base. Depreciation and amortization expense of $440 million decreased $63 million in 2021 compared to 2020 primarily due to the decrease in carrying value of assets after impairments taken in 2020. See “Note 2 – Segment Information”, “Note 7 – Property, Plant and Equipment, Net”, and “Note 8 – Intangible Assets, Net” for additional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Shared-based Compensation</w:t>
      </w:r>
    </w:p>
    <w:p>
      <w:pPr>
        <w:spacing w:after="0" w:line="232" w:lineRule="exact"/>
        <w:rPr>
          <w:sz w:val="20"/>
          <w:szCs w:val="20"/>
          <w:color w:val="auto"/>
        </w:rPr>
      </w:pPr>
    </w:p>
    <w:p>
      <w:pPr>
        <w:jc w:val="both"/>
        <w:ind w:right="20" w:firstLine="318"/>
        <w:spacing w:after="0" w:line="252" w:lineRule="auto"/>
        <w:rPr>
          <w:sz w:val="20"/>
          <w:szCs w:val="20"/>
          <w:color w:val="auto"/>
        </w:rPr>
      </w:pPr>
      <w:r>
        <w:rPr>
          <w:rFonts w:ascii="Times New Roman" w:cs="Times New Roman" w:eastAsia="Times New Roman" w:hAnsi="Times New Roman"/>
          <w:sz w:val="18"/>
          <w:szCs w:val="18"/>
          <w:color w:val="auto"/>
        </w:rPr>
        <w:t>We record shared-based compensation expense in “Selling, General and Administrative” on the accompanying Consolidated Statements of Operations. We recognized $25 million in each of 2022 and 2021, and an immaterial amount during 2020. The changes between years were from a combination of additional awards granted and changes in our share price. See “Note 15 – Share-Based Compensation”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Adjustments</w:t>
      </w:r>
    </w:p>
    <w:p>
      <w:pPr>
        <w:spacing w:after="0" w:line="2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adjustments include goodwill and long-lived asset impairments, restructuring charges, and other charges (credits), as applicable to the periods presented. See “Note 4 – Goodwill and Long-Lived Assets Impairment”, “Note 5 – Restructuring Charges” and “Note 6 – Inventories, Net”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2022, we had cash and cash equivalents of $910 million and $202 million in restricted cash, compared to $951 million of cash and cash equivalents and $162 million of restricted cash at December 31, 2021. The following table summarizes cash provided by (used in) each type of business activity in the periods presented:</w:t>
      </w:r>
    </w:p>
    <w:p>
      <w:pPr>
        <w:spacing w:after="0" w:line="4" w:lineRule="exact"/>
        <w:rPr>
          <w:sz w:val="20"/>
          <w:szCs w:val="20"/>
          <w:color w:val="auto"/>
        </w:rPr>
      </w:pPr>
    </w:p>
    <w:tbl>
      <w:tblPr>
        <w:tblLayout w:type="fixed"/>
        <w:tblInd w:w="1020" w:type="dxa"/>
        <w:tblCellMar>
          <w:top w:w="0" w:type="dxa"/>
          <w:left w:w="0" w:type="dxa"/>
          <w:bottom w:w="0" w:type="dxa"/>
          <w:right w:w="0" w:type="dxa"/>
        </w:tblCellMar>
      </w:tblPr>
      <w:tr>
        <w:trPr>
          <w:trHeight w:val="225"/>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920" w:type="dxa"/>
            <w:vAlign w:val="bottom"/>
          </w:tcPr>
          <w:p>
            <w:pPr>
              <w:spacing w:after="0"/>
              <w:rPr>
                <w:sz w:val="19"/>
                <w:szCs w:val="19"/>
                <w:color w:val="auto"/>
              </w:rPr>
            </w:pPr>
          </w:p>
        </w:tc>
        <w:tc>
          <w:tcPr>
            <w:tcW w:w="316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19"/>
                <w:szCs w:val="19"/>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provided by operating activities in 2022 was $349 million, and in 2021 was $322 million. The primary sources of cash from operating activities were from higher operating income as well as effective working capital management, partially offset by interest payments.</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provided by operating activities was $210 million during 2020. The primary sources of cash from operating activities were collections on our accounts receivables, partially offset by interest payments.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investing activities in 2022 was $54 million. The primary uses of cash from investing activities were capital expenditures of $132 million, partially offset by proceeds from the sale of assets of $82 million.</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in 2021 was $83 million. The primary uses of cash from investing activities were for capital expenditures of $85 million and investments in marketable securities in Argentina of $39 million. The primary source of cash from investing activities was $41 million of proceeds from asset dispositions. The amount we spend for capital expenditures varies each year and is based on the types of contracts we enter, our asset availability and our expectations with respect to activity levels.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used in investing activities in 2020 was $75 million. The primary uses of cash from investing activities were for capital expenditures of $154 million. The primary sources of cash from investing activities were $22 million from asset dispositions and $50 million from the maturity of our Angolan government bonds.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in 2022 was $248 million. The primary uses of cash from financing activities were for repayments of long-term debt of $198 million, which included finance leases, a repurchase of $8 million of our 2028 Senior Secured Notes and a $175 million early redemption of our Exit Notes. Additionally, we paid dividends to noncontrolling interests of $30 million. The remaining financing cash uses were primarily for financing fees paid on the Credit Agreement.</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used in financing activities in 2021 was $403 million. The primary uses of cash from financing activities were repayments of long-term debt of $2.3 billion associated with the partial redemption of our Exit Notes and full redemption of our 2024 Senior Secured Notes as well as finance lease obligations. Other primary uses of cash from financing activities were $131 million in bond redemption premium payments as a result of the early redemptions and $28 million, primarily for $21 million in dividends to noncontrolling interests that were settled in cash (as certain dividends in the year were settled in other noncash methods). The primary sources of cash from financing activities were net proceeds of $2.1 billion from the issuance of our 2030 Senior Notes and 2028 Senior Secured Notes.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in 2020 was $348 million, primarily sourced from borrowings of long-term debt of $453 million related to the net proceeds from the issuance of our 2024 Senior Secured Notes. The primary uses of cash from financing activities were $24 million of deferred consideration for the 2018 acquisition of our Qatari joint venture $27 million repayments of short-term debt, and $28 million for dividends to noncontrolling interests. The remaining uses were primarily for financing fees paid on the Credit Agreement at the time.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“10 – Borrowings and Other Debt Obligations” for additional information.</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recent refinancing transactions, we expect to have sufficient cash from operations and cash on hand to fund our cash requirements (discussed below) and financial obligations, both in the short-term and long-term.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and restructuring payments. As business activity continues to rise, we expect to continue to utilize cash on capital assets and working capital growth. Our cash requirements also include personnel costs including awards under our employee incentive programs and other amounts to settle litigation related matters.</w:t>
      </w:r>
    </w:p>
    <w:p>
      <w:pPr>
        <w:spacing w:after="0" w:line="20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As of December 31, 2022, we had outstanding debt of $125 million in aggregate principal amount for our Exit Notes maturing on December 1, 2024, $482 million in aggregate principal amount for our 2028 Senior Secured Notes and $1.6 billion in aggregate principal amount for our 2030 Senior Notes. For these notes, we expect $182 million in interest payments annually in 2023 and 2024 and approximately $169 million in interest payments, annually beginning in 2025, until the maturity of these obligations. Subsequent to year-end 2022 we paid down an additional $20 million in aggregate principal amount of our Exit Notes and $11 million on our 2028 Senior Secured Notes. See “Note 10 – Borrowings and Other Debt Obligations” for additional information.</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capital spending for 2023 is projected to be between $200 million to $230 million. Our payments on our operating and finance leases in 2023 are expected to be approximately $73 million and $247 million in the years thereafter. See “Note 9 – Leases” for additional information.</w:t>
      </w:r>
    </w:p>
    <w:p>
      <w:pPr>
        <w:spacing w:after="0" w:line="19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Cash and cash equivalents and restricted cash are held by subsidiaries outside of Ireland. At December 31, 2022 we had approximately $177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2022 were maintained or improved since December 31, 2021:</w:t>
      </w:r>
    </w:p>
    <w:p>
      <w:pPr>
        <w:spacing w:after="0" w:line="244" w:lineRule="exact"/>
        <w:rPr>
          <w:sz w:val="20"/>
          <w:szCs w:val="20"/>
          <w:color w:val="auto"/>
        </w:rPr>
      </w:pPr>
    </w:p>
    <w:p>
      <w:pPr>
        <w:ind w:left="640" w:hanging="316"/>
        <w:spacing w:after="0" w:line="25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Poor’s (“S&amp;P”) upgraded our corporate family and senior unsecured notes ratings from B- to B, and upgraded our senior secured notes and Credit Agreement ratings from B+ to BB-. The outlook was maintained at stable.</w:t>
      </w:r>
    </w:p>
    <w:p>
      <w:pPr>
        <w:ind w:left="640" w:right="20" w:hanging="316"/>
        <w:spacing w:after="0" w:line="25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Moody’s Investors Service (“Moody’s”) maintained our corporate family rating at B2, our senior unsecured notes rating at B3, and our senior secured notes and Credit Agreement ratings at Ba3. The outlook was upgraded from negative to stable.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3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We may experience delayed customer payments and payment defaults due to, among other reasons, a weaker economic environment, reductions in our customers’ cash flow from operations, our customers’ inability to access credit markets, as well as unsettled political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See “Note 1 – Summary of Significant Accounting Policies” for additional information. In addition, our customers are primarily in fossil fuel-related industries and broad declines might impact the collections of our customer receivables.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 and Monetization</w:t>
      </w:r>
    </w:p>
    <w:p>
      <w:pPr>
        <w:spacing w:after="0" w:line="2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 and hold-back. During 2022, we sold accounts receivable balances of $96 million and received cash proceeds of $93 million. During 2021, we sold accounts receivable balances of $100 million and received cash proceeds of $85 million. During 2020, we sold accounts receivable of $90 million and received cash proceeds of $79 million.</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Additionally, during 2022, we entered into a short-term monetization transaction on accounts receivable balances of $77 million and received cash proceeds of $75 million.</w:t>
      </w:r>
    </w:p>
    <w:p>
      <w:pPr>
        <w:spacing w:after="0" w:line="19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above factoring and monetization proceeds are included as operating cash flows in our Condensed Consolidated Statements of Cash Flows. These transactions are uncommitted and thus we cannot assure they will be available as a future source of liquidity.</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enter into foreign currency forward contracts to mitigate the risk of future cash flows denominated in a foreign currency. The amounts will fluctuate, depending on exchange rate volatility, the volume of our foreign currency transactions, and our decisions to hedge. At December 31, 2022 and December 31, 2021, we had outstanding foreign currency forward contracts with notional amounts aggregating to $147 million and $349 million, respectively. The total estimated fair value of these contracts and amounts owed associated with closed contracts resulted in an immaterial net asset and net liability as of December 31, 2022 and December 31, 2021, respectively. See “Note 1 – Summary of Significant Accounting Policies” and “Note 12 – Derivative Instruments” for additional information.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had a senior secured letter of credit agreement dated as of December 13, 2019 (the “LC Agreement”) in an aggregate amount of $215 million maturing on May 29, 2024, which was used by the Company and certain of its subsidiaries for the issuance of bid and performance letters of credit.</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17, 2022, we amended our LC Agreement (as amended and restated, the “Credit Agreement”) to assign the administrative agent role to Wells Fargo Bank National Association and to provide for a $370 million revolving credit agreement, comprised of $280 million for bid and performance letters of credit, and $90 million for revolving loans and bid, performance and financial letters of credit. The current revolving loan capacity is $45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maturity date under the Credit Agreement is October 17, 2026; provided, that if more than $50 million of our Exit Notes are outstanding on such date, the maturity date will be August 30, 2024. The Credit Agreement also has (i) a minimum liquidity covenant of $250 million, (ii) a minimum interest coverage ratio of 2.00 to 1.00 for the testing period ended September 30, 2022 and 2.50 to 1.00 for each testing period thereafter and (iii) a maximum ratio of funded debt (net of unrestricted cash in excess of $400 million) to consolidated adjusted EBITDA of 4.00 to 1.00 for each testing period ending prior to June 30, 2023 and 3.50 to 1.00 for each testing period thereafter. The obligations under the Credit Agreement, as with our prior LC Agreement, are guaranteed by the Company and certain of our subsidiaries and secured by substantially all of the personal property of the Company and these subsidiaries.</w:t>
      </w:r>
    </w:p>
    <w:p>
      <w:pPr>
        <w:spacing w:after="0" w:line="198"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On November 22, 2022, we amended our Credit Agreement to include (i) Weatherford Canada Ltd. as a borrower, and (ii) increased the total commitment to $400 million. On January 6, 2023, we further amended the Credit Agreement to clarify certain definitions related to fees associated with certain letters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The material terms of the Credit Agreement are otherwise unchanged.</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December 31, 2022, we had approximately $195 million in outstanding letters of credit under the Credit Agreement and availability of $160 million.</w:t>
      </w:r>
    </w:p>
    <w:p>
      <w:pPr>
        <w:spacing w:after="0" w:line="2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2022, we had $395 million of letters of credit outstanding, consisting of the $195 million mentioned above under the Credit Agreement and another $200 million under various uncommitted bi-lateral facilities (of which there was $199 million in cash collateral held and recorded in “Restricted Cash” on the Consolidated Balance Sheets).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Latin America we utilize surety bonds as part of our customary business practice. As of December 31, 2022, we had $415 million of surety bonds outstanding. Any of our outstanding letters of credit or surety bonds could be called by the beneficiaries should we breach certain contractual or performance obligations and could reduce our available liquidity if we are unable mitigate the issue.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 is based upon our Consolidated Financial Statements. We prepare these consolidated financial statements in conformity with accounting principles generally accepted in the United States of America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(“PP&amp;E”), definite-lived intangibles and operating lease assets, comprise a significant amount of our assets. The carrying value of our long-lived assets at December 31, 2022 and 2021 was approximately $1.5 billion and $1.8 billion, respectively. The cost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99"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55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Buildings and Leasehold </w:t>
            </w:r>
            <w:r>
              <w:rPr>
                <w:rFonts w:ascii="Times New Roman" w:cs="Times New Roman" w:eastAsia="Times New Roman" w:hAnsi="Times New Roman"/>
                <w:sz w:val="10"/>
                <w:szCs w:val="10"/>
                <w:color w:val="auto"/>
              </w:rPr>
              <w:t>I</w:t>
            </w:r>
            <w:r>
              <w:rPr>
                <w:rFonts w:ascii="Times New Roman" w:cs="Times New Roman" w:eastAsia="Times New Roman" w:hAnsi="Times New Roman"/>
                <w:sz w:val="18"/>
                <w:szCs w:val="18"/>
                <w:color w:val="auto"/>
              </w:rPr>
              <w:t>mprovements</w:t>
            </w:r>
          </w:p>
        </w:tc>
        <w:tc>
          <w:tcPr>
            <w:tcW w:w="5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10 – 40 years or lease term</w:t>
            </w: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 – 10 years</w:t>
            </w:r>
          </w:p>
        </w:tc>
      </w:t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5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2 – 12 years</w:t>
            </w:r>
          </w:p>
        </w:tc>
      </w:tr>
      <w:tr>
        <w:trPr>
          <w:trHeight w:val="23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5 – 10 years</w:t>
            </w:r>
          </w:p>
        </w:tc>
      </w:tr>
    </w:tbl>
    <w:p>
      <w:pPr>
        <w:spacing w:after="0" w:line="30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Critical Accounting Policies and Estimates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Long-lived assets to be held and used by us are reviewed to determine whether any events or changes in circumstances, known as triggering events, indicate that we may not be able to recover the carrying amount of the asset or asset group. Triggering events include, but are not limited to, reduced or expected sustained decreases in cash flows generated by an asset or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assets or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assets or asset groups identified as not being recoverable using a discounted cash flow analysis or Level 3 fair value analysis, to determine if an impairment has occurred. The discounted cash flow analysis consists of estimating the future cash flows that are directly associated with, and are expected to arise from, the use and eventual disposition of the asset over its remaining useful life. These estimated discounted cash flows are inherently subjective and includes significant assumptions, specifically the forecasted revenue, forecasted operating margins, and the discount rate assumptions and require estimates based upon historical experience and future expectations. The fair value of the asset or asset group is measured using market prices, or in the absence of market prices, is based on an estimate of discounted cash flows. Cash flows are discounted at an interest rate commensurate with our weighted average cost of capital for a similar asset.</w:t>
      </w:r>
    </w:p>
    <w:p>
      <w:pPr>
        <w:spacing w:after="0" w:line="2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an impairment has occurred, the Company recognizes a loss for the difference between the carrying amount and the fair value of the asset or asset group.</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generally group long-lived assets by product line. We have long-lived assets, such as facilities, utilized by multiple operating divisions that do not have identifiable cash flows and impairment testing for these long-lived assets is based on the consolidated entity. We did not recognize long-lived assets impairments during 2022 and 2021.</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2020, the unprecedented global economic and industry conditions resulting from the decline in demand and impact from the COVID-19 pandemic were identified as impairment indicators. As a result, we performed quarterly impairment assessments of our asset groups, which include PP&amp;E, definite-lived intangible assets, goodwill and operating lease assets. Based on our impairment tests, we determined the carrying amount of certain long-lived asset groups exceeded their respective fair values and we recognized of long-lived asset impairments as further described in “Note 4 – Goodwill and Long-Lived Assets Impairment”.</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cannot predict the occurrence of future impairment-triggering events, so we continue to assess whether indicators of impairment to long-lived assets exist due to the current business conditions in the energy services industry.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18 – Income Taxes” for detailed discussion of results.</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4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Valuation Allowance for Deferred Tax Assets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and various tax planning strategies.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the likelihood of the realization of existing deferred tax assets changes, adjustments to the valuation allowance are charged to our income tax provision in the period in which the determination is made. The Company concluded it was not able to realize the benefits of all of its deferred tax assets and has established a valuation allowance. Our valuation allowance on our deferred tax assets was $1.3 billion and $1.5 billion as of December 31, 2022 and December 31,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 – Item 1A. Risk Factors”, sets forth certain risks and uncertainties relating to our forward-looking statements that may cause actual results to be materially different from our present expectations or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Forward-Looking Statements</w:t>
      </w:r>
    </w:p>
    <w:p>
      <w:pPr>
        <w:spacing w:after="0" w:line="200" w:lineRule="exact"/>
        <w:rPr>
          <w:sz w:val="20"/>
          <w:szCs w:val="20"/>
          <w:color w:val="auto"/>
        </w:rPr>
      </w:pPr>
    </w:p>
    <w:p>
      <w:pPr>
        <w:spacing w:after="0" w:line="229" w:lineRule="exact"/>
        <w:rPr>
          <w:sz w:val="20"/>
          <w:szCs w:val="20"/>
          <w:color w:val="auto"/>
        </w:rPr>
      </w:pPr>
    </w:p>
    <w:p>
      <w:pPr>
        <w:ind w:left="720" w:hanging="317"/>
        <w:spacing w:after="0" w:line="257"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720" w:right="20" w:hanging="317"/>
        <w:spacing w:after="0" w:line="24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720" w:right="20" w:hanging="317"/>
        <w:spacing w:after="0" w:line="238"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the potential for such issues to exacerbate other risks we face, including those related to the other risks and uncertainties listed or referenced;</w:t>
      </w:r>
    </w:p>
    <w:p>
      <w:pPr>
        <w:ind w:left="720" w:right="100" w:hanging="317"/>
        <w:spacing w:after="0" w:line="23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ind w:left="720" w:hanging="317"/>
        <w:spacing w:after="0" w:line="24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Times New Roman" w:cs="Times New Roman" w:eastAsia="Times New Roman" w:hAnsi="Times New Roman"/>
          <w:sz w:val="18"/>
          <w:szCs w:val="18"/>
          <w:color w:val="auto"/>
        </w:rPr>
      </w:pPr>
    </w:p>
    <w:p>
      <w:pPr>
        <w:ind w:left="720" w:hanging="317"/>
        <w:spacing w:after="0" w:line="24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ind w:left="720" w:hanging="317"/>
        <w:spacing w:after="0" w:line="24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the COVID-19 pandemic, their impact on the global economy and the business of our company, customers, suppliers and other partners;</w:t>
      </w:r>
    </w:p>
    <w:p>
      <w:pPr>
        <w:spacing w:after="0" w:line="1" w:lineRule="exact"/>
        <w:rPr>
          <w:rFonts w:ascii="Times New Roman" w:cs="Times New Roman" w:eastAsia="Times New Roman" w:hAnsi="Times New Roman"/>
          <w:sz w:val="18"/>
          <w:szCs w:val="18"/>
          <w:color w:val="auto"/>
        </w:rPr>
      </w:pPr>
    </w:p>
    <w:p>
      <w:pPr>
        <w:jc w:val="both"/>
        <w:ind w:left="720" w:hanging="317"/>
        <w:spacing w:after="0" w:line="24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2"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both"/>
        <w:ind w:left="720" w:hanging="317"/>
        <w:spacing w:after="0" w:line="24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2"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ind w:left="720" w:hanging="317"/>
        <w:spacing w:after="0" w:line="245"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Forward-Looking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related to market risk is included earlier in Item 7. Management's Discussion and Analysis of Financial Condition and Results of Operations</w:t>
      </w:r>
    </w:p>
    <w:p>
      <w:pPr>
        <w:spacing w:after="0" w:line="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“Other Expense, Net” and “Derivatives” and later, in the Notes to Consolidated Financial Statements under Item 8. Financial Statements and Supplementary Data, in “Note 1 – Summary of Significant Accounting Policies”, “Note 11 – Fair Value of Financial Instruments, Assets and Other Assets” and “Note 12 –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07"/>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Financial Statements and Supplementary Data</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26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57"/>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6"/>
        </w:trPr>
        <w:tc>
          <w:tcPr>
            <w:tcW w:w="1260" w:type="dxa"/>
            <w:vAlign w:val="bottom"/>
          </w:tcPr>
          <w:p>
            <w:pPr>
              <w:spacing w:after="0"/>
              <w:rPr>
                <w:sz w:val="24"/>
                <w:szCs w:val="24"/>
                <w:color w:val="auto"/>
              </w:rPr>
            </w:pPr>
          </w:p>
        </w:tc>
        <w:tc>
          <w:tcPr>
            <w:tcW w:w="8480" w:type="dxa"/>
            <w:vAlign w:val="bottom"/>
            <w:gridSpan w:val="8"/>
          </w:tcPr>
          <w:p>
            <w:pPr>
              <w:ind w:left="1140"/>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5"/>
        </w:trPr>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gridSpan w:val="3"/>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24"/>
        </w:trPr>
        <w:tc>
          <w:tcPr>
            <w:tcW w:w="312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5"/>
        </w:trPr>
        <w:tc>
          <w:tcPr>
            <w:tcW w:w="97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(KPMG LLP, Houston, TX Firm ID 185)</w:t>
            </w:r>
          </w:p>
        </w:tc>
        <w:tc>
          <w:tcPr>
            <w:tcW w:w="1240" w:type="dxa"/>
            <w:vAlign w:val="bottom"/>
            <w:gridSpan w:val="3"/>
            <w:shd w:val="clear" w:color="auto" w:fill="CCEEFF"/>
          </w:tcPr>
          <w:p>
            <w:pPr>
              <w:jc w:val="center"/>
              <w:ind w:left="292"/>
              <w:spacing w:after="0" w:line="186" w:lineRule="exact"/>
              <w:rPr>
                <w:sz w:val="20"/>
                <w:szCs w:val="20"/>
                <w:color w:val="auto"/>
              </w:rPr>
            </w:pPr>
            <w:r>
              <w:rPr>
                <w:rFonts w:ascii="Times New Roman" w:cs="Times New Roman" w:eastAsia="Times New Roman" w:hAnsi="Times New Roman"/>
                <w:sz w:val="18"/>
                <w:szCs w:val="18"/>
                <w:color w:val="0000FF"/>
                <w:w w:val="99"/>
              </w:rPr>
              <w:t>39</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97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240" w:type="dxa"/>
            <w:vAlign w:val="bottom"/>
            <w:gridSpan w:val="3"/>
            <w:shd w:val="clear" w:color="auto" w:fill="CCEEFF"/>
          </w:tcPr>
          <w:p>
            <w:pPr>
              <w:jc w:val="center"/>
              <w:ind w:left="292"/>
              <w:spacing w:after="0" w:line="186" w:lineRule="exact"/>
              <w:rPr>
                <w:sz w:val="20"/>
                <w:szCs w:val="20"/>
                <w:color w:val="auto"/>
              </w:rPr>
            </w:pPr>
            <w:r>
              <w:rPr>
                <w:rFonts w:ascii="Times New Roman" w:cs="Times New Roman" w:eastAsia="Times New Roman" w:hAnsi="Times New Roman"/>
                <w:sz w:val="18"/>
                <w:szCs w:val="18"/>
                <w:color w:val="0000FF"/>
                <w:w w:val="99"/>
              </w:rPr>
              <w:t>42</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97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2022, 2021 and 2020</w:t>
            </w:r>
          </w:p>
        </w:tc>
        <w:tc>
          <w:tcPr>
            <w:tcW w:w="1240" w:type="dxa"/>
            <w:vAlign w:val="bottom"/>
            <w:gridSpan w:val="3"/>
            <w:shd w:val="clear" w:color="auto" w:fill="CCEEFF"/>
          </w:tcPr>
          <w:p>
            <w:pPr>
              <w:jc w:val="center"/>
              <w:ind w:left="292"/>
              <w:spacing w:after="0" w:line="186" w:lineRule="exact"/>
              <w:rPr>
                <w:sz w:val="20"/>
                <w:szCs w:val="20"/>
                <w:color w:val="auto"/>
              </w:rPr>
            </w:pPr>
            <w:r>
              <w:rPr>
                <w:rFonts w:ascii="Times New Roman" w:cs="Times New Roman" w:eastAsia="Times New Roman" w:hAnsi="Times New Roman"/>
                <w:sz w:val="18"/>
                <w:szCs w:val="18"/>
                <w:color w:val="0000FF"/>
                <w:w w:val="99"/>
              </w:rPr>
              <w:t>43</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97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240" w:type="dxa"/>
            <w:vAlign w:val="bottom"/>
            <w:gridSpan w:val="3"/>
            <w:shd w:val="clear" w:color="auto" w:fill="CCEEFF"/>
          </w:tcPr>
          <w:p>
            <w:pPr>
              <w:jc w:val="center"/>
              <w:ind w:left="292"/>
              <w:spacing w:after="0" w:line="186" w:lineRule="exact"/>
              <w:rPr>
                <w:sz w:val="20"/>
                <w:szCs w:val="20"/>
                <w:color w:val="auto"/>
              </w:rPr>
            </w:pPr>
            <w:r>
              <w:rPr>
                <w:rFonts w:ascii="Times New Roman" w:cs="Times New Roman" w:eastAsia="Times New Roman" w:hAnsi="Times New Roman"/>
                <w:sz w:val="18"/>
                <w:szCs w:val="18"/>
                <w:color w:val="0000FF"/>
                <w:w w:val="99"/>
              </w:rPr>
              <w:t>44</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97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2022, 2021 and 2020</w:t>
            </w:r>
          </w:p>
        </w:tc>
        <w:tc>
          <w:tcPr>
            <w:tcW w:w="1240" w:type="dxa"/>
            <w:vAlign w:val="bottom"/>
            <w:gridSpan w:val="3"/>
            <w:shd w:val="clear" w:color="auto" w:fill="CCEEFF"/>
          </w:tcPr>
          <w:p>
            <w:pPr>
              <w:jc w:val="center"/>
              <w:ind w:left="292"/>
              <w:spacing w:after="0" w:line="186" w:lineRule="exact"/>
              <w:rPr>
                <w:sz w:val="20"/>
                <w:szCs w:val="20"/>
                <w:color w:val="auto"/>
              </w:rPr>
            </w:pPr>
            <w:r>
              <w:rPr>
                <w:rFonts w:ascii="Times New Roman" w:cs="Times New Roman" w:eastAsia="Times New Roman" w:hAnsi="Times New Roman"/>
                <w:sz w:val="18"/>
                <w:szCs w:val="18"/>
                <w:color w:val="0000FF"/>
                <w:w w:val="99"/>
              </w:rPr>
              <w:t>45</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97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240" w:type="dxa"/>
            <w:vAlign w:val="bottom"/>
            <w:gridSpan w:val="3"/>
            <w:shd w:val="clear" w:color="auto" w:fill="CCEEFF"/>
          </w:tcPr>
          <w:p>
            <w:pPr>
              <w:jc w:val="center"/>
              <w:ind w:left="292"/>
              <w:spacing w:after="0" w:line="186" w:lineRule="exact"/>
              <w:rPr>
                <w:sz w:val="20"/>
                <w:szCs w:val="20"/>
                <w:color w:val="auto"/>
              </w:rPr>
            </w:pPr>
            <w:r>
              <w:rPr>
                <w:rFonts w:ascii="Times New Roman" w:cs="Times New Roman" w:eastAsia="Times New Roman" w:hAnsi="Times New Roman"/>
                <w:sz w:val="18"/>
                <w:szCs w:val="18"/>
                <w:color w:val="0000FF"/>
                <w:w w:val="99"/>
              </w:rPr>
              <w:t>46</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185"/>
        </w:trPr>
        <w:tc>
          <w:tcPr>
            <w:tcW w:w="312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6620" w:type="dxa"/>
            <w:vAlign w:val="bottom"/>
            <w:gridSpan w:val="7"/>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340"/>
              <w:spacing w:after="0" w:line="186" w:lineRule="exact"/>
              <w:rPr>
                <w:sz w:val="20"/>
                <w:szCs w:val="20"/>
                <w:color w:val="auto"/>
              </w:rPr>
            </w:pPr>
            <w:r>
              <w:rPr>
                <w:rFonts w:ascii="Times New Roman" w:cs="Times New Roman" w:eastAsia="Times New Roman" w:hAnsi="Times New Roman"/>
                <w:sz w:val="18"/>
                <w:szCs w:val="18"/>
                <w:color w:val="0000FF"/>
                <w:w w:val="99"/>
              </w:rPr>
              <w:t>47</w:t>
            </w:r>
          </w:p>
        </w:tc>
      </w:tr>
      <w:tr>
        <w:trPr>
          <w:trHeight w:val="40"/>
        </w:trPr>
        <w:tc>
          <w:tcPr>
            <w:tcW w:w="1260" w:type="dxa"/>
            <w:vAlign w:val="bottom"/>
            <w:tcBorders>
              <w:left w:val="single" w:sz="8" w:color="CCEEFF"/>
            </w:tcBorders>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Weatherford International plc and subsidiaries (the Company) as of December 31, 2022 and 2021, the related consolidated statements of operations, comprehensive income (loss), shareholders’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8, 2023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impairment triggering events related to certain long-lived assets</w:t>
      </w:r>
    </w:p>
    <w:p>
      <w:pPr>
        <w:spacing w:after="0" w:line="2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discussed in Notes 1 and 4 to the consolidated financial statements, the Company evaluates long-lived assets, consisting of property, plant and equipment, definite-lived intangible assets, and operating lease right-of use assets, for impairment whenever events or changes in circumstances, known as triggering events, indicate that the carrying amount of an asset or asset group may not be recoverable. The triggering events evaluated by the Company include reduced or expected sustained decreases in cash flows generated by an asset or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2022 was $1.5 billion.</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identified the assessment of impairment triggering events related to certain long-lived asset groups as a critical audit matter. The assessment of whether (i) reduced or expected sustained decreases in cash flows generated by an asset group and (ii) negative changes in industry conditions represented a triggering event required a higher degree of subjective auditor judgment.</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or asset group may not be recoverable. We evaluated the Company’s identification of triggering events related to the evaluation of cash flow trends for certain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E1F"/>
        </w:rPr>
        <w:t>We have served as the Company’s auditor since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2023</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We have audited Weatherford International plc and subsidiaries' (the Company)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shareholders’ equity, and cash flows for each of the years in the three-year period ended December 31, 2022, and the related notes (collectively, the consolidated financial statements), and our report dated February 8, 2023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2023</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900" w:type="dxa"/>
        <w:tblCellMar>
          <w:top w:w="0" w:type="dxa"/>
          <w:left w:w="0" w:type="dxa"/>
          <w:bottom w:w="0" w:type="dxa"/>
          <w:right w:w="0" w:type="dxa"/>
        </w:tblCellMar>
      </w:tblPr>
      <w:tr>
        <w:trPr>
          <w:trHeight w:val="224"/>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 except per share amounts)</w:t>
            </w: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5"/>
        </w:trPr>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Products</w:t>
            </w: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Long-Lived Assets Impairment</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5"/>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 (Credits)</w:t>
            </w:r>
          </w:p>
        </w:tc>
        <w:tc>
          <w:tcPr>
            <w:tcW w:w="8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8"/>
        </w:trPr>
        <w:tc>
          <w:tcPr>
            <w:tcW w:w="5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w:t>
            </w:r>
          </w:p>
        </w:tc>
      </w:tr>
      <w:tr>
        <w:trPr>
          <w:trHeight w:val="218"/>
        </w:trPr>
        <w:tc>
          <w:tcPr>
            <w:tcW w:w="51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32"/>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Loss on Termination of ABL Credit Agreement</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5"/>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25"/>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9"/>
        </w:trPr>
        <w:tc>
          <w:tcPr>
            <w:tcW w:w="5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Weatherford</w:t>
            </w: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5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5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(Loss) Per Share Attributable to Weatherford</w:t>
            </w: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5"/>
        </w:trPr>
        <w:tc>
          <w:tcPr>
            <w:tcW w:w="5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(Loss) Per Share Attributable to Weatherford</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0" w:lineRule="exact"/>
        <w:rPr>
          <w:sz w:val="20"/>
          <w:szCs w:val="20"/>
          <w:color w:val="auto"/>
        </w:rPr>
      </w:pPr>
    </w:p>
    <w:p>
      <w:pPr>
        <w:spacing w:after="0" w:line="314" w:lineRule="exact"/>
        <w:rPr>
          <w:sz w:val="20"/>
          <w:szCs w:val="20"/>
          <w:color w:val="auto"/>
        </w:rPr>
      </w:pPr>
    </w:p>
    <w:tbl>
      <w:tblPr>
        <w:tblLayout w:type="fixed"/>
        <w:tblInd w:w="72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19"/>
                <w:szCs w:val="19"/>
                <w:color w:val="auto"/>
              </w:rPr>
            </w:pPr>
          </w:p>
        </w:tc>
      </w:tr>
      <w:tr>
        <w:trPr>
          <w:trHeight w:val="232"/>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8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w:t>
            </w:r>
          </w:p>
        </w:tc>
        <w:tc>
          <w:tcPr>
            <w:tcW w:w="8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25"/>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Weatherford</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9"/>
        </w:trPr>
        <w:tc>
          <w:tcPr>
            <w:tcW w:w="1260" w:type="dxa"/>
            <w:vAlign w:val="bottom"/>
            <w:tcBorders>
              <w:top w:val="single" w:sz="8" w:color="0000FF"/>
            </w:tcBorders>
          </w:tcPr>
          <w:p>
            <w:pPr>
              <w:spacing w:after="0"/>
              <w:rPr>
                <w:sz w:val="24"/>
                <w:szCs w:val="24"/>
                <w:color w:val="auto"/>
              </w:rPr>
            </w:pPr>
          </w:p>
        </w:tc>
        <w:tc>
          <w:tcPr>
            <w:tcW w:w="7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 AND SUBSIDIARIES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7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2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and shares in millions, except par value)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218"/>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72"/>
        </w:trPr>
        <w:tc>
          <w:tcPr>
            <w:tcW w:w="832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$26 at December 31, 2022 and $31 at December 31,</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5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147"/>
        </w:trPr>
        <w:tc>
          <w:tcPr>
            <w:tcW w:w="12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7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260" w:type="dxa"/>
            <w:vAlign w:val="bottom"/>
            <w:vMerge w:val="continue"/>
            <w:shd w:val="clear" w:color="auto" w:fill="CCEEFF"/>
          </w:tcPr>
          <w:p>
            <w:pPr>
              <w:spacing w:after="0"/>
              <w:rPr>
                <w:sz w:val="7"/>
                <w:szCs w:val="7"/>
                <w:color w:val="auto"/>
              </w:rPr>
            </w:pPr>
          </w:p>
        </w:tc>
        <w:tc>
          <w:tcPr>
            <w:tcW w:w="70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7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3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$773 at December 31, 2022 and $623 at</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5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147"/>
        </w:trPr>
        <w:tc>
          <w:tcPr>
            <w:tcW w:w="8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3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3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Intangible Assets, Net of Accumulated Amortization of $480 at December 31, 2022 and</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5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147"/>
        </w:trPr>
        <w:tc>
          <w:tcPr>
            <w:tcW w:w="83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$328 at December 31, 2021</w:t>
            </w:r>
          </w:p>
        </w:tc>
        <w:tc>
          <w:tcPr>
            <w:tcW w:w="34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8320" w:type="dxa"/>
            <w:vAlign w:val="bottom"/>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7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60" w:type="dxa"/>
            <w:vAlign w:val="bottom"/>
            <w:shd w:val="clear" w:color="auto" w:fill="CCEEFF"/>
          </w:tcPr>
          <w:p>
            <w:pPr>
              <w:spacing w:after="0"/>
              <w:rPr>
                <w:sz w:val="15"/>
                <w:szCs w:val="15"/>
                <w:color w:val="auto"/>
              </w:rPr>
            </w:pPr>
          </w:p>
        </w:tc>
        <w:tc>
          <w:tcPr>
            <w:tcW w:w="7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7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43"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260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100" w:right="3580"/>
        <w:spacing w:after="0" w:line="248" w:lineRule="auto"/>
        <w:rPr>
          <w:sz w:val="20"/>
          <w:szCs w:val="20"/>
          <w:color w:val="auto"/>
        </w:rPr>
      </w:pPr>
      <w:r>
        <w:rPr>
          <w:rFonts w:ascii="Times New Roman" w:cs="Times New Roman" w:eastAsia="Times New Roman" w:hAnsi="Times New Roman"/>
          <w:sz w:val="17"/>
          <w:szCs w:val="17"/>
          <w:color w:val="auto"/>
        </w:rPr>
        <w:t>Ordinary Shares - Par value $0.001; Authorized 1,356, Issued and Outstanding 71 at December 31, 2022 and 70 at December 31, 2021</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Retained Deficit</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2,928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31"/>
        </w:trPr>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5"/>
              </w:rPr>
              <w:t>(2,371)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r>
    </w:tbl>
    <w:p>
      <w:pPr>
        <w:ind w:left="1700" w:hanging="1469"/>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15" w:lineRule="exact"/>
        <w:rPr>
          <w:sz w:val="20"/>
          <w:szCs w:val="20"/>
          <w:color w:val="auto"/>
        </w:rPr>
      </w:pPr>
    </w:p>
    <w:p>
      <w:pPr>
        <w:sectPr>
          <w:pgSz w:w="11900" w:h="16838" w:orient="portrait"/>
          <w:cols w:equalWidth="0" w:num="2">
            <w:col w:w="8500" w:space="720"/>
            <w:col w:w="2020"/>
          </w:cols>
          <w:pgMar w:left="320" w:top="343"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Weatherford Shareholders’ Equity</w:t>
            </w:r>
          </w:p>
        </w:tc>
        <w:tc>
          <w:tcPr>
            <w:tcW w:w="3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5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5"/>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8"/>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19"/>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9"/>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Par Value of</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Capital In Excess</w:t>
            </w:r>
          </w:p>
        </w:tc>
        <w:tc>
          <w:tcPr>
            <w:tcW w:w="240" w:type="dxa"/>
            <w:vAlign w:val="bottom"/>
          </w:tcPr>
          <w:p>
            <w:pPr>
              <w:spacing w:after="0"/>
              <w:rPr>
                <w:sz w:val="13"/>
                <w:szCs w:val="13"/>
                <w:color w:val="auto"/>
              </w:rPr>
            </w:pP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3"/>
                <w:szCs w:val="13"/>
                <w:color w:val="auto"/>
              </w:rPr>
            </w:pPr>
          </w:p>
        </w:tc>
        <w:tc>
          <w:tcPr>
            <w:tcW w:w="138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21"/>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6"/>
                <w:szCs w:val="16"/>
                <w:b w:val="1"/>
                <w:bCs w:val="1"/>
                <w:color w:val="auto"/>
                <w:w w:val="97"/>
              </w:rPr>
              <w:t>Shareholders’</w:t>
            </w:r>
          </w:p>
        </w:tc>
        <w:tc>
          <w:tcPr>
            <w:tcW w:w="0" w:type="dxa"/>
            <w:vAlign w:val="bottom"/>
          </w:tcPr>
          <w:p>
            <w:pPr>
              <w:spacing w:after="0"/>
              <w:rPr>
                <w:sz w:val="1"/>
                <w:szCs w:val="1"/>
                <w:color w:val="auto"/>
              </w:rPr>
            </w:pPr>
          </w:p>
        </w:tc>
      </w:tr>
      <w:tr>
        <w:trPr>
          <w:trHeight w:val="211"/>
        </w:trPr>
        <w:tc>
          <w:tcPr>
            <w:tcW w:w="31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Issued Shares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of Par Value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2,897</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0" w:type="dxa"/>
            <w:vAlign w:val="bottom"/>
          </w:tcPr>
          <w:p>
            <w:pPr>
              <w:spacing w:after="0"/>
              <w:rPr>
                <w:sz w:val="1"/>
                <w:szCs w:val="1"/>
                <w:color w:val="auto"/>
              </w:rPr>
            </w:pPr>
          </w:p>
        </w:tc>
      </w:tr>
      <w:tr>
        <w:trPr>
          <w:trHeight w:val="204"/>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(1,921)</w:t>
            </w:r>
          </w:p>
        </w:tc>
        <w:tc>
          <w:tcPr>
            <w:tcW w:w="22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2,897</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204"/>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220" w:type="dxa"/>
            <w:vAlign w:val="bottom"/>
          </w:tcPr>
          <w:p>
            <w:pPr>
              <w:spacing w:after="0"/>
              <w:rPr>
                <w:sz w:val="17"/>
                <w:szCs w:val="17"/>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Awards, Granted, Vested and Exercised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31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2,904</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06"/>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0"/>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Awards, Granted, Vested and Exercised</w:t>
            </w:r>
          </w:p>
        </w:tc>
        <w:tc>
          <w:tcPr>
            <w:tcW w:w="1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31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2,928</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WEATHERFORD INTERNATIONAL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6"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161"/>
        </w:trPr>
        <w:tc>
          <w:tcPr>
            <w:tcW w:w="5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Adjustments to Reconcile Net Income (Loss) to Net Cash Provided by Operating</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161"/>
        </w:trPr>
        <w:tc>
          <w:tcPr>
            <w:tcW w:w="598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Bond Redemption Premium and Loss on Extinguishment of Debt and Termination of ABL</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Credit Agreement</w:t>
            </w: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Goodwill and Long-Lived Assets Impairment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Inventory Charges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Write-Downs and Other Charges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Employee Share-Based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Operating Assets and Liabilities, Net: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6"/>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Divestiture of Businesses and Investments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Bond Maturities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6"/>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Bond Redemption Premium</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Short-term Debt,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Consideration Payment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59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6"/>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11"/>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181"/>
        </w:trPr>
        <w:tc>
          <w:tcPr>
            <w:tcW w:w="5980" w:type="dxa"/>
            <w:vAlign w:val="bottom"/>
            <w:tcBorders>
              <w:bottom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1,112</w:t>
            </w:r>
          </w:p>
        </w:tc>
        <w:tc>
          <w:tcPr>
            <w:tcW w:w="300" w:type="dxa"/>
            <w:vAlign w:val="bottom"/>
            <w:tcBorders>
              <w:bottom w:val="single" w:sz="8" w:color="auto"/>
            </w:tcBorders>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1,113</w:t>
            </w:r>
          </w:p>
        </w:tc>
        <w:tc>
          <w:tcPr>
            <w:tcW w:w="400" w:type="dxa"/>
            <w:vAlign w:val="bottom"/>
            <w:tcBorders>
              <w:bottom w:val="single" w:sz="8" w:color="auto"/>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Summary of Significant Accounting Policies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operate in approximately 75 countries and have service and sales locations in oil and natural gas producing regions globally. Many of our businesses, have been operating for more than 50 years.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authorized share capital of Weatherford includes 1.356 billion ordinary shares with a par value of $0.001 per share. On June 1, 2021, The Nasdaq Stock Market LLC stock exchange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of America (“U.S. GAAP”) and pursuant to the rules and regulations of the Exchange Act for annual financial information. We consolidate all wholly owned subsidiaries and controlled joint ventures and eliminate intercompany balances in consolidation.</w:t>
      </w:r>
    </w:p>
    <w:p>
      <w:pPr>
        <w:spacing w:after="0" w:line="2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Certain reclassifications have been made to the financial statements and accompanying footnotes to conform to the Company’s current period presentation.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Emergence from Bankruptcy</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1, 2019, we filed voluntary petitions under Chapter 11 of the U.S. Bankruptcy Code in the U.S. Bankruptcy Court for the Southern District of Texas. On December 13, 2019 (“Effective Date”), after all conditions to effectiveness were satisfied, we emerged from bankruptcy after successfully completing the reorganization.</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to be cash equivalents.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restricted cash balance of $202 million at December 31, 2022 and $162 million at December 31, 2021 primarily includes cash collateral for certain of our letters of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Accounts Receivables</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establish an allowance for credit losses based on various factors,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Our customer base has generally similar collectability risk characteristics, although risk profiles can vary between larger independent customers and state-owned customers, which may have a lower risk than smaller independent customers. Past due balances over 365 days and over a specified amount are reviewed individually for collectability. Account balances are charged off against the allowance after all means of collection have been exhausted and the potential for recovery is considered remote.</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 and Credit Risk</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 We maintain allowances for credit losses. International sales also present various risks, including risks of war, civil disturbances and governmental activities that may limit or disrupt markets, restrict the movement of cash, or result in the deprivation of contract rights or the taking of property without fair consideration. Most of our international sales are to large international or national oil companies and these sales may result in a concentration of receivables from such companies.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2022, accounts receivable in Mexico and the U.S. accounted for 21% and 12%, respectively, of our total net outstanding account receivables. Consistent with prior periods, although we have experienced delay of payments in Mexico, the balances due are not in dispute and we do not expect to have any material write-offs of receivables in the country. No other country accounted for more than 10% of our net outstanding accounts receivables balance. For the years ended December 31, 2022, 2021 and 2020, no individual customer accounted for more than 10% of our consolidated revenues.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state our inventories at the lower of cost or net realizable value using either the first-in, first-out (“FIFO”) or average cost method. Cost represents third-party invoice or production cost. Production cost includes material, labor and manufacturing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periodically recognize additional charges for inventory in which we determine there is no forecasted demand.</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(“PP&amp;E”)</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PP&amp;E is both owned and under finance leases. Owned PP&amp;E are initially stated at cost and finance leases are initially stated at the present value of lease payments. Both are depreciated on straight-line basis over its estimated useful life. Subsequently, PP&amp;E is measured at cost less accumulated depreciation and adjusted for impairment, when applicable. The carrying values are based on our estimates and judgments relative to capitalized costs, useful lives and salvage value, where applicable. We expense maintenance and repairs as incurred and capitalize expenditures for improvements as well as renewals and replacements that extend the useful life of the asset.</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of our major classes of PP&amp;E are as follows:</w:t>
            </w:r>
          </w:p>
        </w:tc>
        <w:tc>
          <w:tcPr>
            <w:tcW w:w="4800" w:type="dxa"/>
            <w:vAlign w:val="bottom"/>
          </w:tcPr>
          <w:p>
            <w:pPr>
              <w:spacing w:after="0"/>
              <w:rPr>
                <w:sz w:val="20"/>
                <w:szCs w:val="20"/>
                <w:color w:val="auto"/>
              </w:rPr>
            </w:pPr>
          </w:p>
        </w:tc>
      </w:tr>
      <w:tr>
        <w:trPr>
          <w:trHeight w:val="251"/>
        </w:trPr>
        <w:tc>
          <w:tcPr>
            <w:tcW w:w="480" w:type="dxa"/>
            <w:vAlign w:val="bottom"/>
          </w:tcPr>
          <w:p>
            <w:pPr>
              <w:spacing w:after="0"/>
              <w:rPr>
                <w:sz w:val="21"/>
                <w:szCs w:val="21"/>
                <w:color w:val="auto"/>
              </w:rPr>
            </w:pP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Major Classes of Property, Plant and Equipment</w:t>
            </w:r>
          </w:p>
        </w:tc>
        <w:tc>
          <w:tcPr>
            <w:tcW w:w="4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PP&amp;E Estimated Useful Lives</w:t>
            </w:r>
          </w:p>
        </w:tc>
      </w:tr>
      <w:tr>
        <w:trPr>
          <w:trHeight w:val="219"/>
        </w:trPr>
        <w:tc>
          <w:tcPr>
            <w:tcW w:w="48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 – 40 years or lease term</w:t>
            </w:r>
          </w:p>
        </w:tc>
      </w:tr>
      <w:tr>
        <w:trPr>
          <w:trHeight w:val="225"/>
        </w:trPr>
        <w:tc>
          <w:tcPr>
            <w:tcW w:w="4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4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 – 10 years</w:t>
            </w:r>
          </w:p>
        </w:tc>
      </w:tr>
      <w:tr>
        <w:trPr>
          <w:trHeight w:val="225"/>
        </w:trPr>
        <w:tc>
          <w:tcPr>
            <w:tcW w:w="48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4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 – 12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identifiable intangible assets include developed and acquired technologies and our trade names, amortized on a straight-line basis over their estimated economic lives, generally ranging from 5 years (developed and acquired technologies) to 10 years (trade names).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Leases with an initial term of 12 months or less (“short-term leases”) are not recorded on the balance sheet; we recognize lease expense for these leases on a straight-line basis over the lease term.</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recognized based on the present value of lease payments over the lease term at commencement date and include related options to extend or terminate lease terms that are reasonably certain of being exercise. We determine if an arrangement is classified as a lease at its inception. As most of our leases do not provide an implicit rate of return, on a quarterly basis, we use our incremental borrowing rate, together with the lease term information available at commencement date of the lease, in determining the present value of lease payments.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Impairment</w:t>
      </w:r>
    </w:p>
    <w:p>
      <w:pPr>
        <w:spacing w:after="0" w:line="23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Long-lived assets, consisting of PP&amp;E, operating lease assets and intangible assets, to be held and used are reviewed to determine whether any events or changes in circumstances, known as triggering events, indicate that we may not be able to recover the carrying amount of the asset or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assets or asset groups that may not be recoverable. If the undiscounted cash flows do not exceed the carrying value of the long-lived asset group, impairment is recognized to the extent the carrying amount exceeds the estimated fair value of the asset group, as determined by a discounted cash flow analysis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Expenditures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 expenditures are expensed as incurred.</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We enter into foreign currency forward contracts to mitigate the risk of future cash flows denominated in a foreign currency. The amounts will fluctuate, depending on exchange rate volatility, the volume of our foreign currency transactions, and our decisions to hedge.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Our foreign currency derivatives are not designated as hedging instruments under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the changes in fair value of the contracts are recorded in each period in “Other Expense, Net” on the accompanying Consolidated Statements of Operations. We record derivative instruments on the balance sheet at their fair value as either assets or liabilities. See “Note 12 – Derivative Instruments” for additional information.</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48"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Results of operations for our foreign subsidiaries with functional currencies other than the U.S. dollar are translated using average exchange rates during the period. Assets and liabilities translated using the exchange rates in effect at the balance sheet dates are included in “Accumulated Other Comprehensive Loss” on the accompanying Consolidated Statements of Shareholders' Equity.</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our subsidiaries with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Remeasurement gains and losses are recognized during the period incurred and recognized in “Other Expense, Net” on the accompanying Consolidated Statements of Operations.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3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7"/>
          <w:szCs w:val="17"/>
          <w:color w:val="auto"/>
        </w:rPr>
        <w:t>We account for equity-classified share-based payment awards, including restricted share unit and performance unit awards by recognizing the grant date fair value as an expense, net of forfeitures, over the service period, which is usually the vesting period. For those share-based awards that are settled in cash and recorded as a liability, such as phantom restricted share units, the fair value and associated expense is adjusted when the published price of our stock changes. We record shared-based compensation in “Selling, General and Administrative” on the accompanying Consolidated Statements of Operations.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Disputes, Litigation and Contingencies</w:t>
      </w:r>
    </w:p>
    <w:p>
      <w:pPr>
        <w:spacing w:after="0" w:line="23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revenue in accordance with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the terms of a service contract give us the right to invoice the customer for an amount that corresponds directly with the value of our performance completed to date, revenues are recognized over time at the amount to which we have the right to invoice. For certain long-term contracts, our revenue is recognized for services over time as the services are rendered and we utilize an output method such as time elapsed or footage drilled, which coincides with how customers receive the benefit.</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are recognized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are recorded within “Services Revenue”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(included in “Accounts Receivable, Net”), contract assets (included in “Other Current Assets” and “Other Non-Current Assets”), and contract liabilities (included in “Other Current Liabilities”) on our Consolidated Balance Sheets. We recognize receivables for work completed on service contracts but not billed in which the rights to consideration are conditional as contract assets. We recognize contract liabilities when consideration is received in advance of the recognition of revenue.</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bill our sales of products and services upon completion of the performance obligation. Product sales are billed and recognized when control passes to the customer. Our products are produced in a standard manufacturing operation, even if produced to our customer’s specifications.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 is occasionally generated from contracts that include multiple performance obligations. 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Completion and Production product line), we estimate standalone selling prices using the adjusted market assessment approach. Costs of relocating equipment without contracts are expensed as incurred.</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these warranties.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(Loss) per Share</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Basic income (loss) per share for all periods presented equals net income (loss) divided by the weighted average shares outstanding during the period including participating securities. Diluted income (loss) per share is computed by dividing net income (loss) by our weighted average shares outstanding during the period including participating securities and any potential dilutive shares, when applicable.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Company's chief operating decision maker (“CODM”), our chief executive officer, regularly reviews information to make operating decisions, allocate resources and assess performance of the business. The CODM regularly reviews information aligned with how we offer our services and technologies in relation to the well life cycle as reflected in our reportable segments. All of our segments are enabled by a suite of digital monitoring, control and optimization solutions using advanced analytics to provide safe, reliable and efficient solutions throughout the well life cycle, including responsible abandonment. We have three reportable segments: (1) Drilling and Evaluation (2) Well Construction and Completions, and (3) Production and Intervention.</w:t>
      </w:r>
    </w:p>
    <w:p>
      <w:pPr>
        <w:spacing w:after="0" w:line="1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conventional and unconventional wells, deep water, and aging reservoirs. The primary offerings are intervention services &amp; drilling tools, artificial lift, digital solutions (previously production automation &amp; software), sub-sea intervention and pressure pumping services in select markets.</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are from external customers and segment revenues are specific to our three reportable segments and all other revenues are specific to our non-operating segment revenues. Revenues are further described in “Note 3 – Revenues.”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Corporate and other includes business activities (profit and loss), corporate and other expenses (overhead support and centrally managed or shared facilities costs) that do not individually meet the criteria for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2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360" w:type="dxa"/>
            <w:vAlign w:val="bottom"/>
          </w:tcPr>
          <w:p>
            <w:pPr>
              <w:spacing w:after="0"/>
              <w:rPr>
                <w:sz w:val="19"/>
                <w:szCs w:val="19"/>
                <w:color w:val="auto"/>
              </w:rPr>
            </w:pPr>
          </w:p>
        </w:tc>
        <w:tc>
          <w:tcPr>
            <w:tcW w:w="31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Segment Revenues</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8"/>
        </w:trPr>
        <w:tc>
          <w:tcPr>
            <w:tcW w:w="39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139"/>
        </w:trPr>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Segment Adjusted EBITDA</w:t>
            </w: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2"/>
                <w:szCs w:val="22"/>
                <w:color w:val="auto"/>
                <w:vertAlign w:val="superscript"/>
              </w:rPr>
              <w:t>(a)</w:t>
            </w:r>
          </w:p>
        </w:tc>
        <w:tc>
          <w:tcPr>
            <w:tcW w:w="1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9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Other Adjustments </w:t>
            </w:r>
            <w:r>
              <w:rPr>
                <w:rFonts w:ascii="Times New Roman" w:cs="Times New Roman" w:eastAsia="Times New Roman" w:hAnsi="Times New Roman"/>
                <w:sz w:val="22"/>
                <w:szCs w:val="22"/>
                <w:b w:val="1"/>
                <w:bCs w:val="1"/>
                <w:color w:val="auto"/>
                <w:vertAlign w:val="superscript"/>
              </w:rPr>
              <w:t>(b)</w:t>
            </w:r>
            <w:r>
              <w:rPr>
                <w:rFonts w:ascii="Times New Roman" w:cs="Times New Roman" w:eastAsia="Times New Roman" w:hAnsi="Times New Roman"/>
                <w:sz w:val="18"/>
                <w:szCs w:val="18"/>
                <w:b w:val="1"/>
                <w:bCs w:val="1"/>
                <w:color w:val="auto"/>
              </w:rPr>
              <w:t xml:space="preserve"> :</w:t>
            </w: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and Other Asset Impairment</w:t>
            </w: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Credits</w:t>
            </w:r>
          </w:p>
        </w:tc>
        <w:tc>
          <w:tcPr>
            <w:tcW w:w="1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8"/>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1040" w:hanging="239"/>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15 – Share-Based Compensation” for additional information.</w:t>
      </w:r>
    </w:p>
    <w:p>
      <w:pPr>
        <w:spacing w:after="0" w:line="23"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4 – Goodwill and Long-Lived Assets Impairment” and “Note 5 – Restructuring Charges” for</w:t>
      </w:r>
    </w:p>
    <w:p>
      <w:pPr>
        <w:spacing w:after="0" w:line="11" w:lineRule="exact"/>
        <w:rPr>
          <w:sz w:val="20"/>
          <w:szCs w:val="20"/>
          <w:color w:val="auto"/>
        </w:rPr>
      </w:pPr>
    </w:p>
    <w:p>
      <w:pPr>
        <w:ind w:left="640" w:right="2880" w:firstLine="477"/>
        <w:spacing w:after="0" w:line="254" w:lineRule="auto"/>
        <w:rPr>
          <w:sz w:val="20"/>
          <w:szCs w:val="20"/>
          <w:color w:val="auto"/>
        </w:rPr>
      </w:pPr>
      <w:r>
        <w:rPr>
          <w:rFonts w:ascii="Times New Roman" w:cs="Times New Roman" w:eastAsia="Times New Roman" w:hAnsi="Times New Roman"/>
          <w:sz w:val="16"/>
          <w:szCs w:val="16"/>
          <w:color w:val="auto"/>
        </w:rPr>
        <w:t>additional information. During 2020, segment adjusted EBITDA for Well Construction and Completions included a $12 million gain on sale of operational assets otherwise shown as part of “Other Charges (Credits)”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660" w:type="dxa"/>
            <w:vAlign w:val="bottom"/>
          </w:tcPr>
          <w:p>
            <w:pPr>
              <w:spacing w:after="0"/>
              <w:rPr>
                <w:sz w:val="24"/>
                <w:szCs w:val="24"/>
                <w:color w:val="auto"/>
              </w:rPr>
            </w:pPr>
          </w:p>
        </w:tc>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860" w:type="dxa"/>
            <w:vAlign w:val="bottom"/>
          </w:tcPr>
          <w:p>
            <w:pPr>
              <w:spacing w:after="0"/>
              <w:rPr>
                <w:sz w:val="24"/>
                <w:szCs w:val="24"/>
                <w:color w:val="auto"/>
              </w:rPr>
            </w:pPr>
          </w:p>
        </w:tc>
        <w:tc>
          <w:tcPr>
            <w:tcW w:w="282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5280" w:type="dxa"/>
            <w:vAlign w:val="bottom"/>
            <w:tcBorders>
              <w:bottom w:val="single" w:sz="8" w:color="auto"/>
            </w:tcBorders>
            <w:gridSpan w:val="2"/>
            <w:vMerge w:val="continue"/>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9"/>
        </w:trPr>
        <w:tc>
          <w:tcPr>
            <w:tcW w:w="66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Drilling and Evaluation</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8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8"/>
        </w:trPr>
        <w:tc>
          <w:tcPr>
            <w:tcW w:w="660" w:type="dxa"/>
            <w:vAlign w:val="bottom"/>
          </w:tcPr>
          <w:p>
            <w:pPr>
              <w:spacing w:after="0"/>
              <w:rPr>
                <w:sz w:val="19"/>
                <w:szCs w:val="19"/>
                <w:color w:val="auto"/>
              </w:rPr>
            </w:pPr>
          </w:p>
        </w:tc>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Drilling and Evaluation</w:t>
            </w: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5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p>
        </w:tc>
        <w:tc>
          <w:tcPr>
            <w:tcW w:w="52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18"/>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713</w:t>
            </w: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993</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5"/>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729</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1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Reportable Segment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2,435</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25"/>
        </w:trPr>
        <w:tc>
          <w:tcPr>
            <w:tcW w:w="6800" w:type="dxa"/>
            <w:vAlign w:val="bottom"/>
            <w:tcBorders>
              <w:bottom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2,285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44"/>
        </w:trPr>
        <w:tc>
          <w:tcPr>
            <w:tcW w:w="6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4,720</w:t>
            </w:r>
          </w:p>
        </w:tc>
        <w:tc>
          <w:tcPr>
            <w:tcW w:w="5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560" w:right="2720" w:firstLine="2"/>
        <w:spacing w:after="0" w:line="237" w:lineRule="auto"/>
        <w:tabs>
          <w:tab w:leader="none" w:pos="73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other assets primarily include cash and cash equivalents, certain intangible assets, and centrally managed or shared facilities.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34" w:lineRule="exact"/>
        <w:rPr>
          <w:sz w:val="20"/>
          <w:szCs w:val="20"/>
          <w:color w:val="auto"/>
        </w:rPr>
      </w:pPr>
    </w:p>
    <w:p>
      <w:pPr>
        <w:jc w:val="both"/>
        <w:ind w:firstLine="238"/>
        <w:spacing w:after="0" w:line="237" w:lineRule="auto"/>
        <w:rPr>
          <w:sz w:val="20"/>
          <w:szCs w:val="20"/>
          <w:color w:val="auto"/>
        </w:rPr>
      </w:pPr>
      <w:r>
        <w:rPr>
          <w:rFonts w:ascii="Times New Roman" w:cs="Times New Roman" w:eastAsia="Times New Roman" w:hAnsi="Times New Roman"/>
          <w:sz w:val="18"/>
          <w:szCs w:val="18"/>
          <w:color w:val="auto"/>
        </w:rPr>
        <w:t>As of December 31, 2022 and 2021 the U.S. accounted for 22% and 23%, respectively, of our PP&amp;E, Net and operating lease assets identifiable by geography. No other country accounted for more than 10% of our PP&amp;E, Net and operating lease assets identifiable by geography as of December 31, 2022 and 2021. We had no PP&amp;E, Net and operating lease assets in our country of domicile (Ireland) as of December 31, 2022 and 2021.</w:t>
      </w:r>
    </w:p>
    <w:p>
      <w:pPr>
        <w:spacing w:after="0" w:line="87" w:lineRule="exact"/>
        <w:rPr>
          <w:sz w:val="20"/>
          <w:szCs w:val="20"/>
          <w:color w:val="auto"/>
        </w:rPr>
      </w:pPr>
    </w:p>
    <w:tbl>
      <w:tblPr>
        <w:tblLayout w:type="fixed"/>
        <w:tblInd w:w="1180" w:type="dxa"/>
        <w:tblCellMar>
          <w:top w:w="0" w:type="dxa"/>
          <w:left w:w="0" w:type="dxa"/>
          <w:bottom w:w="0" w:type="dxa"/>
          <w:right w:w="0" w:type="dxa"/>
        </w:tblCellMar>
      </w:tblPr>
      <w:tr>
        <w:trPr>
          <w:trHeight w:val="232"/>
        </w:trPr>
        <w:tc>
          <w:tcPr>
            <w:tcW w:w="5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18"/>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53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w:t>
            </w:r>
          </w:p>
        </w:tc>
        <w:tc>
          <w:tcPr>
            <w:tcW w:w="6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5"/>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38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5"/>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5"/>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239</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4"/>
        </w:trPr>
        <w:tc>
          <w:tcPr>
            <w:tcW w:w="5320" w:type="dxa"/>
            <w:vAlign w:val="bottom"/>
            <w:tcBorders>
              <w:bottom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2"/>
                <w:szCs w:val="22"/>
                <w:color w:val="auto"/>
                <w:vertAlign w:val="superscript"/>
              </w:rPr>
              <w:t>(b)</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1,015</w:t>
            </w:r>
          </w:p>
        </w:tc>
        <w:tc>
          <w:tcPr>
            <w:tcW w:w="6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1140" w:hanging="180"/>
        <w:spacing w:after="0"/>
        <w:tabs>
          <w:tab w:leader="none" w:pos="11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ind w:left="1140" w:hanging="180"/>
        <w:spacing w:after="0" w:line="191" w:lineRule="auto"/>
        <w:tabs>
          <w:tab w:leader="none" w:pos="11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assets not allocated by geography are excluded from this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56" w:name="page57"/>
    <w:bookmarkEnd w:id="5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Revenues</w:t>
      </w: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additional details on our revenue recognition policies see “Note 1 – Summary of Significant Accounting Policies”.</w:t>
      </w:r>
    </w:p>
    <w:p>
      <w:pPr>
        <w:spacing w:after="0" w:line="244" w:lineRule="exact"/>
        <w:rPr>
          <w:sz w:val="20"/>
          <w:szCs w:val="20"/>
          <w:color w:val="auto"/>
        </w:rPr>
      </w:pPr>
    </w:p>
    <w:p>
      <w:pPr>
        <w:ind w:firstLine="238"/>
        <w:spacing w:after="0" w:line="274" w:lineRule="auto"/>
        <w:rPr>
          <w:sz w:val="20"/>
          <w:szCs w:val="20"/>
          <w:color w:val="auto"/>
        </w:rPr>
      </w:pPr>
      <w:r>
        <w:rPr>
          <w:rFonts w:ascii="Times New Roman" w:cs="Times New Roman" w:eastAsia="Times New Roman" w:hAnsi="Times New Roman"/>
          <w:sz w:val="18"/>
          <w:szCs w:val="18"/>
          <w:color w:val="auto"/>
        </w:rPr>
        <w:t>The following tables disaggregate our revenues from contracts with customers by geographic region and includes equipment rental revenues. Equipment rental revenues were $146 million, $131 million and $150 million in 2022, 2021 and 2020, respectively.</w:t>
      </w:r>
    </w:p>
    <w:p>
      <w:pPr>
        <w:spacing w:after="0" w:line="177" w:lineRule="exact"/>
        <w:rPr>
          <w:sz w:val="20"/>
          <w:szCs w:val="20"/>
          <w:color w:val="auto"/>
        </w:rPr>
      </w:pPr>
    </w:p>
    <w:p>
      <w:pPr>
        <w:ind w:firstLine="238"/>
        <w:spacing w:after="0" w:line="243" w:lineRule="auto"/>
        <w:rPr>
          <w:sz w:val="20"/>
          <w:szCs w:val="20"/>
          <w:color w:val="auto"/>
        </w:rPr>
      </w:pPr>
      <w:r>
        <w:rPr>
          <w:rFonts w:ascii="Times New Roman" w:cs="Times New Roman" w:eastAsia="Times New Roman" w:hAnsi="Times New Roman"/>
          <w:sz w:val="18"/>
          <w:szCs w:val="18"/>
          <w:color w:val="auto"/>
        </w:rPr>
        <w:t>The U.S. accounted for 20%, 19% and 20% of revenues in 2022, 2021 and 2020, respectively. No other country accounted for more than 10% of our revenue in 2022, 2021 and 2020. We had no revenue in our country of domicile (Ireland) in 2022, 2021 and 2020.</w:t>
      </w:r>
    </w:p>
    <w:p>
      <w:pPr>
        <w:spacing w:after="0" w:line="334" w:lineRule="exact"/>
        <w:rPr>
          <w:sz w:val="20"/>
          <w:szCs w:val="20"/>
          <w:color w:val="auto"/>
        </w:rPr>
      </w:pPr>
    </w:p>
    <w:tbl>
      <w:tblPr>
        <w:tblLayout w:type="fixed"/>
        <w:tblInd w:w="1480" w:type="dxa"/>
        <w:tblCellMar>
          <w:top w:w="0" w:type="dxa"/>
          <w:left w:w="0" w:type="dxa"/>
          <w:bottom w:w="0" w:type="dxa"/>
          <w:right w:w="0" w:type="dxa"/>
        </w:tblCellMar>
      </w:tblPr>
      <w:tr>
        <w:trPr>
          <w:trHeight w:val="225"/>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60" w:type="dxa"/>
            <w:vAlign w:val="bottom"/>
          </w:tcPr>
          <w:p>
            <w:pPr>
              <w:spacing w:after="0"/>
              <w:rPr>
                <w:sz w:val="19"/>
                <w:szCs w:val="19"/>
                <w:color w:val="auto"/>
              </w:rPr>
            </w:pPr>
          </w:p>
        </w:tc>
        <w:tc>
          <w:tcPr>
            <w:tcW w:w="31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Geographic Areas:</w:t>
            </w: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0" w:type="dxa"/>
            <w:vAlign w:val="bottom"/>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25"/>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0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5"/>
        </w:trPr>
        <w:tc>
          <w:tcPr>
            <w:tcW w:w="3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0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18"/>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820" w:hanging="178"/>
        <w:spacing w:after="0"/>
        <w:tabs>
          <w:tab w:leader="none" w:pos="8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timing of our revenue recognition, billings and cash collections result in the recording of accounts receivable, contract assets, and contract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these balances as of December 31, 2022 and December 31,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vMerge w:val="restart"/>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4"/>
        </w:trPr>
        <w:tc>
          <w:tcPr>
            <w:tcW w:w="8120" w:type="dxa"/>
            <w:vAlign w:val="bottom"/>
            <w:tcBorders>
              <w:bottom w:val="single" w:sz="8" w:color="CCEEFF"/>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25"/>
        </w:trPr>
        <w:tc>
          <w:tcPr>
            <w:tcW w:w="8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65"/>
        </w:trPr>
        <w:tc>
          <w:tcPr>
            <w:tcW w:w="8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8"/>
              </w:rPr>
              <w:t>Accounts Receivable, Net of Allowance for Credit Losses of $26 at December 31, 2022 and $31 at December 31,</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120" w:type="dxa"/>
            <w:vAlign w:val="bottom"/>
            <w:tcBorders>
              <w:bottom w:val="single" w:sz="8" w:color="auto"/>
            </w:tcBorders>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22"/>
                <w:szCs w:val="22"/>
                <w:color w:val="auto"/>
                <w:vertAlign w:val="superscript"/>
              </w:rPr>
              <w:t>(a)</w:t>
            </w: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Contract Liabilities in Other Current Liabilities </w:t>
            </w:r>
            <w:r>
              <w:rPr>
                <w:rFonts w:ascii="Times New Roman" w:cs="Times New Roman" w:eastAsia="Times New Roman" w:hAnsi="Times New Roman"/>
                <w:sz w:val="22"/>
                <w:szCs w:val="22"/>
                <w:color w:val="auto"/>
                <w:vertAlign w:val="superscript"/>
              </w:rPr>
              <w:t>(b)</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00" w:hanging="235"/>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allowance for credit losses includes charges offset primarily by recoveries and write-offs. The credit loss charges were $10 million, $30 million and</w:t>
      </w:r>
    </w:p>
    <w:p>
      <w:pPr>
        <w:spacing w:after="0" w:line="19" w:lineRule="exact"/>
        <w:rPr>
          <w:rFonts w:ascii="Times New Roman" w:cs="Times New Roman" w:eastAsia="Times New Roman" w:hAnsi="Times New Roman"/>
          <w:sz w:val="16"/>
          <w:szCs w:val="16"/>
          <w:color w:val="auto"/>
        </w:rPr>
      </w:pPr>
    </w:p>
    <w:p>
      <w:pPr>
        <w:ind w:left="400" w:right="1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 million during 2022, 2021 and 2020, respectively. Offsets to allowance for credit losses were primarily recoveries and write-offs of $15 million, $31 million and nil during 2022, 2021 and 2020, respectively.</w:t>
      </w:r>
    </w:p>
    <w:p>
      <w:pPr>
        <w:spacing w:after="0" w:line="51" w:lineRule="exact"/>
        <w:rPr>
          <w:rFonts w:ascii="Times New Roman" w:cs="Times New Roman" w:eastAsia="Times New Roman" w:hAnsi="Times New Roman"/>
          <w:sz w:val="16"/>
          <w:szCs w:val="16"/>
          <w:color w:val="auto"/>
        </w:rPr>
      </w:pPr>
    </w:p>
    <w:p>
      <w:pPr>
        <w:ind w:left="400" w:right="600" w:hanging="235"/>
        <w:spacing w:after="0" w:line="272" w:lineRule="auto"/>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recognized during the year ended December 31, 2022 and 2021 that were included in the contract liabilities balance at the beginning of each year were approximately $39 million and $35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Goodwill and Long-Lived Assets Impairment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and Long-Lived Assets Impairment</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recorded the following in “Goodwill and Long-Lived Assets Impairment” on the accompanying Consolidated Statements of Operations:</w:t>
      </w:r>
    </w:p>
    <w:p>
      <w:pPr>
        <w:spacing w:after="0" w:line="136" w:lineRule="exact"/>
        <w:rPr>
          <w:sz w:val="20"/>
          <w:szCs w:val="20"/>
          <w:color w:val="auto"/>
        </w:rPr>
      </w:pPr>
    </w:p>
    <w:tbl>
      <w:tblPr>
        <w:tblLayout w:type="fixed"/>
        <w:tblInd w:w="1080" w:type="dxa"/>
        <w:tblCellMar>
          <w:top w:w="0" w:type="dxa"/>
          <w:left w:w="0" w:type="dxa"/>
          <w:bottom w:w="0" w:type="dxa"/>
          <w:right w:w="0" w:type="dxa"/>
        </w:tblCellMar>
      </w:tblPr>
      <w:tr>
        <w:trPr>
          <w:trHeight w:val="225"/>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60" w:type="dxa"/>
            <w:vAlign w:val="bottom"/>
          </w:tcPr>
          <w:p>
            <w:pPr>
              <w:spacing w:after="0"/>
              <w:rPr>
                <w:sz w:val="19"/>
                <w:szCs w:val="19"/>
                <w:color w:val="auto"/>
              </w:rPr>
            </w:pPr>
          </w:p>
        </w:tc>
        <w:tc>
          <w:tcPr>
            <w:tcW w:w="29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 Impairment</w:t>
            </w: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 and Long-lived Assets Impairment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Goodwill Impairment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2020, we no longer carry goodwill on the Consolidated Balance Sheets.</w:t>
      </w:r>
    </w:p>
    <w:p>
      <w:pPr>
        <w:spacing w:after="0" w:line="2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2020, based on our interim goodwill impairment assessments, we determined the fair value of our reporting units were less than their carrying values, and recognized goodwill impairment charges to fully impair our goodwill of $239 million (also the cumulative impairment loss). We identified impairment indicators that triggered quantitative goodwill assessments. The fair values of our reporting units were determined using a combination of the income approach and the market approach for comparable companies in our industry, a Level 3 fair value analysis. Determining the fair value of the reporting units required management to develop significant judgments, including estimating and discounting future cash flows by reporting unit, specifically forecasted revenue, forecasted operating margins and discount rates.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Long-Lived Assets Impairment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did not recognize long-lived assets impairments during 2022 or 2021.</w:t>
      </w:r>
    </w:p>
    <w:p>
      <w:pPr>
        <w:spacing w:after="0" w:line="2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2020, the global economic and industry conditions resulting from the decline in demand and impact from the COVID-19 pandemic were identified as impairment indicators. As a result, we performed interim impairment assessments of our property, plant and equipment, definite-lived intangible assets, and operating lease assets with the assistance of a third-party valuation advisor. We determined the carrying amount of certain long-lived assets exceeded their respective fair values and recognized $814 million of long-lived asset impairments as summarized by asset class and segment in the table below, which was included in “Goodwill and Long-Lived Assets Impairment” on the Consolidated Statements of Operations.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values of our long-lived assets were determined using discounted cash flows under the income approach, a Level 3 fair value analysis. The income approach required significant assumptions to determine the fair value of an asset or asset group including the estimated discounted future cash flows, forecasted revenues and operating margins and the discount rate.</w:t>
      </w:r>
    </w:p>
    <w:p>
      <w:pPr>
        <w:spacing w:after="0" w:line="94" w:lineRule="exact"/>
        <w:rPr>
          <w:sz w:val="20"/>
          <w:szCs w:val="20"/>
          <w:color w:val="auto"/>
        </w:rPr>
      </w:pPr>
    </w:p>
    <w:tbl>
      <w:tblPr>
        <w:tblLayout w:type="fixed"/>
        <w:tblInd w:w="780" w:type="dxa"/>
        <w:tblCellMar>
          <w:top w:w="0" w:type="dxa"/>
          <w:left w:w="0" w:type="dxa"/>
          <w:bottom w:w="0" w:type="dxa"/>
          <w:right w:w="0" w:type="dxa"/>
        </w:tblCellMar>
      </w:tblPr>
      <w:tr>
        <w:trPr>
          <w:trHeight w:val="235"/>
        </w:trPr>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w w:val="99"/>
              </w:rPr>
              <w:t>Long-Lived Assets Impairment by Asset Class and Segment</w:t>
            </w:r>
          </w:p>
        </w:tc>
        <w:tc>
          <w:tcPr>
            <w:tcW w:w="3620" w:type="dxa"/>
            <w:vAlign w:val="bottom"/>
            <w:gridSpan w:val="5"/>
            <w:vMerge w:val="restart"/>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gridSpan w:val="5"/>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DRE</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WCC</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PRI</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5"/>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5"/>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Long-lived Assets Impairment</w:t>
            </w: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Restructuring Charges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2022, “Restructuring Charges” on the accompanying Consolidated Statements of Operations were primarily related to the launch of a multi-year footprint consolidation and workforce efficiency initiative aimed at improving fulfillment operations. No restructuring charges were recognized in 2021. During 2020, our restructuring charges included workforce reductions, organization restructurings, facility consolidations and other cost reduction measures and efficiency initiatives targeted to better align with activity levels at the time.</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Restructuring liabilities were $25 million and $17 million as of December 31, 2022 and 2021, respectively, of which $16 million and $12 million are recorded in “Other Current Liabilities” and $9 million and $5 million in “Other Non-current Liabilities” as of December 31, 2022 and 2021, respectively, on the accompanying Consolidated Balance Sheets. The change in liabilities include restructuring charges, primarily offset by cash payments.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restructuring charges by type (including asset related charges) and by segment (and corporate and other) for following periods: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640" w:type="dxa"/>
            <w:vAlign w:val="bottom"/>
          </w:tcPr>
          <w:p>
            <w:pPr>
              <w:spacing w:after="0"/>
              <w:rPr>
                <w:sz w:val="19"/>
                <w:szCs w:val="19"/>
                <w:color w:val="auto"/>
              </w:rPr>
            </w:pPr>
          </w:p>
        </w:tc>
        <w:tc>
          <w:tcPr>
            <w:tcW w:w="27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2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Exit Charges</w:t>
            </w:r>
          </w:p>
        </w:tc>
        <w:tc>
          <w:tcPr>
            <w:tcW w:w="1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Inventory Charges</w:t>
            </w:r>
            <w:r>
              <w:rPr>
                <w:rFonts w:ascii="Times New Roman" w:cs="Times New Roman" w:eastAsia="Times New Roman" w:hAnsi="Times New Roman"/>
                <w:sz w:val="22"/>
                <w:szCs w:val="22"/>
                <w:color w:val="auto"/>
                <w:vertAlign w:val="superscript"/>
              </w:rPr>
              <w:t>(a)</w:t>
            </w:r>
          </w:p>
        </w:tc>
        <w:tc>
          <w:tcPr>
            <w:tcW w:w="1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2"/>
                <w:szCs w:val="22"/>
                <w:color w:val="auto"/>
                <w:vertAlign w:val="superscript"/>
              </w:rPr>
              <w:t>(a)</w:t>
            </w:r>
          </w:p>
        </w:tc>
        <w:tc>
          <w:tcPr>
            <w:tcW w:w="1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 and Other Assets</w:t>
            </w:r>
            <w:r>
              <w:rPr>
                <w:rFonts w:ascii="Times New Roman" w:cs="Times New Roman" w:eastAsia="Times New Roman" w:hAnsi="Times New Roman"/>
                <w:sz w:val="22"/>
                <w:szCs w:val="22"/>
                <w:color w:val="auto"/>
                <w:vertAlign w:val="superscript"/>
              </w:rPr>
              <w:t>(a)</w:t>
            </w:r>
          </w:p>
        </w:tc>
        <w:tc>
          <w:tcPr>
            <w:tcW w:w="1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1200" w:hanging="161"/>
        <w:spacing w:after="0"/>
        <w:tabs>
          <w:tab w:leader="none" w:pos="120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Asset write-downs included in restructuring charges.</w:t>
      </w:r>
    </w:p>
    <w:p>
      <w:pPr>
        <w:spacing w:after="0" w:line="336" w:lineRule="exact"/>
        <w:rPr>
          <w:sz w:val="20"/>
          <w:szCs w:val="20"/>
          <w:color w:val="auto"/>
        </w:rPr>
      </w:pPr>
    </w:p>
    <w:tbl>
      <w:tblPr>
        <w:tblLayout w:type="fixed"/>
        <w:tblInd w:w="110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1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4"/>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6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 Inventories,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Inventories, net of reserves of $129 million and $159 million as of December 31, 2022 and December 31, 2021, respectively, by category were as follows:</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9"/>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5"/>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7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6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7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inventory reserves includes the inventory charges below, primarily offset by the disposal of inventory previously reserved.</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Inventory charges were recognized in the following captions on our Consolidated Statements of Operations:</w:t>
      </w:r>
    </w:p>
    <w:p>
      <w:pPr>
        <w:spacing w:after="0" w:line="281" w:lineRule="exact"/>
        <w:rPr>
          <w:sz w:val="20"/>
          <w:szCs w:val="20"/>
          <w:color w:val="auto"/>
        </w:rPr>
      </w:pPr>
    </w:p>
    <w:tbl>
      <w:tblPr>
        <w:tblLayout w:type="fixed"/>
        <w:tblInd w:w="960" w:type="dxa"/>
        <w:tblCellMar>
          <w:top w:w="0" w:type="dxa"/>
          <w:left w:w="0" w:type="dxa"/>
          <w:bottom w:w="0" w:type="dxa"/>
          <w:right w:w="0" w:type="dxa"/>
        </w:tblCellMar>
      </w:tblPr>
      <w:tr>
        <w:trPr>
          <w:trHeight w:val="22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260" w:type="dxa"/>
            <w:vAlign w:val="bottom"/>
          </w:tcPr>
          <w:p>
            <w:pPr>
              <w:spacing w:after="0"/>
              <w:rPr>
                <w:sz w:val="19"/>
                <w:szCs w:val="19"/>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Charges in “Cost of Products”</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Charges in “Restructuring Charges”</w:t>
            </w:r>
          </w:p>
        </w:tc>
        <w:tc>
          <w:tcPr>
            <w:tcW w:w="1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Charges in “Other Charges (Credits)”</w:t>
            </w:r>
          </w:p>
        </w:tc>
        <w:tc>
          <w:tcPr>
            <w:tcW w:w="1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8"/>
        </w:trPr>
        <w:tc>
          <w:tcPr>
            <w:tcW w:w="4380" w:type="dxa"/>
            <w:vAlign w:val="bottom"/>
            <w:tcBorders>
              <w:bottom w:val="single" w:sz="8" w:color="auto"/>
            </w:tcBorders>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Total Inventory Charges </w:t>
            </w:r>
            <w:r>
              <w:rPr>
                <w:rFonts w:ascii="Times New Roman" w:cs="Times New Roman" w:eastAsia="Times New Roman" w:hAnsi="Times New Roman"/>
                <w:sz w:val="22"/>
                <w:szCs w:val="22"/>
                <w:color w:val="auto"/>
                <w:vertAlign w:val="superscript"/>
              </w:rPr>
              <w:t>(a)</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040" w:hanging="239"/>
        <w:spacing w:after="0"/>
        <w:tabs>
          <w:tab w:leader="none" w:pos="104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 xml:space="preserve">Inventory charges in 2020 </w:t>
      </w:r>
      <w:r>
        <w:rPr>
          <w:rFonts w:ascii="Times New Roman" w:cs="Times New Roman" w:eastAsia="Times New Roman" w:hAnsi="Times New Roman"/>
          <w:sz w:val="17"/>
          <w:szCs w:val="17"/>
          <w:color w:val="auto"/>
        </w:rPr>
        <w:t>were additionally driven by the impact of the COVID-19 pandemic.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 Property, Plant and Equipment, Net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0"/>
        </w:trPr>
        <w:tc>
          <w:tcPr>
            <w:tcW w:w="280" w:type="dxa"/>
            <w:vAlign w:val="bottom"/>
          </w:tcPr>
          <w:p>
            <w:pPr>
              <w:spacing w:after="0"/>
              <w:rPr>
                <w:sz w:val="24"/>
                <w:szCs w:val="24"/>
                <w:color w:val="auto"/>
              </w:rPr>
            </w:pPr>
          </w:p>
        </w:tc>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was composed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3"/>
        </w:trPr>
        <w:tc>
          <w:tcPr>
            <w:tcW w:w="2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19"/>
        </w:trPr>
        <w:tc>
          <w:tcPr>
            <w:tcW w:w="280" w:type="dxa"/>
            <w:vAlign w:val="bottom"/>
          </w:tcPr>
          <w:p>
            <w:pPr>
              <w:spacing w:after="0"/>
              <w:rPr>
                <w:sz w:val="19"/>
                <w:szCs w:val="19"/>
                <w:color w:val="auto"/>
              </w:rPr>
            </w:pPr>
          </w:p>
        </w:tc>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28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5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5"/>
        </w:trPr>
        <w:tc>
          <w:tcPr>
            <w:tcW w:w="2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5"/>
        </w:trPr>
        <w:tc>
          <w:tcPr>
            <w:tcW w:w="28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9"/>
        </w:trPr>
        <w:tc>
          <w:tcPr>
            <w:tcW w:w="2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5"/>
        </w:trPr>
        <w:tc>
          <w:tcPr>
            <w:tcW w:w="28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18"/>
        </w:trPr>
        <w:tc>
          <w:tcPr>
            <w:tcW w:w="280" w:type="dxa"/>
            <w:vAlign w:val="bottom"/>
          </w:tcPr>
          <w:p>
            <w:pPr>
              <w:spacing w:after="0"/>
              <w:rPr>
                <w:sz w:val="19"/>
                <w:szCs w:val="19"/>
                <w:color w:val="auto"/>
              </w:rPr>
            </w:pPr>
          </w:p>
        </w:tc>
        <w:tc>
          <w:tcPr>
            <w:tcW w:w="7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280" w:type="dxa"/>
            <w:vAlign w:val="bottom"/>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Depreciation expense was $194 million, $284 million and $340 million in 2022, 2021 and 2020. See discussion at “Note 4 – Goodwill and Long-Lived Assets Impairment” for impairment recognized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 Intangible Assets, Net</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6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160" w:type="dxa"/>
            <w:vAlign w:val="bottom"/>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Intangible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360" w:type="dxa"/>
            <w:vAlign w:val="bottom"/>
            <w:tcBorders>
              <w:bottom w:val="single" w:sz="8" w:color="auto"/>
            </w:tcBorders>
            <w:gridSpan w:val="2"/>
            <w:vMerge w:val="continue"/>
          </w:tcPr>
          <w:p>
            <w:pPr>
              <w:spacing w:after="0"/>
              <w:rPr>
                <w:sz w:val="20"/>
                <w:szCs w:val="20"/>
                <w:color w:val="auto"/>
              </w:rPr>
            </w:pPr>
          </w:p>
        </w:tc>
        <w:tc>
          <w:tcPr>
            <w:tcW w:w="116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4"/>
        </w:trPr>
        <w:tc>
          <w:tcPr>
            <w:tcW w:w="320" w:type="dxa"/>
            <w:vAlign w:val="bottom"/>
          </w:tcPr>
          <w:p>
            <w:pPr>
              <w:spacing w:after="0"/>
              <w:rPr>
                <w:sz w:val="20"/>
                <w:szCs w:val="20"/>
                <w:color w:val="auto"/>
              </w:rPr>
            </w:pPr>
          </w:p>
        </w:tc>
        <w:tc>
          <w:tcPr>
            <w:tcW w:w="6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6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160" w:type="dxa"/>
            <w:vAlign w:val="bottom"/>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Intangible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16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6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Amortization expense was $155 million, $156 million and $163 million in 2022, 2021, and 2020, respectively. Based on the carrying value of intangible assets at December 31, 2022, amortization expense for the subsequent five years is estimated as follows (dollars in millions):</w:t>
      </w:r>
    </w:p>
    <w:p>
      <w:pPr>
        <w:spacing w:after="0" w:line="82" w:lineRule="exact"/>
        <w:rPr>
          <w:sz w:val="20"/>
          <w:szCs w:val="20"/>
          <w:color w:val="auto"/>
        </w:rPr>
      </w:pPr>
    </w:p>
    <w:tbl>
      <w:tblPr>
        <w:tblLayout w:type="fixed"/>
        <w:tblInd w:w="2620" w:type="dxa"/>
        <w:tblCellMar>
          <w:top w:w="0" w:type="dxa"/>
          <w:left w:w="0" w:type="dxa"/>
          <w:bottom w:w="0" w:type="dxa"/>
          <w:right w:w="0" w:type="dxa"/>
        </w:tblCellMar>
      </w:tblPr>
      <w:tr>
        <w:trPr>
          <w:trHeight w:val="232"/>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Weatherford International plc – 2022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9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1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9 – Leases</w:t>
            </w: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our lease expense components: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Expense Components: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 of Operating Lease Expense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4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color w:val="auto"/>
              </w:rPr>
              <w:t>Finance Lease Expense: Amortization of Assets and Interest on</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Lease Expense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commitments under operating and finance leases are as follows: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20" w:type="dxa"/>
            <w:vAlign w:val="bottom"/>
          </w:tcPr>
          <w:p>
            <w:pPr>
              <w:spacing w:after="0"/>
              <w:rPr>
                <w:sz w:val="24"/>
                <w:szCs w:val="24"/>
                <w:color w:val="auto"/>
              </w:rPr>
            </w:pPr>
          </w:p>
        </w:tc>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5860" w:type="dxa"/>
            <w:vAlign w:val="bottom"/>
            <w:tcBorders>
              <w:bottom w:val="single" w:sz="8" w:color="auto"/>
            </w:tcBorders>
            <w:gridSpan w:val="3"/>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Maturity of Lease Liabilities as of December 31, 2022:</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After 2027</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5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43"/>
        </w:trPr>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8"/>
        </w:trPr>
        <w:tc>
          <w:tcPr>
            <w:tcW w:w="860" w:type="dxa"/>
            <w:vAlign w:val="bottom"/>
          </w:tcPr>
          <w:p>
            <w:pPr>
              <w:spacing w:after="0"/>
              <w:rPr>
                <w:sz w:val="19"/>
                <w:szCs w:val="19"/>
                <w:color w:val="auto"/>
              </w:rPr>
            </w:pPr>
          </w:p>
        </w:tc>
        <w:tc>
          <w:tcPr>
            <w:tcW w:w="4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 except years and percentages)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12/31/2020</w:t>
            </w:r>
          </w:p>
        </w:tc>
      </w:tr>
      <w:tr>
        <w:trPr>
          <w:trHeight w:val="218"/>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2"/>
        </w:trPr>
        <w:tc>
          <w:tcPr>
            <w:tcW w:w="860" w:type="dxa"/>
            <w:vAlign w:val="bottom"/>
          </w:tcPr>
          <w:p>
            <w:pPr>
              <w:spacing w:after="0"/>
              <w:rPr>
                <w:sz w:val="14"/>
                <w:szCs w:val="14"/>
                <w:color w:val="auto"/>
              </w:rPr>
            </w:pPr>
          </w:p>
        </w:tc>
        <w:tc>
          <w:tcPr>
            <w:tcW w:w="49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8"/>
        </w:trPr>
        <w:tc>
          <w:tcPr>
            <w:tcW w:w="860" w:type="dxa"/>
            <w:vAlign w:val="bottom"/>
          </w:tcPr>
          <w:p>
            <w:pPr>
              <w:spacing w:after="0"/>
              <w:rPr>
                <w:sz w:val="20"/>
                <w:szCs w:val="20"/>
                <w:color w:val="auto"/>
              </w:rPr>
            </w:pP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35"/>
        </w:trPr>
        <w:tc>
          <w:tcPr>
            <w:tcW w:w="86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(percentages)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1"/>
        </w:trPr>
        <w:tc>
          <w:tcPr>
            <w:tcW w:w="86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3" w:name="page64"/>
    <w:bookmarkEnd w:id="6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Borrowings and Other Debt Obligations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debt carrying values consisted of the following:</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1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6.5% Senior Secured Notes due 2028 “2028 Senior Secured Notes”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11.00% Exit Notes due 2024 “Exit Notes”</w:t>
            </w:r>
          </w:p>
        </w:tc>
        <w:tc>
          <w:tcPr>
            <w:tcW w:w="38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Portion</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7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1,586</w:t>
            </w:r>
          </w:p>
        </w:tc>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5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 “2028 Senior Secured Notes”</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471</w:t>
            </w: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11.00% Exit Notes due 2024 “Exit Notes”</w:t>
            </w:r>
          </w:p>
        </w:tc>
        <w:tc>
          <w:tcPr>
            <w:tcW w:w="38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5"/>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Long-term Portion</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2,203</w:t>
            </w: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w:t>
      </w:r>
    </w:p>
    <w:p>
      <w:pPr>
        <w:spacing w:after="0" w:line="204"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pacing w:after="0" w:line="204" w:lineRule="exact"/>
        <w:rPr>
          <w:sz w:val="20"/>
          <w:szCs w:val="20"/>
          <w:color w:val="auto"/>
        </w:rPr>
      </w:pPr>
    </w:p>
    <w:p>
      <w:pPr>
        <w:jc w:val="both"/>
        <w:ind w:right="100" w:firstLine="318"/>
        <w:spacing w:after="0" w:line="244" w:lineRule="auto"/>
        <w:rPr>
          <w:sz w:val="20"/>
          <w:szCs w:val="20"/>
          <w:color w:val="auto"/>
        </w:rPr>
      </w:pPr>
      <w:r>
        <w:rPr>
          <w:rFonts w:ascii="Times New Roman" w:cs="Times New Roman" w:eastAsia="Times New Roman" w:hAnsi="Times New Roman"/>
          <w:sz w:val="18"/>
          <w:szCs w:val="18"/>
          <w:color w:val="auto"/>
        </w:rPr>
        <w:t>The bond redemption premiums and noncash loss on extinguishment of debt related to the unamortized debt issuance costs described in the following paragraphs are presented as “Loss on Extinguishment of Debt and Bond Redemption Premium” on the Consolidated Statements of Operations. Additionally, debt issuance costs described in the following paragraphs reduce the carrying amount of the debt liability and are recognized using the effective interest rate method over the term of the debt in “Interest Expense, Net” on our Consolidated Financial Statements.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Exit Notes</w:t>
      </w:r>
    </w:p>
    <w:p>
      <w:pPr>
        <w:spacing w:after="0" w:line="23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On December 13, 2019, we issued unsecured 11.00% Exit Notes due in 2024 for an aggregate principal amount of $2.1 billion. Interest on the Exit Notes accrues at the rate of 11.00% per annum and is payable semiannually on June 1 and December 1 and commenced June 1, 2020. Proceeds from the issuance were reduced by debt issuance costs.</w:t>
      </w:r>
    </w:p>
    <w:p>
      <w:pPr>
        <w:spacing w:after="0" w:line="204"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On October 20, 2021, we redeemed $200 million in principal amount and paid related accrued interest of $8 million along with a bond redemption premium of $6 million. On October 27, 2021, we redeemed $1.6 billion in principal and paid related accrued interest of $71 million along with a bond redemption premium of $103 million and recognized a $2 million noncash loss on extinguishment of debt related to the unamortized debt issuance costs. This redemption used net proceeds from our issuance of $1.6 billion of 2030 Senior Notes (defined below) and cash on hand.</w:t>
      </w:r>
    </w:p>
    <w:p>
      <w:pPr>
        <w:spacing w:after="0" w:line="207"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On August 10, 2022 and November 17, 2022, we redeemed $50 million and $125 million, respectively, in principal amount and paid the related accrued interest along with a bond redemption premium of $5 million. During the fourth quarter of 2022, we elected to redeem an additional $20 million and present this amount as “Short-term Borrowings and Current Portion of Long-term Debt” on the Consolidated Financial Statements as of December 31, 2022. At December 31, 2022, the carrying value of $125 million represents the total remaining unpaid principal. Subsequent to year-end, in January 2023, we redeemed the $20 million in principal in short-term and paid related accrued interest along with a bond redemption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Weatherford International plc – 2022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64" w:name="page65"/>
    <w:bookmarkEnd w:id="6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2024 Senior Secured Notes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August 28, 2020, we entered into an indenture and issued the 8.75% Senior Secured Notes for an aggregate principal amount of $500 million maturing September 1, 2024 (the “2024 Senior Secured Notes”). Interest accrued at the rate of 8.75% per annum and was payable semiannually on March 1 and September 1, and commenced March 1, 2021. Proceeds from the issuance were reduced by debt issuance costs, and include a purchase commitment discount of $25 million and a commitment fee of $15 million.</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September 30, 2021, we repaid the principal amount outstanding on our 2024 Senior Secured Notes and accrued interest with proceeds from the issuance of the 2028 Senior Secured Notes described below and cash on hand. In addition, we paid and recognized a $22 million bond redemption premium and recognized a $37 million noncash loss on extinguishment of debt related to the unamortized debt issuance costs and discount.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30, 2021, we issued 6.5% Senior Secured Notes in aggregate principal amount of $500 million maturing September 15, 2028 (the “2028 Senior Secured Notes”). Interest accrues at the rate of 6.5% per annum and is payable semiannually on September 15 and March 15 of each year, and commenced March 15, 2022. Proceeds from the issuance were reduced by debt issuance costs. The 2028 Senior Secured Notes and the related guarantees are secured by substantially all of the assets and properties of the Company and the other guarantors (on an effectively first-priority basis with respect to the priority collateral for the 2028 Senior Secured Notes, and on an effectively second-priority basis with respect to the priority collateral for the senior secured letter of credit agreement (now the “Credit Agreement”), in each case, subject to permitted liens).</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fourth quarter of 2022, we elected to repurchase $8 million in principal amount of our 2028 Senior Secured Notes. Subsequent to year-end, in January 2023, we repurchased an additional $11 million in principal amount of our 2028 Senior Secured Notes.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October 27, 2021, we issued 8.625% Senior Notes in aggregate principal amount of $1.6 billion maturing April 30, 2030 (the “2030 Senior Notes”).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accrues at the rate of 8.625% per annum and is payable semiannually on June 1 and December 1 of each year, and commenced June 1, 2022.</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December 1, 2022, we modified our 2030 Senior Notes, as described earlier.</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had a senior secured letter of credit agreement dated as of December 13, 2019 (the “LC Agreement’) in an aggregate amount of $215 million maturing on May 29, 2024, which is used by the Company and certain of its subsidiaries for the issuance of bid and performance letters of credit.</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17, 2022, we amended our LC Agreement (as amended and restated, the “Credit Agreement”) to assign the administrative agent role to Wells Fargo Bank National Association and to provide for a $370 million revolving credit agreement, comprised of $280 million for bid and performance letters of credit, and $90 million for revolving loans and bid, performance and financial letters of credit. The current revolving loan capacity is $45 million.</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maturity date under the Credit Agreement is October 17, 2026 provided, that if more than $50 million of our Exit Notes are outstanding on such date, the maturity date will be August 30, 2024. The Credit Agreement also has (i) a minimum liquidity covenant of $250 million, (ii) a minimum interest coverage ratio of 2.00 to 1.00 for the testing period ended September 30, 2022 and 2.50 to 1.00 for each testing period thereafter and (iii) a maximum ratio of funded debt (net of unrestricted cash in excess of $400 million) to consolidated adjusted EBITDA of 4.00 to 1.00 for each testing period ending prior to June 30, 2023 and 3.50 to 1.00 for each testing period thereafter. The obligations under the Credit Agreement, as with our prior LC Agreement, are guaranteed by the Company and certain of our subsidiaries and secured by substantially all of the personal property of the Company and these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5" w:name="page66"/>
    <w:bookmarkEnd w:id="6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63"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On November 22, 2022, we amended our Credit Agreement to include (i) Weatherford Canada Ltd. as a borrower, and (ii) increased the total commitment to $400 million. On January 6, 2023, we further amended the Credit Agreement to clarify certain definitions related to fees associated with certain letters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The material terms of the Credit Agreement are otherwise unchanged.</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December 31, 2022, we had approximately $195 million in outstanding letters of credit under the Credit Agreement and availability of $160 million.</w:t>
      </w:r>
    </w:p>
    <w:p>
      <w:pPr>
        <w:spacing w:after="0" w:line="25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As of December 31, 2022, we had $395 million of letters of credit outstanding, consisting of the $195 million mentioned above under the Credit Agreement and another $200 million under various uncommitted bi-lateral facilities (of which there was $199 million in cash collateral held and recorded in “Restricted Cash” on the Consolidated Balance Sheets).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ABL Credit Agreement</w:t>
      </w:r>
    </w:p>
    <w:p>
      <w:pPr>
        <w:spacing w:after="0" w:line="24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the Effective Date, the Company entered into a senior secured asset-based lending agreement (the “ABL Credit Agreement”) in an aggregate amount of $450 million with the lenders party thereto and Wells Fargo Bank, N.A. as administrative agent. On August 28, 2020, we terminated the ABL Credit Agreement and recorded $15 million of unamortized deferred debt issuance costs in “Loss on Termination of ABL Credit Agreement” on our Consolidated Statements of Operations.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Covenants for the Exit Notes, 2028 Senior Secured Notes, 2030 Senior Notes and Credit Agreement</w:t>
      </w:r>
    </w:p>
    <w:p>
      <w:pPr>
        <w:spacing w:after="0" w:line="232"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The indentures governing the Exit Notes, 2028 Senior Secured Notes and 2030 Senior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$250 million minimum liquidity covenant and minimum interest coverage ratio and maximum ratio of funded debt as noted above under our latest amended Credit Agreement as defined in the applicable documents.</w:t>
      </w:r>
    </w:p>
    <w:p>
      <w:pPr>
        <w:spacing w:after="0" w:line="2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event (1) the Exit Notes have an investment grade rating from both of Moody’s Investors Service (“Moody’s”), and Standard and Poor’s (“S&amp;P’) and (2) no default has occurred and is continuing under the indenture, certain of these and other covenants will be suspended and cease to be in effect so long as the rating assigned by either Moody’s or S&amp;P has not subsequently declined to below Baa3 or BBB- (or equivalent).</w:t>
      </w:r>
    </w:p>
    <w:p>
      <w:pPr>
        <w:spacing w:after="0" w:line="19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indentures also provide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Exit Notes and 2028 Senior Secured Notes to be declared due and payable immediately.</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scheduled debt maturities by year:</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p>
      <w:pPr>
        <w:spacing w:after="0" w:line="28" w:lineRule="exact"/>
        <w:rPr>
          <w:sz w:val="20"/>
          <w:szCs w:val="20"/>
          <w:color w:val="auto"/>
        </w:rPr>
      </w:pPr>
    </w:p>
    <w:tbl>
      <w:tblPr>
        <w:tblLayout w:type="fixed"/>
        <w:tblInd w:w="1100" w:type="dxa"/>
        <w:tblCellMar>
          <w:top w:w="0" w:type="dxa"/>
          <w:left w:w="0" w:type="dxa"/>
          <w:bottom w:w="0" w:type="dxa"/>
          <w:right w:w="0" w:type="dxa"/>
        </w:tblCellMar>
      </w:tblP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60" w:type="dxa"/>
            <w:vAlign w:val="bottom"/>
            <w:tcBorders>
              <w:top w:val="single" w:sz="8" w:color="auto"/>
            </w:tcBorders>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8"/>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Maturities</w:t>
            </w:r>
          </w:p>
        </w:tc>
        <w:tc>
          <w:tcPr>
            <w:tcW w:w="2860" w:type="dxa"/>
            <w:vAlign w:val="bottom"/>
            <w:tcBorders>
              <w:bottom w:val="single" w:sz="8" w:color="auto"/>
            </w:tcBorders>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1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and Discount</w:t>
            </w:r>
          </w:p>
        </w:tc>
        <w:tc>
          <w:tcPr>
            <w:tcW w:w="286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860" w:type="dxa"/>
            <w:vAlign w:val="bottom"/>
            <w:tcBorders>
              <w:bottom w:val="single" w:sz="8" w:color="auto"/>
            </w:tcBorders>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6" w:name="page67"/>
    <w:bookmarkEnd w:id="6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Fair Value of Financial Instruments, Assets and Other Assets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The fair values of our derivative instruments (see “Note 12 – Derivative Instruments”) and warrants (see “Note 16 – Shareholders’ Equity”), are both Level 2 valuations.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other financial instruments include cash and cash equivalents, accounts receivable, accounts payable, short-term borrowings and long-term debt. The carrying values of these financial instruments (excluding long-term debt) approximate their fair value due to their short maturities.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current market interest rate is greater than the interest rate at which the debt was originally issued. The fair value of our long-term debt (excluding Finance Leases) in the following table is classified as Level 2 in the fair value hierarchy and is established based on observable inputs in less active markets.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21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11.00% Exit Notes due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5"/>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1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3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discussion at “Note 4 – Goodwill and Long-Lived Assets Impairment” and “Note 6 – Inventories, Net”.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Derivative Instruments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enter into contracts to hedge our exposure to currency fluctuations in various foreign currencies. At December 31, 2022 and December 31, 2021, we had outstanding foreign currency forward contracts with notional amounts aggregating to $147 million and $349 million, respectively.</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changes in fair value of the contracts are recorded in each period in “Other Expense, Net”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7" w:name="page68"/>
    <w:bookmarkEnd w:id="6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Retirement and Employee Benefit Plans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defined contribution plans covering certain employees. Contribution expenses related to these plans totaled $18 million, $16 million and $13 million for the years ended December 31, 2022, 2021 and 2020, respectively.</w:t>
      </w:r>
    </w:p>
    <w:p>
      <w:pPr>
        <w:spacing w:after="0" w:line="19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7"/>
          <w:szCs w:val="17"/>
          <w:color w:val="auto"/>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$4 million, $4 million, and $2 million for the years ended December 31, 2022, 2021 and 2020, respectively. The projected benefit obligations on a consolidated basis were $121 million and $207 million as of December 31, 2022 and December 31, 2021, respectively. The decrease year over year is due primarily to actuarial gains as a result of increased discount rates. The fair values of plan assets on a consolidated basis (determined primarily using Level 2 inputs) were $97 million and $160 million as of December 31, 2022 and December 31, 2021, respectively. The decrease year over year is due primarily to investment losses. As of December 31, 2022, the net underfunded obligation consisted of $15 million of funded obligations recorded to “Other Non-current Assets” and $39 million of underfunded obligations substantially all recorded to “Other Non-current Liabilities” on our Consolidated Balance Sheets. As of December 31, 2021, the net underfunded obligation consisted of $16 million of funded obligations recorded to “Other Non-current Assets” and $63 million of underfunded obligations substantially all recorded to “Other Non-current Liabilities” on our Consolidated Balance Sheets. Additionally, the consolidated pre-tax amount in accumulated other comprehensive income (loss) as of December 31, 2022 and 2021, that has not yet been recognized as a component of net periodic benefit cost was a net gain of $19 million and net gain of $1 million, respectively. As mentioned above, increased discount rates were the primary driver of the overall gain in 2022.</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 average assumption rates used for benefit obligations were as follows:</w:t>
            </w:r>
          </w:p>
        </w:tc>
        <w:tc>
          <w:tcPr>
            <w:tcW w:w="19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3"/>
        </w:trPr>
        <w:tc>
          <w:tcPr>
            <w:tcW w:w="5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38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8"/>
        </w:trPr>
        <w:tc>
          <w:tcPr>
            <w:tcW w:w="580" w:type="dxa"/>
            <w:vAlign w:val="bottom"/>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Plans</w:t>
            </w:r>
          </w:p>
        </w:tc>
        <w:tc>
          <w:tcPr>
            <w:tcW w:w="19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4.75% - 5.00%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- 2.75%</w:t>
            </w: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Plans</w:t>
            </w:r>
          </w:p>
        </w:tc>
        <w:tc>
          <w:tcPr>
            <w:tcW w:w="19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2.84% - 13.62%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- 8.47%</w:t>
            </w: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Plans</w:t>
            </w:r>
          </w:p>
        </w:tc>
        <w:tc>
          <w:tcPr>
            <w:tcW w:w="1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Plans</w:t>
            </w:r>
          </w:p>
        </w:tc>
        <w:tc>
          <w:tcPr>
            <w:tcW w:w="19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2.00% - 7.22%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- 4.77%</w:t>
            </w:r>
          </w:p>
        </w:tc>
      </w:tr>
    </w:tbl>
    <w:p>
      <w:pPr>
        <w:spacing w:after="0" w:line="30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each of the years ended December 31, 2022, 2021 and 2020, we made contributions and paid direct benefits of $5 million in connection with our defined benefit pension and other post-retirement benefit plans. In 2023, we expect to fund approximately $5 million related to those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8" w:name="page69"/>
    <w:bookmarkEnd w:id="6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Disputes, Litigation and Legal Contingencies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Accrued litigation and settlements recorded in “Other Current Liabilities” on the accompanying Consolidated Balance Sheets as of December 31, 2022 and December 31, 2021 were $41 million and $40 million, respectively.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GAMCO Shareholder Litigation</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awaiting a decision.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9" w:name="page70"/>
    <w:bookmarkEnd w:id="6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Share-Based Compensation</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Plan</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Weatherford International plc Third Amended and Restated 2019 Equity Incentive Plan, (“2019 Equity Plan”) authorizes the issuance of 8.6 million shares of common stock by the Compensation and Human Resources Committee of our Board of Directors in the form of options, share appreciation rights, restricted share awards, restricted share units (“RSUs”), performance-based restricted share units (“PSUs”), Phantom restricted share units (“Phantom RSUs”) and other share-based and performance-based awards to any employee, consultant, or non-employee director (“Grantees”). The provisions of each award vary based on the type of award granted. Awards made under the 2019 Equity Plan vest and settle in shares of newly issued common stock or cash. As of December 31, 2022, there were 3.3 million shares available for future grants.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4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Share-based compensation expense was $25 million each for the years ended December 31, 2022 and 2021 and immaterial for 2020. Due to valuation allowances in the taxing jurisdictions of our Grantees, there is no related tax impact for each of the periods presented.</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granted RSUs, PSUs, and Phantom RSUs under the 2019 Equity Plan. All awards require continued employment and generally vest over a one to three year vesting period. The Grantees do not have the rights of a shareholder under these awards until such date as the shares are issued.</w:t>
      </w:r>
    </w:p>
    <w:p>
      <w:pPr>
        <w:spacing w:after="0" w:line="19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RSUs vest based on continued employment. The fair value of RSUs is determined based on the closing price of our shares on the date of grant. The total fair value, less forfeitures, is expensed over the vesting period. The weighted-average grant date fair value per unit (“WAGD FV”) of RSUs granted during 2022, 2021 and 2020 was $30.90, $6.54 and $3.37, respectively. The fair value of RSUs vested during 2022, 2021 and 2020 was $18 million, $2 million and immaterial, respectively. Cash used to settle RSUs in 2022 was $2 million. Cash was not used for 2021 or 2020. As of December 31, 2022, there was $12 million of unrecognized compensation expense related to RSUs, which is expected to be recognized over a weighted-average period of two years.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PSUs vest based on continued employment and achievement of an established target. The actual number of PSU’s earned is subject to increase or decrease based on the performance goal multiplier and may range from 0% to 200%. The total fair value, less forfeitures, is expensed over the vesting period. Fair value of PSU’s depends on whether the established target is a performance or market condition.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PSUs subject to performance conditions defined solely by reference to the Company’s own operations is determined based on the closing price of our shares on the date of grant. Compensation cost is recognized only when the Company concludes it is probable the performance condition will be achieved and can increase, or decrease based on fluctuations in the Company’s forecasts.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0" w:name="page71"/>
    <w:bookmarkEnd w:id="7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PSUs subject to the market performance of the Company’s shares is determined by utilizing an advanced option-pricing model. All compensation cost is recognized if the employment condition is fulfilled even if the market condition is never satisfied, as the likelihood of achieving the market condition is incorporated into the fair value of the award. The weighted average of assumptions used in the models were as follows:</w:t>
      </w:r>
    </w:p>
    <w:p>
      <w:pPr>
        <w:spacing w:after="0" w:line="242" w:lineRule="exact"/>
        <w:rPr>
          <w:sz w:val="20"/>
          <w:szCs w:val="20"/>
          <w:color w:val="auto"/>
        </w:rPr>
      </w:pPr>
    </w:p>
    <w:tbl>
      <w:tblPr>
        <w:tblLayout w:type="fixed"/>
        <w:tblInd w:w="2780" w:type="dxa"/>
        <w:tblCellMar>
          <w:top w:w="0" w:type="dxa"/>
          <w:left w:w="0" w:type="dxa"/>
          <w:bottom w:w="0" w:type="dxa"/>
          <w:right w:w="0" w:type="dxa"/>
        </w:tblCellMar>
      </w:tblPr>
      <w:tr>
        <w:trPr>
          <w:trHeight w:val="225"/>
        </w:trPr>
        <w:tc>
          <w:tcPr>
            <w:tcW w:w="2180" w:type="dxa"/>
            <w:vAlign w:val="bottom"/>
          </w:tcPr>
          <w:p>
            <w:pPr>
              <w:spacing w:after="0"/>
              <w:rPr>
                <w:sz w:val="19"/>
                <w:szCs w:val="19"/>
                <w:color w:val="auto"/>
              </w:rPr>
            </w:pPr>
          </w:p>
        </w:tc>
        <w:tc>
          <w:tcPr>
            <w:tcW w:w="320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9"/>
                <w:szCs w:val="19"/>
                <w:color w:val="auto"/>
              </w:rPr>
            </w:pPr>
          </w:p>
        </w:tc>
      </w:tr>
      <w:tr>
        <w:trPr>
          <w:trHeight w:val="232"/>
        </w:trPr>
        <w:tc>
          <w:tcPr>
            <w:tcW w:w="2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13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0"/>
              </w:rPr>
              <w:t>n/a</w:t>
            </w:r>
          </w:p>
        </w:tc>
      </w:tr>
      <w:tr>
        <w:trPr>
          <w:trHeight w:val="22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0"/>
              </w:rPr>
              <w:t>n/a</w:t>
            </w:r>
          </w:p>
        </w:tc>
      </w:tr>
      <w:tr>
        <w:trPr>
          <w:trHeight w:val="225"/>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0"/>
              </w:rPr>
              <w:t>n/a</w:t>
            </w:r>
          </w:p>
        </w:tc>
      </w:tr>
      <w:tr>
        <w:trPr>
          <w:trHeight w:val="22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0"/>
              </w:rPr>
              <w:t>n/a</w:t>
            </w:r>
          </w:p>
        </w:tc>
      </w:tr>
    </w:tbl>
    <w:p>
      <w:pPr>
        <w:spacing w:after="0" w:line="313"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risk-free rate is obtained as of the grant date with terms matching the performance period. The dividend yield is based on historical dividend payments and expectations of management. The expected volatility is based on comparable companies’ volatility, and the expected life in years is based on the performance measurement period.</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WAGD FV per unit of PSUs granted during 2022, 2021 and 2020 was $23.14, $12.62 and $2.46, respectively. The fair value of PSUs vested during 2021 was $2 million and nil for 2020 and 2022. As of December 31, 2022, there was $19 million of unrecognized compensation expense related to PSUs, which is expected to be recognized over a weighted-average period of two years.</w:t>
      </w:r>
    </w:p>
    <w:p>
      <w:pPr>
        <w:spacing w:after="0" w:line="191"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Phantom RSUs were only granted in 2021. Phantom RSUs vest, based on continued employment, over two years and can be settled in either cash or shares. The Company intends to settle all Phantom RSUs in cash, therefore they are recorded as a liability and remeasured based on current market value over the vesting period until settlement. Cash payout is calculated using the volume weighted price of the Company’s shares averaged for the 30 trading days immediately preceding the applicable vesting date, and was capped at certain predetermined amounts. During 2021, Phantoms RSUs were granted with a WAGD FV of $6.38 and the liability as of December 31, 2021 was $14 million, which was settled in cash in 2022. As of December 31, 2022, there was an immaterial amount of unrecognized compensation expense related to Phantom RSUs, due to achievement of the predetermined capped amounts in year one, which is expected to be settled in cash in 2023.</w:t>
      </w:r>
    </w:p>
    <w:p>
      <w:pPr>
        <w:spacing w:after="0" w:line="21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 summary of activity for non-vested RSUs, PSUs, and Phantom RSUs outstanding (units in thousands) and their respective WAGD FV during 2022 is presented below. The table reflects the performance multiplier for PSUs at 100%.</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RSU</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WAGD</w:t>
            </w: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PSU</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WAGD</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Phantom RSU</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WAGD</w:t>
            </w: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FV</w:t>
            </w:r>
          </w:p>
        </w:tc>
        <w:tc>
          <w:tcPr>
            <w:tcW w:w="980" w:type="dxa"/>
            <w:vAlign w:val="bottom"/>
            <w:vMerge w:val="continue"/>
          </w:tcPr>
          <w:p>
            <w:pPr>
              <w:spacing w:after="0"/>
              <w:rPr>
                <w:sz w:val="20"/>
                <w:szCs w:val="20"/>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FV</w:t>
            </w:r>
          </w:p>
        </w:tc>
        <w:tc>
          <w:tcPr>
            <w:tcW w:w="1380" w:type="dxa"/>
            <w:vAlign w:val="bottom"/>
            <w:vMerge w:val="continue"/>
          </w:tcPr>
          <w:p>
            <w:pPr>
              <w:spacing w:after="0"/>
              <w:rPr>
                <w:sz w:val="20"/>
                <w:szCs w:val="20"/>
                <w:color w:val="auto"/>
              </w:rPr>
            </w:pP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FV</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at December 31,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5"/>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5"/>
        </w:trPr>
        <w:tc>
          <w:tcPr>
            <w:tcW w:w="3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Cancelled or 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38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Non-Vested at December 31, 2022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1" w:name="page72"/>
    <w:bookmarkEnd w:id="7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 Shareholders’ Equity</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in our ordinary shares issued as of December 31, 2022 and 2021.</w:t>
      </w:r>
    </w:p>
    <w:p>
      <w:pPr>
        <w:spacing w:after="0" w:line="2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the Effective Date, the Company issued warrants allowing the holders to purchase up to an aggregate of 7,777,779 ordinary shares in the Company, par value $0.001, at an exercise price of $99.96 per ordinary share. The warrants are equity classified and, upon issuance, had a value of $31 million, which was recorded in “Capital in Excess of Par Value.” The warrant fair value was a Level 2 valuation and was estimated using the Black Scholes valuation model. Inputs to the model included Weatherford’s share price, volatility of our share price, and the risk-free interest rate.</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warrants are exercisable until the “Expiration Date” of which is the earlier of (i) December 13, 2023 and (ii) the date of consummation of any liquidity event resulting in the sale or exchange or a liquidation, dissolution or winding down of all or substantially all of the equity interests of the Company to one or more third parties. All unexercised warrants will expire, and the rights of the warrant holders to purchase ordinary shares will terminate, on the Expiration Date. During 2022 and 2021, an immaterial number of warrants were exercised.</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loss by component:</w:t>
      </w:r>
    </w:p>
    <w:p>
      <w:pPr>
        <w:spacing w:after="0" w:line="10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520" w:type="dxa"/>
            <w:vAlign w:val="bottom"/>
          </w:tcPr>
          <w:p>
            <w:pPr>
              <w:spacing w:after="0"/>
              <w:rPr>
                <w:sz w:val="17"/>
                <w:szCs w:val="17"/>
                <w:color w:val="auto"/>
              </w:rPr>
            </w:pPr>
          </w:p>
        </w:tc>
        <w:tc>
          <w:tcPr>
            <w:tcW w:w="1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7"/>
              </w:rPr>
              <w:t>Foreign Currency</w:t>
            </w:r>
          </w:p>
        </w:tc>
        <w:tc>
          <w:tcPr>
            <w:tcW w:w="200" w:type="dxa"/>
            <w:vAlign w:val="bottom"/>
          </w:tcPr>
          <w:p>
            <w:pPr>
              <w:spacing w:after="0"/>
              <w:rPr>
                <w:sz w:val="17"/>
                <w:szCs w:val="17"/>
                <w:color w:val="auto"/>
              </w:rPr>
            </w:pP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Defined Benefit</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4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Pension</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1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5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1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w:t>
            </w: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2" w:name="page73"/>
    <w:bookmarkEnd w:id="7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 Income (Loss) per Share</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Antidilutive shares represent potentially dilutive securities which are excluded from the computation of diluted income or loss per share as their impact was antidilutive. These include potential ordinary shares for restricted share units, performance share units, phantom restricted share units, and outstanding warrants. Our basic and diluted weighted average shares outstanding for periods presented with net loss are equivalent as the impact of potential dilutive securities is antidilutive.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number of shares used for the basic and diluted income (loss) per share calculation was as follows:</w:t>
      </w:r>
    </w:p>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225"/>
        </w:trPr>
        <w:tc>
          <w:tcPr>
            <w:tcW w:w="5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96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in millions)</w:t>
            </w:r>
          </w:p>
        </w:tc>
        <w:tc>
          <w:tcPr>
            <w:tcW w:w="1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Weatherford</w:t>
            </w:r>
          </w:p>
        </w:tc>
        <w:tc>
          <w:tcPr>
            <w:tcW w:w="1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65"/>
        </w:trPr>
        <w:tc>
          <w:tcPr>
            <w:tcW w:w="5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Plans</w:t>
            </w:r>
          </w:p>
        </w:tc>
        <w:tc>
          <w:tcPr>
            <w:tcW w:w="1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w:t>
            </w: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 Attributable to Weatherford</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2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 Attributable to Weatherford</w:t>
            </w:r>
          </w:p>
        </w:tc>
        <w:tc>
          <w:tcPr>
            <w:tcW w:w="1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3" w:name="page74"/>
    <w:bookmarkEnd w:id="7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 Income Taxes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income tax provision consisted of the following:</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80" w:type="dxa"/>
            <w:vAlign w:val="bottom"/>
            <w:gridSpan w:val="4"/>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00" w:type="dxa"/>
            <w:vAlign w:val="bottom"/>
          </w:tcPr>
          <w:p>
            <w:pPr>
              <w:spacing w:after="0"/>
              <w:rPr>
                <w:sz w:val="19"/>
                <w:szCs w:val="19"/>
                <w:color w:val="auto"/>
              </w:rPr>
            </w:pPr>
          </w:p>
        </w:tc>
      </w:tr>
      <w:tr>
        <w:trPr>
          <w:trHeight w:val="232"/>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(96)</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72"/>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(86)</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difference between the Irish income tax provision and the consolidated income tax provision is analyzed below:</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Irish Income Tax (Provision) Benefit Tax Rate of 25%</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172"/>
        </w:trPr>
        <w:tc>
          <w:tcPr>
            <w:tcW w:w="5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Tax Provision on Operating Earnings/Losses Subject to Rates Different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 the Irish Income Tax Rate</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172"/>
        </w:trPr>
        <w:tc>
          <w:tcPr>
            <w:tcW w:w="5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Tax (Provision) Benefit on Swiss Loss from internal liquidation of</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Valuation Allowance attributed to Swiss Loss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172"/>
        </w:trPr>
        <w:tc>
          <w:tcPr>
            <w:tcW w:w="5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Decrease (Increase) in Valuation Allowance on Operating</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Earnings/Losses</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4"/>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Our income tax provisions generally do not correlate to our consolidated income (loss) before tax. Our income taxes provisions are primarily driven by profits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04"/>
        </w:trPr>
        <w:tc>
          <w:tcPr>
            <w:tcW w:w="6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components of the net deferred tax asset were as follows:</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680" w:type="dxa"/>
            <w:vAlign w:val="bottom"/>
          </w:tcPr>
          <w:p>
            <w:pPr>
              <w:spacing w:after="0"/>
              <w:rPr>
                <w:sz w:val="20"/>
                <w:szCs w:val="20"/>
                <w:color w:val="auto"/>
              </w:rPr>
            </w:pPr>
          </w:p>
        </w:tc>
        <w:tc>
          <w:tcPr>
            <w:tcW w:w="5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Unused Recognized Built in Losses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Interest Deferral</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680" w:type="dxa"/>
            <w:vAlign w:val="bottom"/>
          </w:tcPr>
          <w:p>
            <w:pPr>
              <w:spacing w:after="0"/>
              <w:rPr>
                <w:sz w:val="19"/>
                <w:szCs w:val="19"/>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Deferred</w:t>
            </w:r>
          </w:p>
        </w:tc>
        <w:tc>
          <w:tcPr>
            <w:tcW w:w="1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5"/>
        </w:trPr>
        <w:tc>
          <w:tcPr>
            <w:tcW w:w="680" w:type="dxa"/>
            <w:vAlign w:val="bottom"/>
          </w:tcPr>
          <w:p>
            <w:pPr>
              <w:spacing w:after="0"/>
              <w:rPr>
                <w:sz w:val="19"/>
                <w:szCs w:val="19"/>
                <w:color w:val="auto"/>
              </w:rPr>
            </w:pPr>
          </w:p>
        </w:tc>
        <w:tc>
          <w:tcPr>
            <w:tcW w:w="5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8"/>
        </w:trPr>
        <w:tc>
          <w:tcPr>
            <w:tcW w:w="68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9"/>
        </w:trPr>
        <w:tc>
          <w:tcPr>
            <w:tcW w:w="68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680" w:type="dxa"/>
            <w:vAlign w:val="bottom"/>
          </w:tcPr>
          <w:p>
            <w:pPr>
              <w:spacing w:after="0"/>
              <w:rPr>
                <w:sz w:val="19"/>
                <w:szCs w:val="19"/>
                <w:color w:val="auto"/>
              </w:rPr>
            </w:pP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680" w:type="dxa"/>
            <w:vAlign w:val="bottom"/>
          </w:tcPr>
          <w:p>
            <w:pPr>
              <w:spacing w:after="0"/>
              <w:rPr>
                <w:sz w:val="19"/>
                <w:szCs w:val="19"/>
                <w:color w:val="auto"/>
              </w:rPr>
            </w:pPr>
          </w:p>
        </w:tc>
        <w:tc>
          <w:tcPr>
            <w:tcW w:w="5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680" w:type="dxa"/>
            <w:vAlign w:val="bottom"/>
          </w:tcPr>
          <w:p>
            <w:pPr>
              <w:spacing w:after="0"/>
              <w:rPr>
                <w:sz w:val="19"/>
                <w:szCs w:val="19"/>
                <w:color w:val="auto"/>
              </w:rPr>
            </w:pPr>
          </w:p>
        </w:tc>
        <w:tc>
          <w:tcPr>
            <w:tcW w:w="58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9"/>
        </w:trPr>
        <w:tc>
          <w:tcPr>
            <w:tcW w:w="680" w:type="dxa"/>
            <w:vAlign w:val="bottom"/>
          </w:tcPr>
          <w:p>
            <w:pPr>
              <w:spacing w:after="0"/>
              <w:rPr>
                <w:sz w:val="19"/>
                <w:szCs w:val="19"/>
                <w:color w:val="auto"/>
              </w:rPr>
            </w:pPr>
          </w:p>
        </w:tc>
        <w:tc>
          <w:tcPr>
            <w:tcW w:w="5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7"/>
          <w:szCs w:val="17"/>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in the appropriate tax jurisdiction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considers all available evidence (both positive and negative) when determining whether a valuation allowance is required, with emphasis on our past operating results, the existence of cumulative losses in the most recent years and our forecast of near- 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w:t>
      </w:r>
    </w:p>
    <w:p>
      <w:pPr>
        <w:spacing w:after="0" w:line="18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The valuation allowance increased (decreased) by $(227) million, $28 million and $333 million in 2022, 2021, and 2020, respectively. Tax expense (benefit) related to the increase (decrease) in the valuation allowance was $(205) million, $72 million, and $330 million in 2022, 2021 and 2020, respectively. The tax expense (benefit) in the valuation allowance is primarily attributable to the release of valuation allowance of $35 million and $7 million for 2022 and 2021, respectively, where deferred tax assets are now considered more likely than not to be realized in the future, and the Switzerland liquidation transaction discussed below. The remaining relates to the utilization of net operating losses previously not expected to be realized against operating earnings, $(29) million and $(45) million in 2022 and 2021, respectively. The 2020 expense is primarily attributable to net operating losses not expected to be realized and the Switzerland transaction. Other increase (decreases) to the valuation allowance also includes foreign currency transactions of $(22) million, $(44) million, and $3 million in 2022, 2021 and 2020, respectively.</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2022, the pool of positive undistributed earnings of our non-Irish subsidiaries that are considered indefinitely reinvested and may be subject to tax if distributed amounts to approximately $1.3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5" w:name="page76"/>
    <w:bookmarkEnd w:id="7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2022, we had approximately $3.8 billion of net operating losses (“NOLs”) in various jurisdictions. Our non-indefinite loss carryforwards, if not utilized, will mostly expire for U.S. subsidiaries from 2030 through 2037 and at various dates from 2023 through 2042 for non-U.S. subsidiaries.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Upon emergence from bankruptcy in December 2019, our U.S. subsidiaries experienced an ownership change as the Company’s emergence was considered an “ownership change” for purposes of Internal Revenue Code section 382. The Internal Revenue Code sections 382 and 383 impose limitations on the ability of a company to utilize tax attributes after experiencing an “ownership change.” As a result, we estimated our annual limitation is approximately $23 million against the utilization of our U.S. loss carryforwards and other tax attributes, including unused recognized built-in losses and U.S. interest deferral. Upon emergence, we estimated that the maximum U.S. NOLs available for utilization in the future was $713 million as of December 31, 2019.</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2021, we executed a liquidation transaction of one of our Swiss holding companies which resulted in the forfeiture of impairment losses of $1.3 billion generated in 2020. In addition, the liquidation transaction resulted in approximately $6.2 billion of tax losses (NOLs) in Switzerland of which $4 billion was deemed worthless and excluded from the deferred tax table, and $2.2 billion was recorded as an NOL and included in the table as management expects to utilize those NOLs on our future tax returns. However, in addition to recording a deferred tax asset of $303 million related to the $2.2 billion tax losses, we recorded a valuation allowance against the full $303 million because it will offset future income that is otherwise exempt from tax.</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 tabular reconciliation of the total amounts of uncertain tax positions at the beginning and end of the period is as follows:</w:t>
      </w:r>
    </w:p>
    <w:p>
      <w:pPr>
        <w:spacing w:after="0" w:line="43" w:lineRule="exact"/>
        <w:rPr>
          <w:sz w:val="20"/>
          <w:szCs w:val="20"/>
          <w:color w:val="auto"/>
        </w:rPr>
      </w:pPr>
    </w:p>
    <w:tbl>
      <w:tblPr>
        <w:tblLayout w:type="fixed"/>
        <w:tblInd w:w="86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19"/>
                <w:szCs w:val="19"/>
                <w:color w:val="auto"/>
              </w:rPr>
            </w:pPr>
          </w:p>
        </w:tc>
      </w:tr>
      <w:tr>
        <w:trPr>
          <w:trHeight w:val="23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5"/>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as a Result of Tax Positions Taken During a Prior Period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as a Result of Tax Positions Taken During a Prior Period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as a Result of Tax Positions Taken During the Current Period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Relating to Settlements with Taxing Authorities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Reductions as a Result of a Lapse of the Applicable Statute of Limitations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5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Effects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Substantially all of the uncertain tax positions, if released in future periods, would impact our effective tax rate. Within the total balance is $38 million and $76 million as of December 31, 2022 and 2021, respectively, that would be offset by net operating losses and other tax attributes if settled. Our income tax provision includes penalties and interest expense (benefit) on uncertain tax positions of $(2) million, $17 million and $11 million for years ended December 31, 2022, 2021, and 2020, respectively. The benefit of $(2) million in 2022 includes $(19) million of interest and penalty release related to benefit from previously uncertain tax positions. The amounts in the table above exclude cumulative accrued interest and penalties of $98 million and $104 million at December 31, 2022 and 2021 respectively, which are included in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6" w:name="page77"/>
    <w:bookmarkEnd w:id="7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6"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We are subject to income tax in many of the approximately 75 countries where we operate. As of December 31, 2022, the following table summarizes the tax years that remain subject to examination for the major jurisdictions in which we operate:</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Tax Jurisdiction</w:t>
            </w:r>
          </w:p>
        </w:tc>
        <w:tc>
          <w:tcPr>
            <w:tcW w:w="5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Tax Years under Examinati</w:t>
            </w: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2014 - 20</w:t>
            </w:r>
          </w:p>
        </w:tc>
      </w:tr>
      <w:tr>
        <w:trPr>
          <w:trHeight w:val="2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2019 - 20</w:t>
            </w:r>
          </w:p>
        </w:tc>
      </w:tr>
      <w:tr>
        <w:trPr>
          <w:trHeight w:val="2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2014 - 20</w:t>
            </w:r>
          </w:p>
        </w:tc>
      </w:tr>
      <w:tr>
        <w:trPr>
          <w:trHeight w:val="23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2019 - 20</w:t>
            </w:r>
          </w:p>
        </w:tc>
      </w:tr>
    </w:tbl>
    <w:p>
      <w:pPr>
        <w:spacing w:after="0" w:line="307"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We are continuously under tax examination in various jurisdictions and cannot predict the timing or outcome regarding the resolutions or if they will have a material impact on our financial statements. As of December 31, 2022, we anticipate that it is reasonably possible that the amount of uncertain tax positions may decrease by up to $4 million in the next twelve months due to expiration of statutes of limitations, settlements and/or conclusions of tax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Weatherford International plc – 2022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77" w:name="page78"/>
    <w:bookmarkEnd w:id="7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9 | Changes in and Disagreement with Accountants on Accounting and Financial Disclosure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 with Accountants on Accounting and Financial Disclosure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2022. Based on that evaluation, our CEO and CFO concluded that our disclosure controls and procedures were effective as of December 31,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20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2022 using the criteria set forth by the Committee of Sponsoring Organizations of the Treadway Commission in Internal Control – An Integrated Framework (2013). As a result of this assessment, management concluded that as of December 31, 2022, our internal control over financial reporting was effective based on these criteria.</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KPMG LLP has issued an attestation report dated February 8, 2023, on our internal control over financial reporting, which is contained in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ended December 31, 2022,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78" w:name="page79"/>
    <w:bookmarkEnd w:id="78"/>
    <w:p>
      <w:pPr>
        <w:spacing w:after="0"/>
        <w:tabs>
          <w:tab w:leader="none" w:pos="176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10 | Directors, Executive Officers and Corporate Governance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“Item 1. – Business – Executive Officers of Weatherford” of this report for Item 10 information regarding executive officers of Weatherford. Pursuant to General Instructions G(3), information on our directors and corporate governance matters is incorporated by reference from our Proxy Statement for the 2023 Annual General Meeting of Shareholders.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adopted a code of ethics entitled “Weatherford Code of Business Conduct English,” which applies to all our employees, officers and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these codes can also be found at www.weatherford.com.</w:t>
      </w:r>
    </w:p>
    <w:p>
      <w:pPr>
        <w:spacing w:after="0" w:line="1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Weatherford Code of Business Conduct and any waiver from any provision to it by posting such information on our website at www.weatherford.com.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executive compensation is incorporated by reference from our Proxy Statement for the 2023 Annual General Meeting of Shareholders.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Information on security ownership of certain beneficial owners and management and related shareholder matters is incorporated by reference from our Proxy Statement for the 2023 Annual General Meeting of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12(d). </w:t>
      </w:r>
      <w:r>
        <w:rPr>
          <w:rFonts w:ascii="Times New Roman" w:cs="Times New Roman" w:eastAsia="Times New Roman" w:hAnsi="Times New Roman"/>
          <w:sz w:val="18"/>
          <w:szCs w:val="18"/>
          <w:b w:val="1"/>
          <w:bCs w:val="1"/>
          <w:i w:val="1"/>
          <w:iCs w:val="1"/>
          <w:color w:val="auto"/>
        </w:rPr>
        <w:t>Securities Authorized for Issuance under Equity Compensation Plan Information</w:t>
      </w:r>
    </w:p>
    <w:p>
      <w:pPr>
        <w:spacing w:after="0" w:line="24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following table provides information as of December 31, 2022, about the number of shares to be issued upon vesting or exercise of equity awards as well as the number of shares remaining available for issuance under the Weatherford International plc Third Amended and Restated 2019 Equity Incentive Plan, which was approved in connection with our emergence from bankruptcy in December of 2019 and last amended and restated on January 18, 2023.</w:t>
      </w:r>
    </w:p>
    <w:p>
      <w:pPr>
        <w:spacing w:after="0" w:line="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tcPr>
          <w:p>
            <w:pPr>
              <w:jc w:val="center"/>
              <w:ind w:left="932"/>
              <w:spacing w:after="0" w:line="165" w:lineRule="exact"/>
              <w:rPr>
                <w:sz w:val="20"/>
                <w:szCs w:val="20"/>
                <w:color w:val="auto"/>
              </w:rPr>
            </w:pPr>
            <w:r>
              <w:rPr>
                <w:rFonts w:ascii="Times New Roman" w:cs="Times New Roman" w:eastAsia="Times New Roman" w:hAnsi="Times New Roman"/>
                <w:sz w:val="18"/>
                <w:szCs w:val="18"/>
                <w:b w:val="1"/>
                <w:bCs w:val="1"/>
                <w:color w:val="auto"/>
                <w:w w:val="97"/>
              </w:rPr>
              <w:t>Numbers of</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2780" w:type="dxa"/>
            <w:vAlign w:val="bottom"/>
          </w:tcPr>
          <w:p>
            <w:pPr>
              <w:jc w:val="center"/>
              <w:ind w:left="932"/>
              <w:spacing w:after="0" w:line="172" w:lineRule="exact"/>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00" w:type="dxa"/>
            <w:vAlign w:val="bottom"/>
          </w:tcPr>
          <w:p>
            <w:pPr>
              <w:spacing w:after="0"/>
              <w:rPr>
                <w:sz w:val="14"/>
                <w:szCs w:val="14"/>
                <w:color w:val="auto"/>
              </w:rPr>
            </w:pPr>
          </w:p>
        </w:tc>
        <w:tc>
          <w:tcPr>
            <w:tcW w:w="162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2780" w:type="dxa"/>
            <w:vAlign w:val="bottom"/>
          </w:tcPr>
          <w:p>
            <w:pPr>
              <w:jc w:val="center"/>
              <w:ind w:left="912"/>
              <w:spacing w:after="0" w:line="186" w:lineRule="exact"/>
              <w:rPr>
                <w:sz w:val="20"/>
                <w:szCs w:val="20"/>
                <w:color w:val="auto"/>
              </w:rPr>
            </w:pPr>
            <w:r>
              <w:rPr>
                <w:rFonts w:ascii="Times New Roman" w:cs="Times New Roman" w:eastAsia="Times New Roman" w:hAnsi="Times New Roman"/>
                <w:sz w:val="18"/>
                <w:szCs w:val="18"/>
                <w:b w:val="1"/>
                <w:bCs w:val="1"/>
                <w:color w:val="auto"/>
                <w:w w:val="98"/>
              </w:rPr>
              <w:t>Issued Upon Exercise</w:t>
            </w:r>
          </w:p>
        </w:tc>
        <w:tc>
          <w:tcPr>
            <w:tcW w:w="2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7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6"/>
              </w:rPr>
              <w:t>Available for Future</w:t>
            </w:r>
          </w:p>
        </w:tc>
        <w:tc>
          <w:tcPr>
            <w:tcW w:w="0" w:type="dxa"/>
            <w:vAlign w:val="bottom"/>
          </w:tcPr>
          <w:p>
            <w:pPr>
              <w:spacing w:after="0"/>
              <w:rPr>
                <w:sz w:val="1"/>
                <w:szCs w:val="1"/>
                <w:color w:val="auto"/>
              </w:rPr>
            </w:pPr>
          </w:p>
        </w:tc>
      </w:tr>
      <w:tr>
        <w:trPr>
          <w:trHeight w:val="172"/>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80" w:type="dxa"/>
            <w:vAlign w:val="bottom"/>
          </w:tcPr>
          <w:p>
            <w:pPr>
              <w:jc w:val="center"/>
              <w:ind w:left="932"/>
              <w:spacing w:after="0" w:line="172" w:lineRule="exact"/>
              <w:rPr>
                <w:sz w:val="20"/>
                <w:szCs w:val="20"/>
                <w:color w:val="auto"/>
              </w:rPr>
            </w:pPr>
            <w:r>
              <w:rPr>
                <w:rFonts w:ascii="Times New Roman" w:cs="Times New Roman" w:eastAsia="Times New Roman" w:hAnsi="Times New Roman"/>
                <w:sz w:val="18"/>
                <w:szCs w:val="18"/>
                <w:b w:val="1"/>
                <w:bCs w:val="1"/>
                <w:color w:val="auto"/>
                <w:w w:val="96"/>
              </w:rPr>
              <w:t>of Outstanding</w:t>
            </w:r>
          </w:p>
        </w:tc>
        <w:tc>
          <w:tcPr>
            <w:tcW w:w="200" w:type="dxa"/>
            <w:vAlign w:val="bottom"/>
          </w:tcPr>
          <w:p>
            <w:pPr>
              <w:spacing w:after="0"/>
              <w:rPr>
                <w:sz w:val="14"/>
                <w:szCs w:val="14"/>
                <w:color w:val="auto"/>
              </w:rPr>
            </w:pPr>
          </w:p>
        </w:tc>
        <w:tc>
          <w:tcPr>
            <w:tcW w:w="1620" w:type="dxa"/>
            <w:vAlign w:val="bottom"/>
          </w:tcPr>
          <w:p>
            <w:pPr>
              <w:jc w:val="center"/>
              <w:ind w:right="92"/>
              <w:spacing w:after="0" w:line="172"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Issuance Under</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780" w:type="dxa"/>
            <w:vAlign w:val="bottom"/>
          </w:tcPr>
          <w:p>
            <w:pPr>
              <w:jc w:val="center"/>
              <w:ind w:left="932"/>
              <w:spacing w:after="0" w:line="186" w:lineRule="exact"/>
              <w:rPr>
                <w:sz w:val="20"/>
                <w:szCs w:val="20"/>
                <w:color w:val="auto"/>
              </w:rPr>
            </w:pPr>
            <w:r>
              <w:rPr>
                <w:rFonts w:ascii="Times New Roman" w:cs="Times New Roman" w:eastAsia="Times New Roman" w:hAnsi="Times New Roman"/>
                <w:sz w:val="18"/>
                <w:szCs w:val="18"/>
                <w:b w:val="1"/>
                <w:bCs w:val="1"/>
                <w:color w:val="auto"/>
                <w:w w:val="96"/>
              </w:rPr>
              <w:t>Options, Warrants</w:t>
            </w:r>
          </w:p>
        </w:tc>
        <w:tc>
          <w:tcPr>
            <w:tcW w:w="182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17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Equity Compensation</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 except share prices)</w:t>
            </w:r>
          </w:p>
        </w:tc>
        <w:tc>
          <w:tcPr>
            <w:tcW w:w="2780" w:type="dxa"/>
            <w:vAlign w:val="bottom"/>
            <w:tcBorders>
              <w:bottom w:val="single" w:sz="8" w:color="auto"/>
            </w:tcBorders>
          </w:tcPr>
          <w:p>
            <w:pPr>
              <w:jc w:val="center"/>
              <w:ind w:left="932"/>
              <w:spacing w:after="0" w:line="225" w:lineRule="exact"/>
              <w:rPr>
                <w:sz w:val="20"/>
                <w:szCs w:val="20"/>
                <w:color w:val="auto"/>
              </w:rPr>
            </w:pPr>
            <w:r>
              <w:rPr>
                <w:rFonts w:ascii="Times New Roman" w:cs="Times New Roman" w:eastAsia="Times New Roman" w:hAnsi="Times New Roman"/>
                <w:sz w:val="18"/>
                <w:szCs w:val="18"/>
                <w:b w:val="1"/>
                <w:bCs w:val="1"/>
                <w:color w:val="auto"/>
                <w:w w:val="95"/>
              </w:rPr>
              <w:t xml:space="preserve">and Rights </w:t>
            </w:r>
            <w:r>
              <w:rPr>
                <w:rFonts w:ascii="Times New Roman" w:cs="Times New Roman" w:eastAsia="Times New Roman" w:hAnsi="Times New Roman"/>
                <w:sz w:val="22"/>
                <w:szCs w:val="22"/>
                <w:b w:val="1"/>
                <w:bCs w:val="1"/>
                <w:color w:val="auto"/>
                <w:w w:val="95"/>
                <w:vertAlign w:val="superscript"/>
              </w:rPr>
              <w:t>(a)</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174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8"/>
                <w:szCs w:val="18"/>
                <w:b w:val="1"/>
                <w:bCs w:val="1"/>
                <w:color w:val="auto"/>
                <w:w w:val="93"/>
              </w:rPr>
              <w:t xml:space="preserve">Plans </w:t>
            </w:r>
            <w:r>
              <w:rPr>
                <w:rFonts w:ascii="Times New Roman" w:cs="Times New Roman" w:eastAsia="Times New Roman" w:hAnsi="Times New Roman"/>
                <w:sz w:val="22"/>
                <w:szCs w:val="22"/>
                <w:b w:val="1"/>
                <w:bCs w:val="1"/>
                <w:color w:val="auto"/>
                <w:w w:val="93"/>
                <w:vertAlign w:val="superscript"/>
              </w:rPr>
              <w:t>(b)</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approved by shareholders</w:t>
            </w:r>
          </w:p>
        </w:tc>
        <w:tc>
          <w:tcPr>
            <w:tcW w:w="2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80" w:hanging="315"/>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shares that could potentially be issued if maximum performance metrics were achieved.</w:t>
      </w:r>
    </w:p>
    <w:p>
      <w:pPr>
        <w:spacing w:after="0" w:line="19" w:lineRule="exact"/>
        <w:rPr>
          <w:rFonts w:ascii="Times New Roman" w:cs="Times New Roman" w:eastAsia="Times New Roman" w:hAnsi="Times New Roman"/>
          <w:sz w:val="16"/>
          <w:szCs w:val="16"/>
          <w:color w:val="auto"/>
        </w:rPr>
      </w:pPr>
    </w:p>
    <w:p>
      <w:pPr>
        <w:ind w:left="480" w:hanging="315"/>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shares reflected in the first column of this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15 | Exhibits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Information on certain relationships and related transactions and director independence is incorporated by reference from our Proxy Statement for the 2023 Annual General Meeting of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Information on principal accounting fees and services is incorporated by reference from our Proxy Statement for the 2023 Annual General Meeting of Shareholders.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327"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documents are filed as part of this report or incorporated by reference:</w:t>
      </w:r>
    </w:p>
    <w:p>
      <w:pPr>
        <w:spacing w:after="0" w:line="58"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listed on page </w:t>
      </w:r>
      <w:r>
        <w:rPr>
          <w:rFonts w:ascii="Times New Roman" w:cs="Times New Roman" w:eastAsia="Times New Roman" w:hAnsi="Times New Roman"/>
          <w:sz w:val="18"/>
          <w:szCs w:val="18"/>
          <w:u w:val="single" w:color="auto"/>
          <w:color w:val="0000FF"/>
        </w:rPr>
        <w:t>38</w:t>
      </w:r>
      <w:r>
        <w:rPr>
          <w:rFonts w:ascii="Times New Roman" w:cs="Times New Roman" w:eastAsia="Times New Roman" w:hAnsi="Times New Roman"/>
          <w:sz w:val="18"/>
          <w:szCs w:val="18"/>
          <w:color w:val="auto"/>
        </w:rPr>
        <w:t xml:space="preserve"> of this report.</w:t>
      </w:r>
    </w:p>
    <w:p>
      <w:pPr>
        <w:spacing w:after="0" w:line="11" w:lineRule="exact"/>
        <w:rPr>
          <w:rFonts w:ascii="Times New Roman" w:cs="Times New Roman" w:eastAsia="Times New Roman" w:hAnsi="Times New Roman"/>
          <w:sz w:val="18"/>
          <w:szCs w:val="18"/>
          <w:color w:val="auto"/>
        </w:rPr>
      </w:pPr>
    </w:p>
    <w:p>
      <w:pPr>
        <w:ind w:left="320" w:right="400" w:hanging="314"/>
        <w:spacing w:after="0" w:line="230"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listed in Rule 5-04 of Regulation S-X (17 CFR 210.5-04) have been omitted because they are not applicable or the required information is shown in the consolidated financial statements or notes thereto.</w:t>
      </w:r>
    </w:p>
    <w:p>
      <w:pPr>
        <w:spacing w:after="0" w:line="33" w:lineRule="exact"/>
        <w:rPr>
          <w:rFonts w:ascii="Times New Roman" w:cs="Times New Roman" w:eastAsia="Times New Roman" w:hAnsi="Times New Roman"/>
          <w:sz w:val="18"/>
          <w:szCs w:val="18"/>
          <w:color w:val="auto"/>
        </w:rPr>
      </w:pPr>
    </w:p>
    <w:p>
      <w:pPr>
        <w:ind w:left="320" w:right="700" w:hanging="314"/>
        <w:spacing w:after="0" w:line="27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of the Company listed below under Item 15(b); all exhibits are incorporated herein by reference to a prior filing as indicated, unless designated by a dagger (†) or double dagger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Exhibits:</w:t>
            </w: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1"/>
        </w:trPr>
        <w:tc>
          <w:tcPr>
            <w:tcW w:w="14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4800" w:type="dxa"/>
            <w:vAlign w:val="bottom"/>
            <w:tcBorders>
              <w:bottom w:val="single" w:sz="8" w:color="auto"/>
            </w:tcBorders>
            <w:gridSpan w:val="7"/>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79"/>
        </w:trPr>
        <w:tc>
          <w:tcPr>
            <w:tcW w:w="1460" w:type="dxa"/>
            <w:vAlign w:val="bottom"/>
            <w:shd w:val="clear" w:color="auto" w:fill="CCEEFF"/>
          </w:tcPr>
          <w:p>
            <w:pPr>
              <w:jc w:val="center"/>
              <w:ind w:right="72"/>
              <w:spacing w:after="0" w:line="179" w:lineRule="exact"/>
              <w:rPr>
                <w:sz w:val="20"/>
                <w:szCs w:val="20"/>
                <w:color w:val="auto"/>
              </w:rPr>
            </w:pPr>
            <w:r>
              <w:rPr>
                <w:rFonts w:ascii="Times New Roman" w:cs="Times New Roman" w:eastAsia="Times New Roman" w:hAnsi="Times New Roman"/>
                <w:sz w:val="18"/>
                <w:szCs w:val="18"/>
                <w:color w:val="auto"/>
                <w:w w:val="97"/>
              </w:rPr>
              <w:t>3.1</w:t>
            </w:r>
          </w:p>
        </w:tc>
        <w:tc>
          <w:tcPr>
            <w:tcW w:w="4800" w:type="dxa"/>
            <w:vAlign w:val="bottom"/>
            <w:gridSpan w:val="7"/>
            <w:shd w:val="clear" w:color="auto" w:fill="CCEEFF"/>
          </w:tcPr>
          <w:p>
            <w:pPr>
              <w:spacing w:after="0" w:line="17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Memorandum and Articles of Association</w:t>
              </w:r>
            </w:hyperlink>
          </w:p>
        </w:tc>
        <w:tc>
          <w:tcPr>
            <w:tcW w:w="2860" w:type="dxa"/>
            <w:vAlign w:val="bottom"/>
            <w:shd w:val="clear" w:color="auto" w:fill="CCEEFF"/>
          </w:tcPr>
          <w:p>
            <w:pPr>
              <w:jc w:val="center"/>
              <w:ind w:right="35"/>
              <w:spacing w:after="0" w:line="179" w:lineRule="exact"/>
              <w:rPr>
                <w:sz w:val="20"/>
                <w:szCs w:val="20"/>
                <w:color w:val="auto"/>
              </w:rPr>
            </w:pPr>
            <w:r>
              <w:rPr>
                <w:rFonts w:ascii="Times New Roman" w:cs="Times New Roman" w:eastAsia="Times New Roman" w:hAnsi="Times New Roman"/>
                <w:sz w:val="18"/>
                <w:szCs w:val="18"/>
                <w:color w:val="auto"/>
                <w:w w:val="96"/>
              </w:rPr>
              <w:t>Exhibit 3.1 of the</w:t>
            </w:r>
          </w:p>
        </w:tc>
        <w:tc>
          <w:tcPr>
            <w:tcW w:w="174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6"/>
            <w:shd w:val="clear" w:color="auto" w:fill="CCEEFF"/>
          </w:tcPr>
          <w:p>
            <w:pPr>
              <w:spacing w:after="0" w:line="152"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of Weatherford International public limited company.</w:t>
              </w:r>
            </w:hyperlink>
          </w:p>
        </w:tc>
        <w:tc>
          <w:tcPr>
            <w:tcW w:w="14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CCEEFF"/>
            </w:tcBorders>
            <w:shd w:val="clear" w:color="auto" w:fill="CCEEFF"/>
          </w:tcPr>
          <w:p>
            <w:pPr>
              <w:jc w:val="center"/>
              <w:ind w:right="75"/>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40" w:type="dxa"/>
            <w:vAlign w:val="bottom"/>
            <w:tcBorders>
              <w:top w:val="single" w:sz="8" w:color="CCEEFF"/>
            </w:tcBorders>
            <w:shd w:val="clear" w:color="auto" w:fill="CCEEFF"/>
          </w:tcPr>
          <w:p>
            <w:pPr>
              <w:spacing w:after="0"/>
              <w:rPr>
                <w:sz w:val="13"/>
                <w:szCs w:val="13"/>
                <w:color w:val="auto"/>
              </w:rPr>
            </w:pPr>
          </w:p>
        </w:tc>
      </w:tr>
      <w:tr>
        <w:trPr>
          <w:trHeight w:val="147"/>
        </w:trPr>
        <w:tc>
          <w:tcPr>
            <w:tcW w:w="146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74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CCEEFF"/>
            </w:tcBorders>
            <w:shd w:val="clear" w:color="auto" w:fill="CCEEFF"/>
          </w:tcPr>
          <w:p>
            <w:pPr>
              <w:jc w:val="center"/>
              <w:ind w:right="35"/>
              <w:spacing w:after="0" w:line="147" w:lineRule="exact"/>
              <w:rPr>
                <w:sz w:val="20"/>
                <w:szCs w:val="20"/>
                <w:color w:val="auto"/>
              </w:rPr>
            </w:pPr>
            <w:r>
              <w:rPr>
                <w:rFonts w:ascii="Times New Roman" w:cs="Times New Roman" w:eastAsia="Times New Roman" w:hAnsi="Times New Roman"/>
                <w:sz w:val="17"/>
                <w:szCs w:val="17"/>
                <w:color w:val="auto"/>
              </w:rPr>
              <w:t>Report on Form 8-K</w:t>
            </w:r>
          </w:p>
        </w:tc>
        <w:tc>
          <w:tcPr>
            <w:tcW w:w="1740" w:type="dxa"/>
            <w:vAlign w:val="bottom"/>
            <w:tcBorders>
              <w:top w:val="single" w:sz="8" w:color="CCEEFF"/>
            </w:tcBorders>
            <w:shd w:val="clear" w:color="auto" w:fill="CCEEFF"/>
          </w:tcPr>
          <w:p>
            <w:pPr>
              <w:spacing w:after="0"/>
              <w:rPr>
                <w:sz w:val="12"/>
                <w:szCs w:val="12"/>
                <w:color w:val="auto"/>
              </w:rPr>
            </w:pPr>
          </w:p>
        </w:tc>
      </w:tr>
      <w:tr>
        <w:trPr>
          <w:trHeight w:val="230"/>
        </w:trPr>
        <w:tc>
          <w:tcPr>
            <w:tcW w:w="14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6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740" w:type="dxa"/>
            <w:vAlign w:val="bottom"/>
            <w:shd w:val="clear" w:color="auto" w:fill="CCEEFF"/>
          </w:tcPr>
          <w:p>
            <w:pPr>
              <w:spacing w:after="0"/>
              <w:rPr>
                <w:sz w:val="20"/>
                <w:szCs w:val="20"/>
                <w:color w:val="auto"/>
              </w:rPr>
            </w:pPr>
          </w:p>
        </w:tc>
      </w:tr>
      <w:tr>
        <w:trPr>
          <w:trHeight w:val="186"/>
        </w:trPr>
        <w:tc>
          <w:tcPr>
            <w:tcW w:w="1460" w:type="dxa"/>
            <w:vAlign w:val="bottom"/>
          </w:tcPr>
          <w:p>
            <w:pPr>
              <w:jc w:val="center"/>
              <w:ind w:right="72"/>
              <w:spacing w:after="0" w:line="186" w:lineRule="exact"/>
              <w:rPr>
                <w:sz w:val="20"/>
                <w:szCs w:val="20"/>
                <w:color w:val="auto"/>
              </w:rPr>
            </w:pPr>
            <w:r>
              <w:rPr>
                <w:rFonts w:ascii="Times New Roman" w:cs="Times New Roman" w:eastAsia="Times New Roman" w:hAnsi="Times New Roman"/>
                <w:sz w:val="18"/>
                <w:szCs w:val="18"/>
                <w:color w:val="auto"/>
                <w:w w:val="97"/>
              </w:rPr>
              <w:t>4.1</w:t>
            </w:r>
          </w:p>
        </w:tc>
        <w:tc>
          <w:tcPr>
            <w:tcW w:w="4800" w:type="dxa"/>
            <w:vAlign w:val="bottom"/>
            <w:gridSpan w:val="7"/>
          </w:tcPr>
          <w:p>
            <w:pPr>
              <w:spacing w:after="0" w:line="18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Description of the Securities.</w:t>
              </w:r>
            </w:hyperlink>
          </w:p>
        </w:tc>
        <w:tc>
          <w:tcPr>
            <w:tcW w:w="2860" w:type="dxa"/>
            <w:vAlign w:val="bottom"/>
          </w:tcPr>
          <w:p>
            <w:pPr>
              <w:jc w:val="center"/>
              <w:ind w:right="35"/>
              <w:spacing w:after="0" w:line="186" w:lineRule="exact"/>
              <w:rPr>
                <w:sz w:val="20"/>
                <w:szCs w:val="20"/>
                <w:color w:val="auto"/>
              </w:rPr>
            </w:pPr>
            <w:r>
              <w:rPr>
                <w:rFonts w:ascii="Times New Roman" w:cs="Times New Roman" w:eastAsia="Times New Roman" w:hAnsi="Times New Roman"/>
                <w:sz w:val="18"/>
                <w:szCs w:val="18"/>
                <w:color w:val="auto"/>
                <w:w w:val="98"/>
              </w:rPr>
              <w:t>Exhibit 4.1 of the Company’s</w:t>
            </w:r>
          </w:p>
        </w:tc>
        <w:tc>
          <w:tcPr>
            <w:tcW w:w="17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39"/>
        </w:trPr>
        <w:tc>
          <w:tcPr>
            <w:tcW w:w="1460" w:type="dxa"/>
            <w:vAlign w:val="bottom"/>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jc w:val="center"/>
              <w:ind w:right="35"/>
              <w:spacing w:after="0" w:line="139" w:lineRule="exact"/>
              <w:rPr>
                <w:sz w:val="20"/>
                <w:szCs w:val="20"/>
                <w:color w:val="auto"/>
              </w:rPr>
            </w:pPr>
            <w:r>
              <w:rPr>
                <w:rFonts w:ascii="Times New Roman" w:cs="Times New Roman" w:eastAsia="Times New Roman" w:hAnsi="Times New Roman"/>
                <w:sz w:val="15"/>
                <w:szCs w:val="15"/>
                <w:color w:val="auto"/>
              </w:rPr>
              <w:t>Annual Report on Form 10-K filed</w:t>
            </w:r>
          </w:p>
        </w:tc>
        <w:tc>
          <w:tcPr>
            <w:tcW w:w="1740" w:type="dxa"/>
            <w:vAlign w:val="bottom"/>
          </w:tcPr>
          <w:p>
            <w:pPr>
              <w:spacing w:after="0"/>
              <w:rPr>
                <w:sz w:val="12"/>
                <w:szCs w:val="12"/>
                <w:color w:val="auto"/>
              </w:rPr>
            </w:pPr>
          </w:p>
        </w:tc>
      </w:tr>
      <w:tr>
        <w:trPr>
          <w:trHeight w:val="231"/>
        </w:trPr>
        <w:tc>
          <w:tcPr>
            <w:tcW w:w="1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8"/>
              </w:rPr>
              <w:t>February 17, 2022</w:t>
            </w:r>
          </w:p>
        </w:tc>
        <w:tc>
          <w:tcPr>
            <w:tcW w:w="1740" w:type="dxa"/>
            <w:vAlign w:val="bottom"/>
          </w:tcPr>
          <w:p>
            <w:pPr>
              <w:spacing w:after="0"/>
              <w:rPr>
                <w:sz w:val="20"/>
                <w:szCs w:val="20"/>
                <w:color w:val="auto"/>
              </w:rPr>
            </w:pPr>
          </w:p>
        </w:tc>
      </w:tr>
      <w:tr>
        <w:trPr>
          <w:trHeight w:val="193"/>
        </w:trPr>
        <w:tc>
          <w:tcPr>
            <w:tcW w:w="1460" w:type="dxa"/>
            <w:vAlign w:val="bottom"/>
          </w:tcPr>
          <w:p>
            <w:pPr>
              <w:jc w:val="center"/>
              <w:ind w:right="72"/>
              <w:spacing w:after="0" w:line="193" w:lineRule="exact"/>
              <w:rPr>
                <w:sz w:val="20"/>
                <w:szCs w:val="20"/>
                <w:color w:val="auto"/>
              </w:rPr>
            </w:pPr>
            <w:r>
              <w:rPr>
                <w:rFonts w:ascii="Times New Roman" w:cs="Times New Roman" w:eastAsia="Times New Roman" w:hAnsi="Times New Roman"/>
                <w:sz w:val="18"/>
                <w:szCs w:val="18"/>
                <w:color w:val="auto"/>
                <w:w w:val="97"/>
              </w:rPr>
              <w:t>4.2</w:t>
            </w:r>
          </w:p>
        </w:tc>
        <w:tc>
          <w:tcPr>
            <w:tcW w:w="4800" w:type="dxa"/>
            <w:vAlign w:val="bottom"/>
            <w:gridSpan w:val="7"/>
          </w:tcPr>
          <w:p>
            <w:pPr>
              <w:spacing w:after="0" w:line="193"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Indenture, dated December 13, 2019, by and among Weatherford</w:t>
              </w:r>
            </w:hyperlink>
          </w:p>
        </w:tc>
        <w:tc>
          <w:tcPr>
            <w:tcW w:w="2860" w:type="dxa"/>
            <w:vAlign w:val="bottom"/>
          </w:tcPr>
          <w:p>
            <w:pPr>
              <w:jc w:val="center"/>
              <w:ind w:right="35"/>
              <w:spacing w:after="0" w:line="193" w:lineRule="exact"/>
              <w:rPr>
                <w:sz w:val="20"/>
                <w:szCs w:val="20"/>
                <w:color w:val="auto"/>
              </w:rPr>
            </w:pPr>
            <w:r>
              <w:rPr>
                <w:rFonts w:ascii="Times New Roman" w:cs="Times New Roman" w:eastAsia="Times New Roman" w:hAnsi="Times New Roman"/>
                <w:sz w:val="18"/>
                <w:szCs w:val="18"/>
                <w:color w:val="auto"/>
                <w:w w:val="98"/>
              </w:rPr>
              <w:t>Exhibit 4.1 of the Company’s</w:t>
            </w:r>
          </w:p>
        </w:tc>
        <w:tc>
          <w:tcPr>
            <w:tcW w:w="174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460" w:type="dxa"/>
            <w:vAlign w:val="bottom"/>
          </w:tcPr>
          <w:p>
            <w:pPr>
              <w:spacing w:after="0"/>
              <w:rPr>
                <w:sz w:val="13"/>
                <w:szCs w:val="13"/>
                <w:color w:val="auto"/>
              </w:rPr>
            </w:pPr>
          </w:p>
        </w:tc>
        <w:tc>
          <w:tcPr>
            <w:tcW w:w="4600" w:type="dxa"/>
            <w:vAlign w:val="bottom"/>
            <w:tcBorders>
              <w:top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International Ltd., as issuer, the guarantors thereto and Deutsche</w:t>
              </w:r>
            </w:hyperlink>
          </w:p>
        </w:tc>
        <w:tc>
          <w:tcPr>
            <w:tcW w:w="200" w:type="dxa"/>
            <w:vAlign w:val="bottom"/>
            <w:gridSpan w:val="2"/>
          </w:tcPr>
          <w:p>
            <w:pPr>
              <w:spacing w:after="0"/>
              <w:rPr>
                <w:sz w:val="13"/>
                <w:szCs w:val="13"/>
                <w:color w:val="auto"/>
              </w:rPr>
            </w:pPr>
          </w:p>
        </w:tc>
        <w:tc>
          <w:tcPr>
            <w:tcW w:w="2860" w:type="dxa"/>
            <w:vAlign w:val="bottom"/>
          </w:tcPr>
          <w:p>
            <w:pPr>
              <w:jc w:val="center"/>
              <w:ind w:right="75"/>
              <w:spacing w:after="0" w:line="152" w:lineRule="exact"/>
              <w:rPr>
                <w:sz w:val="20"/>
                <w:szCs w:val="20"/>
                <w:color w:val="auto"/>
              </w:rPr>
            </w:pPr>
            <w:r>
              <w:rPr>
                <w:rFonts w:ascii="Times New Roman" w:cs="Times New Roman" w:eastAsia="Times New Roman" w:hAnsi="Times New Roman"/>
                <w:sz w:val="17"/>
                <w:szCs w:val="17"/>
                <w:color w:val="auto"/>
              </w:rPr>
              <w:t>Current</w:t>
            </w:r>
          </w:p>
        </w:tc>
        <w:tc>
          <w:tcPr>
            <w:tcW w:w="1740" w:type="dxa"/>
            <w:vAlign w:val="bottom"/>
          </w:tcPr>
          <w:p>
            <w:pPr>
              <w:spacing w:after="0"/>
              <w:rPr>
                <w:sz w:val="13"/>
                <w:szCs w:val="13"/>
                <w:color w:val="auto"/>
              </w:rPr>
            </w:pPr>
          </w:p>
        </w:tc>
      </w:tr>
      <w:tr>
        <w:trPr>
          <w:trHeight w:val="152"/>
        </w:trPr>
        <w:tc>
          <w:tcPr>
            <w:tcW w:w="146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Bank Trust Company Americas, as trustee.</w:t>
              </w:r>
            </w:hyperlink>
          </w:p>
        </w:tc>
        <w:tc>
          <w:tcPr>
            <w:tcW w:w="1520" w:type="dxa"/>
            <w:vAlign w:val="bottom"/>
            <w:tcBorders>
              <w:top w:val="single" w:sz="8" w:color="0000FF"/>
            </w:tcBorders>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2860" w:type="dxa"/>
            <w:vAlign w:val="bottom"/>
          </w:tcPr>
          <w:p>
            <w:pPr>
              <w:jc w:val="center"/>
              <w:ind w:right="75"/>
              <w:spacing w:after="0" w:line="152" w:lineRule="exact"/>
              <w:rPr>
                <w:sz w:val="20"/>
                <w:szCs w:val="20"/>
                <w:color w:val="auto"/>
              </w:rPr>
            </w:pPr>
            <w:r>
              <w:rPr>
                <w:rFonts w:ascii="Times New Roman" w:cs="Times New Roman" w:eastAsia="Times New Roman" w:hAnsi="Times New Roman"/>
                <w:sz w:val="17"/>
                <w:szCs w:val="17"/>
                <w:color w:val="auto"/>
              </w:rPr>
              <w:t>Report on Form 8-K</w:t>
            </w:r>
          </w:p>
        </w:tc>
        <w:tc>
          <w:tcPr>
            <w:tcW w:w="1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-344170</wp:posOffset>
            </wp:positionV>
            <wp:extent cx="6891020" cy="521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891020" cy="52133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filed December 18, 2019</w:t>
      </w:r>
    </w:p>
    <w:p>
      <w:pPr>
        <w:sectPr>
          <w:pgSz w:w="11900" w:h="16838" w:orient="portrait"/>
          <w:cols w:equalWidth="0" w:num="1">
            <w:col w:w="11240"/>
          </w:cols>
          <w:pgMar w:left="320" w:top="360" w:right="339" w:bottom="1440" w:gutter="0" w:footer="0" w:header="0"/>
        </w:sectPr>
      </w:pPr>
    </w:p>
    <w:p>
      <w:pPr>
        <w:spacing w:after="0" w:line="5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9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4.3</w:t>
            </w:r>
          </w:p>
        </w:tc>
        <w:tc>
          <w:tcPr>
            <w:tcW w:w="330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Form of Senior Note (included in Exhibit 4.2).</w:t>
              </w:r>
            </w:hyperlink>
          </w:p>
        </w:tc>
        <w:tc>
          <w:tcPr>
            <w:tcW w:w="1280" w:type="dxa"/>
            <w:vAlign w:val="bottom"/>
            <w:gridSpan w:val="4"/>
          </w:tcPr>
          <w:p>
            <w:pPr>
              <w:spacing w:after="0"/>
              <w:rPr>
                <w:sz w:val="18"/>
                <w:szCs w:val="18"/>
                <w:color w:val="auto"/>
              </w:rPr>
            </w:pPr>
          </w:p>
        </w:tc>
      </w:tr>
      <w:tr>
        <w:trPr>
          <w:trHeight w:val="735"/>
        </w:trPr>
        <w:tc>
          <w:tcPr>
            <w:tcW w:w="9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4.4</w:t>
            </w:r>
          </w:p>
        </w:tc>
        <w:tc>
          <w:tcPr>
            <w:tcW w:w="4580" w:type="dxa"/>
            <w:vAlign w:val="bottom"/>
            <w:gridSpan w:val="5"/>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Warrant Certificate (included in Exhibit 10.47).</w:t>
              </w:r>
            </w:hyperlink>
          </w:p>
        </w:tc>
      </w:tr>
      <w:tr>
        <w:trPr>
          <w:trHeight w:val="20"/>
        </w:trPr>
        <w:tc>
          <w:tcPr>
            <w:tcW w:w="92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735"/>
        </w:trPr>
        <w:tc>
          <w:tcPr>
            <w:tcW w:w="9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4.5</w:t>
            </w:r>
          </w:p>
        </w:tc>
        <w:tc>
          <w:tcPr>
            <w:tcW w:w="4580" w:type="dxa"/>
            <w:vAlign w:val="bottom"/>
            <w:gridSpan w:val="5"/>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Indenture, dated August 28, 2020, by and among Weatherford</w:t>
              </w:r>
            </w:hyperlink>
          </w:p>
        </w:tc>
      </w:tr>
      <w:tr>
        <w:trPr>
          <w:trHeight w:val="152"/>
        </w:trPr>
        <w:tc>
          <w:tcPr>
            <w:tcW w:w="920" w:type="dxa"/>
            <w:vAlign w:val="bottom"/>
          </w:tcPr>
          <w:p>
            <w:pPr>
              <w:spacing w:after="0"/>
              <w:rPr>
                <w:sz w:val="13"/>
                <w:szCs w:val="13"/>
                <w:color w:val="auto"/>
              </w:rPr>
            </w:pPr>
          </w:p>
        </w:tc>
        <w:tc>
          <w:tcPr>
            <w:tcW w:w="4380" w:type="dxa"/>
            <w:vAlign w:val="bottom"/>
            <w:tcBorders>
              <w:top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International Ltd., as issuer, the guarantors party thereto and</w:t>
              </w:r>
            </w:hyperlink>
          </w:p>
        </w:tc>
        <w:tc>
          <w:tcPr>
            <w:tcW w:w="2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4580" w:type="dxa"/>
            <w:vAlign w:val="bottom"/>
            <w:tcBorders>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Wilmington Trust, National Association, as trustee and collateral</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-824230</wp:posOffset>
            </wp:positionV>
            <wp:extent cx="6891020" cy="4794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ind w:left="146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agent.</w:t>
        </w:r>
      </w:hyperlink>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Included in Exhibit 4.1 of the</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File No. 1-36504</w:t>
            </w:r>
          </w:p>
        </w:tc>
        <w:tc>
          <w:tcPr>
            <w:tcW w:w="0" w:type="dxa"/>
            <w:vAlign w:val="bottom"/>
          </w:tcPr>
          <w:p>
            <w:pPr>
              <w:spacing w:after="0"/>
              <w:rPr>
                <w:sz w:val="1"/>
                <w:szCs w:val="1"/>
                <w:color w:val="auto"/>
              </w:rPr>
            </w:pPr>
          </w:p>
        </w:tc>
      </w:tr>
      <w:tr>
        <w:trPr>
          <w:trHeight w:val="172"/>
        </w:trPr>
        <w:tc>
          <w:tcPr>
            <w:tcW w:w="2500" w:type="dxa"/>
            <w:vAlign w:val="bottom"/>
          </w:tcPr>
          <w:p>
            <w:pPr>
              <w:jc w:val="center"/>
              <w:ind w:right="272"/>
              <w:spacing w:after="0" w:line="172" w:lineRule="exact"/>
              <w:rPr>
                <w:sz w:val="20"/>
                <w:szCs w:val="20"/>
                <w:color w:val="auto"/>
              </w:rPr>
            </w:pPr>
            <w:r>
              <w:rPr>
                <w:rFonts w:ascii="Times New Roman" w:cs="Times New Roman" w:eastAsia="Times New Roman" w:hAnsi="Times New Roman"/>
                <w:sz w:val="18"/>
                <w:szCs w:val="18"/>
                <w:color w:val="auto"/>
                <w:w w:val="96"/>
              </w:rPr>
              <w:t>Company’s Current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jc w:val="center"/>
              <w:ind w:right="272"/>
              <w:spacing w:after="0" w:line="181"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50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500" w:type="dxa"/>
            <w:vAlign w:val="bottom"/>
          </w:tcPr>
          <w:p>
            <w:pPr>
              <w:jc w:val="center"/>
              <w:ind w:right="232"/>
              <w:spacing w:after="0" w:line="177" w:lineRule="exact"/>
              <w:rPr>
                <w:sz w:val="20"/>
                <w:szCs w:val="20"/>
                <w:color w:val="auto"/>
              </w:rPr>
            </w:pPr>
            <w:r>
              <w:rPr>
                <w:rFonts w:ascii="Times New Roman" w:cs="Times New Roman" w:eastAsia="Times New Roman" w:hAnsi="Times New Roman"/>
                <w:sz w:val="18"/>
                <w:szCs w:val="18"/>
                <w:color w:val="auto"/>
                <w:w w:val="98"/>
              </w:rPr>
              <w:t>Included in Exhibit 10.4 of the</w:t>
            </w:r>
          </w:p>
        </w:tc>
        <w:tc>
          <w:tcPr>
            <w:tcW w:w="154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w w:val="95"/>
              </w:rPr>
              <w:t>File No. 1-36504</w:t>
            </w:r>
          </w:p>
        </w:tc>
        <w:tc>
          <w:tcPr>
            <w:tcW w:w="0" w:type="dxa"/>
            <w:vAlign w:val="bottom"/>
          </w:tcPr>
          <w:p>
            <w:pPr>
              <w:spacing w:after="0"/>
              <w:rPr>
                <w:sz w:val="1"/>
                <w:szCs w:val="1"/>
                <w:color w:val="auto"/>
              </w:rPr>
            </w:pPr>
          </w:p>
        </w:tc>
      </w:tr>
      <w:tr>
        <w:trPr>
          <w:trHeight w:val="172"/>
        </w:trPr>
        <w:tc>
          <w:tcPr>
            <w:tcW w:w="2500" w:type="dxa"/>
            <w:vAlign w:val="bottom"/>
          </w:tcPr>
          <w:p>
            <w:pPr>
              <w:jc w:val="center"/>
              <w:ind w:right="272"/>
              <w:spacing w:after="0" w:line="172" w:lineRule="exact"/>
              <w:rPr>
                <w:sz w:val="20"/>
                <w:szCs w:val="20"/>
                <w:color w:val="auto"/>
              </w:rPr>
            </w:pPr>
            <w:r>
              <w:rPr>
                <w:rFonts w:ascii="Times New Roman" w:cs="Times New Roman" w:eastAsia="Times New Roman" w:hAnsi="Times New Roman"/>
                <w:sz w:val="18"/>
                <w:szCs w:val="18"/>
                <w:color w:val="auto"/>
                <w:w w:val="96"/>
              </w:rPr>
              <w:t>Company’s Current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jc w:val="center"/>
              <w:ind w:right="272"/>
              <w:spacing w:after="0" w:line="181"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0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5"/>
              </w:rPr>
              <w:t>File No. 1-36504</w:t>
            </w:r>
          </w:p>
        </w:tc>
        <w:tc>
          <w:tcPr>
            <w:tcW w:w="0" w:type="dxa"/>
            <w:vAlign w:val="bottom"/>
          </w:tcPr>
          <w:p>
            <w:pPr>
              <w:spacing w:after="0"/>
              <w:rPr>
                <w:sz w:val="1"/>
                <w:szCs w:val="1"/>
                <w:color w:val="auto"/>
              </w:rPr>
            </w:pPr>
          </w:p>
        </w:tc>
      </w:tr>
      <w:tr>
        <w:trPr>
          <w:trHeight w:val="206"/>
        </w:trPr>
        <w:tc>
          <w:tcPr>
            <w:tcW w:w="2500" w:type="dxa"/>
            <w:vAlign w:val="bottom"/>
          </w:tcPr>
          <w:p>
            <w:pPr>
              <w:jc w:val="center"/>
              <w:ind w:right="232"/>
              <w:spacing w:after="0" w:line="206" w:lineRule="exact"/>
              <w:rPr>
                <w:sz w:val="20"/>
                <w:szCs w:val="20"/>
                <w:color w:val="auto"/>
              </w:rPr>
            </w:pPr>
            <w:r>
              <w:rPr>
                <w:rFonts w:ascii="Times New Roman" w:cs="Times New Roman" w:eastAsia="Times New Roman" w:hAnsi="Times New Roman"/>
                <w:sz w:val="18"/>
                <w:szCs w:val="18"/>
                <w:color w:val="auto"/>
                <w:w w:val="96"/>
              </w:rPr>
              <w:t>Exhibit 4.1 of the</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00" w:type="dxa"/>
            <w:vAlign w:val="bottom"/>
          </w:tcPr>
          <w:p>
            <w:pPr>
              <w:jc w:val="center"/>
              <w:ind w:right="232"/>
              <w:spacing w:after="0" w:line="19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Report on Form 8-K</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0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filed August 28, 2020</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40" w:space="500"/>
            <w:col w:w="4700"/>
          </w:cols>
          <w:pgMar w:left="320" w:top="360" w:right="3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3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15"/>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1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4.6</w:t>
            </w:r>
          </w:p>
        </w:tc>
        <w:tc>
          <w:tcPr>
            <w:tcW w:w="200" w:type="dxa"/>
            <w:vAlign w:val="bottom"/>
          </w:tcPr>
          <w:p>
            <w:pPr>
              <w:spacing w:after="0"/>
              <w:rPr>
                <w:sz w:val="16"/>
                <w:szCs w:val="16"/>
                <w:color w:val="auto"/>
              </w:rPr>
            </w:pPr>
          </w:p>
        </w:tc>
        <w:tc>
          <w:tcPr>
            <w:tcW w:w="3300" w:type="dxa"/>
            <w:vAlign w:val="bottom"/>
            <w:tcBorders>
              <w:bottom w:val="single" w:sz="8" w:color="0000FF"/>
            </w:tcBorders>
            <w:gridSpan w:val="4"/>
          </w:tcPr>
          <w:p>
            <w:pPr>
              <w:spacing w:after="0" w:line="191" w:lineRule="exact"/>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Form of Senior Note (included in Exhibit 4.5).</w:t>
              </w:r>
            </w:hyperlink>
          </w:p>
        </w:tc>
        <w:tc>
          <w:tcPr>
            <w:tcW w:w="1420" w:type="dxa"/>
            <w:vAlign w:val="bottom"/>
            <w:gridSpan w:val="13"/>
          </w:tcPr>
          <w:p>
            <w:pPr>
              <w:spacing w:after="0"/>
              <w:rPr>
                <w:sz w:val="16"/>
                <w:szCs w:val="16"/>
                <w:color w:val="auto"/>
              </w:rPr>
            </w:pPr>
          </w:p>
        </w:tc>
      </w:tr>
      <w:tr>
        <w:trPr>
          <w:trHeight w:val="84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200" w:type="dxa"/>
            <w:vAlign w:val="bottom"/>
          </w:tcPr>
          <w:p>
            <w:pPr>
              <w:spacing w:after="0"/>
              <w:rPr>
                <w:sz w:val="24"/>
                <w:szCs w:val="24"/>
                <w:color w:val="auto"/>
              </w:rPr>
            </w:pPr>
          </w:p>
        </w:tc>
        <w:tc>
          <w:tcPr>
            <w:tcW w:w="4720" w:type="dxa"/>
            <w:vAlign w:val="bottom"/>
            <w:gridSpan w:val="17"/>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Indenture, dated September 30, 2021, by and among Weatherford</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International Ltd., as issuer, the guarantors party thereto and</w:t>
              </w:r>
            </w:hyperlink>
          </w:p>
        </w:tc>
        <w:tc>
          <w:tcPr>
            <w:tcW w:w="3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20" w:type="dxa"/>
            <w:vAlign w:val="bottom"/>
            <w:gridSpan w:val="17"/>
          </w:tcPr>
          <w:p>
            <w:pPr>
              <w:spacing w:after="0" w:line="165"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Wilmington Trust, National Association, as trustee and collateral</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agent.</w:t>
              </w:r>
            </w:hyperlink>
          </w:p>
        </w:tc>
        <w:tc>
          <w:tcPr>
            <w:tcW w:w="414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1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4.8</w:t>
            </w:r>
          </w:p>
        </w:tc>
        <w:tc>
          <w:tcPr>
            <w:tcW w:w="200" w:type="dxa"/>
            <w:vAlign w:val="bottom"/>
          </w:tcPr>
          <w:p>
            <w:pPr>
              <w:spacing w:after="0"/>
              <w:rPr>
                <w:sz w:val="17"/>
                <w:szCs w:val="17"/>
                <w:color w:val="auto"/>
              </w:rPr>
            </w:pPr>
          </w:p>
        </w:tc>
        <w:tc>
          <w:tcPr>
            <w:tcW w:w="2800" w:type="dxa"/>
            <w:vAlign w:val="bottom"/>
            <w:tcBorders>
              <w:bottom w:val="single" w:sz="8" w:color="0000FF"/>
            </w:tcBorders>
            <w:gridSpan w:val="3"/>
          </w:tcPr>
          <w:p>
            <w:pPr>
              <w:spacing w:after="0" w:line="205" w:lineRule="exact"/>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Form of Note (included in Exhibit 4.7).</w:t>
              </w:r>
            </w:hyperlink>
          </w:p>
        </w:tc>
        <w:tc>
          <w:tcPr>
            <w:tcW w:w="1920" w:type="dxa"/>
            <w:vAlign w:val="bottom"/>
            <w:gridSpan w:val="14"/>
          </w:tcPr>
          <w:p>
            <w:pPr>
              <w:spacing w:after="0"/>
              <w:rPr>
                <w:sz w:val="17"/>
                <w:szCs w:val="17"/>
                <w:color w:val="auto"/>
              </w:rPr>
            </w:pPr>
          </w:p>
        </w:tc>
      </w:tr>
      <w:tr>
        <w:trPr>
          <w:trHeight w:val="643"/>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00" w:type="dxa"/>
            <w:vAlign w:val="bottom"/>
          </w:tcPr>
          <w:p>
            <w:pPr>
              <w:spacing w:after="0"/>
              <w:rPr>
                <w:sz w:val="24"/>
                <w:szCs w:val="24"/>
                <w:color w:val="auto"/>
              </w:rPr>
            </w:pPr>
          </w:p>
        </w:tc>
        <w:tc>
          <w:tcPr>
            <w:tcW w:w="4720" w:type="dxa"/>
            <w:vAlign w:val="bottom"/>
            <w:gridSpan w:val="17"/>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Indenture, dated October 27, 2021, by and among Weatherford</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4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International Ltd., as issuer, the guarantors party thereto and</w:t>
              </w:r>
            </w:hyperlink>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5"/>
          </w:tcPr>
          <w:p>
            <w:pPr>
              <w:spacing w:after="0" w:line="165" w:lineRule="exact"/>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Deutsche Bank Trust Company Americas, as trustee.</w:t>
              </w:r>
            </w:hyperlink>
          </w:p>
        </w:tc>
        <w:tc>
          <w:tcPr>
            <w:tcW w:w="520" w:type="dxa"/>
            <w:vAlign w:val="bottom"/>
            <w:tcBorders>
              <w:top w:val="single" w:sz="8" w:color="0000FF"/>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5"/>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200" w:type="dxa"/>
            <w:vAlign w:val="bottom"/>
          </w:tcPr>
          <w:p>
            <w:pPr>
              <w:spacing w:after="0"/>
              <w:rPr>
                <w:sz w:val="24"/>
                <w:szCs w:val="24"/>
                <w:color w:val="auto"/>
              </w:rPr>
            </w:pPr>
          </w:p>
        </w:tc>
        <w:tc>
          <w:tcPr>
            <w:tcW w:w="28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Form of Note (included in Exhibit 4.9).</w:t>
              </w:r>
            </w:hyperlink>
          </w:p>
        </w:tc>
        <w:tc>
          <w:tcPr>
            <w:tcW w:w="1920" w:type="dxa"/>
            <w:vAlign w:val="bottom"/>
            <w:gridSpan w:val="14"/>
          </w:tcPr>
          <w:p>
            <w:pPr>
              <w:spacing w:after="0"/>
              <w:rPr>
                <w:sz w:val="24"/>
                <w:szCs w:val="24"/>
                <w:color w:val="auto"/>
              </w:rPr>
            </w:pPr>
          </w:p>
        </w:tc>
      </w:tr>
      <w:tr>
        <w:trPr>
          <w:trHeight w:val="643"/>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200" w:type="dxa"/>
            <w:vAlign w:val="bottom"/>
          </w:tcPr>
          <w:p>
            <w:pPr>
              <w:spacing w:after="0"/>
              <w:rPr>
                <w:sz w:val="24"/>
                <w:szCs w:val="24"/>
                <w:color w:val="auto"/>
              </w:rPr>
            </w:pPr>
          </w:p>
        </w:tc>
        <w:tc>
          <w:tcPr>
            <w:tcW w:w="4720" w:type="dxa"/>
            <w:vAlign w:val="bottom"/>
            <w:gridSpan w:val="17"/>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Supplemental Indenture, dated as of December 1, 2022, by and</w:t>
              </w:r>
            </w:hyperlink>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20" w:type="dxa"/>
            <w:vAlign w:val="bottom"/>
            <w:gridSpan w:val="17"/>
          </w:tcPr>
          <w:p>
            <w:pPr>
              <w:spacing w:after="0" w:line="15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among Weatherford International, LLC, Weatherford International</w:t>
              </w:r>
            </w:hyperlink>
          </w:p>
        </w:tc>
      </w:tr>
      <w:tr>
        <w:trPr>
          <w:trHeight w:val="166"/>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0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plc, as parent guarantor, Weatherford International Ltd., as issuer,</w:t>
              </w:r>
            </w:hyperlink>
          </w:p>
        </w:tc>
        <w:tc>
          <w:tcPr>
            <w:tcW w:w="20" w:type="dxa"/>
            <w:vAlign w:val="bottom"/>
          </w:tcPr>
          <w:p>
            <w:pPr>
              <w:spacing w:after="0"/>
              <w:rPr>
                <w:sz w:val="14"/>
                <w:szCs w:val="14"/>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and Deutsche Bank Trust Company Americas, as trustee.</w:t>
              </w:r>
            </w:hyperlink>
          </w:p>
        </w:tc>
        <w:tc>
          <w:tcPr>
            <w:tcW w:w="60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5"/>
        </w:trPr>
        <w:tc>
          <w:tcPr>
            <w:tcW w:w="1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17"/>
                <w:szCs w:val="17"/>
                <w:color w:val="auto"/>
              </w:rPr>
            </w:pPr>
          </w:p>
        </w:tc>
        <w:tc>
          <w:tcPr>
            <w:tcW w:w="4720" w:type="dxa"/>
            <w:vAlign w:val="bottom"/>
            <w:gridSpan w:val="17"/>
          </w:tcPr>
          <w:p>
            <w:pPr>
              <w:spacing w:after="0" w:line="20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Offer Letter to Girishchandra K. Saligram dated September 9,</w:t>
              </w:r>
            </w:hyperlink>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top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2020.</w:t>
              </w:r>
            </w:hyperlink>
          </w:p>
        </w:tc>
        <w:tc>
          <w:tcPr>
            <w:tcW w:w="23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r>
      <w:tr>
        <w:trPr>
          <w:trHeight w:val="108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00" w:type="dxa"/>
            <w:vAlign w:val="bottom"/>
          </w:tcPr>
          <w:p>
            <w:pPr>
              <w:spacing w:after="0"/>
              <w:rPr>
                <w:sz w:val="24"/>
                <w:szCs w:val="24"/>
                <w:color w:val="auto"/>
              </w:rPr>
            </w:pPr>
          </w:p>
        </w:tc>
        <w:tc>
          <w:tcPr>
            <w:tcW w:w="39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Offer Letter to Scott C. Weatherholt, dated July 8, 2020.</w:t>
              </w:r>
            </w:hyperlink>
          </w:p>
        </w:tc>
        <w:tc>
          <w:tcPr>
            <w:tcW w:w="740" w:type="dxa"/>
            <w:vAlign w:val="bottom"/>
            <w:gridSpan w:val="11"/>
          </w:tcPr>
          <w:p>
            <w:pPr>
              <w:spacing w:after="0"/>
              <w:rPr>
                <w:sz w:val="24"/>
                <w:szCs w:val="24"/>
                <w:color w:val="auto"/>
              </w:rPr>
            </w:pPr>
          </w:p>
        </w:tc>
      </w:tr>
      <w:tr>
        <w:trPr>
          <w:trHeight w:val="84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00" w:type="dxa"/>
            <w:vAlign w:val="bottom"/>
          </w:tcPr>
          <w:p>
            <w:pPr>
              <w:spacing w:after="0"/>
              <w:rPr>
                <w:sz w:val="24"/>
                <w:szCs w:val="24"/>
                <w:color w:val="auto"/>
              </w:rPr>
            </w:pPr>
          </w:p>
        </w:tc>
        <w:tc>
          <w:tcPr>
            <w:tcW w:w="40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Offer Letter to Desmond Mills, dated February 24, 2021.</w:t>
              </w:r>
            </w:hyperlink>
          </w:p>
        </w:tc>
        <w:tc>
          <w:tcPr>
            <w:tcW w:w="680" w:type="dxa"/>
            <w:vAlign w:val="bottom"/>
            <w:gridSpan w:val="1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-4248150</wp:posOffset>
            </wp:positionV>
            <wp:extent cx="6891020" cy="546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891020" cy="546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-3221990</wp:posOffset>
            </wp:positionV>
            <wp:extent cx="6891020" cy="421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891020" cy="421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-2380615</wp:posOffset>
            </wp:positionV>
            <wp:extent cx="6891020" cy="421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891020" cy="421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-1480185</wp:posOffset>
            </wp:positionV>
            <wp:extent cx="6891020" cy="807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6891020" cy="8077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-125730</wp:posOffset>
            </wp:positionV>
            <wp:extent cx="6891020" cy="807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6891020" cy="80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Original Filed Exhibit</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Included in Exhibit 4.1 of</w:t>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Current</w:t>
      </w:r>
    </w:p>
    <w:p>
      <w:pPr>
        <w:ind w:left="540"/>
        <w:spacing w:after="0" w:line="236" w:lineRule="auto"/>
        <w:rPr>
          <w:sz w:val="20"/>
          <w:szCs w:val="20"/>
          <w:color w:val="auto"/>
        </w:rPr>
      </w:pPr>
      <w:r>
        <w:rPr>
          <w:rFonts w:ascii="Times New Roman" w:cs="Times New Roman" w:eastAsia="Times New Roman" w:hAnsi="Times New Roman"/>
          <w:sz w:val="18"/>
          <w:szCs w:val="18"/>
          <w:color w:val="auto"/>
        </w:rPr>
        <w:t>Report on Form 8-K</w:t>
      </w:r>
    </w:p>
    <w:p>
      <w:pPr>
        <w:ind w:left="500"/>
        <w:spacing w:after="0"/>
        <w:rPr>
          <w:sz w:val="20"/>
          <w:szCs w:val="20"/>
          <w:color w:val="auto"/>
        </w:rPr>
      </w:pPr>
      <w:r>
        <w:rPr>
          <w:rFonts w:ascii="Times New Roman" w:cs="Times New Roman" w:eastAsia="Times New Roman" w:hAnsi="Times New Roman"/>
          <w:sz w:val="18"/>
          <w:szCs w:val="18"/>
          <w:color w:val="auto"/>
        </w:rPr>
        <w:t>filed August 28, 2020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Exhibit 4.1 of the Company’s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on Form 8-K filed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Included in Exhibit 4.1 of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Company’s Current Report on Form</w:t>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8-K filed September 30, 2021</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Exhibit 4.1 of the Company’s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on Form 8-K filed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27, 2021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Included in Exhibit 4.1 of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Company’s Current Report on Form</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8-K filed October 27, 2021</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Exhibit 4.2 of the Company’s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on Form 8-K filed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5, 2022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10.5 of the</w:t>
      </w:r>
    </w:p>
    <w:p>
      <w:pPr>
        <w:spacing w:after="0" w:line="12" w:lineRule="exact"/>
        <w:rPr>
          <w:sz w:val="20"/>
          <w:szCs w:val="20"/>
          <w:color w:val="auto"/>
        </w:rPr>
      </w:pPr>
    </w:p>
    <w:p>
      <w:pPr>
        <w:ind w:left="420" w:right="440" w:firstLine="81"/>
        <w:spacing w:after="0" w:line="257" w:lineRule="auto"/>
        <w:rPr>
          <w:sz w:val="20"/>
          <w:szCs w:val="20"/>
          <w:color w:val="auto"/>
        </w:rPr>
      </w:pPr>
      <w:r>
        <w:rPr>
          <w:rFonts w:ascii="Times New Roman" w:cs="Times New Roman" w:eastAsia="Times New Roman" w:hAnsi="Times New Roman"/>
          <w:sz w:val="17"/>
          <w:szCs w:val="17"/>
          <w:color w:val="auto"/>
        </w:rPr>
        <w:t>Company’s Quarterly Report on Form 10-Q for the period ending September 30, 2020 filed November 4, 2020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10.36 of the Company’s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Annual Report on Form 10-K/A for the year ended December 31, 2020 filed March 18, 2021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10.7 of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Company’s Quarterly</w:t>
      </w:r>
    </w:p>
    <w:p>
      <w:pPr>
        <w:jc w:val="center"/>
        <w:spacing w:after="0" w:line="236" w:lineRule="auto"/>
        <w:rPr>
          <w:sz w:val="20"/>
          <w:szCs w:val="20"/>
          <w:color w:val="auto"/>
        </w:rPr>
      </w:pPr>
      <w:r>
        <w:rPr>
          <w:rFonts w:ascii="Times New Roman" w:cs="Times New Roman" w:eastAsia="Times New Roman" w:hAnsi="Times New Roman"/>
          <w:sz w:val="18"/>
          <w:szCs w:val="18"/>
          <w:color w:val="auto"/>
        </w:rPr>
        <w:t>Report on Form 10-Q</w:t>
      </w:r>
    </w:p>
    <w:p>
      <w:pPr>
        <w:jc w:val="center"/>
        <w:spacing w:after="0" w:line="230" w:lineRule="auto"/>
        <w:rPr>
          <w:sz w:val="20"/>
          <w:szCs w:val="20"/>
          <w:color w:val="auto"/>
        </w:rPr>
      </w:pPr>
      <w:r>
        <w:rPr>
          <w:rFonts w:ascii="Times New Roman" w:cs="Times New Roman" w:eastAsia="Times New Roman" w:hAnsi="Times New Roman"/>
          <w:sz w:val="18"/>
          <w:szCs w:val="18"/>
          <w:color w:val="auto"/>
        </w:rPr>
        <w:t>for the period ending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filed May 6,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1264" w:lineRule="exact"/>
        <w:rPr>
          <w:sz w:val="20"/>
          <w:szCs w:val="20"/>
          <w:color w:val="auto"/>
        </w:rPr>
      </w:pPr>
    </w:p>
    <w:p>
      <w:pPr>
        <w:sectPr>
          <w:pgSz w:w="11900" w:h="16838" w:orient="portrait"/>
          <w:cols w:equalWidth="0" w:num="3">
            <w:col w:w="6160" w:space="200"/>
            <w:col w:w="2560" w:space="460"/>
            <w:col w:w="1860"/>
          </w:cols>
          <w:pgMar w:left="320" w:top="39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3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18"/>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91"/>
        </w:trPr>
        <w:tc>
          <w:tcPr>
            <w:tcW w:w="1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*10.4</w:t>
            </w:r>
          </w:p>
        </w:tc>
        <w:tc>
          <w:tcPr>
            <w:tcW w:w="200" w:type="dxa"/>
            <w:vAlign w:val="bottom"/>
          </w:tcPr>
          <w:p>
            <w:pPr>
              <w:spacing w:after="0"/>
              <w:rPr>
                <w:sz w:val="16"/>
                <w:szCs w:val="16"/>
                <w:color w:val="auto"/>
              </w:rPr>
            </w:pPr>
          </w:p>
        </w:tc>
        <w:tc>
          <w:tcPr>
            <w:tcW w:w="4780" w:type="dxa"/>
            <w:vAlign w:val="bottom"/>
            <w:gridSpan w:val="21"/>
          </w:tcPr>
          <w:p>
            <w:pPr>
              <w:spacing w:after="0" w:line="191"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Offer Letter to Joseph Mongrain, dated March 11, 2021.</w:t>
              </w:r>
            </w:hyperlink>
          </w:p>
        </w:tc>
        <w:tc>
          <w:tcPr>
            <w:tcW w:w="2920" w:type="dxa"/>
            <w:vAlign w:val="bottom"/>
          </w:tcPr>
          <w:p>
            <w:pPr>
              <w:jc w:val="center"/>
              <w:ind w:right="53"/>
              <w:spacing w:after="0" w:line="191"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47"/>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20" w:type="dxa"/>
            <w:vAlign w:val="bottom"/>
          </w:tcPr>
          <w:p>
            <w:pPr>
              <w:jc w:val="center"/>
              <w:ind w:right="53"/>
              <w:spacing w:after="0" w:line="147" w:lineRule="exact"/>
              <w:rPr>
                <w:sz w:val="20"/>
                <w:szCs w:val="20"/>
                <w:color w:val="auto"/>
              </w:rPr>
            </w:pPr>
            <w:r>
              <w:rPr>
                <w:rFonts w:ascii="Times New Roman" w:cs="Times New Roman" w:eastAsia="Times New Roman" w:hAnsi="Times New Roman"/>
                <w:sz w:val="17"/>
                <w:szCs w:val="17"/>
                <w:color w:val="auto"/>
              </w:rPr>
              <w:t>Quarterly Report on Form 10-Q for</w:t>
            </w:r>
          </w:p>
        </w:tc>
        <w:tc>
          <w:tcPr>
            <w:tcW w:w="1700" w:type="dxa"/>
            <w:vAlign w:val="bottom"/>
          </w:tcPr>
          <w:p>
            <w:pPr>
              <w:spacing w:after="0"/>
              <w:rPr>
                <w:sz w:val="12"/>
                <w:szCs w:val="12"/>
                <w:color w:val="auto"/>
              </w:rPr>
            </w:pPr>
          </w:p>
        </w:tc>
      </w:tr>
      <w:tr>
        <w:trPr>
          <w:trHeight w:val="177"/>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tcPr>
          <w:p>
            <w:pPr>
              <w:jc w:val="center"/>
              <w:ind w:right="53"/>
              <w:spacing w:after="0" w:line="177" w:lineRule="exact"/>
              <w:rPr>
                <w:sz w:val="20"/>
                <w:szCs w:val="20"/>
                <w:color w:val="auto"/>
              </w:rPr>
            </w:pPr>
            <w:r>
              <w:rPr>
                <w:rFonts w:ascii="Times New Roman" w:cs="Times New Roman" w:eastAsia="Times New Roman" w:hAnsi="Times New Roman"/>
                <w:sz w:val="18"/>
                <w:szCs w:val="18"/>
                <w:color w:val="auto"/>
                <w:w w:val="97"/>
              </w:rPr>
              <w:t>the period ending June 30, 2021</w:t>
            </w:r>
          </w:p>
        </w:tc>
        <w:tc>
          <w:tcPr>
            <w:tcW w:w="1700" w:type="dxa"/>
            <w:vAlign w:val="bottom"/>
          </w:tcPr>
          <w:p>
            <w:pPr>
              <w:spacing w:after="0"/>
              <w:rPr>
                <w:sz w:val="15"/>
                <w:szCs w:val="15"/>
                <w:color w:val="auto"/>
              </w:rPr>
            </w:pPr>
          </w:p>
        </w:tc>
      </w:tr>
      <w:tr>
        <w:trPr>
          <w:trHeight w:val="225"/>
        </w:trPr>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7"/>
              </w:rPr>
              <w:t>filed on July 29, 2021</w:t>
            </w:r>
          </w:p>
        </w:tc>
        <w:tc>
          <w:tcPr>
            <w:tcW w:w="1700" w:type="dxa"/>
            <w:vAlign w:val="bottom"/>
          </w:tcPr>
          <w:p>
            <w:pPr>
              <w:spacing w:after="0"/>
              <w:rPr>
                <w:sz w:val="19"/>
                <w:szCs w:val="19"/>
                <w:color w:val="auto"/>
              </w:rPr>
            </w:pPr>
          </w:p>
        </w:tc>
      </w:tr>
      <w:tr>
        <w:trPr>
          <w:trHeight w:val="205"/>
        </w:trPr>
        <w:tc>
          <w:tcPr>
            <w:tcW w:w="1460" w:type="dxa"/>
            <w:vAlign w:val="bottom"/>
            <w:tcBorders>
              <w:bottom w:val="single" w:sz="8" w:color="CCEEFF"/>
            </w:tcBorders>
            <w:gridSpan w:val="2"/>
            <w:shd w:val="clear" w:color="auto" w:fill="CCEEFF"/>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auto"/>
                <w:w w:val="96"/>
              </w:rPr>
              <w:t>†*10.5</w:t>
            </w:r>
          </w:p>
        </w:tc>
        <w:tc>
          <w:tcPr>
            <w:tcW w:w="4660" w:type="dxa"/>
            <w:vAlign w:val="bottom"/>
            <w:tcBorders>
              <w:bottom w:val="single" w:sz="8" w:color="0000FF"/>
            </w:tcBorders>
            <w:gridSpan w:val="17"/>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Offer letter to Charles W. Davison, Jr., dated September 19, 2022.</w:t>
            </w:r>
          </w:p>
        </w:tc>
        <w:tc>
          <w:tcPr>
            <w:tcW w:w="120" w:type="dxa"/>
            <w:vAlign w:val="bottom"/>
            <w:tcBorders>
              <w:bottom w:val="single" w:sz="8" w:color="CCEEFF"/>
            </w:tcBorders>
            <w:gridSpan w:val="4"/>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r>
      <w:tr>
        <w:trPr>
          <w:trHeight w:val="195"/>
        </w:trPr>
        <w:tc>
          <w:tcPr>
            <w:tcW w:w="146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auto"/>
                <w:w w:val="96"/>
              </w:rPr>
              <w:t>†*10.6</w:t>
            </w:r>
          </w:p>
        </w:tc>
        <w:tc>
          <w:tcPr>
            <w:tcW w:w="3800" w:type="dxa"/>
            <w:vAlign w:val="bottom"/>
            <w:tcBorders>
              <w:bottom w:val="single" w:sz="8" w:color="0000FF"/>
            </w:tcBorders>
            <w:gridSpan w:val="7"/>
          </w:tcPr>
          <w:p>
            <w:pPr>
              <w:spacing w:after="0" w:line="186" w:lineRule="exact"/>
              <w:rPr>
                <w:sz w:val="20"/>
                <w:szCs w:val="20"/>
                <w:color w:val="auto"/>
              </w:rPr>
            </w:pPr>
            <w:r>
              <w:rPr>
                <w:rFonts w:ascii="Times New Roman" w:cs="Times New Roman" w:eastAsia="Times New Roman" w:hAnsi="Times New Roman"/>
                <w:sz w:val="18"/>
                <w:szCs w:val="18"/>
                <w:color w:val="0000FF"/>
                <w:w w:val="98"/>
              </w:rPr>
              <w:t>Offer letter to Arun Mitra, dated November 11, 2022.</w:t>
            </w:r>
          </w:p>
        </w:tc>
        <w:tc>
          <w:tcPr>
            <w:tcW w:w="980" w:type="dxa"/>
            <w:vAlign w:val="bottom"/>
            <w:gridSpan w:val="14"/>
          </w:tcPr>
          <w:p>
            <w:pPr>
              <w:spacing w:after="0"/>
              <w:rPr>
                <w:sz w:val="16"/>
                <w:szCs w:val="16"/>
                <w:color w:val="auto"/>
              </w:rPr>
            </w:pPr>
          </w:p>
        </w:tc>
        <w:tc>
          <w:tcPr>
            <w:tcW w:w="29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126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*10.7</w:t>
            </w:r>
          </w:p>
        </w:tc>
        <w:tc>
          <w:tcPr>
            <w:tcW w:w="200" w:type="dxa"/>
            <w:vAlign w:val="bottom"/>
            <w:tcBorders>
              <w:bottom w:val="single" w:sz="8" w:color="CCEEFF"/>
            </w:tcBorders>
            <w:shd w:val="clear" w:color="auto" w:fill="CCEEFF"/>
          </w:tcPr>
          <w:p>
            <w:pPr>
              <w:spacing w:after="0"/>
              <w:rPr>
                <w:sz w:val="16"/>
                <w:szCs w:val="16"/>
                <w:color w:val="auto"/>
              </w:rPr>
            </w:pPr>
          </w:p>
        </w:tc>
        <w:tc>
          <w:tcPr>
            <w:tcW w:w="4280" w:type="dxa"/>
            <w:vAlign w:val="bottom"/>
            <w:tcBorders>
              <w:bottom w:val="single" w:sz="8" w:color="0000FF"/>
            </w:tcBorders>
            <w:gridSpan w:val="11"/>
            <w:shd w:val="clear" w:color="auto" w:fill="CCEEFF"/>
          </w:tcPr>
          <w:p>
            <w:pPr>
              <w:spacing w:after="0" w:line="195"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Form of Deed of Indemnity of Weatherford International plc</w:t>
              </w:r>
            </w:hyperlink>
          </w:p>
        </w:tc>
        <w:tc>
          <w:tcPr>
            <w:tcW w:w="500" w:type="dxa"/>
            <w:vAlign w:val="bottom"/>
            <w:tcBorders>
              <w:bottom w:val="single" w:sz="8" w:color="CCEEFF"/>
            </w:tcBorders>
            <w:gridSpan w:val="10"/>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jc w:val="center"/>
              <w:ind w:right="93"/>
              <w:spacing w:after="0" w:line="195" w:lineRule="exact"/>
              <w:rPr>
                <w:sz w:val="20"/>
                <w:szCs w:val="20"/>
                <w:color w:val="auto"/>
              </w:rPr>
            </w:pPr>
            <w:r>
              <w:rPr>
                <w:rFonts w:ascii="Times New Roman" w:cs="Times New Roman" w:eastAsia="Times New Roman" w:hAnsi="Times New Roman"/>
                <w:sz w:val="18"/>
                <w:szCs w:val="18"/>
                <w:color w:val="auto"/>
                <w:w w:val="98"/>
              </w:rPr>
              <w:t>Exhibit 10.11 of the</w:t>
            </w:r>
          </w:p>
        </w:tc>
        <w:tc>
          <w:tcPr>
            <w:tcW w:w="170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780" w:type="dxa"/>
            <w:vAlign w:val="bottom"/>
            <w:gridSpan w:val="21"/>
            <w:shd w:val="clear" w:color="auto" w:fill="CCEEFF"/>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entered into by each director of Weatherford International plc and</w:t>
              </w:r>
            </w:hyperlink>
          </w:p>
        </w:tc>
        <w:tc>
          <w:tcPr>
            <w:tcW w:w="2920" w:type="dxa"/>
            <w:vAlign w:val="bottom"/>
            <w:shd w:val="clear" w:color="auto" w:fill="CCEEFF"/>
          </w:tcPr>
          <w:p>
            <w:pPr>
              <w:jc w:val="center"/>
              <w:ind w:right="93"/>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00" w:type="dxa"/>
            <w:vAlign w:val="bottom"/>
            <w:shd w:val="clear" w:color="auto" w:fill="CCEEFF"/>
          </w:tcPr>
          <w:p>
            <w:pPr>
              <w:spacing w:after="0"/>
              <w:rPr>
                <w:sz w:val="13"/>
                <w:szCs w:val="13"/>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0000FF"/>
            </w:tcBorders>
            <w:gridSpan w:val="16"/>
            <w:shd w:val="clear" w:color="auto" w:fill="CCEEFF"/>
          </w:tcPr>
          <w:p>
            <w:pPr>
              <w:spacing w:after="0" w:line="165"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each of the following executive officers of Weatherford</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920" w:type="dxa"/>
            <w:vAlign w:val="bottom"/>
            <w:tcBorders>
              <w:top w:val="single" w:sz="8" w:color="CCEEFF"/>
            </w:tcBorders>
            <w:shd w:val="clear" w:color="auto" w:fill="CCEEFF"/>
          </w:tcPr>
          <w:p>
            <w:pPr>
              <w:jc w:val="center"/>
              <w:ind w:right="93"/>
              <w:spacing w:after="0" w:line="165" w:lineRule="exact"/>
              <w:rPr>
                <w:sz w:val="20"/>
                <w:szCs w:val="20"/>
                <w:color w:val="auto"/>
              </w:rPr>
            </w:pPr>
            <w:r>
              <w:rPr>
                <w:rFonts w:ascii="Times New Roman" w:cs="Times New Roman" w:eastAsia="Times New Roman" w:hAnsi="Times New Roman"/>
                <w:sz w:val="18"/>
                <w:szCs w:val="18"/>
                <w:color w:val="auto"/>
                <w:w w:val="98"/>
              </w:rPr>
              <w:t>Report on Form 8-K12B</w:t>
            </w:r>
          </w:p>
        </w:tc>
        <w:tc>
          <w:tcPr>
            <w:tcW w:w="1700" w:type="dxa"/>
            <w:vAlign w:val="bottom"/>
            <w:tcBorders>
              <w:top w:val="single" w:sz="8" w:color="CCEEFF"/>
            </w:tcBorders>
            <w:shd w:val="clear" w:color="auto" w:fill="CCEEFF"/>
          </w:tcPr>
          <w:p>
            <w:pPr>
              <w:spacing w:after="0"/>
              <w:rPr>
                <w:sz w:val="14"/>
                <w:szCs w:val="14"/>
                <w:color w:val="auto"/>
              </w:rPr>
            </w:pPr>
          </w:p>
        </w:tc>
      </w:tr>
      <w:tr>
        <w:trPr>
          <w:trHeight w:val="152"/>
        </w:trPr>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3920" w:type="dxa"/>
            <w:vAlign w:val="bottom"/>
            <w:tcBorders>
              <w:top w:val="single" w:sz="8" w:color="0000FF"/>
              <w:bottom w:val="single" w:sz="8" w:color="0000FF"/>
            </w:tcBorders>
            <w:gridSpan w:val="8"/>
            <w:shd w:val="clear" w:color="auto" w:fill="CCEEFF"/>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International plc: Scott C. Weatherholt (July 23, 2020),</w:t>
              </w:r>
            </w:hyperlink>
          </w:p>
        </w:tc>
        <w:tc>
          <w:tcPr>
            <w:tcW w:w="680" w:type="dxa"/>
            <w:vAlign w:val="bottom"/>
            <w:tcBorders>
              <w:top w:val="single" w:sz="8" w:color="CCEEFF"/>
              <w:bottom w:val="single" w:sz="8" w:color="0000FF"/>
            </w:tcBorders>
            <w:gridSpan w:val="7"/>
            <w:shd w:val="clear" w:color="auto" w:fill="CCEEFF"/>
          </w:tcPr>
          <w:p>
            <w:pPr>
              <w:ind w:left="20"/>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Girish K.</w:t>
              </w:r>
            </w:hyperlink>
          </w:p>
        </w:tc>
        <w:tc>
          <w:tcPr>
            <w:tcW w:w="18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2920" w:type="dxa"/>
            <w:vAlign w:val="bottom"/>
            <w:tcBorders>
              <w:top w:val="single" w:sz="8" w:color="CCEEFF"/>
              <w:bottom w:val="single" w:sz="8" w:color="CCEEFF"/>
            </w:tcBorders>
            <w:shd w:val="clear" w:color="auto" w:fill="CCEEFF"/>
          </w:tcPr>
          <w:p>
            <w:pPr>
              <w:jc w:val="center"/>
              <w:ind w:right="53"/>
              <w:spacing w:after="0" w:line="152" w:lineRule="exact"/>
              <w:rPr>
                <w:sz w:val="20"/>
                <w:szCs w:val="20"/>
                <w:color w:val="auto"/>
              </w:rPr>
            </w:pPr>
            <w:r>
              <w:rPr>
                <w:rFonts w:ascii="Times New Roman" w:cs="Times New Roman" w:eastAsia="Times New Roman" w:hAnsi="Times New Roman"/>
                <w:sz w:val="17"/>
                <w:szCs w:val="17"/>
                <w:color w:val="auto"/>
              </w:rPr>
              <w:t>filed June 17, 2014</w:t>
            </w:r>
          </w:p>
        </w:tc>
        <w:tc>
          <w:tcPr>
            <w:tcW w:w="17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2"/>
        </w:trPr>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780" w:type="dxa"/>
            <w:vAlign w:val="bottom"/>
            <w:gridSpan w:val="21"/>
            <w:shd w:val="clear" w:color="auto" w:fill="CCEEFF"/>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Saligram (October 12, 2020), Joseph H. Mongrain (September 28,</w:t>
              </w:r>
            </w:hyperlink>
          </w:p>
        </w:tc>
        <w:tc>
          <w:tcPr>
            <w:tcW w:w="29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700" w:type="dxa"/>
            <w:vAlign w:val="bottom"/>
            <w:tcBorders>
              <w:top w:val="single" w:sz="8" w:color="0000FF"/>
            </w:tcBorders>
            <w:gridSpan w:val="19"/>
            <w:shd w:val="clear" w:color="auto" w:fill="CCEEFF"/>
          </w:tcPr>
          <w:p>
            <w:pPr>
              <w:spacing w:after="0" w:line="165"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2021), Desmond J. Mills (November 2, 2022), and Arunava Mitra</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92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0000FF"/>
            </w:tcBorders>
            <w:gridSpan w:val="18"/>
            <w:shd w:val="clear" w:color="auto" w:fill="CCEEFF"/>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(January 13, 2023).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40"/>
        </w:trPr>
        <w:tc>
          <w:tcPr>
            <w:tcW w:w="1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r>
      <w:tr>
        <w:trPr>
          <w:trHeight w:val="186"/>
        </w:trPr>
        <w:tc>
          <w:tcPr>
            <w:tcW w:w="12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*10.8</w:t>
            </w:r>
          </w:p>
        </w:tc>
        <w:tc>
          <w:tcPr>
            <w:tcW w:w="200" w:type="dxa"/>
            <w:vAlign w:val="bottom"/>
          </w:tcPr>
          <w:p>
            <w:pPr>
              <w:spacing w:after="0"/>
              <w:rPr>
                <w:sz w:val="16"/>
                <w:szCs w:val="16"/>
                <w:color w:val="auto"/>
              </w:rPr>
            </w:pPr>
          </w:p>
        </w:tc>
        <w:tc>
          <w:tcPr>
            <w:tcW w:w="4780" w:type="dxa"/>
            <w:vAlign w:val="bottom"/>
            <w:gridSpan w:val="21"/>
          </w:tcPr>
          <w:p>
            <w:pPr>
              <w:spacing w:after="0" w:line="18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Deed of Indemnity of Weatherford International Ltd</w:t>
              </w:r>
            </w:hyperlink>
          </w:p>
        </w:tc>
        <w:tc>
          <w:tcPr>
            <w:tcW w:w="2920" w:type="dxa"/>
            <w:vAlign w:val="bottom"/>
          </w:tcPr>
          <w:p>
            <w:pPr>
              <w:jc w:val="center"/>
              <w:ind w:right="93"/>
              <w:spacing w:after="0" w:line="186" w:lineRule="exact"/>
              <w:rPr>
                <w:sz w:val="20"/>
                <w:szCs w:val="20"/>
                <w:color w:val="auto"/>
              </w:rPr>
            </w:pPr>
            <w:r>
              <w:rPr>
                <w:rFonts w:ascii="Times New Roman" w:cs="Times New Roman" w:eastAsia="Times New Roman" w:hAnsi="Times New Roman"/>
                <w:sz w:val="18"/>
                <w:szCs w:val="18"/>
                <w:color w:val="auto"/>
                <w:w w:val="98"/>
              </w:rPr>
              <w:t>Exhibit 10.12 of the</w:t>
            </w:r>
          </w:p>
        </w:tc>
        <w:tc>
          <w:tcPr>
            <w:tcW w:w="17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0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entered into by each director of Weatherford International plc</w:t>
              </w:r>
            </w:hyperlink>
          </w:p>
        </w:tc>
        <w:tc>
          <w:tcPr>
            <w:tcW w:w="20" w:type="dxa"/>
            <w:vAlign w:val="bottom"/>
          </w:tcPr>
          <w:p>
            <w:pPr>
              <w:spacing w:after="0"/>
              <w:rPr>
                <w:sz w:val="13"/>
                <w:szCs w:val="13"/>
                <w:color w:val="auto"/>
              </w:rPr>
            </w:pPr>
          </w:p>
        </w:tc>
        <w:tc>
          <w:tcPr>
            <w:tcW w:w="460" w:type="dxa"/>
            <w:vAlign w:val="bottom"/>
            <w:gridSpan w:val="8"/>
          </w:tcPr>
          <w:p>
            <w:pPr>
              <w:ind w:left="80"/>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and</w:t>
              </w:r>
            </w:hyperlink>
          </w:p>
        </w:tc>
        <w:tc>
          <w:tcPr>
            <w:tcW w:w="2920" w:type="dxa"/>
            <w:vAlign w:val="bottom"/>
          </w:tcPr>
          <w:p>
            <w:pPr>
              <w:jc w:val="center"/>
              <w:ind w:right="93"/>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00" w:type="dxa"/>
            <w:vAlign w:val="bottom"/>
          </w:tcPr>
          <w:p>
            <w:pPr>
              <w:spacing w:after="0"/>
              <w:rPr>
                <w:sz w:val="13"/>
                <w:szCs w:val="13"/>
                <w:color w:val="auto"/>
              </w:rPr>
            </w:pPr>
          </w:p>
        </w:tc>
      </w:tr>
      <w:tr>
        <w:trPr>
          <w:trHeight w:val="166"/>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4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each of the following executive officers of Weatherford</w:t>
              </w:r>
            </w:hyperlink>
          </w:p>
        </w:tc>
        <w:tc>
          <w:tcPr>
            <w:tcW w:w="8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tcPr>
          <w:p>
            <w:pPr>
              <w:jc w:val="center"/>
              <w:ind w:right="93"/>
              <w:spacing w:after="0" w:line="165" w:lineRule="exact"/>
              <w:rPr>
                <w:sz w:val="20"/>
                <w:szCs w:val="20"/>
                <w:color w:val="auto"/>
              </w:rPr>
            </w:pPr>
            <w:r>
              <w:rPr>
                <w:rFonts w:ascii="Times New Roman" w:cs="Times New Roman" w:eastAsia="Times New Roman" w:hAnsi="Times New Roman"/>
                <w:sz w:val="18"/>
                <w:szCs w:val="18"/>
                <w:color w:val="auto"/>
                <w:w w:val="98"/>
              </w:rPr>
              <w:t>Report on Form 8-K12B</w:t>
            </w:r>
          </w:p>
        </w:tc>
        <w:tc>
          <w:tcPr>
            <w:tcW w:w="1700" w:type="dxa"/>
            <w:vAlign w:val="bottom"/>
          </w:tcPr>
          <w:p>
            <w:pPr>
              <w:spacing w:after="0"/>
              <w:rPr>
                <w:sz w:val="14"/>
                <w:szCs w:val="14"/>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International plc: Scott C. Weatherholt (July 23, 2020),</w:t>
              </w:r>
            </w:hyperlink>
          </w:p>
        </w:tc>
        <w:tc>
          <w:tcPr>
            <w:tcW w:w="680" w:type="dxa"/>
            <w:vAlign w:val="bottom"/>
            <w:tcBorders>
              <w:bottom w:val="single" w:sz="8" w:color="0000FF"/>
            </w:tcBorders>
            <w:gridSpan w:val="7"/>
          </w:tcPr>
          <w:p>
            <w:pPr>
              <w:ind w:left="20"/>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Girish K.</w:t>
              </w:r>
            </w:hyperlink>
          </w:p>
        </w:tc>
        <w:tc>
          <w:tcPr>
            <w:tcW w:w="180" w:type="dxa"/>
            <w:vAlign w:val="bottom"/>
            <w:gridSpan w:val="6"/>
          </w:tcPr>
          <w:p>
            <w:pPr>
              <w:spacing w:after="0"/>
              <w:rPr>
                <w:sz w:val="13"/>
                <w:szCs w:val="13"/>
                <w:color w:val="auto"/>
              </w:rPr>
            </w:pPr>
          </w:p>
        </w:tc>
        <w:tc>
          <w:tcPr>
            <w:tcW w:w="2920" w:type="dxa"/>
            <w:vAlign w:val="bottom"/>
          </w:tcPr>
          <w:p>
            <w:pPr>
              <w:jc w:val="center"/>
              <w:ind w:right="53"/>
              <w:spacing w:after="0" w:line="152" w:lineRule="exact"/>
              <w:rPr>
                <w:sz w:val="20"/>
                <w:szCs w:val="20"/>
                <w:color w:val="auto"/>
              </w:rPr>
            </w:pPr>
            <w:r>
              <w:rPr>
                <w:rFonts w:ascii="Times New Roman" w:cs="Times New Roman" w:eastAsia="Times New Roman" w:hAnsi="Times New Roman"/>
                <w:sz w:val="17"/>
                <w:szCs w:val="17"/>
                <w:color w:val="auto"/>
              </w:rPr>
              <w:t>filed June 17, 2014</w:t>
            </w:r>
          </w:p>
        </w:tc>
        <w:tc>
          <w:tcPr>
            <w:tcW w:w="1700" w:type="dxa"/>
            <w:vAlign w:val="bottom"/>
          </w:tcPr>
          <w:p>
            <w:pPr>
              <w:spacing w:after="0"/>
              <w:rPr>
                <w:sz w:val="13"/>
                <w:szCs w:val="13"/>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gridSpan w:val="21"/>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Saligram (October 12, 2020), Joseph H. Mongrain (September 28,</w:t>
              </w:r>
            </w:hyperlink>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6"/>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00" w:type="dxa"/>
            <w:vAlign w:val="bottom"/>
            <w:tcBorders>
              <w:top w:val="single" w:sz="8" w:color="0000FF"/>
            </w:tcBorders>
            <w:gridSpan w:val="19"/>
          </w:tcPr>
          <w:p>
            <w:pPr>
              <w:spacing w:after="0" w:line="165"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2021)</w:t>
              </w: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 xml:space="preserve"> Desmond J. Mills (November 2, 2022), and Arunava Mitra</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8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(January 13, 2023).</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0"/>
        </w:trPr>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5"/>
        </w:trPr>
        <w:tc>
          <w:tcPr>
            <w:tcW w:w="12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*10.9</w:t>
            </w:r>
          </w:p>
        </w:tc>
        <w:tc>
          <w:tcPr>
            <w:tcW w:w="200" w:type="dxa"/>
            <w:vAlign w:val="bottom"/>
            <w:shd w:val="clear" w:color="auto" w:fill="CCEEFF"/>
          </w:tcPr>
          <w:p>
            <w:pPr>
              <w:spacing w:after="0"/>
              <w:rPr>
                <w:sz w:val="16"/>
                <w:szCs w:val="16"/>
                <w:color w:val="auto"/>
              </w:rPr>
            </w:pPr>
          </w:p>
        </w:tc>
        <w:tc>
          <w:tcPr>
            <w:tcW w:w="478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Third Amended and Restated Weatherford International PLC</w:t>
              </w:r>
            </w:hyperlink>
          </w:p>
        </w:tc>
        <w:tc>
          <w:tcPr>
            <w:tcW w:w="2920" w:type="dxa"/>
            <w:vAlign w:val="bottom"/>
            <w:shd w:val="clear" w:color="auto" w:fill="CCEEFF"/>
          </w:tcPr>
          <w:p>
            <w:pPr>
              <w:jc w:val="center"/>
              <w:ind w:right="53"/>
              <w:spacing w:after="0" w:line="195"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52"/>
        </w:trPr>
        <w:tc>
          <w:tcPr>
            <w:tcW w:w="1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320" w:type="dxa"/>
            <w:vAlign w:val="bottom"/>
            <w:tcBorders>
              <w:top w:val="single" w:sz="8" w:color="0000FF"/>
            </w:tcBorders>
            <w:gridSpan w:val="13"/>
            <w:shd w:val="clear" w:color="auto" w:fill="CCEEFF"/>
          </w:tcPr>
          <w:p>
            <w:pPr>
              <w:spacing w:after="0" w:line="152"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Change in Control Severance Plan.</w:t>
              </w:r>
            </w:hyperlink>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6"/>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jc w:val="center"/>
              <w:ind w:right="53"/>
              <w:spacing w:after="0" w:line="152" w:lineRule="exact"/>
              <w:rPr>
                <w:sz w:val="20"/>
                <w:szCs w:val="20"/>
                <w:color w:val="auto"/>
              </w:rPr>
            </w:pPr>
            <w:r>
              <w:rPr>
                <w:rFonts w:ascii="Times New Roman" w:cs="Times New Roman" w:eastAsia="Times New Roman" w:hAnsi="Times New Roman"/>
                <w:sz w:val="17"/>
                <w:szCs w:val="17"/>
                <w:color w:val="auto"/>
              </w:rPr>
              <w:t>Current Report on Form 8-K filed on</w:t>
            </w:r>
          </w:p>
        </w:tc>
        <w:tc>
          <w:tcPr>
            <w:tcW w:w="1700" w:type="dxa"/>
            <w:vAlign w:val="bottom"/>
            <w:tcBorders>
              <w:top w:val="single" w:sz="8" w:color="CCEEFF"/>
            </w:tcBorders>
            <w:shd w:val="clear" w:color="auto" w:fill="CCEEFF"/>
          </w:tcPr>
          <w:p>
            <w:pPr>
              <w:spacing w:after="0"/>
              <w:rPr>
                <w:sz w:val="13"/>
                <w:szCs w:val="13"/>
                <w:color w:val="auto"/>
              </w:rPr>
            </w:pPr>
          </w:p>
        </w:tc>
      </w:tr>
      <w:tr>
        <w:trPr>
          <w:trHeight w:val="205"/>
        </w:trPr>
        <w:tc>
          <w:tcPr>
            <w:tcW w:w="1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110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CCEEFF"/>
            </w:tcBorders>
            <w:shd w:val="clear" w:color="auto" w:fill="CCEEFF"/>
          </w:tcPr>
          <w:p>
            <w:pPr>
              <w:jc w:val="center"/>
              <w:ind w:right="53"/>
              <w:spacing w:after="0" w:line="205" w:lineRule="exact"/>
              <w:rPr>
                <w:sz w:val="20"/>
                <w:szCs w:val="20"/>
                <w:color w:val="auto"/>
              </w:rPr>
            </w:pPr>
            <w:r>
              <w:rPr>
                <w:rFonts w:ascii="Times New Roman" w:cs="Times New Roman" w:eastAsia="Times New Roman" w:hAnsi="Times New Roman"/>
                <w:sz w:val="18"/>
                <w:szCs w:val="18"/>
                <w:color w:val="auto"/>
                <w:w w:val="98"/>
              </w:rPr>
              <w:t>January 23, 2023</w:t>
            </w:r>
          </w:p>
        </w:tc>
        <w:tc>
          <w:tcPr>
            <w:tcW w:w="1700" w:type="dxa"/>
            <w:vAlign w:val="bottom"/>
            <w:tcBorders>
              <w:top w:val="single" w:sz="8" w:color="CCEEFF"/>
            </w:tcBorders>
            <w:shd w:val="clear" w:color="auto" w:fill="CCEEFF"/>
          </w:tcPr>
          <w:p>
            <w:pPr>
              <w:spacing w:after="0"/>
              <w:rPr>
                <w:sz w:val="17"/>
                <w:szCs w:val="17"/>
                <w:color w:val="auto"/>
              </w:rPr>
            </w:pPr>
          </w:p>
        </w:tc>
      </w:tr>
      <w:tr>
        <w:trPr>
          <w:trHeight w:val="186"/>
        </w:trPr>
        <w:tc>
          <w:tcPr>
            <w:tcW w:w="146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9"/>
              </w:rPr>
              <w:t>†*10.10</w:t>
            </w:r>
          </w:p>
        </w:tc>
        <w:tc>
          <w:tcPr>
            <w:tcW w:w="4780" w:type="dxa"/>
            <w:vAlign w:val="bottom"/>
            <w:gridSpan w:val="21"/>
          </w:tcPr>
          <w:p>
            <w:pPr>
              <w:spacing w:after="0" w:line="186" w:lineRule="exact"/>
              <w:rPr>
                <w:sz w:val="20"/>
                <w:szCs w:val="20"/>
                <w:color w:val="auto"/>
              </w:rPr>
            </w:pPr>
            <w:r>
              <w:rPr>
                <w:rFonts w:ascii="Times New Roman" w:cs="Times New Roman" w:eastAsia="Times New Roman" w:hAnsi="Times New Roman"/>
                <w:sz w:val="18"/>
                <w:szCs w:val="18"/>
                <w:color w:val="0000FF"/>
              </w:rPr>
              <w:t>Amended and Restated Weatherford International plc Executive</w:t>
            </w:r>
          </w:p>
        </w:tc>
        <w:tc>
          <w:tcPr>
            <w:tcW w:w="29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20" w:type="dxa"/>
            <w:vAlign w:val="bottom"/>
            <w:tcBorders>
              <w:top w:val="single" w:sz="8" w:color="0000FF"/>
            </w:tcBorders>
            <w:gridSpan w:val="14"/>
          </w:tcPr>
          <w:p>
            <w:pPr>
              <w:spacing w:after="0" w:line="152" w:lineRule="exact"/>
              <w:rPr>
                <w:sz w:val="20"/>
                <w:szCs w:val="20"/>
                <w:color w:val="auto"/>
              </w:rPr>
            </w:pPr>
            <w:r>
              <w:rPr>
                <w:rFonts w:ascii="Times New Roman" w:cs="Times New Roman" w:eastAsia="Times New Roman" w:hAnsi="Times New Roman"/>
                <w:sz w:val="17"/>
                <w:szCs w:val="17"/>
                <w:color w:val="0000FF"/>
              </w:rPr>
              <w:t>Severance Plan.</w:t>
            </w:r>
          </w:p>
        </w:tc>
        <w:tc>
          <w:tcPr>
            <w:tcW w:w="20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3"/>
        </w:trPr>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85"/>
        </w:trPr>
        <w:tc>
          <w:tcPr>
            <w:tcW w:w="1460" w:type="dxa"/>
            <w:vAlign w:val="bottom"/>
            <w:gridSpan w:val="2"/>
            <w:shd w:val="clear" w:color="auto" w:fill="CCEEFF"/>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auto"/>
                <w:w w:val="95"/>
              </w:rPr>
              <w:t>†*10.11</w:t>
            </w:r>
          </w:p>
        </w:tc>
        <w:tc>
          <w:tcPr>
            <w:tcW w:w="4780" w:type="dxa"/>
            <w:vAlign w:val="bottom"/>
            <w:gridSpan w:val="21"/>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Amended and Restated Weatherford International plc</w:t>
            </w:r>
          </w:p>
        </w:tc>
        <w:tc>
          <w:tcPr>
            <w:tcW w:w="29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85"/>
        </w:trPr>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40" w:type="dxa"/>
            <w:vAlign w:val="bottom"/>
            <w:tcBorders>
              <w:top w:val="single" w:sz="8" w:color="0000FF"/>
              <w:bottom w:val="single" w:sz="8" w:color="0000FF"/>
            </w:tcBorders>
            <w:gridSpan w:val="5"/>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Nonqualified Deferred Compensation Plan</w:t>
            </w: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6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9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6"/>
              </w:rPr>
              <w:t>*10.12</w:t>
            </w:r>
          </w:p>
        </w:tc>
        <w:tc>
          <w:tcPr>
            <w:tcW w:w="200" w:type="dxa"/>
            <w:vAlign w:val="bottom"/>
          </w:tcPr>
          <w:p>
            <w:pPr>
              <w:spacing w:after="0"/>
              <w:rPr>
                <w:sz w:val="17"/>
                <w:szCs w:val="17"/>
                <w:color w:val="auto"/>
              </w:rPr>
            </w:pPr>
          </w:p>
        </w:tc>
        <w:tc>
          <w:tcPr>
            <w:tcW w:w="4780" w:type="dxa"/>
            <w:vAlign w:val="bottom"/>
            <w:gridSpan w:val="21"/>
          </w:tcPr>
          <w:p>
            <w:pPr>
              <w:spacing w:after="0" w:line="19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Executive Non-Equity Incentive Compensation Plan (as Amended</w:t>
              </w:r>
            </w:hyperlink>
          </w:p>
        </w:tc>
        <w:tc>
          <w:tcPr>
            <w:tcW w:w="2920" w:type="dxa"/>
            <w:vAlign w:val="bottom"/>
          </w:tcPr>
          <w:p>
            <w:pPr>
              <w:jc w:val="center"/>
              <w:ind w:right="53"/>
              <w:spacing w:after="0" w:line="199" w:lineRule="exact"/>
              <w:rPr>
                <w:sz w:val="20"/>
                <w:szCs w:val="20"/>
                <w:color w:val="auto"/>
              </w:rPr>
            </w:pPr>
            <w:r>
              <w:rPr>
                <w:rFonts w:ascii="Times New Roman" w:cs="Times New Roman" w:eastAsia="Times New Roman" w:hAnsi="Times New Roman"/>
                <w:sz w:val="18"/>
                <w:szCs w:val="18"/>
                <w:color w:val="auto"/>
                <w:w w:val="99"/>
              </w:rPr>
              <w:t>Exhibit 10.2 of the</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20" w:type="dxa"/>
            <w:vAlign w:val="bottom"/>
            <w:tcBorders>
              <w:top w:val="single" w:sz="8" w:color="0000FF"/>
            </w:tcBorders>
            <w:gridSpan w:val="20"/>
          </w:tcPr>
          <w:p>
            <w:pPr>
              <w:spacing w:after="0" w:line="17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and Restated)</w:t>
              </w:r>
            </w:hyperlink>
          </w:p>
        </w:tc>
        <w:tc>
          <w:tcPr>
            <w:tcW w:w="60" w:type="dxa"/>
            <w:vAlign w:val="bottom"/>
          </w:tcPr>
          <w:p>
            <w:pPr>
              <w:spacing w:after="0"/>
              <w:rPr>
                <w:sz w:val="15"/>
                <w:szCs w:val="15"/>
                <w:color w:val="auto"/>
              </w:rPr>
            </w:pPr>
          </w:p>
        </w:tc>
        <w:tc>
          <w:tcPr>
            <w:tcW w:w="2920" w:type="dxa"/>
            <w:vAlign w:val="bottom"/>
          </w:tcPr>
          <w:p>
            <w:pPr>
              <w:jc w:val="center"/>
              <w:ind w:right="53"/>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Pr>
          <w:p>
            <w:pPr>
              <w:spacing w:after="0"/>
              <w:rPr>
                <w:sz w:val="15"/>
                <w:szCs w:val="15"/>
                <w:color w:val="auto"/>
              </w:rPr>
            </w:pPr>
          </w:p>
        </w:tc>
      </w:tr>
      <w:tr>
        <w:trPr>
          <w:trHeight w:val="200"/>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jc w:val="center"/>
              <w:ind w:right="53"/>
              <w:spacing w:after="0" w:line="201"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00" w:type="dxa"/>
            <w:vAlign w:val="bottom"/>
          </w:tcPr>
          <w:p>
            <w:pPr>
              <w:spacing w:after="0"/>
              <w:rPr>
                <w:sz w:val="17"/>
                <w:szCs w:val="17"/>
                <w:color w:val="auto"/>
              </w:rPr>
            </w:pPr>
          </w:p>
        </w:tc>
      </w:tr>
      <w:tr>
        <w:trPr>
          <w:trHeight w:val="231"/>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7"/>
              </w:rPr>
              <w:t>filed April 15, 2020</w:t>
            </w:r>
          </w:p>
        </w:tc>
        <w:tc>
          <w:tcPr>
            <w:tcW w:w="1700" w:type="dxa"/>
            <w:vAlign w:val="bottom"/>
          </w:tcPr>
          <w:p>
            <w:pPr>
              <w:spacing w:after="0"/>
              <w:rPr>
                <w:sz w:val="20"/>
                <w:szCs w:val="20"/>
                <w:color w:val="auto"/>
              </w:rPr>
            </w:pPr>
          </w:p>
        </w:tc>
      </w:tr>
      <w:tr>
        <w:trPr>
          <w:trHeight w:val="29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*10.13</w:t>
            </w:r>
          </w:p>
        </w:tc>
        <w:tc>
          <w:tcPr>
            <w:tcW w:w="200" w:type="dxa"/>
            <w:vAlign w:val="bottom"/>
          </w:tcPr>
          <w:p>
            <w:pPr>
              <w:spacing w:after="0"/>
              <w:rPr>
                <w:sz w:val="24"/>
                <w:szCs w:val="24"/>
                <w:color w:val="auto"/>
              </w:rPr>
            </w:pPr>
          </w:p>
        </w:tc>
        <w:tc>
          <w:tcPr>
            <w:tcW w:w="4780" w:type="dxa"/>
            <w:vAlign w:val="bottom"/>
            <w:gridSpan w:val="2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Weatherford International plc 2019 Equity Incentive Plan</w:t>
              </w:r>
            </w:hyperlink>
            <w:r>
              <w:rPr>
                <w:rFonts w:ascii="Times New Roman" w:cs="Times New Roman" w:eastAsia="Times New Roman" w:hAnsi="Times New Roman"/>
                <w:sz w:val="18"/>
                <w:szCs w:val="18"/>
                <w:color w:val="000000"/>
              </w:rPr>
              <w:t>.</w:t>
            </w:r>
          </w:p>
        </w:tc>
        <w:tc>
          <w:tcPr>
            <w:tcW w:w="29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Exhibit 10.8 of the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219"/>
        </w:trPr>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-277495</wp:posOffset>
            </wp:positionV>
            <wp:extent cx="6891020" cy="546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891020" cy="546735"/>
                    </a:xfrm>
                    <a:prstGeom prst="rect">
                      <a:avLst/>
                    </a:prstGeom>
                    <a:noFill/>
                  </pic:spPr>
                </pic:pic>
              </a:graphicData>
            </a:graphic>
          </wp:anchor>
        </w:drawing>
      </w:r>
    </w:p>
    <w:p>
      <w:pPr>
        <w:jc w:val="center"/>
        <w:ind w:left="3620"/>
        <w:spacing w:after="0" w:line="231" w:lineRule="auto"/>
        <w:rPr>
          <w:sz w:val="20"/>
          <w:szCs w:val="20"/>
          <w:color w:val="auto"/>
        </w:rPr>
      </w:pPr>
      <w:r>
        <w:rPr>
          <w:rFonts w:ascii="Times New Roman" w:cs="Times New Roman" w:eastAsia="Times New Roman" w:hAnsi="Times New Roman"/>
          <w:sz w:val="18"/>
          <w:szCs w:val="18"/>
          <w:color w:val="auto"/>
        </w:rPr>
        <w:t>Report on Form 8-K</w:t>
      </w:r>
    </w:p>
    <w:p>
      <w:pPr>
        <w:jc w:val="center"/>
        <w:ind w:left="3620"/>
        <w:spacing w:after="0"/>
        <w:rPr>
          <w:sz w:val="20"/>
          <w:szCs w:val="20"/>
          <w:color w:val="auto"/>
        </w:rPr>
      </w:pPr>
      <w:r>
        <w:rPr>
          <w:rFonts w:ascii="Times New Roman" w:cs="Times New Roman" w:eastAsia="Times New Roman" w:hAnsi="Times New Roman"/>
          <w:sz w:val="18"/>
          <w:szCs w:val="18"/>
          <w:color w:val="auto"/>
        </w:rPr>
        <w:t>filed December 18, 2019</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40"/>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r>
      <w:tr>
        <w:trPr>
          <w:trHeight w:val="198"/>
        </w:trPr>
        <w:tc>
          <w:tcPr>
            <w:tcW w:w="4780" w:type="dxa"/>
            <w:vAlign w:val="bottom"/>
            <w:gridSpan w:val="12"/>
          </w:tcPr>
          <w:p>
            <w:pPr>
              <w:spacing w:after="0" w:line="198"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Weatherford International plc Amended and Restated 2019 Equity</w:t>
              </w:r>
            </w:hyperlink>
          </w:p>
        </w:tc>
        <w:tc>
          <w:tcPr>
            <w:tcW w:w="2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Exhibit 10.1 of the</w:t>
            </w:r>
          </w:p>
        </w:tc>
      </w:tr>
      <w:tr>
        <w:trPr>
          <w:trHeight w:val="179"/>
        </w:trPr>
        <w:tc>
          <w:tcPr>
            <w:tcW w:w="4680" w:type="dxa"/>
            <w:vAlign w:val="bottom"/>
            <w:tcBorders>
              <w:top w:val="single" w:sz="8" w:color="0000FF"/>
            </w:tcBorders>
            <w:gridSpan w:val="11"/>
          </w:tcPr>
          <w:p>
            <w:pPr>
              <w:spacing w:after="0" w:line="17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Incentive Plan.</w:t>
              </w:r>
            </w:hyperlink>
          </w:p>
        </w:tc>
        <w:tc>
          <w:tcPr>
            <w:tcW w:w="100" w:type="dxa"/>
            <w:vAlign w:val="bottom"/>
          </w:tcPr>
          <w:p>
            <w:pPr>
              <w:spacing w:after="0"/>
              <w:rPr>
                <w:sz w:val="15"/>
                <w:szCs w:val="15"/>
                <w:color w:val="auto"/>
              </w:rPr>
            </w:pPr>
          </w:p>
        </w:tc>
        <w:tc>
          <w:tcPr>
            <w:tcW w:w="27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Company’s Quarterly</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Report on Form 10-Q</w:t>
            </w:r>
          </w:p>
        </w:tc>
      </w:tr>
      <w:tr>
        <w:trPr>
          <w:trHeight w:val="199"/>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for the period ending</w:t>
            </w:r>
          </w:p>
        </w:tc>
      </w:tr>
      <w:tr>
        <w:trPr>
          <w:trHeight w:val="212"/>
        </w:trPr>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30, 2020 filed</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14, 2020</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Weatherford International plc Second Amended and Restated</w:t>
              </w:r>
            </w:hyperlink>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10.6 of the</w:t>
            </w:r>
          </w:p>
        </w:tc>
      </w:tr>
      <w:tr>
        <w:trPr>
          <w:trHeight w:val="179"/>
        </w:trPr>
        <w:tc>
          <w:tcPr>
            <w:tcW w:w="4340" w:type="dxa"/>
            <w:vAlign w:val="bottom"/>
            <w:tcBorders>
              <w:top w:val="single" w:sz="8" w:color="0000FF"/>
            </w:tcBorders>
            <w:gridSpan w:val="9"/>
          </w:tcPr>
          <w:p>
            <w:pPr>
              <w:spacing w:after="0" w:line="17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2019 Equity Incentive Plan.</w:t>
              </w:r>
            </w:hyperlink>
          </w:p>
        </w:tc>
        <w:tc>
          <w:tcPr>
            <w:tcW w:w="2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7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Company’s Quarterly</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Report on Form 10-Q</w:t>
            </w:r>
          </w:p>
        </w:tc>
      </w:tr>
      <w:tr>
        <w:trPr>
          <w:trHeight w:val="199"/>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for the period ending</w:t>
            </w:r>
          </w:p>
        </w:tc>
      </w:tr>
      <w:tr>
        <w:trPr>
          <w:trHeight w:val="212"/>
        </w:trPr>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September 30, 2020 filed</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November 4, 2020</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Weatherford International plc Third Amended and Restated 2019</w:t>
              </w:r>
            </w:hyperlink>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10.2 of the</w:t>
            </w:r>
          </w:p>
        </w:tc>
      </w:tr>
      <w:tr>
        <w:trPr>
          <w:trHeight w:val="179"/>
        </w:trPr>
        <w:tc>
          <w:tcPr>
            <w:tcW w:w="4600" w:type="dxa"/>
            <w:vAlign w:val="bottom"/>
            <w:tcBorders>
              <w:top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Equity Incentive Plan.</w:t>
              </w:r>
            </w:hyperlink>
          </w:p>
        </w:tc>
        <w:tc>
          <w:tcPr>
            <w:tcW w:w="180" w:type="dxa"/>
            <w:vAlign w:val="bottom"/>
            <w:gridSpan w:val="2"/>
          </w:tcPr>
          <w:p>
            <w:pPr>
              <w:spacing w:after="0"/>
              <w:rPr>
                <w:sz w:val="15"/>
                <w:szCs w:val="15"/>
                <w:color w:val="auto"/>
              </w:rPr>
            </w:pPr>
          </w:p>
        </w:tc>
        <w:tc>
          <w:tcPr>
            <w:tcW w:w="27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Report on Form 8-K filed January</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23, 2023</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Restricted Share Unit Award Agreement</w:t>
              </w:r>
            </w:hyperlink>
            <w:r>
              <w:rPr>
                <w:rFonts w:ascii="Times New Roman" w:cs="Times New Roman" w:eastAsia="Times New Roman" w:hAnsi="Times New Roman"/>
                <w:sz w:val="18"/>
                <w:szCs w:val="18"/>
                <w:color w:val="000000"/>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10.3 of the</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Company’s Current</w:t>
            </w:r>
          </w:p>
        </w:tc>
      </w:tr>
      <w:tr>
        <w:trPr>
          <w:trHeight w:val="199"/>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Report on Form 8-K</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filed November 20, 2020</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Performance Share Unit Award Agreement</w:t>
              </w:r>
            </w:hyperlink>
            <w:r>
              <w:rPr>
                <w:rFonts w:ascii="Times New Roman" w:cs="Times New Roman" w:eastAsia="Times New Roman" w:hAnsi="Times New Roman"/>
                <w:sz w:val="18"/>
                <w:szCs w:val="18"/>
                <w:color w:val="000000"/>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10.4 of the</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Company’s Current</w:t>
            </w:r>
          </w:p>
        </w:tc>
      </w:tr>
      <w:tr>
        <w:trPr>
          <w:trHeight w:val="199"/>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Report on Form 8-K</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filed November 20, 2020</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Restricted Share Unit Award Agreement</w:t>
              </w:r>
            </w:hyperlink>
            <w:r>
              <w:rPr>
                <w:rFonts w:ascii="Times New Roman" w:cs="Times New Roman" w:eastAsia="Times New Roman" w:hAnsi="Times New Roman"/>
                <w:sz w:val="18"/>
                <w:szCs w:val="18"/>
                <w:color w:val="000000"/>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10.2 of the</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Company’s Current</w:t>
            </w:r>
          </w:p>
        </w:tc>
      </w:tr>
      <w:tr>
        <w:trPr>
          <w:trHeight w:val="199"/>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Report on Form 8-K</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filed January 8, 2021</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Performance Share Unit Award Agreement</w:t>
              </w:r>
            </w:hyperlink>
            <w:r>
              <w:rPr>
                <w:rFonts w:ascii="Times New Roman" w:cs="Times New Roman" w:eastAsia="Times New Roman" w:hAnsi="Times New Roman"/>
                <w:sz w:val="18"/>
                <w:szCs w:val="18"/>
                <w:color w:val="000000"/>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10.3 of the</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Company’s Current</w:t>
            </w:r>
          </w:p>
        </w:tc>
      </w:tr>
      <w:tr>
        <w:trPr>
          <w:trHeight w:val="199"/>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Report on Form 8-K</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filed January 8, 2021</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Phantom Share Unit Award Agreement</w:t>
              </w:r>
            </w:hyperlink>
            <w:r>
              <w:rPr>
                <w:rFonts w:ascii="Times New Roman" w:cs="Times New Roman" w:eastAsia="Times New Roman" w:hAnsi="Times New Roman"/>
                <w:sz w:val="18"/>
                <w:szCs w:val="18"/>
                <w:color w:val="000000"/>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10.4 of the</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Company’s Current</w:t>
            </w:r>
          </w:p>
        </w:tc>
      </w:tr>
      <w:tr>
        <w:trPr>
          <w:trHeight w:val="199"/>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Report on Form 8-K</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filed January 8, 2021</w:t>
            </w:r>
          </w:p>
        </w:tc>
      </w:tr>
      <w:tr>
        <w:trPr>
          <w:trHeight w:val="211"/>
        </w:trPr>
        <w:tc>
          <w:tcPr>
            <w:tcW w:w="4780" w:type="dxa"/>
            <w:vAlign w:val="bottom"/>
            <w:gridSpan w:val="1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Amended and Restated Performance Share Unit Award</w:t>
              </w:r>
            </w:hyperlink>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Exhibit 10.24 of the Company’s</w:t>
            </w:r>
          </w:p>
        </w:tc>
      </w:tr>
      <w:tr>
        <w:trPr>
          <w:trHeight w:val="179"/>
        </w:trPr>
        <w:tc>
          <w:tcPr>
            <w:tcW w:w="3900" w:type="dxa"/>
            <w:vAlign w:val="bottom"/>
            <w:tcBorders>
              <w:top w:val="single" w:sz="8" w:color="0000FF"/>
            </w:tcBorders>
            <w:gridSpan w:val="8"/>
          </w:tcPr>
          <w:p>
            <w:pPr>
              <w:spacing w:after="0" w:line="17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Agreement - Girish K. Saligram (February 17, 2021)</w:t>
              </w:r>
            </w:hyperlink>
          </w:p>
        </w:tc>
        <w:tc>
          <w:tcPr>
            <w:tcW w:w="880" w:type="dxa"/>
            <w:vAlign w:val="bottom"/>
            <w:gridSpan w:val="4"/>
          </w:tcPr>
          <w:p>
            <w:pPr>
              <w:spacing w:after="0"/>
              <w:rPr>
                <w:sz w:val="15"/>
                <w:szCs w:val="15"/>
                <w:color w:val="auto"/>
              </w:rPr>
            </w:pPr>
          </w:p>
        </w:tc>
        <w:tc>
          <w:tcPr>
            <w:tcW w:w="27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Annual Report on Form 10-K for the</w:t>
            </w:r>
          </w:p>
        </w:tc>
      </w:tr>
      <w:tr>
        <w:trPr>
          <w:trHeight w:val="200"/>
        </w:trPr>
        <w:tc>
          <w:tcPr>
            <w:tcW w:w="10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year ended December 31, 2020 filed</w:t>
            </w:r>
          </w:p>
        </w:tc>
      </w:tr>
      <w:tr>
        <w:trPr>
          <w:trHeight w:val="231"/>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19,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-4627245</wp:posOffset>
            </wp:positionV>
            <wp:extent cx="6891020" cy="807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6891020" cy="80772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-3272790</wp:posOffset>
            </wp:positionV>
            <wp:extent cx="6891020" cy="546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6891020" cy="54673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-2179320</wp:posOffset>
            </wp:positionV>
            <wp:extent cx="6891020" cy="546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6891020" cy="54673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-1085215</wp:posOffset>
            </wp:positionV>
            <wp:extent cx="6891020" cy="546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6891020" cy="546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858" w:lineRule="exact"/>
        <w:rPr>
          <w:sz w:val="20"/>
          <w:szCs w:val="20"/>
          <w:color w:val="auto"/>
        </w:rPr>
      </w:pPr>
    </w:p>
    <w:p>
      <w:pPr>
        <w:sectPr>
          <w:pgSz w:w="11900" w:h="16838" w:orient="portrait"/>
          <w:cols w:equalWidth="0" w:num="3">
            <w:col w:w="1280" w:space="180"/>
            <w:col w:w="7480" w:space="440"/>
            <w:col w:w="1860"/>
          </w:cols>
          <w:pgMar w:left="320" w:top="413"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2022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637"/>
        </w:trPr>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100" w:type="dxa"/>
            <w:vAlign w:val="bottom"/>
          </w:tcPr>
          <w:p>
            <w:pPr>
              <w:spacing w:after="0"/>
              <w:rPr>
                <w:sz w:val="24"/>
                <w:szCs w:val="24"/>
                <w:color w:val="auto"/>
              </w:rPr>
            </w:pPr>
          </w:p>
        </w:tc>
        <w:tc>
          <w:tcPr>
            <w:tcW w:w="430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120" w:type="dxa"/>
            <w:vAlign w:val="bottom"/>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r>
      <w:tr>
        <w:trPr>
          <w:trHeight w:val="204"/>
        </w:trPr>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*10.23</w:t>
            </w:r>
          </w:p>
        </w:tc>
        <w:tc>
          <w:tcPr>
            <w:tcW w:w="100" w:type="dxa"/>
            <w:vAlign w:val="bottom"/>
          </w:tcPr>
          <w:p>
            <w:pPr>
              <w:spacing w:after="0"/>
              <w:rPr>
                <w:sz w:val="17"/>
                <w:szCs w:val="17"/>
                <w:color w:val="auto"/>
              </w:rPr>
            </w:pPr>
          </w:p>
        </w:tc>
        <w:tc>
          <w:tcPr>
            <w:tcW w:w="4400" w:type="dxa"/>
            <w:vAlign w:val="bottom"/>
            <w:gridSpan w:val="4"/>
          </w:tcPr>
          <w:p>
            <w:pPr>
              <w:ind w:left="100"/>
              <w:spacing w:after="0" w:line="204"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Share Unit Award Agreement</w:t>
              </w:r>
            </w:hyperlink>
          </w:p>
        </w:tc>
        <w:tc>
          <w:tcPr>
            <w:tcW w:w="3120" w:type="dxa"/>
            <w:vAlign w:val="bottom"/>
          </w:tcPr>
          <w:p>
            <w:pPr>
              <w:jc w:val="center"/>
              <w:ind w:left="532"/>
              <w:spacing w:after="0" w:line="204" w:lineRule="exact"/>
              <w:rPr>
                <w:sz w:val="20"/>
                <w:szCs w:val="20"/>
                <w:color w:val="auto"/>
              </w:rPr>
            </w:pPr>
            <w:r>
              <w:rPr>
                <w:rFonts w:ascii="Times New Roman" w:cs="Times New Roman" w:eastAsia="Times New Roman" w:hAnsi="Times New Roman"/>
                <w:sz w:val="18"/>
                <w:szCs w:val="18"/>
                <w:color w:val="auto"/>
                <w:w w:val="97"/>
              </w:rPr>
              <w:t>Exhibit 10.7 of the Company’s</w:t>
            </w:r>
          </w:p>
        </w:tc>
      </w:tr>
      <w:tr>
        <w:trPr>
          <w:trHeight w:val="200"/>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20" w:type="dxa"/>
            <w:vAlign w:val="bottom"/>
          </w:tcPr>
          <w:p>
            <w:pPr>
              <w:jc w:val="center"/>
              <w:ind w:left="532"/>
              <w:spacing w:after="0" w:line="201" w:lineRule="exact"/>
              <w:rPr>
                <w:sz w:val="20"/>
                <w:szCs w:val="20"/>
                <w:color w:val="auto"/>
              </w:rPr>
            </w:pPr>
            <w:r>
              <w:rPr>
                <w:rFonts w:ascii="Times New Roman" w:cs="Times New Roman" w:eastAsia="Times New Roman" w:hAnsi="Times New Roman"/>
                <w:sz w:val="18"/>
                <w:szCs w:val="18"/>
                <w:color w:val="auto"/>
                <w:w w:val="97"/>
              </w:rPr>
              <w:t>Quarterly Report on Form 10-Q for</w:t>
            </w:r>
          </w:p>
        </w:tc>
      </w:tr>
      <w:tr>
        <w:trPr>
          <w:trHeight w:val="199"/>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20" w:type="dxa"/>
            <w:vAlign w:val="bottom"/>
          </w:tcPr>
          <w:p>
            <w:pPr>
              <w:jc w:val="center"/>
              <w:ind w:left="532"/>
              <w:spacing w:after="0" w:line="199" w:lineRule="exact"/>
              <w:rPr>
                <w:sz w:val="20"/>
                <w:szCs w:val="20"/>
                <w:color w:val="auto"/>
              </w:rPr>
            </w:pPr>
            <w:r>
              <w:rPr>
                <w:rFonts w:ascii="Times New Roman" w:cs="Times New Roman" w:eastAsia="Times New Roman" w:hAnsi="Times New Roman"/>
                <w:sz w:val="18"/>
                <w:szCs w:val="18"/>
                <w:color w:val="auto"/>
                <w:w w:val="98"/>
              </w:rPr>
              <w:t>the period ending September 30.</w:t>
            </w: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2021 filed November 2, 2021</w:t>
            </w:r>
          </w:p>
        </w:tc>
      </w:tr>
      <w:tr>
        <w:trPr>
          <w:trHeight w:val="21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*10.24</w:t>
            </w:r>
          </w:p>
        </w:tc>
        <w:tc>
          <w:tcPr>
            <w:tcW w:w="100" w:type="dxa"/>
            <w:vAlign w:val="bottom"/>
          </w:tcPr>
          <w:p>
            <w:pPr>
              <w:spacing w:after="0"/>
              <w:rPr>
                <w:sz w:val="18"/>
                <w:szCs w:val="18"/>
                <w:color w:val="auto"/>
              </w:rPr>
            </w:pPr>
          </w:p>
        </w:tc>
        <w:tc>
          <w:tcPr>
            <w:tcW w:w="4400" w:type="dxa"/>
            <w:vAlign w:val="bottom"/>
            <w:gridSpan w:val="4"/>
          </w:tcPr>
          <w:p>
            <w:pPr>
              <w:ind w:left="10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Performance Share Unit Award Agreement</w:t>
              </w:r>
            </w:hyperlink>
          </w:p>
        </w:tc>
        <w:tc>
          <w:tcPr>
            <w:tcW w:w="31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Exhibit 10.8 of the Company’s</w:t>
            </w:r>
          </w:p>
        </w:tc>
      </w:tr>
      <w:tr>
        <w:trPr>
          <w:trHeight w:val="220"/>
        </w:trPr>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40" w:type="dxa"/>
            <w:vAlign w:val="bottom"/>
          </w:tcPr>
          <w:p>
            <w:pPr>
              <w:spacing w:after="0"/>
              <w:rPr>
                <w:sz w:val="19"/>
                <w:szCs w:val="19"/>
                <w:color w:val="auto"/>
              </w:rPr>
            </w:pPr>
          </w:p>
        </w:tc>
        <w:tc>
          <w:tcPr>
            <w:tcW w:w="31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Quarterly Report on Form 10-Q 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-824865</wp:posOffset>
            </wp:positionV>
            <wp:extent cx="6891020" cy="546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6891020" cy="546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File 1-36504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1-36504</w:t>
      </w:r>
    </w:p>
    <w:p>
      <w:pPr>
        <w:spacing w:after="0" w:line="248" w:lineRule="exact"/>
        <w:rPr>
          <w:sz w:val="20"/>
          <w:szCs w:val="20"/>
          <w:color w:val="auto"/>
        </w:rPr>
      </w:pPr>
    </w:p>
    <w:p>
      <w:pPr>
        <w:sectPr>
          <w:pgSz w:w="11900" w:h="16838" w:orient="portrait"/>
          <w:cols w:equalWidth="0" w:num="2">
            <w:col w:w="8880" w:space="500"/>
            <w:col w:w="1860"/>
          </w:cols>
          <w:pgMar w:left="320" w:top="396" w:right="339" w:bottom="1440" w:gutter="0" w:footer="0" w:header="0"/>
        </w:sectPr>
      </w:pPr>
    </w:p>
    <w:tbl>
      <w:tblPr>
        <w:tblLayout w:type="fixed"/>
        <w:tblInd w:w="0" w:type="dxa"/>
        <w:tblCellMar>
          <w:top w:w="0" w:type="dxa"/>
          <w:left w:w="0" w:type="dxa"/>
          <w:bottom w:w="0" w:type="dxa"/>
          <w:right w:w="0" w:type="dxa"/>
        </w:tblCellMar>
      </w:tblPr>
      <w:tr>
        <w:trPr>
          <w:trHeight w:val="179"/>
        </w:trPr>
        <w:tc>
          <w:tcPr>
            <w:tcW w:w="1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jc w:val="center"/>
              <w:ind w:right="12"/>
              <w:spacing w:after="0" w:line="179" w:lineRule="exact"/>
              <w:rPr>
                <w:sz w:val="20"/>
                <w:szCs w:val="20"/>
                <w:color w:val="auto"/>
              </w:rPr>
            </w:pPr>
            <w:r>
              <w:rPr>
                <w:rFonts w:ascii="Times New Roman" w:cs="Times New Roman" w:eastAsia="Times New Roman" w:hAnsi="Times New Roman"/>
                <w:sz w:val="18"/>
                <w:szCs w:val="18"/>
                <w:color w:val="auto"/>
                <w:w w:val="98"/>
              </w:rPr>
              <w:t>the period ending September 30.</w:t>
            </w:r>
          </w:p>
        </w:tc>
        <w:tc>
          <w:tcPr>
            <w:tcW w:w="1760" w:type="dxa"/>
            <w:vAlign w:val="bottom"/>
          </w:tcPr>
          <w:p>
            <w:pPr>
              <w:spacing w:after="0"/>
              <w:rPr>
                <w:sz w:val="15"/>
                <w:szCs w:val="15"/>
                <w:color w:val="auto"/>
              </w:rPr>
            </w:pPr>
          </w:p>
        </w:tc>
      </w:tr>
      <w:tr>
        <w:trPr>
          <w:trHeight w:val="237"/>
        </w:trPr>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2021 filed November 2, 2021</w:t>
            </w:r>
          </w:p>
        </w:tc>
        <w:tc>
          <w:tcPr>
            <w:tcW w:w="1760" w:type="dxa"/>
            <w:vAlign w:val="bottom"/>
          </w:tcPr>
          <w:p>
            <w:pPr>
              <w:spacing w:after="0"/>
              <w:rPr>
                <w:sz w:val="20"/>
                <w:szCs w:val="20"/>
                <w:color w:val="auto"/>
              </w:rPr>
            </w:pPr>
          </w:p>
        </w:tc>
      </w:tr>
      <w:tr>
        <w:trPr>
          <w:trHeight w:val="205"/>
        </w:trPr>
        <w:tc>
          <w:tcPr>
            <w:tcW w:w="1460" w:type="dxa"/>
            <w:vAlign w:val="bottom"/>
            <w:shd w:val="clear" w:color="auto" w:fill="CCEEFF"/>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6"/>
              </w:rPr>
              <w:t>*10.25</w:t>
            </w:r>
          </w:p>
        </w:tc>
        <w:tc>
          <w:tcPr>
            <w:tcW w:w="4800" w:type="dxa"/>
            <w:vAlign w:val="bottom"/>
            <w:gridSpan w:val="10"/>
            <w:shd w:val="clear" w:color="auto" w:fill="CCEEFF"/>
          </w:tcPr>
          <w:p>
            <w:pPr>
              <w:spacing w:after="0" w:line="205"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Weatherford International plc Short-Term Incentive Plan.</w:t>
              </w:r>
            </w:hyperlink>
          </w:p>
        </w:tc>
        <w:tc>
          <w:tcPr>
            <w:tcW w:w="2840" w:type="dxa"/>
            <w:vAlign w:val="bottom"/>
            <w:shd w:val="clear" w:color="auto" w:fill="CCEEFF"/>
          </w:tcPr>
          <w:p>
            <w:pPr>
              <w:jc w:val="center"/>
              <w:ind w:right="12"/>
              <w:spacing w:after="0" w:line="205"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6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File No. 1-36504</w:t>
            </w:r>
          </w:p>
        </w:tc>
      </w:tr>
      <w:tr>
        <w:trPr>
          <w:trHeight w:val="200"/>
        </w:trPr>
        <w:tc>
          <w:tcPr>
            <w:tcW w:w="1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680" w:type="dxa"/>
            <w:vAlign w:val="bottom"/>
            <w:tcBorders>
              <w:top w:val="single" w:sz="8" w:color="0000FF"/>
            </w:tcBorders>
            <w:shd w:val="clear" w:color="auto" w:fill="CCEEFF"/>
          </w:tcPr>
          <w:p>
            <w:pPr>
              <w:spacing w:after="0"/>
              <w:rPr>
                <w:sz w:val="17"/>
                <w:szCs w:val="17"/>
                <w:color w:val="auto"/>
              </w:rPr>
            </w:pPr>
          </w:p>
        </w:tc>
        <w:tc>
          <w:tcPr>
            <w:tcW w:w="126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7"/>
                <w:szCs w:val="17"/>
                <w:color w:val="auto"/>
              </w:rPr>
            </w:pPr>
          </w:p>
        </w:tc>
      </w:tr>
      <w:tr>
        <w:trPr>
          <w:trHeight w:val="244"/>
        </w:trPr>
        <w:tc>
          <w:tcPr>
            <w:tcW w:w="1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January 8, 2021</w:t>
            </w:r>
          </w:p>
        </w:tc>
        <w:tc>
          <w:tcPr>
            <w:tcW w:w="1760" w:type="dxa"/>
            <w:vAlign w:val="bottom"/>
            <w:shd w:val="clear" w:color="auto" w:fill="CCEEFF"/>
          </w:tcPr>
          <w:p>
            <w:pPr>
              <w:spacing w:after="0"/>
              <w:rPr>
                <w:sz w:val="21"/>
                <w:szCs w:val="21"/>
                <w:color w:val="auto"/>
              </w:rPr>
            </w:pPr>
          </w:p>
        </w:tc>
      </w:tr>
      <w:tr>
        <w:trPr>
          <w:trHeight w:val="199"/>
        </w:trPr>
        <w:tc>
          <w:tcPr>
            <w:tcW w:w="1460" w:type="dxa"/>
            <w:vAlign w:val="bottom"/>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†*10.26</w:t>
            </w:r>
          </w:p>
        </w:tc>
        <w:tc>
          <w:tcPr>
            <w:tcW w:w="480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0000FF"/>
              </w:rPr>
              <w:t>Amended and Restated Weatherford International plc Short-Term</w:t>
            </w:r>
          </w:p>
        </w:tc>
        <w:tc>
          <w:tcPr>
            <w:tcW w:w="28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79"/>
        </w:trPr>
        <w:tc>
          <w:tcPr>
            <w:tcW w:w="1460" w:type="dxa"/>
            <w:vAlign w:val="bottom"/>
          </w:tcPr>
          <w:p>
            <w:pPr>
              <w:spacing w:after="0"/>
              <w:rPr>
                <w:sz w:val="15"/>
                <w:szCs w:val="15"/>
                <w:color w:val="auto"/>
              </w:rPr>
            </w:pPr>
          </w:p>
        </w:tc>
        <w:tc>
          <w:tcPr>
            <w:tcW w:w="4620" w:type="dxa"/>
            <w:vAlign w:val="bottom"/>
            <w:tcBorders>
              <w:top w:val="single" w:sz="8" w:color="0000FF"/>
            </w:tcBorders>
            <w:gridSpan w:val="9"/>
          </w:tcPr>
          <w:p>
            <w:pPr>
              <w:spacing w:after="0" w:line="179" w:lineRule="exact"/>
              <w:rPr>
                <w:sz w:val="20"/>
                <w:szCs w:val="20"/>
                <w:color w:val="auto"/>
              </w:rPr>
            </w:pPr>
            <w:r>
              <w:rPr>
                <w:rFonts w:ascii="Times New Roman" w:cs="Times New Roman" w:eastAsia="Times New Roman" w:hAnsi="Times New Roman"/>
                <w:sz w:val="18"/>
                <w:szCs w:val="18"/>
                <w:color w:val="0000FF"/>
              </w:rPr>
              <w:t>Incentive Plan</w:t>
            </w: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6"/>
        </w:trPr>
        <w:tc>
          <w:tcPr>
            <w:tcW w:w="1460" w:type="dxa"/>
            <w:vAlign w:val="bottom"/>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199"/>
        </w:trPr>
        <w:tc>
          <w:tcPr>
            <w:tcW w:w="14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6"/>
              </w:rPr>
              <w:t>*10.27</w:t>
            </w:r>
          </w:p>
        </w:tc>
        <w:tc>
          <w:tcPr>
            <w:tcW w:w="4800" w:type="dxa"/>
            <w:vAlign w:val="bottom"/>
            <w:gridSpan w:val="10"/>
            <w:shd w:val="clear" w:color="auto" w:fill="CCEEFF"/>
          </w:tcPr>
          <w:p>
            <w:pPr>
              <w:spacing w:after="0" w:line="19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Executive Officer Restricted Share Unit Award</w:t>
              </w:r>
            </w:hyperlink>
          </w:p>
        </w:tc>
        <w:tc>
          <w:tcPr>
            <w:tcW w:w="2840" w:type="dxa"/>
            <w:vAlign w:val="bottom"/>
            <w:shd w:val="clear" w:color="auto" w:fill="CCEEFF"/>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60" w:type="dxa"/>
            <w:vAlign w:val="bottom"/>
            <w:shd w:val="clear" w:color="auto" w:fill="CCEEFF"/>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0000FF"/>
            </w:tcBorders>
            <w:gridSpan w:val="4"/>
            <w:shd w:val="clear" w:color="auto" w:fill="CCEEFF"/>
          </w:tcPr>
          <w:p>
            <w:pPr>
              <w:spacing w:after="0" w:line="17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Agreement</w:t>
              </w:r>
            </w:hyperlink>
          </w:p>
        </w:tc>
        <w:tc>
          <w:tcPr>
            <w:tcW w:w="18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gridSpan w:val="2"/>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12"/>
        </w:trPr>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0000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40" w:type="dxa"/>
            <w:vAlign w:val="bottom"/>
            <w:tcBorders>
              <w:top w:val="single" w:sz="8" w:color="CCEEFF"/>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9"/>
        </w:trPr>
        <w:tc>
          <w:tcPr>
            <w:tcW w:w="146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6"/>
              </w:rPr>
              <w:t>*10.28</w:t>
            </w:r>
          </w:p>
        </w:tc>
        <w:tc>
          <w:tcPr>
            <w:tcW w:w="4800" w:type="dxa"/>
            <w:vAlign w:val="bottom"/>
            <w:gridSpan w:val="10"/>
          </w:tcPr>
          <w:p>
            <w:pPr>
              <w:spacing w:after="0" w:line="19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Executive Officer Performance Share Unit Award</w:t>
              </w:r>
            </w:hyperlink>
          </w:p>
        </w:tc>
        <w:tc>
          <w:tcPr>
            <w:tcW w:w="284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760" w:type="dxa"/>
            <w:vAlign w:val="bottom"/>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Pr>
          <w:p>
            <w:pPr>
              <w:spacing w:after="0"/>
              <w:rPr>
                <w:sz w:val="15"/>
                <w:szCs w:val="15"/>
                <w:color w:val="auto"/>
              </w:rPr>
            </w:pPr>
          </w:p>
        </w:tc>
        <w:tc>
          <w:tcPr>
            <w:tcW w:w="4140" w:type="dxa"/>
            <w:vAlign w:val="bottom"/>
            <w:tcBorders>
              <w:top w:val="single" w:sz="8" w:color="0000FF"/>
            </w:tcBorders>
            <w:gridSpan w:val="6"/>
          </w:tcPr>
          <w:p>
            <w:pPr>
              <w:spacing w:after="0" w:line="17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Agreement</w:t>
              </w:r>
            </w:hyperlink>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28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Pr>
          <w:p>
            <w:pPr>
              <w:spacing w:after="0"/>
              <w:rPr>
                <w:sz w:val="15"/>
                <w:szCs w:val="15"/>
                <w:color w:val="auto"/>
              </w:rPr>
            </w:pPr>
          </w:p>
        </w:tc>
      </w:tr>
      <w:tr>
        <w:trPr>
          <w:trHeight w:val="211"/>
        </w:trPr>
        <w:tc>
          <w:tcPr>
            <w:tcW w:w="1460" w:type="dxa"/>
            <w:vAlign w:val="bottom"/>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60" w:type="dxa"/>
            <w:vAlign w:val="bottom"/>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9"/>
        </w:trPr>
        <w:tc>
          <w:tcPr>
            <w:tcW w:w="14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6"/>
              </w:rPr>
              <w:t>*10.29</w:t>
            </w:r>
          </w:p>
        </w:tc>
        <w:tc>
          <w:tcPr>
            <w:tcW w:w="4800" w:type="dxa"/>
            <w:vAlign w:val="bottom"/>
            <w:gridSpan w:val="10"/>
            <w:shd w:val="clear" w:color="auto" w:fill="CCEEFF"/>
          </w:tcPr>
          <w:p>
            <w:pPr>
              <w:spacing w:after="0" w:line="19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Non-Executive Director Restricted Share Unit Award</w:t>
              </w:r>
            </w:hyperlink>
          </w:p>
        </w:tc>
        <w:tc>
          <w:tcPr>
            <w:tcW w:w="2840" w:type="dxa"/>
            <w:vAlign w:val="bottom"/>
            <w:shd w:val="clear" w:color="auto" w:fill="CCEEFF"/>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60" w:type="dxa"/>
            <w:vAlign w:val="bottom"/>
            <w:shd w:val="clear" w:color="auto" w:fill="CCEEFF"/>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400" w:type="dxa"/>
            <w:vAlign w:val="bottom"/>
            <w:tcBorders>
              <w:top w:val="single" w:sz="8" w:color="0000FF"/>
            </w:tcBorders>
            <w:gridSpan w:val="7"/>
            <w:shd w:val="clear" w:color="auto" w:fill="CCEEFF"/>
          </w:tcPr>
          <w:p>
            <w:pPr>
              <w:spacing w:after="0" w:line="17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Agreement</w:t>
              </w:r>
            </w:hyperlink>
          </w:p>
        </w:tc>
        <w:tc>
          <w:tcPr>
            <w:tcW w:w="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gridSpan w:val="2"/>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45"/>
        </w:trPr>
        <w:tc>
          <w:tcPr>
            <w:tcW w:w="14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0000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840" w:type="dxa"/>
            <w:vAlign w:val="bottom"/>
            <w:tcBorders>
              <w:top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60" w:type="dxa"/>
            <w:vAlign w:val="bottom"/>
            <w:tcBorders>
              <w:top w:val="single" w:sz="8" w:color="CCEEFF"/>
            </w:tcBorders>
            <w:shd w:val="clear" w:color="auto" w:fill="CCEEFF"/>
          </w:tcPr>
          <w:p>
            <w:pPr>
              <w:spacing w:after="0"/>
              <w:rPr>
                <w:sz w:val="21"/>
                <w:szCs w:val="21"/>
                <w:color w:val="auto"/>
              </w:rPr>
            </w:pPr>
          </w:p>
        </w:tc>
      </w:tr>
      <w:tr>
        <w:trPr>
          <w:trHeight w:val="199"/>
        </w:trPr>
        <w:tc>
          <w:tcPr>
            <w:tcW w:w="146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6"/>
              </w:rPr>
              <w:t>*10.30</w:t>
            </w:r>
          </w:p>
        </w:tc>
        <w:tc>
          <w:tcPr>
            <w:tcW w:w="4800" w:type="dxa"/>
            <w:vAlign w:val="bottom"/>
            <w:gridSpan w:val="10"/>
          </w:tcPr>
          <w:p>
            <w:pPr>
              <w:spacing w:after="0" w:line="19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Executive Officer Restricted Share Unit Award</w:t>
              </w:r>
            </w:hyperlink>
          </w:p>
        </w:tc>
        <w:tc>
          <w:tcPr>
            <w:tcW w:w="284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60" w:type="dxa"/>
            <w:vAlign w:val="bottom"/>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Pr>
          <w:p>
            <w:pPr>
              <w:spacing w:after="0"/>
              <w:rPr>
                <w:sz w:val="15"/>
                <w:szCs w:val="15"/>
                <w:color w:val="auto"/>
              </w:rPr>
            </w:pPr>
          </w:p>
        </w:tc>
        <w:tc>
          <w:tcPr>
            <w:tcW w:w="3960" w:type="dxa"/>
            <w:vAlign w:val="bottom"/>
            <w:tcBorders>
              <w:top w:val="single" w:sz="8" w:color="0000FF"/>
            </w:tcBorders>
            <w:gridSpan w:val="4"/>
          </w:tcPr>
          <w:p>
            <w:pPr>
              <w:spacing w:after="0" w:line="17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Agreement adopted January 18, 2023.</w:t>
              </w:r>
            </w:hyperlink>
          </w:p>
        </w:tc>
        <w:tc>
          <w:tcPr>
            <w:tcW w:w="480" w:type="dxa"/>
            <w:vAlign w:val="bottom"/>
            <w:gridSpan w:val="4"/>
          </w:tcPr>
          <w:p>
            <w:pPr>
              <w:spacing w:after="0"/>
              <w:rPr>
                <w:sz w:val="15"/>
                <w:szCs w:val="15"/>
                <w:color w:val="auto"/>
              </w:rPr>
            </w:pPr>
          </w:p>
        </w:tc>
        <w:tc>
          <w:tcPr>
            <w:tcW w:w="360" w:type="dxa"/>
            <w:vAlign w:val="bottom"/>
            <w:gridSpan w:val="2"/>
          </w:tcPr>
          <w:p>
            <w:pPr>
              <w:spacing w:after="0"/>
              <w:rPr>
                <w:sz w:val="15"/>
                <w:szCs w:val="15"/>
                <w:color w:val="auto"/>
              </w:rPr>
            </w:pPr>
          </w:p>
        </w:tc>
        <w:tc>
          <w:tcPr>
            <w:tcW w:w="28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Pr>
          <w:p>
            <w:pPr>
              <w:spacing w:after="0"/>
              <w:rPr>
                <w:sz w:val="15"/>
                <w:szCs w:val="15"/>
                <w:color w:val="auto"/>
              </w:rPr>
            </w:pPr>
          </w:p>
        </w:tc>
      </w:tr>
      <w:tr>
        <w:trPr>
          <w:trHeight w:val="239"/>
        </w:trPr>
        <w:tc>
          <w:tcPr>
            <w:tcW w:w="1460" w:type="dxa"/>
            <w:vAlign w:val="bottom"/>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80" w:type="dxa"/>
            <w:vAlign w:val="bottom"/>
            <w:tcBorders>
              <w:top w:val="single" w:sz="8" w:color="0000FF"/>
            </w:tcBorders>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Pr>
          <w:p>
            <w:pPr>
              <w:spacing w:after="0"/>
              <w:rPr>
                <w:sz w:val="20"/>
                <w:szCs w:val="20"/>
                <w:color w:val="auto"/>
              </w:rPr>
            </w:pPr>
          </w:p>
        </w:tc>
      </w:tr>
      <w:tr>
        <w:trPr>
          <w:trHeight w:val="205"/>
        </w:trPr>
        <w:tc>
          <w:tcPr>
            <w:tcW w:w="1460" w:type="dxa"/>
            <w:vAlign w:val="bottom"/>
            <w:shd w:val="clear" w:color="auto" w:fill="CCEEFF"/>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6"/>
              </w:rPr>
              <w:t>*10.31</w:t>
            </w:r>
          </w:p>
        </w:tc>
        <w:tc>
          <w:tcPr>
            <w:tcW w:w="4800" w:type="dxa"/>
            <w:vAlign w:val="bottom"/>
            <w:gridSpan w:val="10"/>
            <w:shd w:val="clear" w:color="auto" w:fill="CCEEFF"/>
          </w:tcPr>
          <w:p>
            <w:pPr>
              <w:spacing w:after="0" w:line="20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Executive Officer Performance Share Unit Award</w:t>
              </w:r>
            </w:hyperlink>
          </w:p>
        </w:tc>
        <w:tc>
          <w:tcPr>
            <w:tcW w:w="2840" w:type="dxa"/>
            <w:vAlign w:val="bottom"/>
            <w:shd w:val="clear" w:color="auto" w:fill="CCEEFF"/>
          </w:tcPr>
          <w:p>
            <w:pPr>
              <w:jc w:val="center"/>
              <w:ind w:right="12"/>
              <w:spacing w:after="0" w:line="205" w:lineRule="exact"/>
              <w:rPr>
                <w:sz w:val="20"/>
                <w:szCs w:val="20"/>
                <w:color w:val="auto"/>
              </w:rPr>
            </w:pPr>
            <w:r>
              <w:rPr>
                <w:rFonts w:ascii="Times New Roman" w:cs="Times New Roman" w:eastAsia="Times New Roman" w:hAnsi="Times New Roman"/>
                <w:sz w:val="18"/>
                <w:szCs w:val="18"/>
                <w:color w:val="auto"/>
                <w:w w:val="97"/>
              </w:rPr>
              <w:t>Exhibit 10.4 of the Company’s</w:t>
            </w:r>
          </w:p>
        </w:tc>
        <w:tc>
          <w:tcPr>
            <w:tcW w:w="176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140" w:type="dxa"/>
            <w:vAlign w:val="bottom"/>
            <w:tcBorders>
              <w:top w:val="single" w:sz="8" w:color="0000FF"/>
            </w:tcBorders>
            <w:gridSpan w:val="6"/>
            <w:shd w:val="clear" w:color="auto" w:fill="CCEEFF"/>
          </w:tcPr>
          <w:p>
            <w:pPr>
              <w:spacing w:after="0" w:line="17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Agreement adopted January 18, 2023.</w:t>
              </w:r>
            </w:hyperlink>
          </w:p>
        </w:tc>
        <w:tc>
          <w:tcPr>
            <w:tcW w:w="300" w:type="dxa"/>
            <w:vAlign w:val="bottom"/>
            <w:tcBorders>
              <w:top w:val="single" w:sz="8" w:color="CCEEFF"/>
            </w:tcBorders>
            <w:gridSpan w:val="2"/>
            <w:shd w:val="clear" w:color="auto" w:fill="CCEEFF"/>
          </w:tcPr>
          <w:p>
            <w:pPr>
              <w:spacing w:after="0"/>
              <w:rPr>
                <w:sz w:val="15"/>
                <w:szCs w:val="15"/>
                <w:color w:val="auto"/>
              </w:rPr>
            </w:pPr>
          </w:p>
        </w:tc>
        <w:tc>
          <w:tcPr>
            <w:tcW w:w="360" w:type="dxa"/>
            <w:vAlign w:val="bottom"/>
            <w:tcBorders>
              <w:top w:val="single" w:sz="8" w:color="CCEEFF"/>
            </w:tcBorders>
            <w:gridSpan w:val="2"/>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45"/>
        </w:trPr>
        <w:tc>
          <w:tcPr>
            <w:tcW w:w="14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0000FF"/>
            </w:tcBorders>
            <w:shd w:val="clear" w:color="auto" w:fill="CCEEFF"/>
          </w:tcPr>
          <w:p>
            <w:pPr>
              <w:spacing w:after="0"/>
              <w:rPr>
                <w:sz w:val="21"/>
                <w:szCs w:val="21"/>
                <w:color w:val="auto"/>
              </w:rPr>
            </w:pPr>
          </w:p>
        </w:tc>
        <w:tc>
          <w:tcPr>
            <w:tcW w:w="220" w:type="dxa"/>
            <w:vAlign w:val="bottom"/>
            <w:tcBorders>
              <w:top w:val="single" w:sz="8" w:color="0000FF"/>
            </w:tcBorders>
            <w:shd w:val="clear" w:color="auto" w:fill="CCEEFF"/>
          </w:tcPr>
          <w:p>
            <w:pPr>
              <w:spacing w:after="0"/>
              <w:rPr>
                <w:sz w:val="21"/>
                <w:szCs w:val="21"/>
                <w:color w:val="auto"/>
              </w:rPr>
            </w:pPr>
          </w:p>
        </w:tc>
        <w:tc>
          <w:tcPr>
            <w:tcW w:w="1680" w:type="dxa"/>
            <w:vAlign w:val="bottom"/>
            <w:tcBorders>
              <w:top w:val="single" w:sz="8" w:color="0000FF"/>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840" w:type="dxa"/>
            <w:vAlign w:val="bottom"/>
            <w:tcBorders>
              <w:top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Borders>
              <w:top w:val="single" w:sz="8" w:color="CCEEFF"/>
            </w:tcBorders>
            <w:shd w:val="clear" w:color="auto" w:fill="CCEEFF"/>
          </w:tcPr>
          <w:p>
            <w:pPr>
              <w:spacing w:after="0"/>
              <w:rPr>
                <w:sz w:val="21"/>
                <w:szCs w:val="21"/>
                <w:color w:val="auto"/>
              </w:rPr>
            </w:pPr>
          </w:p>
        </w:tc>
      </w:tr>
      <w:tr>
        <w:trPr>
          <w:trHeight w:val="199"/>
        </w:trPr>
        <w:tc>
          <w:tcPr>
            <w:tcW w:w="146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6"/>
              </w:rPr>
              <w:t>*10.32</w:t>
            </w:r>
          </w:p>
        </w:tc>
        <w:tc>
          <w:tcPr>
            <w:tcW w:w="4800" w:type="dxa"/>
            <w:vAlign w:val="bottom"/>
            <w:gridSpan w:val="10"/>
          </w:tcPr>
          <w:p>
            <w:pPr>
              <w:spacing w:after="0" w:line="19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Non- Executive Director Restricted Share Unit Award</w:t>
              </w:r>
            </w:hyperlink>
          </w:p>
        </w:tc>
        <w:tc>
          <w:tcPr>
            <w:tcW w:w="284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7"/>
              </w:rPr>
              <w:t>Exhibit 10.5 of the Company’s</w:t>
            </w:r>
          </w:p>
        </w:tc>
        <w:tc>
          <w:tcPr>
            <w:tcW w:w="1760" w:type="dxa"/>
            <w:vAlign w:val="bottom"/>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Pr>
          <w:p>
            <w:pPr>
              <w:spacing w:after="0"/>
              <w:rPr>
                <w:sz w:val="15"/>
                <w:szCs w:val="15"/>
                <w:color w:val="auto"/>
              </w:rPr>
            </w:pPr>
          </w:p>
        </w:tc>
        <w:tc>
          <w:tcPr>
            <w:tcW w:w="4440" w:type="dxa"/>
            <w:vAlign w:val="bottom"/>
            <w:tcBorders>
              <w:top w:val="single" w:sz="8" w:color="0000FF"/>
            </w:tcBorders>
            <w:gridSpan w:val="8"/>
          </w:tcPr>
          <w:p>
            <w:pPr>
              <w:spacing w:after="0" w:line="17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Agreement adopted January 18, 2023.</w:t>
              </w:r>
            </w:hyperlink>
          </w:p>
        </w:tc>
        <w:tc>
          <w:tcPr>
            <w:tcW w:w="360" w:type="dxa"/>
            <w:vAlign w:val="bottom"/>
            <w:gridSpan w:val="2"/>
          </w:tcPr>
          <w:p>
            <w:pPr>
              <w:spacing w:after="0"/>
              <w:rPr>
                <w:sz w:val="15"/>
                <w:szCs w:val="15"/>
                <w:color w:val="auto"/>
              </w:rPr>
            </w:pPr>
          </w:p>
        </w:tc>
        <w:tc>
          <w:tcPr>
            <w:tcW w:w="28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Pr>
          <w:p>
            <w:pPr>
              <w:spacing w:after="0"/>
              <w:rPr>
                <w:sz w:val="15"/>
                <w:szCs w:val="15"/>
                <w:color w:val="auto"/>
              </w:rPr>
            </w:pPr>
          </w:p>
        </w:tc>
      </w:tr>
      <w:tr>
        <w:trPr>
          <w:trHeight w:val="233"/>
        </w:trPr>
        <w:tc>
          <w:tcPr>
            <w:tcW w:w="1460" w:type="dxa"/>
            <w:vAlign w:val="bottom"/>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80" w:type="dxa"/>
            <w:vAlign w:val="bottom"/>
            <w:tcBorders>
              <w:top w:val="single" w:sz="8" w:color="0000FF"/>
            </w:tcBorders>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643"/>
        </w:trPr>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320" w:type="dxa"/>
            <w:vAlign w:val="bottom"/>
          </w:tcPr>
          <w:p>
            <w:pPr>
              <w:spacing w:after="0"/>
              <w:rPr>
                <w:sz w:val="24"/>
                <w:szCs w:val="24"/>
                <w:color w:val="auto"/>
              </w:rPr>
            </w:pPr>
          </w:p>
        </w:tc>
        <w:tc>
          <w:tcPr>
            <w:tcW w:w="438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6"/>
              </w:rPr>
              <w:t>*10.33</w:t>
            </w:r>
          </w:p>
        </w:tc>
        <w:tc>
          <w:tcPr>
            <w:tcW w:w="200" w:type="dxa"/>
            <w:vAlign w:val="bottom"/>
            <w:shd w:val="clear" w:color="auto" w:fill="CCEEFF"/>
          </w:tcPr>
          <w:p>
            <w:pPr>
              <w:spacing w:after="0"/>
              <w:rPr>
                <w:sz w:val="17"/>
                <w:szCs w:val="17"/>
                <w:color w:val="auto"/>
              </w:rPr>
            </w:pPr>
          </w:p>
        </w:tc>
        <w:tc>
          <w:tcPr>
            <w:tcW w:w="4700" w:type="dxa"/>
            <w:vAlign w:val="bottom"/>
            <w:gridSpan w:val="3"/>
            <w:shd w:val="clear" w:color="auto" w:fill="CCEEFF"/>
          </w:tcPr>
          <w:p>
            <w:pPr>
              <w:spacing w:after="0" w:line="19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Weatherford International plc 2020 Long-Term Cash Incentive</w:t>
              </w:r>
            </w:hyperlink>
          </w:p>
        </w:tc>
        <w:tc>
          <w:tcPr>
            <w:tcW w:w="294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40" w:type="dxa"/>
            <w:vAlign w:val="bottom"/>
            <w:tcBorders>
              <w:top w:val="single" w:sz="8" w:color="0000FF"/>
            </w:tcBorders>
            <w:gridSpan w:val="2"/>
            <w:shd w:val="clear" w:color="auto" w:fill="CCEEFF"/>
          </w:tcPr>
          <w:p>
            <w:pPr>
              <w:spacing w:after="0" w:line="17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Plan</w:t>
              </w:r>
            </w:hyperlink>
          </w:p>
        </w:tc>
        <w:tc>
          <w:tcPr>
            <w:tcW w:w="26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45"/>
        </w:trPr>
        <w:tc>
          <w:tcPr>
            <w:tcW w:w="12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0000FF"/>
            </w:tcBorders>
            <w:shd w:val="clear" w:color="auto" w:fill="CCEEFF"/>
          </w:tcPr>
          <w:p>
            <w:pPr>
              <w:spacing w:after="0"/>
              <w:rPr>
                <w:sz w:val="21"/>
                <w:szCs w:val="21"/>
                <w:color w:val="auto"/>
              </w:rPr>
            </w:pPr>
          </w:p>
        </w:tc>
        <w:tc>
          <w:tcPr>
            <w:tcW w:w="4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9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April 24, 2020</w:t>
            </w:r>
          </w:p>
        </w:tc>
        <w:tc>
          <w:tcPr>
            <w:tcW w:w="1760" w:type="dxa"/>
            <w:vAlign w:val="bottom"/>
            <w:tcBorders>
              <w:top w:val="single" w:sz="8" w:color="CCEEFF"/>
            </w:tcBorders>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396" w:right="339" w:bottom="1440" w:gutter="0" w:footer="0" w:header="0"/>
        </w:sectPr>
      </w:pPr>
    </w:p>
    <w:p>
      <w:pPr>
        <w:ind w:left="42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45">
        <w:r>
          <w:rPr>
            <w:rFonts w:ascii="Times New Roman" w:cs="Times New Roman" w:eastAsia="Times New Roman" w:hAnsi="Times New Roman"/>
            <w:sz w:val="17"/>
            <w:szCs w:val="17"/>
            <w:u w:val="single" w:color="auto"/>
            <w:color w:val="0000FF"/>
          </w:rPr>
          <w:t>Form of Long-Term Cash Incentive Plan Award Agreement</w:t>
        </w:r>
      </w:hyperlink>
      <w:r>
        <w:rPr>
          <w:rFonts w:ascii="Times New Roman" w:cs="Times New Roman" w:eastAsia="Times New Roman" w:hAnsi="Times New Roman"/>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46">
        <w:r>
          <w:rPr>
            <w:rFonts w:ascii="Times New Roman" w:cs="Times New Roman" w:eastAsia="Times New Roman" w:hAnsi="Times New Roman"/>
            <w:sz w:val="17"/>
            <w:szCs w:val="17"/>
            <w:u w:val="single" w:color="auto"/>
            <w:color w:val="0000FF"/>
          </w:rPr>
          <w:t>Form of Long-Term Cash Incentive Plan Award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891020" cy="3702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spacing w:after="0" w:line="356" w:lineRule="exact"/>
        <w:rPr>
          <w:sz w:val="20"/>
          <w:szCs w:val="20"/>
          <w:color w:val="auto"/>
        </w:rPr>
      </w:pPr>
    </w:p>
    <w:p>
      <w:pPr>
        <w:ind w:left="42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48">
        <w:r>
          <w:rPr>
            <w:rFonts w:ascii="Times New Roman" w:cs="Times New Roman" w:eastAsia="Times New Roman" w:hAnsi="Times New Roman"/>
            <w:sz w:val="17"/>
            <w:szCs w:val="17"/>
            <w:u w:val="single" w:color="auto"/>
            <w:color w:val="0000FF"/>
          </w:rPr>
          <w:t>LTCIP Amended Award Agreement, adopted March 17, 2021.</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Exhibit 10.2 of the</w:t>
            </w: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5"/>
              </w:rPr>
              <w:t>File No. 1-36504</w:t>
            </w:r>
          </w:p>
        </w:tc>
      </w:tr>
      <w:tr>
        <w:trPr>
          <w:trHeight w:val="212"/>
        </w:trPr>
        <w:tc>
          <w:tcPr>
            <w:tcW w:w="27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Company’s Current</w:t>
            </w:r>
          </w:p>
        </w:tc>
        <w:tc>
          <w:tcPr>
            <w:tcW w:w="1440" w:type="dxa"/>
            <w:vAlign w:val="bottom"/>
          </w:tcPr>
          <w:p>
            <w:pPr>
              <w:spacing w:after="0"/>
              <w:rPr>
                <w:sz w:val="18"/>
                <w:szCs w:val="18"/>
                <w:color w:val="auto"/>
              </w:rPr>
            </w:pPr>
          </w:p>
        </w:tc>
      </w:tr>
      <w:tr>
        <w:trPr>
          <w:trHeight w:val="199"/>
        </w:trPr>
        <w:tc>
          <w:tcPr>
            <w:tcW w:w="2780" w:type="dxa"/>
            <w:vAlign w:val="bottom"/>
          </w:tcPr>
          <w:p>
            <w:pPr>
              <w:jc w:val="center"/>
              <w:ind w:right="152"/>
              <w:spacing w:after="0" w:line="199"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440" w:type="dxa"/>
            <w:vAlign w:val="bottom"/>
          </w:tcPr>
          <w:p>
            <w:pPr>
              <w:spacing w:after="0"/>
              <w:rPr>
                <w:sz w:val="17"/>
                <w:szCs w:val="17"/>
                <w:color w:val="auto"/>
              </w:rPr>
            </w:pPr>
          </w:p>
        </w:tc>
      </w:tr>
      <w:tr>
        <w:trPr>
          <w:trHeight w:val="231"/>
        </w:trPr>
        <w:tc>
          <w:tcPr>
            <w:tcW w:w="27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filed April 24, 2020</w:t>
            </w:r>
          </w:p>
        </w:tc>
        <w:tc>
          <w:tcPr>
            <w:tcW w:w="1440" w:type="dxa"/>
            <w:vAlign w:val="bottom"/>
          </w:tcPr>
          <w:p>
            <w:pPr>
              <w:spacing w:after="0"/>
              <w:rPr>
                <w:sz w:val="20"/>
                <w:szCs w:val="20"/>
                <w:color w:val="auto"/>
              </w:rPr>
            </w:pPr>
          </w:p>
        </w:tc>
      </w:tr>
      <w:tr>
        <w:trPr>
          <w:trHeight w:val="184"/>
        </w:trPr>
        <w:tc>
          <w:tcPr>
            <w:tcW w:w="2780" w:type="dxa"/>
            <w:vAlign w:val="bottom"/>
          </w:tcPr>
          <w:p>
            <w:pPr>
              <w:jc w:val="center"/>
              <w:ind w:right="152"/>
              <w:spacing w:after="0" w:line="184"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4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80"/>
        </w:trPr>
        <w:tc>
          <w:tcPr>
            <w:tcW w:w="2780" w:type="dxa"/>
            <w:vAlign w:val="bottom"/>
          </w:tcPr>
          <w:p>
            <w:pPr>
              <w:jc w:val="center"/>
              <w:ind w:right="132"/>
              <w:spacing w:after="0" w:line="181"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440" w:type="dxa"/>
            <w:vAlign w:val="bottom"/>
          </w:tcPr>
          <w:p>
            <w:pPr>
              <w:spacing w:after="0"/>
              <w:rPr>
                <w:sz w:val="15"/>
                <w:szCs w:val="15"/>
                <w:color w:val="auto"/>
              </w:rPr>
            </w:pPr>
          </w:p>
        </w:tc>
      </w:tr>
      <w:tr>
        <w:trPr>
          <w:trHeight w:val="225"/>
        </w:trPr>
        <w:tc>
          <w:tcPr>
            <w:tcW w:w="27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November 20, 2020</w:t>
            </w:r>
          </w:p>
        </w:tc>
        <w:tc>
          <w:tcPr>
            <w:tcW w:w="1440" w:type="dxa"/>
            <w:vAlign w:val="bottom"/>
          </w:tcPr>
          <w:p>
            <w:pPr>
              <w:spacing w:after="0"/>
              <w:rPr>
                <w:sz w:val="19"/>
                <w:szCs w:val="19"/>
                <w:color w:val="auto"/>
              </w:rPr>
            </w:pPr>
          </w:p>
        </w:tc>
      </w:tr>
      <w:tr>
        <w:trPr>
          <w:trHeight w:val="177"/>
        </w:trPr>
        <w:tc>
          <w:tcPr>
            <w:tcW w:w="2780" w:type="dxa"/>
            <w:vAlign w:val="bottom"/>
          </w:tcPr>
          <w:p>
            <w:pPr>
              <w:jc w:val="center"/>
              <w:ind w:right="152"/>
              <w:spacing w:after="0" w:line="177" w:lineRule="exact"/>
              <w:rPr>
                <w:sz w:val="20"/>
                <w:szCs w:val="20"/>
                <w:color w:val="auto"/>
              </w:rPr>
            </w:pPr>
            <w:r>
              <w:rPr>
                <w:rFonts w:ascii="Times New Roman" w:cs="Times New Roman" w:eastAsia="Times New Roman" w:hAnsi="Times New Roman"/>
                <w:sz w:val="18"/>
                <w:szCs w:val="18"/>
                <w:color w:val="auto"/>
                <w:w w:val="97"/>
              </w:rPr>
              <w:t>Exhibit 10.37 of the Company’s</w:t>
            </w:r>
          </w:p>
        </w:tc>
        <w:tc>
          <w:tcPr>
            <w:tcW w:w="144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80"/>
        </w:trPr>
        <w:tc>
          <w:tcPr>
            <w:tcW w:w="2780" w:type="dxa"/>
            <w:vAlign w:val="bottom"/>
          </w:tcPr>
          <w:p>
            <w:pPr>
              <w:jc w:val="center"/>
              <w:ind w:right="152"/>
              <w:spacing w:after="0" w:line="181" w:lineRule="exact"/>
              <w:rPr>
                <w:sz w:val="20"/>
                <w:szCs w:val="20"/>
                <w:color w:val="auto"/>
              </w:rPr>
            </w:pPr>
            <w:r>
              <w:rPr>
                <w:rFonts w:ascii="Times New Roman" w:cs="Times New Roman" w:eastAsia="Times New Roman" w:hAnsi="Times New Roman"/>
                <w:sz w:val="18"/>
                <w:szCs w:val="18"/>
                <w:color w:val="auto"/>
                <w:w w:val="98"/>
              </w:rPr>
              <w:t>Annual Report on the Form 10-K/A</w:t>
            </w:r>
          </w:p>
        </w:tc>
        <w:tc>
          <w:tcPr>
            <w:tcW w:w="1440" w:type="dxa"/>
            <w:vAlign w:val="bottom"/>
          </w:tcPr>
          <w:p>
            <w:pPr>
              <w:spacing w:after="0"/>
              <w:rPr>
                <w:sz w:val="15"/>
                <w:szCs w:val="15"/>
                <w:color w:val="auto"/>
              </w:rPr>
            </w:pPr>
          </w:p>
        </w:tc>
      </w:tr>
      <w:tr>
        <w:trPr>
          <w:trHeight w:val="177"/>
        </w:trPr>
        <w:tc>
          <w:tcPr>
            <w:tcW w:w="2780" w:type="dxa"/>
            <w:vAlign w:val="bottom"/>
          </w:tcPr>
          <w:p>
            <w:pPr>
              <w:jc w:val="center"/>
              <w:ind w:right="152"/>
              <w:spacing w:after="0" w:line="177" w:lineRule="exact"/>
              <w:rPr>
                <w:sz w:val="20"/>
                <w:szCs w:val="20"/>
                <w:color w:val="auto"/>
              </w:rPr>
            </w:pPr>
            <w:r>
              <w:rPr>
                <w:rFonts w:ascii="Times New Roman" w:cs="Times New Roman" w:eastAsia="Times New Roman" w:hAnsi="Times New Roman"/>
                <w:sz w:val="18"/>
                <w:szCs w:val="18"/>
                <w:color w:val="auto"/>
                <w:w w:val="97"/>
              </w:rPr>
              <w:t>for the year ended December 31,</w:t>
            </w:r>
          </w:p>
        </w:tc>
        <w:tc>
          <w:tcPr>
            <w:tcW w:w="1440" w:type="dxa"/>
            <w:vAlign w:val="bottom"/>
          </w:tcPr>
          <w:p>
            <w:pPr>
              <w:spacing w:after="0"/>
              <w:rPr>
                <w:sz w:val="15"/>
                <w:szCs w:val="15"/>
                <w:color w:val="auto"/>
              </w:rPr>
            </w:pPr>
          </w:p>
        </w:tc>
      </w:tr>
      <w:tr>
        <w:trPr>
          <w:trHeight w:val="223"/>
        </w:trPr>
        <w:tc>
          <w:tcPr>
            <w:tcW w:w="27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2020 filed March 18, 2021</w:t>
            </w:r>
          </w:p>
        </w:tc>
        <w:tc>
          <w:tcPr>
            <w:tcW w:w="144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5860" w:space="500"/>
            <w:col w:w="4880"/>
          </w:cols>
          <w:pgMar w:left="320" w:top="396" w:right="339" w:bottom="1440" w:gutter="0" w:footer="0" w:header="0"/>
          <w:type w:val="continuous"/>
        </w:sectPr>
      </w:pPr>
    </w:p>
    <w:tbl>
      <w:tblPr>
        <w:tblLayout w:type="fixed"/>
        <w:tblInd w:w="460" w:type="dxa"/>
        <w:tblCellMar>
          <w:top w:w="0" w:type="dxa"/>
          <w:left w:w="0" w:type="dxa"/>
          <w:bottom w:w="0" w:type="dxa"/>
          <w:right w:w="0" w:type="dxa"/>
        </w:tblCellMar>
      </w:tblPr>
      <w:tr>
        <w:trPr>
          <w:trHeight w:val="188"/>
        </w:trPr>
        <w:tc>
          <w:tcPr>
            <w:tcW w:w="1000" w:type="dxa"/>
            <w:vAlign w:val="bottom"/>
          </w:tcPr>
          <w:p>
            <w:pPr>
              <w:jc w:val="right"/>
              <w:ind w:right="512"/>
              <w:spacing w:after="0" w:line="188" w:lineRule="exact"/>
              <w:rPr>
                <w:sz w:val="20"/>
                <w:szCs w:val="20"/>
                <w:color w:val="auto"/>
              </w:rPr>
            </w:pPr>
            <w:r>
              <w:rPr>
                <w:rFonts w:ascii="Times New Roman" w:cs="Times New Roman" w:eastAsia="Times New Roman" w:hAnsi="Times New Roman"/>
                <w:sz w:val="18"/>
                <w:szCs w:val="18"/>
                <w:color w:val="auto"/>
                <w:w w:val="93"/>
              </w:rPr>
              <w:t>10.37</w:t>
            </w:r>
          </w:p>
        </w:tc>
        <w:tc>
          <w:tcPr>
            <w:tcW w:w="4940" w:type="dxa"/>
            <w:vAlign w:val="bottom"/>
            <w:gridSpan w:val="6"/>
          </w:tcPr>
          <w:p>
            <w:pPr>
              <w:spacing w:after="0" w:line="188"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LC Credit Agreement, dated December 13, 2019 (as amended by</w:t>
              </w:r>
            </w:hyperlink>
          </w:p>
        </w:tc>
        <w:tc>
          <w:tcPr>
            <w:tcW w:w="25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Exhibit 10.2 of the</w:t>
            </w:r>
          </w:p>
        </w:tc>
        <w:tc>
          <w:tcPr>
            <w:tcW w:w="164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52"/>
        </w:trPr>
        <w:tc>
          <w:tcPr>
            <w:tcW w:w="1000" w:type="dxa"/>
            <w:vAlign w:val="bottom"/>
          </w:tcPr>
          <w:p>
            <w:pPr>
              <w:spacing w:after="0"/>
              <w:rPr>
                <w:sz w:val="13"/>
                <w:szCs w:val="13"/>
                <w:color w:val="auto"/>
              </w:rPr>
            </w:pPr>
          </w:p>
        </w:tc>
        <w:tc>
          <w:tcPr>
            <w:tcW w:w="4600" w:type="dxa"/>
            <w:vAlign w:val="bottom"/>
            <w:tcBorders>
              <w:top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Amendment No.1, dated August 28, 2020, included in Exhibit</w:t>
              </w:r>
            </w:hyperlink>
          </w:p>
        </w:tc>
        <w:tc>
          <w:tcPr>
            <w:tcW w:w="340" w:type="dxa"/>
            <w:vAlign w:val="bottom"/>
          </w:tcPr>
          <w:p>
            <w:pPr>
              <w:spacing w:after="0"/>
              <w:rPr>
                <w:sz w:val="13"/>
                <w:szCs w:val="13"/>
                <w:color w:val="auto"/>
              </w:rPr>
            </w:pPr>
          </w:p>
        </w:tc>
        <w:tc>
          <w:tcPr>
            <w:tcW w:w="2540" w:type="dxa"/>
            <w:vAlign w:val="bottom"/>
          </w:tcPr>
          <w:p>
            <w:pPr>
              <w:jc w:val="center"/>
              <w:ind w:right="34"/>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640" w:type="dxa"/>
            <w:vAlign w:val="bottom"/>
          </w:tcPr>
          <w:p>
            <w:pPr>
              <w:spacing w:after="0"/>
              <w:rPr>
                <w:sz w:val="13"/>
                <w:szCs w:val="13"/>
                <w:color w:val="auto"/>
              </w:rPr>
            </w:pPr>
          </w:p>
        </w:tc>
      </w:tr>
      <w:tr>
        <w:trPr>
          <w:trHeight w:val="166"/>
        </w:trPr>
        <w:tc>
          <w:tcPr>
            <w:tcW w:w="1000" w:type="dxa"/>
            <w:vAlign w:val="bottom"/>
          </w:tcPr>
          <w:p>
            <w:pPr>
              <w:spacing w:after="0"/>
              <w:rPr>
                <w:sz w:val="14"/>
                <w:szCs w:val="14"/>
                <w:color w:val="auto"/>
              </w:rPr>
            </w:pPr>
          </w:p>
        </w:tc>
        <w:tc>
          <w:tcPr>
            <w:tcW w:w="428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10.38 below), by and among Weatherford International Ltd.,</w:t>
              </w:r>
            </w:hyperlink>
          </w:p>
        </w:tc>
        <w:tc>
          <w:tcPr>
            <w:tcW w:w="1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2540" w:type="dxa"/>
            <w:vAlign w:val="bottom"/>
          </w:tcPr>
          <w:p>
            <w:pPr>
              <w:jc w:val="center"/>
              <w:ind w:right="34"/>
              <w:spacing w:after="0" w:line="165"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640" w:type="dxa"/>
            <w:vAlign w:val="bottom"/>
          </w:tcPr>
          <w:p>
            <w:pPr>
              <w:spacing w:after="0"/>
              <w:rPr>
                <w:sz w:val="14"/>
                <w:szCs w:val="14"/>
                <w:color w:val="auto"/>
              </w:rPr>
            </w:pPr>
          </w:p>
        </w:tc>
      </w:tr>
      <w:tr>
        <w:trPr>
          <w:trHeight w:val="152"/>
        </w:trPr>
        <w:tc>
          <w:tcPr>
            <w:tcW w:w="1000" w:type="dxa"/>
            <w:vAlign w:val="bottom"/>
          </w:tcPr>
          <w:p>
            <w:pPr>
              <w:spacing w:after="0"/>
              <w:rPr>
                <w:sz w:val="13"/>
                <w:szCs w:val="13"/>
                <w:color w:val="auto"/>
              </w:rPr>
            </w:pPr>
          </w:p>
        </w:tc>
        <w:tc>
          <w:tcPr>
            <w:tcW w:w="4940" w:type="dxa"/>
            <w:vAlign w:val="bottom"/>
            <w:gridSpan w:val="6"/>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Weatherford International plc, Weatherford International LLC,</w:t>
              </w:r>
            </w:hyperlink>
          </w:p>
        </w:tc>
        <w:tc>
          <w:tcPr>
            <w:tcW w:w="254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rPr>
              <w:t>filed December 18, 2019</w:t>
            </w:r>
          </w:p>
        </w:tc>
        <w:tc>
          <w:tcPr>
            <w:tcW w:w="1640" w:type="dxa"/>
            <w:vAlign w:val="bottom"/>
          </w:tcPr>
          <w:p>
            <w:pPr>
              <w:spacing w:after="0"/>
              <w:rPr>
                <w:sz w:val="13"/>
                <w:szCs w:val="13"/>
                <w:color w:val="auto"/>
              </w:rPr>
            </w:pPr>
          </w:p>
        </w:tc>
      </w:tr>
      <w:tr>
        <w:trPr>
          <w:trHeight w:val="152"/>
        </w:trPr>
        <w:tc>
          <w:tcPr>
            <w:tcW w:w="10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Deutsche Bank Trust Company Americas and the lenders party</w:t>
              </w:r>
            </w:hyperlink>
          </w:p>
        </w:tc>
        <w:tc>
          <w:tcPr>
            <w:tcW w:w="40" w:type="dxa"/>
            <w:vAlign w:val="bottom"/>
            <w:tcBorders>
              <w:bottom w:val="single" w:sz="8" w:color="0000FF"/>
            </w:tcBorders>
          </w:tcPr>
          <w:p>
            <w:pPr>
              <w:spacing w:after="0"/>
              <w:rPr>
                <w:sz w:val="13"/>
                <w:szCs w:val="13"/>
                <w:color w:val="auto"/>
              </w:rPr>
            </w:pPr>
          </w:p>
        </w:tc>
        <w:tc>
          <w:tcPr>
            <w:tcW w:w="480" w:type="dxa"/>
            <w:vAlign w:val="bottom"/>
            <w:gridSpan w:val="2"/>
          </w:tcPr>
          <w:p>
            <w:pPr>
              <w:spacing w:after="0"/>
              <w:rPr>
                <w:sz w:val="13"/>
                <w:szCs w:val="13"/>
                <w:color w:val="auto"/>
              </w:rPr>
            </w:pPr>
          </w:p>
        </w:tc>
        <w:tc>
          <w:tcPr>
            <w:tcW w:w="254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-571500</wp:posOffset>
            </wp:positionV>
            <wp:extent cx="6891020" cy="8585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6891020" cy="858520"/>
                    </a:xfrm>
                    <a:prstGeom prst="rect">
                      <a:avLst/>
                    </a:prstGeom>
                    <a:noFill/>
                  </pic:spPr>
                </pic:pic>
              </a:graphicData>
            </a:graphic>
          </wp:anchor>
        </w:drawing>
      </w:r>
    </w:p>
    <w:p>
      <w:pPr>
        <w:ind w:left="146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thereto from time to time.</w:t>
        </w:r>
      </w:hyperlink>
    </w:p>
    <w:p>
      <w:pPr>
        <w:sectPr>
          <w:pgSz w:w="11900" w:h="16838" w:orient="portrait"/>
          <w:cols w:equalWidth="0" w:num="1">
            <w:col w:w="11240"/>
          </w:cols>
          <w:pgMar w:left="320" w:top="396" w:right="339" w:bottom="1440" w:gutter="0" w:footer="0" w:header="0"/>
          <w:type w:val="continuous"/>
        </w:sectPr>
      </w:pPr>
    </w:p>
    <w:p>
      <w:pPr>
        <w:spacing w:after="0" w:line="238" w:lineRule="exact"/>
        <w:rPr>
          <w:sz w:val="20"/>
          <w:szCs w:val="20"/>
          <w:color w:val="auto"/>
        </w:rPr>
      </w:pPr>
    </w:p>
    <w:p>
      <w:pPr>
        <w:ind w:left="460"/>
        <w:spacing w:after="0"/>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51">
        <w:r>
          <w:rPr>
            <w:rFonts w:ascii="Times New Roman" w:cs="Times New Roman" w:eastAsia="Times New Roman" w:hAnsi="Times New Roman"/>
            <w:sz w:val="17"/>
            <w:szCs w:val="17"/>
            <w:u w:val="single" w:color="auto"/>
            <w:color w:val="0000FF"/>
          </w:rPr>
          <w:t>Amendment No. 1 to LC Credit Agreement and Amendment No.</w:t>
        </w:r>
      </w:hyperlink>
    </w:p>
    <w:p>
      <w:pPr>
        <w:spacing w:after="0" w:line="25" w:lineRule="exact"/>
        <w:rPr>
          <w:sz w:val="20"/>
          <w:szCs w:val="20"/>
          <w:color w:val="auto"/>
        </w:rPr>
      </w:pPr>
    </w:p>
    <w:p>
      <w:pPr>
        <w:ind w:left="1460" w:right="80" w:firstLine="8"/>
        <w:spacing w:after="0" w:line="257" w:lineRule="auto"/>
        <w:tabs>
          <w:tab w:leader="none" w:pos="1637" w:val="left"/>
        </w:tabs>
        <w:numPr>
          <w:ilvl w:val="0"/>
          <w:numId w:val="29"/>
        </w:numPr>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u w:val="single" w:color="auto"/>
            <w:color w:val="0000FF"/>
          </w:rPr>
          <w:t>To U.S. Security Agreement, dated August 28, 2020, by and</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among Weatherford International Ltd., Weatherford International</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plc, Weatherford International LLC, the other guarantors of the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LC Credit Agreement, Deutsche Bank Trust Company Americas</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and the lenders under the LC Credit Agreement</w:t>
        </w:r>
        <w:r>
          <w:rPr>
            <w:rFonts w:ascii="Times New Roman" w:cs="Times New Roman" w:eastAsia="Times New Roman" w:hAnsi="Times New Roman"/>
            <w:sz w:val="17"/>
            <w:szCs w:val="17"/>
            <w:color w:val="000000"/>
          </w:rPr>
          <w:t>.</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4" w:lineRule="exact"/>
        <w:rPr>
          <w:rFonts w:ascii="Times New Roman" w:cs="Times New Roman" w:eastAsia="Times New Roman" w:hAnsi="Times New Roman"/>
          <w:sz w:val="17"/>
          <w:szCs w:val="17"/>
          <w:u w:val="single" w:color="auto"/>
          <w:color w:val="0000FF"/>
        </w:rPr>
      </w:pPr>
    </w:p>
    <w:p>
      <w:pPr>
        <w:ind w:left="100"/>
        <w:spacing w:after="0"/>
        <w:tabs>
          <w:tab w:leader="none" w:pos="2500" w:val="left"/>
        </w:tabs>
        <w:rPr>
          <w:sz w:val="20"/>
          <w:szCs w:val="20"/>
          <w:color w:val="auto"/>
        </w:rPr>
      </w:pPr>
      <w:r>
        <w:rPr>
          <w:rFonts w:ascii="Times New Roman" w:cs="Times New Roman" w:eastAsia="Times New Roman" w:hAnsi="Times New Roman"/>
          <w:sz w:val="18"/>
          <w:szCs w:val="18"/>
          <w:color w:val="auto"/>
        </w:rPr>
        <w:t>Exhibit 10.1 of the</w:t>
      </w:r>
      <w:r>
        <w:rPr>
          <w:sz w:val="20"/>
          <w:szCs w:val="20"/>
          <w:color w:val="auto"/>
        </w:rPr>
        <w:tab/>
      </w:r>
      <w:r>
        <w:rPr>
          <w:rFonts w:ascii="Times New Roman" w:cs="Times New Roman" w:eastAsia="Times New Roman" w:hAnsi="Times New Roman"/>
          <w:sz w:val="17"/>
          <w:szCs w:val="17"/>
          <w:color w:val="auto"/>
        </w:rPr>
        <w:t>File No. 1-36504</w:t>
      </w:r>
    </w:p>
    <w:p>
      <w:pPr>
        <w:ind w:left="80"/>
        <w:spacing w:after="0" w:line="215" w:lineRule="auto"/>
        <w:rPr>
          <w:sz w:val="20"/>
          <w:szCs w:val="20"/>
          <w:color w:val="auto"/>
        </w:rPr>
      </w:pPr>
      <w:r>
        <w:rPr>
          <w:rFonts w:ascii="Times New Roman" w:cs="Times New Roman" w:eastAsia="Times New Roman" w:hAnsi="Times New Roman"/>
          <w:sz w:val="18"/>
          <w:szCs w:val="18"/>
          <w:color w:val="auto"/>
        </w:rPr>
        <w:t>Company’s Current</w:t>
      </w:r>
    </w:p>
    <w:p>
      <w:pPr>
        <w:ind w:left="40"/>
        <w:spacing w:after="0" w:line="199" w:lineRule="auto"/>
        <w:rPr>
          <w:sz w:val="20"/>
          <w:szCs w:val="20"/>
          <w:color w:val="auto"/>
        </w:rPr>
      </w:pPr>
      <w:r>
        <w:rPr>
          <w:rFonts w:ascii="Times New Roman" w:cs="Times New Roman" w:eastAsia="Times New Roman" w:hAnsi="Times New Roman"/>
          <w:sz w:val="18"/>
          <w:szCs w:val="18"/>
          <w:color w:val="auto"/>
        </w:rPr>
        <w:t>Report on Form 8-K</w:t>
      </w:r>
    </w:p>
    <w:p>
      <w:pPr>
        <w:spacing w:after="0" w:line="1"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August 28, 2020</w:t>
      </w:r>
    </w:p>
    <w:p>
      <w:pPr>
        <w:spacing w:after="0" w:line="522"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140" w:space="720"/>
            <w:col w:w="4380"/>
          </w:cols>
          <w:pgMar w:left="320" w:top="396"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1460" w:type="dxa"/>
            <w:vAlign w:val="bottom"/>
            <w:shd w:val="clear" w:color="auto" w:fill="CCEEFF"/>
          </w:tcPr>
          <w:p>
            <w:pPr>
              <w:jc w:val="right"/>
              <w:ind w:right="512"/>
              <w:spacing w:after="0" w:line="197" w:lineRule="exact"/>
              <w:rPr>
                <w:sz w:val="20"/>
                <w:szCs w:val="20"/>
                <w:color w:val="auto"/>
              </w:rPr>
            </w:pPr>
            <w:r>
              <w:rPr>
                <w:rFonts w:ascii="Times New Roman" w:cs="Times New Roman" w:eastAsia="Times New Roman" w:hAnsi="Times New Roman"/>
                <w:sz w:val="18"/>
                <w:szCs w:val="18"/>
                <w:color w:val="auto"/>
              </w:rPr>
              <w:t>10.39</w:t>
            </w:r>
          </w:p>
        </w:tc>
        <w:tc>
          <w:tcPr>
            <w:tcW w:w="4740" w:type="dxa"/>
            <w:vAlign w:val="bottom"/>
            <w:gridSpan w:val="10"/>
            <w:shd w:val="clear" w:color="auto" w:fill="CCEEFF"/>
          </w:tcPr>
          <w:p>
            <w:pPr>
              <w:spacing w:after="0" w:line="197"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Amendment No. 2 to LC Credit Agreement dated September 20,</w:t>
              </w:r>
            </w:hyperlink>
          </w:p>
        </w:tc>
        <w:tc>
          <w:tcPr>
            <w:tcW w:w="2960" w:type="dxa"/>
            <w:vAlign w:val="bottom"/>
            <w:shd w:val="clear" w:color="auto" w:fill="CCEEFF"/>
          </w:tcPr>
          <w:p>
            <w:pPr>
              <w:jc w:val="center"/>
              <w:ind w:right="12"/>
              <w:spacing w:after="0" w:line="197"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4580" w:type="dxa"/>
            <w:vAlign w:val="bottom"/>
            <w:tcBorders>
              <w:top w:val="single" w:sz="8" w:color="0000FF"/>
              <w:bottom w:val="single" w:sz="8" w:color="0000FF"/>
            </w:tcBorders>
            <w:gridSpan w:val="8"/>
            <w:shd w:val="clear" w:color="auto" w:fill="CCEEFF"/>
          </w:tcPr>
          <w:p>
            <w:pPr>
              <w:spacing w:after="0" w:line="179" w:lineRule="exact"/>
              <w:rPr>
                <w:rFonts w:ascii="Times New Roman" w:cs="Times New Roman" w:eastAsia="Times New Roman" w:hAnsi="Times New Roman"/>
                <w:sz w:val="18"/>
                <w:szCs w:val="18"/>
                <w:color w:val="0000FF"/>
                <w:w w:val="96"/>
              </w:rPr>
            </w:pPr>
            <w:hyperlink r:id="rId152">
              <w:r>
                <w:rPr>
                  <w:rFonts w:ascii="Times New Roman" w:cs="Times New Roman" w:eastAsia="Times New Roman" w:hAnsi="Times New Roman"/>
                  <w:sz w:val="18"/>
                  <w:szCs w:val="18"/>
                  <w:color w:val="0000FF"/>
                  <w:w w:val="96"/>
                </w:rPr>
                <w:t>2021, by and among Weatherford International Ltd., Weatherford</w:t>
              </w:r>
            </w:hyperlink>
          </w:p>
        </w:tc>
        <w:tc>
          <w:tcPr>
            <w:tcW w:w="40" w:type="dxa"/>
            <w:vAlign w:val="bottom"/>
            <w:tcBorders>
              <w:top w:val="single" w:sz="8" w:color="CCEEFF"/>
              <w:bottom w:val="single" w:sz="8" w:color="0000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960" w:type="dxa"/>
            <w:vAlign w:val="bottom"/>
            <w:tcBorders>
              <w:top w:val="single" w:sz="8" w:color="CCEEFF"/>
              <w:bottom w:val="single" w:sz="8" w:color="CCEEFF"/>
            </w:tcBorders>
            <w:shd w:val="clear" w:color="auto" w:fill="CCEEFF"/>
          </w:tcPr>
          <w:p>
            <w:pPr>
              <w:jc w:val="center"/>
              <w:ind w:right="1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spacing w:after="0"/>
              <w:rPr>
                <w:sz w:val="16"/>
                <w:szCs w:val="16"/>
                <w:color w:val="auto"/>
              </w:rPr>
            </w:pPr>
          </w:p>
        </w:tc>
        <w:tc>
          <w:tcPr>
            <w:tcW w:w="4740" w:type="dxa"/>
            <w:vAlign w:val="bottom"/>
            <w:gridSpan w:val="10"/>
            <w:shd w:val="clear" w:color="auto" w:fill="CCEEFF"/>
          </w:tcPr>
          <w:p>
            <w:pPr>
              <w:spacing w:after="0" w:line="19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International plc, Weatherford International LLC, the other</w:t>
              </w:r>
            </w:hyperlink>
          </w:p>
        </w:tc>
        <w:tc>
          <w:tcPr>
            <w:tcW w:w="2960" w:type="dxa"/>
            <w:vAlign w:val="bottom"/>
            <w:shd w:val="clear" w:color="auto" w:fill="CCEEFF"/>
          </w:tcPr>
          <w:p>
            <w:pPr>
              <w:jc w:val="center"/>
              <w:ind w:right="12"/>
              <w:spacing w:after="0" w:line="192" w:lineRule="exact"/>
              <w:rPr>
                <w:sz w:val="20"/>
                <w:szCs w:val="20"/>
                <w:color w:val="auto"/>
              </w:rPr>
            </w:pPr>
            <w:r>
              <w:rPr>
                <w:rFonts w:ascii="Times New Roman" w:cs="Times New Roman" w:eastAsia="Times New Roman" w:hAnsi="Times New Roman"/>
                <w:sz w:val="18"/>
                <w:szCs w:val="18"/>
                <w:color w:val="auto"/>
                <w:w w:val="98"/>
              </w:rPr>
              <w:t>September 20, 2021</w:t>
            </w: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180" w:type="dxa"/>
            <w:vAlign w:val="bottom"/>
            <w:tcBorders>
              <w:top w:val="single" w:sz="8" w:color="0000FF"/>
            </w:tcBorders>
            <w:gridSpan w:val="4"/>
            <w:shd w:val="clear" w:color="auto" w:fill="CCEEFF"/>
          </w:tcPr>
          <w:p>
            <w:pPr>
              <w:spacing w:after="0" w:line="17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guarantors party thereto, Deutsche Bank Trust Company</w:t>
              </w:r>
            </w:hyperlink>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gridSpan w:val="3"/>
            <w:shd w:val="clear" w:color="auto" w:fill="CCEEFF"/>
          </w:tcPr>
          <w:p>
            <w:pPr>
              <w:spacing w:after="0"/>
              <w:rPr>
                <w:sz w:val="15"/>
                <w:szCs w:val="15"/>
                <w:color w:val="auto"/>
              </w:rPr>
            </w:pPr>
          </w:p>
        </w:tc>
        <w:tc>
          <w:tcPr>
            <w:tcW w:w="29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000" w:type="dxa"/>
            <w:vAlign w:val="bottom"/>
            <w:tcBorders>
              <w:top w:val="single" w:sz="8" w:color="0000FF"/>
            </w:tcBorders>
            <w:gridSpan w:val="3"/>
            <w:shd w:val="clear" w:color="auto" w:fill="CCEEFF"/>
          </w:tcPr>
          <w:p>
            <w:pPr>
              <w:spacing w:after="0" w:line="179"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Americas, BTA Institutional Services Australia Limited</w:t>
              </w:r>
            </w:hyperlink>
          </w:p>
        </w:tc>
        <w:tc>
          <w:tcPr>
            <w:tcW w:w="740" w:type="dxa"/>
            <w:vAlign w:val="bottom"/>
            <w:tcBorders>
              <w:top w:val="single" w:sz="8" w:color="CCEEFF"/>
            </w:tcBorders>
            <w:gridSpan w:val="7"/>
            <w:shd w:val="clear" w:color="auto" w:fill="CCEEFF"/>
          </w:tcPr>
          <w:p>
            <w:pPr>
              <w:spacing w:after="0" w:line="17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and the</w:t>
              </w:r>
            </w:hyperlink>
          </w:p>
        </w:tc>
        <w:tc>
          <w:tcPr>
            <w:tcW w:w="29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860" w:type="dxa"/>
            <w:vAlign w:val="bottom"/>
            <w:tcBorders>
              <w:top w:val="single" w:sz="8" w:color="0000FF"/>
              <w:bottom w:val="single" w:sz="8" w:color="0000FF"/>
            </w:tcBorders>
            <w:gridSpan w:val="2"/>
            <w:shd w:val="clear" w:color="auto" w:fill="CCEEFF"/>
          </w:tcPr>
          <w:p>
            <w:pPr>
              <w:spacing w:after="0" w:line="192"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lenders under the LC Credit Agreement.</w:t>
              </w:r>
            </w:hyperlink>
          </w:p>
        </w:tc>
        <w:tc>
          <w:tcPr>
            <w:tcW w:w="1640" w:type="dxa"/>
            <w:vAlign w:val="bottom"/>
            <w:tcBorders>
              <w:top w:val="single" w:sz="8" w:color="0000FF"/>
              <w:bottom w:val="single" w:sz="8" w:color="CCEEFF"/>
            </w:tcBorders>
            <w:gridSpan w:val="5"/>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60" w:type="dxa"/>
            <w:vAlign w:val="bottom"/>
          </w:tcPr>
          <w:p>
            <w:pPr>
              <w:jc w:val="right"/>
              <w:ind w:right="512"/>
              <w:spacing w:after="0" w:line="199" w:lineRule="exact"/>
              <w:rPr>
                <w:sz w:val="20"/>
                <w:szCs w:val="20"/>
                <w:color w:val="auto"/>
              </w:rPr>
            </w:pPr>
            <w:r>
              <w:rPr>
                <w:rFonts w:ascii="Times New Roman" w:cs="Times New Roman" w:eastAsia="Times New Roman" w:hAnsi="Times New Roman"/>
                <w:sz w:val="18"/>
                <w:szCs w:val="18"/>
                <w:color w:val="auto"/>
              </w:rPr>
              <w:t>10.40</w:t>
            </w:r>
          </w:p>
        </w:tc>
        <w:tc>
          <w:tcPr>
            <w:tcW w:w="4740" w:type="dxa"/>
            <w:vAlign w:val="bottom"/>
            <w:gridSpan w:val="10"/>
          </w:tcPr>
          <w:p>
            <w:pPr>
              <w:spacing w:after="0" w:line="19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Credit Agreement, dated October 17,</w:t>
              </w:r>
            </w:hyperlink>
          </w:p>
        </w:tc>
        <w:tc>
          <w:tcPr>
            <w:tcW w:w="296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960" w:type="dxa"/>
            <w:vAlign w:val="bottom"/>
            <w:vMerge w:val="restart"/>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60" w:type="dxa"/>
            <w:vAlign w:val="bottom"/>
          </w:tcPr>
          <w:p>
            <w:pPr>
              <w:spacing w:after="0"/>
              <w:rPr>
                <w:sz w:val="15"/>
                <w:szCs w:val="15"/>
                <w:color w:val="auto"/>
              </w:rPr>
            </w:pPr>
          </w:p>
        </w:tc>
        <w:tc>
          <w:tcPr>
            <w:tcW w:w="4620" w:type="dxa"/>
            <w:vAlign w:val="bottom"/>
            <w:tcBorders>
              <w:bottom w:val="single" w:sz="8" w:color="0000FF"/>
            </w:tcBorders>
            <w:gridSpan w:val="9"/>
          </w:tcPr>
          <w:p>
            <w:pPr>
              <w:spacing w:after="0" w:line="179"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2022, by and among Weatherford International Ltd., Weatherford</w:t>
              </w:r>
            </w:hyperlink>
          </w:p>
        </w:tc>
        <w:tc>
          <w:tcPr>
            <w:tcW w:w="12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4740" w:type="dxa"/>
            <w:vAlign w:val="bottom"/>
            <w:gridSpan w:val="10"/>
          </w:tcPr>
          <w:p>
            <w:pPr>
              <w:spacing w:after="0" w:line="192"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International, LLC, Weatherford International plc, Wells Fargo</w:t>
              </w:r>
            </w:hyperlink>
          </w:p>
        </w:tc>
        <w:tc>
          <w:tcPr>
            <w:tcW w:w="2960" w:type="dxa"/>
            <w:vAlign w:val="bottom"/>
          </w:tcPr>
          <w:p>
            <w:pPr>
              <w:jc w:val="center"/>
              <w:ind w:right="12"/>
              <w:spacing w:after="0" w:line="192" w:lineRule="exact"/>
              <w:rPr>
                <w:sz w:val="20"/>
                <w:szCs w:val="20"/>
                <w:color w:val="auto"/>
              </w:rPr>
            </w:pPr>
            <w:r>
              <w:rPr>
                <w:rFonts w:ascii="Times New Roman" w:cs="Times New Roman" w:eastAsia="Times New Roman" w:hAnsi="Times New Roman"/>
                <w:sz w:val="18"/>
                <w:szCs w:val="18"/>
                <w:color w:val="auto"/>
                <w:w w:val="97"/>
              </w:rPr>
              <w:t>October 18, 2022</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440" w:type="dxa"/>
            <w:vAlign w:val="bottom"/>
            <w:tcBorders>
              <w:top w:val="single" w:sz="8" w:color="0000FF"/>
            </w:tcBorders>
            <w:gridSpan w:val="6"/>
          </w:tcPr>
          <w:p>
            <w:pPr>
              <w:spacing w:after="0" w:line="17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Bank, National Association, as administrative agent, and the</w:t>
              </w:r>
            </w:hyperlink>
          </w:p>
        </w:tc>
        <w:tc>
          <w:tcPr>
            <w:tcW w:w="300" w:type="dxa"/>
            <w:vAlign w:val="bottom"/>
            <w:gridSpan w:val="4"/>
          </w:tcPr>
          <w:p>
            <w:pPr>
              <w:spacing w:after="0"/>
              <w:rPr>
                <w:sz w:val="15"/>
                <w:szCs w:val="15"/>
                <w:color w:val="auto"/>
              </w:rPr>
            </w:pP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300" w:type="dxa"/>
            <w:vAlign w:val="bottom"/>
            <w:tcBorders>
              <w:top w:val="single" w:sz="8" w:color="0000FF"/>
            </w:tcBorders>
            <w:gridSpan w:val="5"/>
          </w:tcPr>
          <w:p>
            <w:pPr>
              <w:spacing w:after="0" w:line="17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lenders party thereto from time to time.</w:t>
              </w:r>
            </w:hyperlink>
          </w:p>
        </w:tc>
        <w:tc>
          <w:tcPr>
            <w:tcW w:w="440" w:type="dxa"/>
            <w:vAlign w:val="bottom"/>
            <w:gridSpan w:val="5"/>
          </w:tcPr>
          <w:p>
            <w:pPr>
              <w:spacing w:after="0"/>
              <w:rPr>
                <w:sz w:val="15"/>
                <w:szCs w:val="15"/>
                <w:color w:val="auto"/>
              </w:rPr>
            </w:pPr>
          </w:p>
        </w:tc>
        <w:tc>
          <w:tcPr>
            <w:tcW w:w="2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gridSpan w:val="27"/>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10.41</w:t>
            </w:r>
          </w:p>
        </w:tc>
        <w:tc>
          <w:tcPr>
            <w:tcW w:w="200" w:type="dxa"/>
            <w:vAlign w:val="bottom"/>
            <w:shd w:val="clear" w:color="auto" w:fill="CCEEFF"/>
          </w:tcPr>
          <w:p>
            <w:pPr>
              <w:spacing w:after="0"/>
              <w:rPr>
                <w:sz w:val="17"/>
                <w:szCs w:val="17"/>
                <w:color w:val="auto"/>
              </w:rPr>
            </w:pPr>
          </w:p>
        </w:tc>
        <w:tc>
          <w:tcPr>
            <w:tcW w:w="4780" w:type="dxa"/>
            <w:vAlign w:val="bottom"/>
            <w:gridSpan w:val="33"/>
            <w:shd w:val="clear" w:color="auto" w:fill="CCEEFF"/>
          </w:tcPr>
          <w:p>
            <w:pPr>
              <w:spacing w:after="0" w:line="19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First Amendment to Amended and Restated Credit Agreement,</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240" w:type="dxa"/>
            <w:vAlign w:val="bottom"/>
            <w:tcBorders>
              <w:top w:val="single" w:sz="8" w:color="0000FF"/>
              <w:bottom w:val="single" w:sz="8" w:color="0000FF"/>
            </w:tcBorders>
            <w:gridSpan w:val="13"/>
            <w:shd w:val="clear" w:color="auto" w:fill="CCEEFF"/>
          </w:tcPr>
          <w:p>
            <w:pPr>
              <w:spacing w:after="0" w:line="179"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dated as of November 22, 2022, by and among Weatherford</w:t>
              </w:r>
            </w:hyperlink>
          </w:p>
        </w:tc>
        <w:tc>
          <w:tcPr>
            <w:tcW w:w="26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0" w:type="dxa"/>
            <w:vAlign w:val="bottom"/>
            <w:tcBorders>
              <w:bottom w:val="single" w:sz="8" w:color="0000FF"/>
            </w:tcBorders>
            <w:gridSpan w:val="26"/>
            <w:shd w:val="clear" w:color="auto" w:fill="CCEEFF"/>
          </w:tcPr>
          <w:p>
            <w:pPr>
              <w:spacing w:after="0" w:line="192"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International Ltd., Weatherford International, LLC, Weatherford</w:t>
              </w:r>
            </w:hyperlink>
          </w:p>
        </w:tc>
        <w:tc>
          <w:tcPr>
            <w:tcW w:w="180" w:type="dxa"/>
            <w:vAlign w:val="bottom"/>
            <w:tcBorders>
              <w:bottom w:val="single" w:sz="8" w:color="CCEEFF"/>
            </w:tcBorders>
            <w:gridSpan w:val="7"/>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780" w:type="dxa"/>
            <w:vAlign w:val="bottom"/>
            <w:gridSpan w:val="33"/>
            <w:shd w:val="clear" w:color="auto" w:fill="CCEEFF"/>
          </w:tcPr>
          <w:p>
            <w:pPr>
              <w:spacing w:after="0" w:line="179"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Canada Ltd., Weatherford International plc and Wells Fargo Bank,</w:t>
              </w:r>
            </w:hyperlink>
          </w:p>
        </w:tc>
        <w:tc>
          <w:tcPr>
            <w:tcW w:w="29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740" w:type="dxa"/>
            <w:vAlign w:val="bottom"/>
            <w:tcBorders>
              <w:top w:val="single" w:sz="8" w:color="0000FF"/>
            </w:tcBorders>
            <w:gridSpan w:val="32"/>
            <w:shd w:val="clear" w:color="auto" w:fill="CCEEFF"/>
          </w:tcPr>
          <w:p>
            <w:pPr>
              <w:spacing w:after="0" w:line="17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National Association, as administrative agent.</w:t>
              </w:r>
            </w:hyperlink>
          </w:p>
        </w:tc>
        <w:tc>
          <w:tcPr>
            <w:tcW w:w="4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2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10.42</w:t>
            </w:r>
          </w:p>
        </w:tc>
        <w:tc>
          <w:tcPr>
            <w:tcW w:w="200" w:type="dxa"/>
            <w:vAlign w:val="bottom"/>
          </w:tcPr>
          <w:p>
            <w:pPr>
              <w:spacing w:after="0"/>
              <w:rPr>
                <w:sz w:val="17"/>
                <w:szCs w:val="17"/>
                <w:color w:val="auto"/>
              </w:rPr>
            </w:pPr>
          </w:p>
        </w:tc>
        <w:tc>
          <w:tcPr>
            <w:tcW w:w="4780" w:type="dxa"/>
            <w:vAlign w:val="bottom"/>
            <w:gridSpan w:val="33"/>
          </w:tcPr>
          <w:p>
            <w:pPr>
              <w:spacing w:after="0" w:line="19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Additional Lender Supplement, dated as of November 22, 2022,</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2"/>
          </w:tcPr>
          <w:p>
            <w:pPr>
              <w:spacing w:after="0" w:line="179"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by and among Weatherford International Ltd., Weatherford</w:t>
              </w:r>
            </w:hyperlink>
          </w:p>
        </w:tc>
        <w:tc>
          <w:tcPr>
            <w:tcW w:w="38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33"/>
          </w:tcPr>
          <w:p>
            <w:pPr>
              <w:spacing w:after="0" w:line="19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International, LLC, Weatherford International plc, ATB Financial</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20" w:type="dxa"/>
            <w:vAlign w:val="bottom"/>
            <w:tcBorders>
              <w:top w:val="single" w:sz="8" w:color="0000FF"/>
            </w:tcBorders>
            <w:gridSpan w:val="27"/>
          </w:tcPr>
          <w:p>
            <w:pPr>
              <w:spacing w:after="0" w:line="17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and Wells Fargo Bank, National Association, as administrative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60" w:type="dxa"/>
            <w:vAlign w:val="bottom"/>
            <w:tcBorders>
              <w:top w:val="single" w:sz="8" w:color="0000FF"/>
            </w:tcBorders>
            <w:gridSpan w:val="19"/>
          </w:tcPr>
          <w:p>
            <w:pPr>
              <w:spacing w:after="0" w:line="17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agent.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3"/>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10.43</w:t>
            </w:r>
          </w:p>
        </w:tc>
        <w:tc>
          <w:tcPr>
            <w:tcW w:w="200" w:type="dxa"/>
            <w:vAlign w:val="bottom"/>
            <w:shd w:val="clear" w:color="auto" w:fill="CCEEFF"/>
          </w:tcPr>
          <w:p>
            <w:pPr>
              <w:spacing w:after="0"/>
              <w:rPr>
                <w:sz w:val="17"/>
                <w:szCs w:val="17"/>
                <w:color w:val="auto"/>
              </w:rPr>
            </w:pPr>
          </w:p>
        </w:tc>
        <w:tc>
          <w:tcPr>
            <w:tcW w:w="4780" w:type="dxa"/>
            <w:vAlign w:val="bottom"/>
            <w:gridSpan w:val="33"/>
            <w:shd w:val="clear" w:color="auto" w:fill="CCEEFF"/>
          </w:tcPr>
          <w:p>
            <w:pPr>
              <w:spacing w:after="0" w:line="19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Canadian Borrower Joinder, dated as of November 22, 2022, by</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340" w:type="dxa"/>
            <w:vAlign w:val="bottom"/>
            <w:tcBorders>
              <w:top w:val="single" w:sz="8" w:color="0000FF"/>
              <w:bottom w:val="single" w:sz="8" w:color="0000FF"/>
            </w:tcBorders>
            <w:gridSpan w:val="15"/>
            <w:shd w:val="clear" w:color="auto" w:fill="CCEEFF"/>
          </w:tcPr>
          <w:p>
            <w:pPr>
              <w:spacing w:after="0" w:line="179"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Weatherford Canada Ltd. and delivered to Wells Fargo Bank,</w:t>
              </w:r>
            </w:hyperlink>
          </w:p>
        </w:tc>
        <w:tc>
          <w:tcPr>
            <w:tcW w:w="20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780" w:type="dxa"/>
            <w:vAlign w:val="bottom"/>
            <w:gridSpan w:val="33"/>
            <w:shd w:val="clear" w:color="auto" w:fill="CCEEFF"/>
          </w:tcPr>
          <w:p>
            <w:pPr>
              <w:spacing w:after="0" w:line="192"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National Association, as administrative agent.</w:t>
              </w:r>
            </w:hyperlink>
          </w:p>
        </w:tc>
        <w:tc>
          <w:tcPr>
            <w:tcW w:w="2920" w:type="dxa"/>
            <w:vAlign w:val="bottom"/>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460" w:type="dxa"/>
            <w:vAlign w:val="bottom"/>
            <w:gridSpan w:val="2"/>
          </w:tcPr>
          <w:p>
            <w:pPr>
              <w:jc w:val="center"/>
              <w:ind w:right="140"/>
              <w:spacing w:after="0" w:line="199" w:lineRule="exact"/>
              <w:rPr>
                <w:sz w:val="20"/>
                <w:szCs w:val="20"/>
                <w:color w:val="auto"/>
              </w:rPr>
            </w:pPr>
            <w:r>
              <w:rPr>
                <w:rFonts w:ascii="Times New Roman" w:cs="Times New Roman" w:eastAsia="Times New Roman" w:hAnsi="Times New Roman"/>
                <w:sz w:val="18"/>
                <w:szCs w:val="18"/>
                <w:color w:val="auto"/>
                <w:w w:val="96"/>
              </w:rPr>
              <w:t>†10.44</w:t>
            </w:r>
          </w:p>
        </w:tc>
        <w:tc>
          <w:tcPr>
            <w:tcW w:w="4780" w:type="dxa"/>
            <w:vAlign w:val="bottom"/>
            <w:gridSpan w:val="33"/>
          </w:tcPr>
          <w:p>
            <w:pPr>
              <w:spacing w:after="0" w:line="199" w:lineRule="exact"/>
              <w:rPr>
                <w:sz w:val="20"/>
                <w:szCs w:val="20"/>
                <w:color w:val="auto"/>
              </w:rPr>
            </w:pPr>
            <w:r>
              <w:rPr>
                <w:rFonts w:ascii="Times New Roman" w:cs="Times New Roman" w:eastAsia="Times New Roman" w:hAnsi="Times New Roman"/>
                <w:sz w:val="18"/>
                <w:szCs w:val="18"/>
                <w:color w:val="0000FF"/>
              </w:rPr>
              <w:t>Second Amendment to Amended and Restated Credit Agreement,</w:t>
            </w:r>
          </w:p>
        </w:tc>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00" w:type="dxa"/>
            <w:vAlign w:val="bottom"/>
            <w:tcBorders>
              <w:top w:val="single" w:sz="8" w:color="0000FF"/>
            </w:tcBorders>
            <w:gridSpan w:val="30"/>
          </w:tcPr>
          <w:p>
            <w:pPr>
              <w:spacing w:after="0" w:line="179" w:lineRule="exact"/>
              <w:rPr>
                <w:sz w:val="20"/>
                <w:szCs w:val="20"/>
                <w:color w:val="auto"/>
              </w:rPr>
            </w:pPr>
            <w:r>
              <w:rPr>
                <w:rFonts w:ascii="Times New Roman" w:cs="Times New Roman" w:eastAsia="Times New Roman" w:hAnsi="Times New Roman"/>
                <w:sz w:val="18"/>
                <w:szCs w:val="18"/>
                <w:color w:val="0000FF"/>
              </w:rPr>
              <w:t>dated as of January 6, 2023 by and among Weatherford</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33"/>
          </w:tcPr>
          <w:p>
            <w:pPr>
              <w:spacing w:after="0" w:line="192" w:lineRule="exact"/>
              <w:rPr>
                <w:sz w:val="20"/>
                <w:szCs w:val="20"/>
                <w:color w:val="auto"/>
              </w:rPr>
            </w:pPr>
            <w:r>
              <w:rPr>
                <w:rFonts w:ascii="Times New Roman" w:cs="Times New Roman" w:eastAsia="Times New Roman" w:hAnsi="Times New Roman"/>
                <w:sz w:val="18"/>
                <w:szCs w:val="18"/>
                <w:color w:val="0000FF"/>
              </w:rPr>
              <w:t>International Ltd., Weatherford International, LLC, Weatherford</w:t>
            </w:r>
          </w:p>
        </w:tc>
        <w:tc>
          <w:tcPr>
            <w:tcW w:w="2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Borders>
              <w:top w:val="single" w:sz="8" w:color="0000FF"/>
            </w:tcBorders>
            <w:gridSpan w:val="25"/>
          </w:tcPr>
          <w:p>
            <w:pPr>
              <w:spacing w:after="0" w:line="179" w:lineRule="exact"/>
              <w:rPr>
                <w:sz w:val="20"/>
                <w:szCs w:val="20"/>
                <w:color w:val="auto"/>
              </w:rPr>
            </w:pPr>
            <w:r>
              <w:rPr>
                <w:rFonts w:ascii="Times New Roman" w:cs="Times New Roman" w:eastAsia="Times New Roman" w:hAnsi="Times New Roman"/>
                <w:sz w:val="18"/>
                <w:szCs w:val="18"/>
                <w:color w:val="0000FF"/>
              </w:rPr>
              <w:t>Canada Ltd., and Wells Fargo Bank, National Association, as</w:t>
            </w: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tcBorders>
              <w:top w:val="single" w:sz="8" w:color="0000FF"/>
            </w:tcBorders>
            <w:gridSpan w:val="15"/>
          </w:tcPr>
          <w:p>
            <w:pPr>
              <w:spacing w:after="0" w:line="179" w:lineRule="exact"/>
              <w:rPr>
                <w:sz w:val="20"/>
                <w:szCs w:val="20"/>
                <w:color w:val="auto"/>
              </w:rPr>
            </w:pPr>
            <w:r>
              <w:rPr>
                <w:rFonts w:ascii="Times New Roman" w:cs="Times New Roman" w:eastAsia="Times New Roman" w:hAnsi="Times New Roman"/>
                <w:sz w:val="18"/>
                <w:szCs w:val="18"/>
                <w:color w:val="0000FF"/>
              </w:rPr>
              <w:t>administrative agent.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10.45</w:t>
            </w:r>
          </w:p>
        </w:tc>
        <w:tc>
          <w:tcPr>
            <w:tcW w:w="200" w:type="dxa"/>
            <w:vAlign w:val="bottom"/>
            <w:shd w:val="clear" w:color="auto" w:fill="CCEEFF"/>
          </w:tcPr>
          <w:p>
            <w:pPr>
              <w:spacing w:after="0"/>
              <w:rPr>
                <w:sz w:val="17"/>
                <w:szCs w:val="17"/>
                <w:color w:val="auto"/>
              </w:rPr>
            </w:pPr>
          </w:p>
        </w:tc>
        <w:tc>
          <w:tcPr>
            <w:tcW w:w="4780" w:type="dxa"/>
            <w:vAlign w:val="bottom"/>
            <w:gridSpan w:val="33"/>
            <w:shd w:val="clear" w:color="auto" w:fill="CCEEFF"/>
          </w:tcPr>
          <w:p>
            <w:pPr>
              <w:spacing w:after="0" w:line="19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Intercreditor Agreement by and between Wells Fargo Bank, N.A.,</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Exhibit 10.3 of the</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920" w:type="dxa"/>
            <w:vAlign w:val="bottom"/>
            <w:tcBorders>
              <w:top w:val="single" w:sz="8" w:color="0000FF"/>
              <w:bottom w:val="single" w:sz="8" w:color="0000FF"/>
            </w:tcBorders>
            <w:gridSpan w:val="9"/>
            <w:shd w:val="clear" w:color="auto" w:fill="CCEEFF"/>
          </w:tcPr>
          <w:p>
            <w:pPr>
              <w:spacing w:after="0" w:line="179"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Deutsche Bank Trust Company Americas, Weatherford</w:t>
              </w:r>
            </w:hyperlink>
          </w:p>
        </w:tc>
        <w:tc>
          <w:tcPr>
            <w:tcW w:w="74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780" w:type="dxa"/>
            <w:vAlign w:val="bottom"/>
            <w:gridSpan w:val="33"/>
            <w:shd w:val="clear" w:color="auto" w:fill="CCEEFF"/>
          </w:tcPr>
          <w:p>
            <w:pPr>
              <w:spacing w:after="0" w:line="192"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International plc and the grantors party there to from time to time,</w:t>
              </w:r>
            </w:hyperlink>
          </w:p>
        </w:tc>
        <w:tc>
          <w:tcPr>
            <w:tcW w:w="2920" w:type="dxa"/>
            <w:vAlign w:val="bottom"/>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0000FF"/>
            </w:tcBorders>
            <w:gridSpan w:val="29"/>
            <w:shd w:val="clear" w:color="auto" w:fill="CCEEFF"/>
          </w:tcPr>
          <w:p>
            <w:pPr>
              <w:spacing w:after="0" w:line="17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dated December 13,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2920" w:type="dxa"/>
            <w:vAlign w:val="bottom"/>
            <w:tcBorders>
              <w:top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7"/>
              </w:rPr>
              <w:t>filed December 18, 2019</w:t>
            </w: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10.46</w:t>
            </w:r>
          </w:p>
        </w:tc>
        <w:tc>
          <w:tcPr>
            <w:tcW w:w="200" w:type="dxa"/>
            <w:vAlign w:val="bottom"/>
          </w:tcPr>
          <w:p>
            <w:pPr>
              <w:spacing w:after="0"/>
              <w:rPr>
                <w:sz w:val="17"/>
                <w:szCs w:val="17"/>
                <w:color w:val="auto"/>
              </w:rPr>
            </w:pPr>
          </w:p>
        </w:tc>
        <w:tc>
          <w:tcPr>
            <w:tcW w:w="4780" w:type="dxa"/>
            <w:vAlign w:val="bottom"/>
            <w:gridSpan w:val="33"/>
          </w:tcPr>
          <w:p>
            <w:pPr>
              <w:spacing w:after="0" w:line="19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Intercreditor Agreement, dated August 28, 2020, by and among</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Exhibit 10.3 of the</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20" w:type="dxa"/>
            <w:vAlign w:val="bottom"/>
            <w:tcBorders>
              <w:top w:val="single" w:sz="8" w:color="0000FF"/>
            </w:tcBorders>
            <w:gridSpan w:val="22"/>
          </w:tcPr>
          <w:p>
            <w:pPr>
              <w:spacing w:after="0" w:line="17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Deutsche Bank Trust Company Americas, Wilmington Trust</w:t>
              </w:r>
            </w:hyperlink>
          </w:p>
        </w:tc>
        <w:tc>
          <w:tcPr>
            <w:tcW w:w="200" w:type="dxa"/>
            <w:vAlign w:val="bottom"/>
            <w:gridSpan w:val="9"/>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60" w:type="dxa"/>
            <w:vAlign w:val="bottom"/>
            <w:tcBorders>
              <w:top w:val="single" w:sz="8" w:color="0000FF"/>
              <w:bottom w:val="single" w:sz="8" w:color="0000FF"/>
            </w:tcBorders>
            <w:gridSpan w:val="11"/>
          </w:tcPr>
          <w:p>
            <w:pPr>
              <w:spacing w:after="0" w:line="192"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National Association, BTA Institutional Services Australia</w:t>
              </w:r>
            </w:hyperlink>
          </w:p>
        </w:tc>
        <w:tc>
          <w:tcPr>
            <w:tcW w:w="120" w:type="dxa"/>
            <w:vAlign w:val="bottom"/>
            <w:tcBorders>
              <w:top w:val="single" w:sz="8" w:color="0000FF"/>
            </w:tcBorders>
            <w:gridSpan w:val="3"/>
          </w:tcPr>
          <w:p>
            <w:pPr>
              <w:spacing w:after="0"/>
              <w:rPr>
                <w:sz w:val="16"/>
                <w:szCs w:val="16"/>
                <w:color w:val="auto"/>
              </w:rPr>
            </w:pPr>
          </w:p>
        </w:tc>
        <w:tc>
          <w:tcPr>
            <w:tcW w:w="500" w:type="dxa"/>
            <w:vAlign w:val="bottom"/>
            <w:gridSpan w:val="19"/>
          </w:tcPr>
          <w:p>
            <w:pPr>
              <w:spacing w:after="0"/>
              <w:rPr>
                <w:sz w:val="16"/>
                <w:szCs w:val="16"/>
                <w:color w:val="auto"/>
              </w:rPr>
            </w:pPr>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80" w:type="dxa"/>
            <w:vAlign w:val="bottom"/>
            <w:gridSpan w:val="33"/>
          </w:tcPr>
          <w:p>
            <w:pPr>
              <w:spacing w:after="0" w:line="17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Limited, Weatherford International plc and the grantors parties</w:t>
              </w:r>
            </w:hyperlink>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filed August 28, 2020</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40" w:type="dxa"/>
            <w:vAlign w:val="bottom"/>
            <w:tcBorders>
              <w:top w:val="single" w:sz="8" w:color="0000FF"/>
            </w:tcBorders>
            <w:gridSpan w:val="18"/>
          </w:tcPr>
          <w:p>
            <w:pPr>
              <w:spacing w:after="0" w:line="17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there to from time to time</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5"/>
                <w:szCs w:val="15"/>
                <w:color w:val="auto"/>
              </w:rPr>
            </w:pPr>
          </w:p>
        </w:tc>
        <w:tc>
          <w:tcPr>
            <w:tcW w:w="240" w:type="dxa"/>
            <w:vAlign w:val="bottom"/>
            <w:gridSpan w:val="11"/>
          </w:tcPr>
          <w:p>
            <w:pPr>
              <w:spacing w:after="0"/>
              <w:rPr>
                <w:sz w:val="15"/>
                <w:szCs w:val="15"/>
                <w:color w:val="auto"/>
              </w:rPr>
            </w:pPr>
          </w:p>
        </w:tc>
        <w:tc>
          <w:tcPr>
            <w:tcW w:w="6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10.47</w:t>
            </w:r>
          </w:p>
        </w:tc>
        <w:tc>
          <w:tcPr>
            <w:tcW w:w="200" w:type="dxa"/>
            <w:vAlign w:val="bottom"/>
            <w:shd w:val="clear" w:color="auto" w:fill="CCEEFF"/>
          </w:tcPr>
          <w:p>
            <w:pPr>
              <w:spacing w:after="0"/>
              <w:rPr>
                <w:sz w:val="16"/>
                <w:szCs w:val="16"/>
                <w:color w:val="auto"/>
              </w:rPr>
            </w:pPr>
          </w:p>
        </w:tc>
        <w:tc>
          <w:tcPr>
            <w:tcW w:w="4780" w:type="dxa"/>
            <w:vAlign w:val="bottom"/>
            <w:gridSpan w:val="33"/>
            <w:shd w:val="clear" w:color="auto" w:fill="CCEEFF"/>
          </w:tcPr>
          <w:p>
            <w:pPr>
              <w:spacing w:after="0" w:line="165"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Warrant Agreement by and between Weatherford International plc</w:t>
              </w:r>
            </w:hyperlink>
          </w:p>
        </w:tc>
        <w:tc>
          <w:tcPr>
            <w:tcW w:w="2920" w:type="dxa"/>
            <w:vAlign w:val="bottom"/>
            <w:shd w:val="clear" w:color="auto" w:fill="CCEEFF"/>
          </w:tcPr>
          <w:p>
            <w:pPr>
              <w:jc w:val="center"/>
              <w:ind w:right="52"/>
              <w:spacing w:after="0" w:line="165" w:lineRule="exact"/>
              <w:rPr>
                <w:sz w:val="20"/>
                <w:szCs w:val="20"/>
                <w:color w:val="auto"/>
              </w:rPr>
            </w:pPr>
            <w:r>
              <w:rPr>
                <w:rFonts w:ascii="Times New Roman" w:cs="Times New Roman" w:eastAsia="Times New Roman" w:hAnsi="Times New Roman"/>
                <w:sz w:val="18"/>
                <w:szCs w:val="18"/>
                <w:color w:val="auto"/>
                <w:w w:val="99"/>
              </w:rPr>
              <w:t>Exhibit 10.4 of the</w:t>
            </w:r>
          </w:p>
        </w:tc>
        <w:tc>
          <w:tcPr>
            <w:tcW w:w="17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59"/>
        </w:trPr>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4280" w:type="dxa"/>
            <w:vAlign w:val="bottom"/>
            <w:tcBorders>
              <w:top w:val="single" w:sz="8" w:color="0000FF"/>
              <w:bottom w:val="single" w:sz="8" w:color="0000FF"/>
            </w:tcBorders>
            <w:gridSpan w:val="14"/>
            <w:shd w:val="clear" w:color="auto" w:fill="CCEEFF"/>
          </w:tcPr>
          <w:p>
            <w:pPr>
              <w:spacing w:after="0" w:line="139" w:lineRule="exact"/>
              <w:rPr>
                <w:rFonts w:ascii="Times New Roman" w:cs="Times New Roman" w:eastAsia="Times New Roman" w:hAnsi="Times New Roman"/>
                <w:sz w:val="15"/>
                <w:szCs w:val="15"/>
                <w:color w:val="0000FF"/>
              </w:rPr>
            </w:pPr>
            <w:hyperlink r:id="rId160">
              <w:r>
                <w:rPr>
                  <w:rFonts w:ascii="Times New Roman" w:cs="Times New Roman" w:eastAsia="Times New Roman" w:hAnsi="Times New Roman"/>
                  <w:sz w:val="15"/>
                  <w:szCs w:val="15"/>
                  <w:color w:val="0000FF"/>
                </w:rPr>
                <w:t>and American Stock Transfer &amp; Trust Company, LLC, dated</w:t>
              </w:r>
            </w:hyperlink>
          </w:p>
        </w:tc>
        <w:tc>
          <w:tcPr>
            <w:tcW w:w="80" w:type="dxa"/>
            <w:vAlign w:val="bottom"/>
            <w:tcBorders>
              <w:top w:val="single" w:sz="8" w:color="0000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0000FF"/>
              <w:bottom w:val="single" w:sz="8" w:color="0000FF"/>
            </w:tcBorders>
            <w:shd w:val="clear" w:color="auto" w:fill="CCEEFF"/>
          </w:tcPr>
          <w:p>
            <w:pPr>
              <w:spacing w:after="0"/>
              <w:rPr>
                <w:sz w:val="13"/>
                <w:szCs w:val="13"/>
                <w:color w:val="auto"/>
              </w:rPr>
            </w:pPr>
          </w:p>
        </w:tc>
        <w:tc>
          <w:tcPr>
            <w:tcW w:w="60" w:type="dxa"/>
            <w:vAlign w:val="bottom"/>
            <w:tcBorders>
              <w:top w:val="single" w:sz="8" w:color="0000FF"/>
              <w:bottom w:val="single" w:sz="8" w:color="0000FF"/>
            </w:tcBorders>
            <w:gridSpan w:val="3"/>
            <w:shd w:val="clear" w:color="auto" w:fill="CCEEFF"/>
          </w:tcPr>
          <w:p>
            <w:pPr>
              <w:spacing w:after="0"/>
              <w:rPr>
                <w:sz w:val="13"/>
                <w:szCs w:val="13"/>
                <w:color w:val="auto"/>
              </w:rPr>
            </w:pPr>
          </w:p>
        </w:tc>
        <w:tc>
          <w:tcPr>
            <w:tcW w:w="240" w:type="dxa"/>
            <w:vAlign w:val="bottom"/>
            <w:tcBorders>
              <w:top w:val="single" w:sz="8" w:color="0000FF"/>
              <w:bottom w:val="single" w:sz="8" w:color="0000FF"/>
            </w:tcBorders>
            <w:gridSpan w:val="11"/>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5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vMerge w:val="restart"/>
            <w:shd w:val="clear" w:color="auto" w:fill="CCEEFF"/>
          </w:tcPr>
          <w:p>
            <w:pPr>
              <w:spacing w:after="0"/>
              <w:rPr>
                <w:sz w:val="13"/>
                <w:szCs w:val="13"/>
                <w:color w:val="auto"/>
              </w:rPr>
            </w:pPr>
          </w:p>
        </w:tc>
        <w:tc>
          <w:tcPr>
            <w:tcW w:w="1420" w:type="dxa"/>
            <w:vAlign w:val="bottom"/>
            <w:tcBorders>
              <w:bottom w:val="single" w:sz="8" w:color="0000FF"/>
            </w:tcBorders>
            <w:gridSpan w:val="2"/>
            <w:shd w:val="clear" w:color="auto" w:fill="CCEEFF"/>
          </w:tcPr>
          <w:p>
            <w:pPr>
              <w:spacing w:after="0" w:line="139" w:lineRule="exact"/>
              <w:rPr>
                <w:rFonts w:ascii="Times New Roman" w:cs="Times New Roman" w:eastAsia="Times New Roman" w:hAnsi="Times New Roman"/>
                <w:sz w:val="15"/>
                <w:szCs w:val="15"/>
                <w:color w:val="0000FF"/>
              </w:rPr>
            </w:pPr>
            <w:hyperlink r:id="rId160">
              <w:r>
                <w:rPr>
                  <w:rFonts w:ascii="Times New Roman" w:cs="Times New Roman" w:eastAsia="Times New Roman" w:hAnsi="Times New Roman"/>
                  <w:sz w:val="15"/>
                  <w:szCs w:val="15"/>
                  <w:color w:val="0000FF"/>
                </w:rPr>
                <w:t>December 13, 2019.</w:t>
              </w:r>
            </w:hyperlink>
          </w:p>
        </w:tc>
        <w:tc>
          <w:tcPr>
            <w:tcW w:w="2600" w:type="dxa"/>
            <w:vAlign w:val="bottom"/>
            <w:tcBorders>
              <w:bottom w:val="single" w:sz="8" w:color="CCEEFF"/>
            </w:tcBorders>
            <w:gridSpan w:val="7"/>
            <w:vMerge w:val="restart"/>
            <w:shd w:val="clear" w:color="auto" w:fill="CCEEFF"/>
          </w:tcPr>
          <w:p>
            <w:pPr>
              <w:spacing w:after="0"/>
              <w:rPr>
                <w:sz w:val="13"/>
                <w:szCs w:val="13"/>
                <w:color w:val="auto"/>
              </w:rPr>
            </w:pPr>
          </w:p>
        </w:tc>
        <w:tc>
          <w:tcPr>
            <w:tcW w:w="320" w:type="dxa"/>
            <w:vAlign w:val="bottom"/>
            <w:tcBorders>
              <w:bottom w:val="single" w:sz="8" w:color="CCEEFF"/>
            </w:tcBorders>
            <w:gridSpan w:val="6"/>
            <w:vMerge w:val="restart"/>
            <w:shd w:val="clear" w:color="auto" w:fill="CCEEFF"/>
          </w:tcPr>
          <w:p>
            <w:pPr>
              <w:spacing w:after="0"/>
              <w:rPr>
                <w:sz w:val="13"/>
                <w:szCs w:val="13"/>
                <w:color w:val="auto"/>
              </w:rPr>
            </w:pPr>
          </w:p>
        </w:tc>
        <w:tc>
          <w:tcPr>
            <w:tcW w:w="60" w:type="dxa"/>
            <w:vAlign w:val="bottom"/>
            <w:tcBorders>
              <w:bottom w:val="single" w:sz="8" w:color="CCEEFF"/>
            </w:tcBorders>
            <w:vMerge w:val="restart"/>
            <w:shd w:val="clear" w:color="auto" w:fill="CCEEFF"/>
          </w:tcPr>
          <w:p>
            <w:pPr>
              <w:spacing w:after="0"/>
              <w:rPr>
                <w:sz w:val="13"/>
                <w:szCs w:val="13"/>
                <w:color w:val="auto"/>
              </w:rPr>
            </w:pPr>
          </w:p>
        </w:tc>
        <w:tc>
          <w:tcPr>
            <w:tcW w:w="60" w:type="dxa"/>
            <w:vAlign w:val="bottom"/>
            <w:tcBorders>
              <w:bottom w:val="single" w:sz="8" w:color="CCEEFF"/>
            </w:tcBorders>
            <w:gridSpan w:val="3"/>
            <w:vMerge w:val="restart"/>
            <w:shd w:val="clear" w:color="auto" w:fill="CCEEFF"/>
          </w:tcPr>
          <w:p>
            <w:pPr>
              <w:spacing w:after="0"/>
              <w:rPr>
                <w:sz w:val="13"/>
                <w:szCs w:val="13"/>
                <w:color w:val="auto"/>
              </w:rPr>
            </w:pPr>
          </w:p>
        </w:tc>
        <w:tc>
          <w:tcPr>
            <w:tcW w:w="300" w:type="dxa"/>
            <w:vAlign w:val="bottom"/>
            <w:tcBorders>
              <w:bottom w:val="single" w:sz="8" w:color="CCEEFF"/>
            </w:tcBorders>
            <w:gridSpan w:val="13"/>
            <w:vMerge w:val="restart"/>
            <w:shd w:val="clear" w:color="auto" w:fill="CCEEFF"/>
          </w:tcPr>
          <w:p>
            <w:pPr>
              <w:spacing w:after="0"/>
              <w:rPr>
                <w:sz w:val="13"/>
                <w:szCs w:val="13"/>
                <w:color w:val="auto"/>
              </w:rPr>
            </w:pPr>
          </w:p>
        </w:tc>
        <w:tc>
          <w:tcPr>
            <w:tcW w:w="2920" w:type="dxa"/>
            <w:vAlign w:val="bottom"/>
            <w:tcBorders>
              <w:bottom w:val="single" w:sz="8" w:color="CCEEFF"/>
            </w:tcBorders>
            <w:vMerge w:val="restart"/>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8"/>
              </w:rPr>
              <w:t>Report on Form 8-K</w:t>
            </w:r>
          </w:p>
        </w:tc>
        <w:tc>
          <w:tcPr>
            <w:tcW w:w="17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2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0" w:type="dxa"/>
            <w:vAlign w:val="bottom"/>
            <w:vMerge w:val="continue"/>
            <w:shd w:val="clear" w:color="auto" w:fill="CCEEFF"/>
          </w:tcPr>
          <w:p>
            <w:pPr>
              <w:spacing w:after="0"/>
              <w:rPr>
                <w:sz w:val="4"/>
                <w:szCs w:val="4"/>
                <w:color w:val="auto"/>
              </w:rPr>
            </w:pPr>
          </w:p>
        </w:tc>
        <w:tc>
          <w:tcPr>
            <w:tcW w:w="1420" w:type="dxa"/>
            <w:vAlign w:val="bottom"/>
            <w:gridSpan w:val="2"/>
            <w:shd w:val="clear" w:color="auto" w:fill="CCEEFF"/>
          </w:tcPr>
          <w:p>
            <w:pPr>
              <w:spacing w:after="0"/>
              <w:rPr>
                <w:sz w:val="4"/>
                <w:szCs w:val="4"/>
                <w:color w:val="auto"/>
              </w:rPr>
            </w:pPr>
          </w:p>
        </w:tc>
        <w:tc>
          <w:tcPr>
            <w:tcW w:w="2600" w:type="dxa"/>
            <w:vAlign w:val="bottom"/>
            <w:gridSpan w:val="7"/>
            <w:vMerge w:val="continue"/>
            <w:shd w:val="clear" w:color="auto" w:fill="CCEEFF"/>
          </w:tcPr>
          <w:p>
            <w:pPr>
              <w:spacing w:after="0"/>
              <w:rPr>
                <w:sz w:val="4"/>
                <w:szCs w:val="4"/>
                <w:color w:val="auto"/>
              </w:rPr>
            </w:pPr>
          </w:p>
        </w:tc>
        <w:tc>
          <w:tcPr>
            <w:tcW w:w="320" w:type="dxa"/>
            <w:vAlign w:val="bottom"/>
            <w:gridSpan w:val="6"/>
            <w:vMerge w:val="continue"/>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60" w:type="dxa"/>
            <w:vAlign w:val="bottom"/>
            <w:gridSpan w:val="3"/>
            <w:vMerge w:val="continue"/>
            <w:shd w:val="clear" w:color="auto" w:fill="CCEEFF"/>
          </w:tcPr>
          <w:p>
            <w:pPr>
              <w:spacing w:after="0"/>
              <w:rPr>
                <w:sz w:val="4"/>
                <w:szCs w:val="4"/>
                <w:color w:val="auto"/>
              </w:rPr>
            </w:pPr>
          </w:p>
        </w:tc>
        <w:tc>
          <w:tcPr>
            <w:tcW w:w="300" w:type="dxa"/>
            <w:vAlign w:val="bottom"/>
            <w:gridSpan w:val="13"/>
            <w:vMerge w:val="continue"/>
            <w:shd w:val="clear" w:color="auto" w:fill="CCEEFF"/>
          </w:tcPr>
          <w:p>
            <w:pPr>
              <w:spacing w:after="0"/>
              <w:rPr>
                <w:sz w:val="4"/>
                <w:szCs w:val="4"/>
                <w:color w:val="auto"/>
              </w:rPr>
            </w:pPr>
          </w:p>
        </w:tc>
        <w:tc>
          <w:tcPr>
            <w:tcW w:w="2920" w:type="dxa"/>
            <w:vAlign w:val="bottom"/>
            <w:vMerge w:val="continue"/>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9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10.48</w:t>
            </w:r>
          </w:p>
        </w:tc>
        <w:tc>
          <w:tcPr>
            <w:tcW w:w="200" w:type="dxa"/>
            <w:vAlign w:val="bottom"/>
          </w:tcPr>
          <w:p>
            <w:pPr>
              <w:spacing w:after="0"/>
              <w:rPr>
                <w:sz w:val="17"/>
                <w:szCs w:val="17"/>
                <w:color w:val="auto"/>
              </w:rPr>
            </w:pPr>
          </w:p>
        </w:tc>
        <w:tc>
          <w:tcPr>
            <w:tcW w:w="4780" w:type="dxa"/>
            <w:vAlign w:val="bottom"/>
            <w:gridSpan w:val="33"/>
          </w:tcPr>
          <w:p>
            <w:pPr>
              <w:spacing w:after="0" w:line="19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Purchase Agreement dated September 21, 2021, by and among</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60" w:type="dxa"/>
            <w:vAlign w:val="bottom"/>
            <w:tcBorders>
              <w:top w:val="single" w:sz="8" w:color="0000FF"/>
              <w:bottom w:val="single" w:sz="8" w:color="0000FF"/>
            </w:tcBorders>
            <w:gridSpan w:val="16"/>
          </w:tcPr>
          <w:p>
            <w:pPr>
              <w:spacing w:after="0" w:line="179"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Weatherford International Ltd., as issuer, the guarantors party</w:t>
              </w:r>
            </w:hyperlink>
          </w:p>
        </w:tc>
        <w:tc>
          <w:tcPr>
            <w:tcW w:w="120" w:type="dxa"/>
            <w:vAlign w:val="bottom"/>
            <w:tcBorders>
              <w:top w:val="single" w:sz="8" w:color="0000FF"/>
            </w:tcBorders>
            <w:gridSpan w:val="4"/>
          </w:tcPr>
          <w:p>
            <w:pPr>
              <w:spacing w:after="0"/>
              <w:rPr>
                <w:sz w:val="15"/>
                <w:szCs w:val="15"/>
                <w:color w:val="auto"/>
              </w:rPr>
            </w:pPr>
          </w:p>
        </w:tc>
        <w:tc>
          <w:tcPr>
            <w:tcW w:w="300" w:type="dxa"/>
            <w:vAlign w:val="bottom"/>
            <w:gridSpan w:val="13"/>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7"/>
              </w:rPr>
              <w:t>Quarterly Report on Form 10-Q for</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33"/>
          </w:tcPr>
          <w:p>
            <w:pPr>
              <w:spacing w:after="0" w:line="19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thereto, the initial purchasers party thereto and Deutsche Bank</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the period ending September 30.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10"/>
          </w:tcPr>
          <w:p>
            <w:pPr>
              <w:spacing w:after="0" w:line="179"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Securities Inc., as representative of the initial purchasers.</w:t>
              </w:r>
            </w:hyperlink>
          </w:p>
        </w:tc>
        <w:tc>
          <w:tcPr>
            <w:tcW w:w="380" w:type="dxa"/>
            <w:vAlign w:val="bottom"/>
            <w:tcBorders>
              <w:top w:val="single" w:sz="8" w:color="0000FF"/>
            </w:tcBorders>
            <w:gridSpan w:val="7"/>
          </w:tcPr>
          <w:p>
            <w:pPr>
              <w:spacing w:after="0"/>
              <w:rPr>
                <w:sz w:val="15"/>
                <w:szCs w:val="15"/>
                <w:color w:val="auto"/>
              </w:rPr>
            </w:pPr>
          </w:p>
        </w:tc>
        <w:tc>
          <w:tcPr>
            <w:tcW w:w="360" w:type="dxa"/>
            <w:vAlign w:val="bottom"/>
            <w:gridSpan w:val="16"/>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2021 filed November 2, 2021</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43"/>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10.49</w:t>
            </w:r>
          </w:p>
        </w:tc>
        <w:tc>
          <w:tcPr>
            <w:tcW w:w="220" w:type="dxa"/>
            <w:vAlign w:val="bottom"/>
            <w:shd w:val="clear" w:color="auto" w:fill="CCEEFF"/>
          </w:tcPr>
          <w:p>
            <w:pPr>
              <w:spacing w:after="0"/>
              <w:rPr>
                <w:sz w:val="17"/>
                <w:szCs w:val="17"/>
                <w:color w:val="auto"/>
              </w:rPr>
            </w:pPr>
          </w:p>
        </w:tc>
        <w:tc>
          <w:tcPr>
            <w:tcW w:w="4740" w:type="dxa"/>
            <w:vAlign w:val="bottom"/>
            <w:gridSpan w:val="11"/>
            <w:shd w:val="clear" w:color="auto" w:fill="CCEEFF"/>
          </w:tcPr>
          <w:p>
            <w:pPr>
              <w:spacing w:after="0" w:line="19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Backstop Agreement dated September 20, 2021, by and among</w:t>
              </w:r>
            </w:hyperlink>
          </w:p>
        </w:tc>
        <w:tc>
          <w:tcPr>
            <w:tcW w:w="2920" w:type="dxa"/>
            <w:vAlign w:val="bottom"/>
            <w:gridSpan w:val="2"/>
            <w:shd w:val="clear" w:color="auto" w:fill="CCEEFF"/>
          </w:tcPr>
          <w:p>
            <w:pPr>
              <w:jc w:val="center"/>
              <w:ind w:right="100"/>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2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60" w:type="dxa"/>
            <w:vAlign w:val="bottom"/>
            <w:tcBorders>
              <w:top w:val="single" w:sz="8" w:color="0000FF"/>
            </w:tcBorders>
            <w:gridSpan w:val="9"/>
            <w:shd w:val="clear" w:color="auto" w:fill="CCEEFF"/>
          </w:tcPr>
          <w:p>
            <w:pPr>
              <w:spacing w:after="0" w:line="179"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Weatherford International Ltd., as issuer, the guarantors party</w:t>
              </w:r>
            </w:hyperlink>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00"/>
              <w:spacing w:after="0" w:line="179" w:lineRule="exact"/>
              <w:rPr>
                <w:sz w:val="20"/>
                <w:szCs w:val="20"/>
                <w:color w:val="auto"/>
              </w:rPr>
            </w:pPr>
            <w:r>
              <w:rPr>
                <w:rFonts w:ascii="Times New Roman" w:cs="Times New Roman" w:eastAsia="Times New Roman" w:hAnsi="Times New Roman"/>
                <w:sz w:val="18"/>
                <w:szCs w:val="18"/>
                <w:color w:val="auto"/>
                <w:w w:val="97"/>
              </w:rPr>
              <w:t>Quarterly Report on Form 10-Q for</w:t>
            </w:r>
          </w:p>
        </w:tc>
        <w:tc>
          <w:tcPr>
            <w:tcW w:w="1720" w:type="dxa"/>
            <w:vAlign w:val="bottom"/>
            <w:tcBorders>
              <w:top w:val="single" w:sz="8" w:color="CCEEFF"/>
            </w:tcBorders>
            <w:shd w:val="clear" w:color="auto" w:fill="CCEEFF"/>
          </w:tcPr>
          <w:p>
            <w:pPr>
              <w:spacing w:after="0"/>
              <w:rPr>
                <w:sz w:val="15"/>
                <w:szCs w:val="15"/>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3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r>
        <w:trPr>
          <w:trHeight w:val="192"/>
        </w:trPr>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740" w:type="dxa"/>
            <w:vAlign w:val="bottom"/>
            <w:gridSpan w:val="11"/>
            <w:shd w:val="clear" w:color="auto" w:fill="CCEEFF"/>
          </w:tcPr>
          <w:p>
            <w:pPr>
              <w:spacing w:after="0" w:line="19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thereto and certain funds managed by Franklin Advisers, Inc., as</w:t>
              </w:r>
            </w:hyperlink>
          </w:p>
        </w:tc>
        <w:tc>
          <w:tcPr>
            <w:tcW w:w="2920" w:type="dxa"/>
            <w:vAlign w:val="bottom"/>
            <w:gridSpan w:val="2"/>
            <w:shd w:val="clear" w:color="auto" w:fill="CCEEFF"/>
          </w:tcPr>
          <w:p>
            <w:pPr>
              <w:jc w:val="center"/>
              <w:ind w:right="100"/>
              <w:spacing w:after="0" w:line="192" w:lineRule="exact"/>
              <w:rPr>
                <w:sz w:val="20"/>
                <w:szCs w:val="20"/>
                <w:color w:val="auto"/>
              </w:rPr>
            </w:pPr>
            <w:r>
              <w:rPr>
                <w:rFonts w:ascii="Times New Roman" w:cs="Times New Roman" w:eastAsia="Times New Roman" w:hAnsi="Times New Roman"/>
                <w:sz w:val="18"/>
                <w:szCs w:val="18"/>
                <w:color w:val="auto"/>
                <w:w w:val="98"/>
              </w:rPr>
              <w:t>the period ending September 30.</w:t>
            </w:r>
          </w:p>
        </w:tc>
        <w:tc>
          <w:tcPr>
            <w:tcW w:w="1720" w:type="dxa"/>
            <w:vAlign w:val="bottom"/>
            <w:shd w:val="clear" w:color="auto" w:fill="CCEEFF"/>
          </w:tcPr>
          <w:p>
            <w:pPr>
              <w:spacing w:after="0"/>
              <w:rPr>
                <w:sz w:val="16"/>
                <w:szCs w:val="16"/>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560" w:type="dxa"/>
            <w:vAlign w:val="bottom"/>
            <w:tcBorders>
              <w:top w:val="single" w:sz="8" w:color="0000FF"/>
            </w:tcBorders>
            <w:gridSpan w:val="10"/>
            <w:shd w:val="clear" w:color="auto" w:fill="CCEEFF"/>
          </w:tcPr>
          <w:p>
            <w:pPr>
              <w:spacing w:after="0" w:line="17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commitment parties thereto.</w:t>
              </w:r>
            </w:hyperlink>
          </w:p>
        </w:tc>
        <w:tc>
          <w:tcPr>
            <w:tcW w:w="18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gridSpan w:val="2"/>
            <w:shd w:val="clear" w:color="auto" w:fill="CCEEFF"/>
          </w:tcPr>
          <w:p>
            <w:pPr>
              <w:jc w:val="center"/>
              <w:ind w:right="100"/>
              <w:spacing w:after="0" w:line="179" w:lineRule="exact"/>
              <w:rPr>
                <w:sz w:val="20"/>
                <w:szCs w:val="20"/>
                <w:color w:val="auto"/>
              </w:rPr>
            </w:pPr>
            <w:r>
              <w:rPr>
                <w:rFonts w:ascii="Times New Roman" w:cs="Times New Roman" w:eastAsia="Times New Roman" w:hAnsi="Times New Roman"/>
                <w:sz w:val="18"/>
                <w:szCs w:val="18"/>
                <w:color w:val="auto"/>
                <w:w w:val="98"/>
              </w:rPr>
              <w:t>2021 filed November 2, 2021</w:t>
            </w:r>
          </w:p>
        </w:tc>
        <w:tc>
          <w:tcPr>
            <w:tcW w:w="1720" w:type="dxa"/>
            <w:vAlign w:val="bottom"/>
            <w:tcBorders>
              <w:top w:val="single" w:sz="8" w:color="CCEEFF"/>
            </w:tcBorders>
            <w:shd w:val="clear" w:color="auto" w:fill="CCEEFF"/>
          </w:tcPr>
          <w:p>
            <w:pPr>
              <w:spacing w:after="0"/>
              <w:rPr>
                <w:sz w:val="15"/>
                <w:szCs w:val="15"/>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10.50</w:t>
            </w:r>
          </w:p>
        </w:tc>
        <w:tc>
          <w:tcPr>
            <w:tcW w:w="220" w:type="dxa"/>
            <w:vAlign w:val="bottom"/>
          </w:tcPr>
          <w:p>
            <w:pPr>
              <w:spacing w:after="0"/>
              <w:rPr>
                <w:sz w:val="17"/>
                <w:szCs w:val="17"/>
                <w:color w:val="auto"/>
              </w:rPr>
            </w:pPr>
          </w:p>
        </w:tc>
        <w:tc>
          <w:tcPr>
            <w:tcW w:w="4740" w:type="dxa"/>
            <w:vAlign w:val="bottom"/>
            <w:gridSpan w:val="11"/>
          </w:tcPr>
          <w:p>
            <w:pPr>
              <w:spacing w:after="0" w:line="19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Registration Rights Agreement by and among Weatherford</w:t>
              </w:r>
            </w:hyperlink>
          </w:p>
        </w:tc>
        <w:tc>
          <w:tcPr>
            <w:tcW w:w="292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color w:val="auto"/>
                <w:w w:val="99"/>
              </w:rPr>
              <w:t>Exhibit 10.5 of the</w:t>
            </w:r>
          </w:p>
        </w:tc>
        <w:tc>
          <w:tcPr>
            <w:tcW w:w="172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tcBorders>
              <w:top w:val="single" w:sz="8" w:color="0000FF"/>
            </w:tcBorders>
            <w:gridSpan w:val="7"/>
          </w:tcPr>
          <w:p>
            <w:pPr>
              <w:spacing w:after="0" w:line="17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International plc and certain stockholders thereto, dated</w:t>
              </w:r>
            </w:hyperlink>
          </w:p>
        </w:tc>
        <w:tc>
          <w:tcPr>
            <w:tcW w:w="580" w:type="dxa"/>
            <w:vAlign w:val="bottom"/>
            <w:gridSpan w:val="4"/>
          </w:tcPr>
          <w:p>
            <w:pPr>
              <w:spacing w:after="0"/>
              <w:rPr>
                <w:sz w:val="15"/>
                <w:szCs w:val="15"/>
                <w:color w:val="auto"/>
              </w:rPr>
            </w:pPr>
          </w:p>
        </w:tc>
        <w:tc>
          <w:tcPr>
            <w:tcW w:w="292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2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20" w:type="dxa"/>
            <w:vAlign w:val="bottom"/>
            <w:tcBorders>
              <w:top w:val="single" w:sz="8" w:color="0000FF"/>
            </w:tcBorders>
            <w:gridSpan w:val="6"/>
          </w:tcPr>
          <w:p>
            <w:pPr>
              <w:spacing w:after="0" w:line="19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December 13, 2019.</w:t>
              </w:r>
              <w:r>
                <w:rPr>
                  <w:rFonts w:ascii="Times New Roman" w:cs="Times New Roman" w:eastAsia="Times New Roman" w:hAnsi="Times New Roman"/>
                  <w:sz w:val="18"/>
                  <w:szCs w:val="18"/>
                  <w:color w:val="000000"/>
                </w:rPr>
                <w:t>*</w:t>
              </w:r>
            </w:hyperlink>
          </w:p>
        </w:tc>
        <w:tc>
          <w:tcPr>
            <w:tcW w:w="820" w:type="dxa"/>
            <w:vAlign w:val="bottom"/>
            <w:gridSpan w:val="5"/>
          </w:tcPr>
          <w:p>
            <w:pPr>
              <w:spacing w:after="0"/>
              <w:rPr>
                <w:sz w:val="16"/>
                <w:szCs w:val="16"/>
                <w:color w:val="auto"/>
              </w:rPr>
            </w:pPr>
          </w:p>
        </w:tc>
        <w:tc>
          <w:tcPr>
            <w:tcW w:w="2920" w:type="dxa"/>
            <w:vAlign w:val="bottom"/>
            <w:gridSpan w:val="2"/>
          </w:tcPr>
          <w:p>
            <w:pPr>
              <w:jc w:val="center"/>
              <w:ind w:right="100"/>
              <w:spacing w:after="0" w:line="192"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20" w:type="dxa"/>
            <w:vAlign w:val="bottom"/>
          </w:tcPr>
          <w:p>
            <w:pPr>
              <w:spacing w:after="0"/>
              <w:rPr>
                <w:sz w:val="16"/>
                <w:szCs w:val="16"/>
                <w:color w:val="auto"/>
              </w:rPr>
            </w:pPr>
          </w:p>
        </w:tc>
      </w:tr>
      <w:tr>
        <w:trPr>
          <w:trHeight w:val="226"/>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720" w:type="dxa"/>
            <w:vAlign w:val="bottom"/>
          </w:tcPr>
          <w:p>
            <w:pPr>
              <w:spacing w:after="0"/>
              <w:rPr>
                <w:sz w:val="19"/>
                <w:szCs w:val="19"/>
                <w:color w:val="auto"/>
              </w:rPr>
            </w:pPr>
          </w:p>
        </w:tc>
      </w:tr>
      <w:tr>
        <w:trPr>
          <w:trHeight w:val="211"/>
        </w:trPr>
        <w:tc>
          <w:tcPr>
            <w:tcW w:w="1480" w:type="dxa"/>
            <w:vAlign w:val="bottom"/>
            <w:tcBorders>
              <w:bottom w:val="single" w:sz="8" w:color="CCEEFF"/>
            </w:tcBorders>
            <w:gridSpan w:val="2"/>
            <w:shd w:val="clear" w:color="auto" w:fill="CCEEFF"/>
          </w:tcPr>
          <w:p>
            <w:pPr>
              <w:jc w:val="center"/>
              <w:ind w:right="160"/>
              <w:spacing w:after="0" w:line="192" w:lineRule="exact"/>
              <w:rPr>
                <w:sz w:val="20"/>
                <w:szCs w:val="20"/>
                <w:color w:val="auto"/>
              </w:rPr>
            </w:pPr>
            <w:r>
              <w:rPr>
                <w:rFonts w:ascii="Times New Roman" w:cs="Times New Roman" w:eastAsia="Times New Roman" w:hAnsi="Times New Roman"/>
                <w:sz w:val="18"/>
                <w:szCs w:val="18"/>
                <w:color w:val="auto"/>
                <w:w w:val="95"/>
              </w:rPr>
              <w:t>†*10.51</w:t>
            </w:r>
          </w:p>
        </w:tc>
        <w:tc>
          <w:tcPr>
            <w:tcW w:w="3680" w:type="dxa"/>
            <w:vAlign w:val="bottom"/>
            <w:tcBorders>
              <w:bottom w:val="single" w:sz="8" w:color="0000FF"/>
            </w:tcBorders>
            <w:gridSpan w:val="5"/>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7"/>
              </w:rPr>
              <w:t>Confidentiality and Restricted Covenant Agreement</w:t>
            </w:r>
          </w:p>
        </w:tc>
        <w:tc>
          <w:tcPr>
            <w:tcW w:w="1060" w:type="dxa"/>
            <w:vAlign w:val="bottom"/>
            <w:tcBorders>
              <w:bottom w:val="single" w:sz="8" w:color="CCEEFF"/>
            </w:tcBorders>
            <w:gridSpan w:val="6"/>
            <w:shd w:val="clear" w:color="auto" w:fill="CCEEFF"/>
          </w:tcPr>
          <w:p>
            <w:pPr>
              <w:spacing w:after="0"/>
              <w:rPr>
                <w:sz w:val="18"/>
                <w:szCs w:val="18"/>
                <w:color w:val="auto"/>
              </w:rPr>
            </w:pPr>
          </w:p>
        </w:tc>
        <w:tc>
          <w:tcPr>
            <w:tcW w:w="230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195"/>
        </w:trPr>
        <w:tc>
          <w:tcPr>
            <w:tcW w:w="14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8"/>
              </w:rPr>
              <w:t>†21.1</w:t>
            </w:r>
          </w:p>
        </w:tc>
        <w:tc>
          <w:tcPr>
            <w:tcW w:w="4740" w:type="dxa"/>
            <w:vAlign w:val="bottom"/>
            <w:gridSpan w:val="11"/>
          </w:tcPr>
          <w:p>
            <w:pPr>
              <w:spacing w:after="0" w:line="186" w:lineRule="exact"/>
              <w:rPr>
                <w:sz w:val="20"/>
                <w:szCs w:val="20"/>
                <w:color w:val="auto"/>
              </w:rPr>
            </w:pPr>
            <w:r>
              <w:rPr>
                <w:rFonts w:ascii="Times New Roman" w:cs="Times New Roman" w:eastAsia="Times New Roman" w:hAnsi="Times New Roman"/>
                <w:sz w:val="18"/>
                <w:szCs w:val="18"/>
                <w:color w:val="0000FF"/>
              </w:rPr>
              <w:t>Subsidiaries of Weatherford International plc</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8"/>
              </w:rPr>
              <w:t>†23.1</w:t>
            </w:r>
          </w:p>
        </w:tc>
        <w:tc>
          <w:tcPr>
            <w:tcW w:w="3180" w:type="dxa"/>
            <w:vAlign w:val="bottom"/>
            <w:tcBorders>
              <w:top w:val="single" w:sz="8" w:color="0000FF"/>
            </w:tcBorders>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Consent of KPMG LLP</w:t>
            </w:r>
          </w:p>
        </w:tc>
        <w:tc>
          <w:tcPr>
            <w:tcW w:w="1560" w:type="dxa"/>
            <w:vAlign w:val="bottom"/>
            <w:gridSpan w:val="7"/>
            <w:shd w:val="clear" w:color="auto" w:fill="CCEEFF"/>
          </w:tcPr>
          <w:p>
            <w:pPr>
              <w:spacing w:after="0"/>
              <w:rPr>
                <w:sz w:val="16"/>
                <w:szCs w:val="16"/>
                <w:color w:val="auto"/>
              </w:rPr>
            </w:pPr>
          </w:p>
        </w:tc>
        <w:tc>
          <w:tcPr>
            <w:tcW w:w="230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40"/>
        </w:trPr>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30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r>
        <w:trPr>
          <w:trHeight w:val="195"/>
        </w:trPr>
        <w:tc>
          <w:tcPr>
            <w:tcW w:w="14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8"/>
              </w:rPr>
              <w:t>†31.1</w:t>
            </w:r>
          </w:p>
        </w:tc>
        <w:tc>
          <w:tcPr>
            <w:tcW w:w="7660" w:type="dxa"/>
            <w:vAlign w:val="bottom"/>
            <w:gridSpan w:val="13"/>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1720" w:type="dxa"/>
            <w:vAlign w:val="bottom"/>
          </w:tcPr>
          <w:p>
            <w:pPr>
              <w:spacing w:after="0"/>
              <w:rPr>
                <w:sz w:val="16"/>
                <w:szCs w:val="16"/>
                <w:color w:val="auto"/>
              </w:rPr>
            </w:pPr>
          </w:p>
        </w:tc>
      </w:tr>
      <w:tr>
        <w:trPr>
          <w:trHeight w:val="19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8"/>
              </w:rPr>
              <w:t>†31.2</w:t>
            </w:r>
          </w:p>
        </w:tc>
        <w:tc>
          <w:tcPr>
            <w:tcW w:w="7040" w:type="dxa"/>
            <w:vAlign w:val="bottom"/>
            <w:tcBorders>
              <w:top w:val="single" w:sz="8" w:color="0000FF"/>
              <w:right w:val="single" w:sz="8" w:color="CCEEFF"/>
            </w:tcBorders>
            <w:gridSpan w:val="1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6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40"/>
        </w:trPr>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300" w:type="dxa"/>
            <w:vAlign w:val="bottom"/>
            <w:tcBorders>
              <w:right w:val="single" w:sz="8" w:color="CCEEFF"/>
            </w:tcBorders>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r>
        <w:trPr>
          <w:trHeight w:val="195"/>
        </w:trPr>
        <w:tc>
          <w:tcPr>
            <w:tcW w:w="14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6"/>
              </w:rPr>
              <w:t>††32.1</w:t>
            </w:r>
          </w:p>
        </w:tc>
        <w:tc>
          <w:tcPr>
            <w:tcW w:w="7660" w:type="dxa"/>
            <w:vAlign w:val="bottom"/>
            <w:gridSpan w:val="13"/>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1720" w:type="dxa"/>
            <w:vAlign w:val="bottom"/>
          </w:tcPr>
          <w:p>
            <w:pPr>
              <w:spacing w:after="0"/>
              <w:rPr>
                <w:sz w:val="16"/>
                <w:szCs w:val="16"/>
                <w:color w:val="auto"/>
              </w:rPr>
            </w:pPr>
          </w:p>
        </w:tc>
      </w:tr>
      <w:tr>
        <w:trPr>
          <w:trHeight w:val="19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6"/>
              </w:rPr>
              <w:t>††32.2</w:t>
            </w:r>
          </w:p>
        </w:tc>
        <w:tc>
          <w:tcPr>
            <w:tcW w:w="7040" w:type="dxa"/>
            <w:vAlign w:val="bottom"/>
            <w:tcBorders>
              <w:top w:val="single" w:sz="8" w:color="0000FF"/>
              <w:right w:val="single" w:sz="8" w:color="CCEEFF"/>
            </w:tcBorders>
            <w:gridSpan w:val="1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906 of the Sarbanes-Oxley Act of 2002</w:t>
            </w:r>
          </w:p>
        </w:tc>
        <w:tc>
          <w:tcPr>
            <w:tcW w:w="6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40"/>
        </w:trPr>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300" w:type="dxa"/>
            <w:vAlign w:val="bottom"/>
            <w:tcBorders>
              <w:right w:val="single" w:sz="8" w:color="CCEEFF"/>
            </w:tcBorders>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r>
        <w:trPr>
          <w:trHeight w:val="172"/>
        </w:trPr>
        <w:tc>
          <w:tcPr>
            <w:tcW w:w="148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8"/>
                <w:szCs w:val="18"/>
                <w:color w:val="auto"/>
                <w:w w:val="97"/>
              </w:rPr>
              <w:t>†101.INS</w:t>
            </w:r>
          </w:p>
        </w:tc>
        <w:tc>
          <w:tcPr>
            <w:tcW w:w="9380" w:type="dxa"/>
            <w:vAlign w:val="bottom"/>
            <w:gridSpan w:val="14"/>
          </w:tcPr>
          <w:p>
            <w:pPr>
              <w:spacing w:after="0" w:line="172" w:lineRule="exact"/>
              <w:rPr>
                <w:sz w:val="20"/>
                <w:szCs w:val="20"/>
                <w:color w:val="auto"/>
              </w:rPr>
            </w:pPr>
            <w:r>
              <w:rPr>
                <w:rFonts w:ascii="Times New Roman" w:cs="Times New Roman" w:eastAsia="Times New Roman" w:hAnsi="Times New Roman"/>
                <w:sz w:val="18"/>
                <w:szCs w:val="18"/>
                <w:color w:val="auto"/>
                <w:w w:val="98"/>
              </w:rPr>
              <w:t>XBRL Instance Document - The instance document does not appear in the interactive data file because its XBRL tags are embedded</w:t>
            </w:r>
          </w:p>
        </w:tc>
      </w:tr>
      <w:tr>
        <w:trPr>
          <w:trHeight w:val="235"/>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9"/>
        </w:trPr>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†101.SCH</w:t>
            </w:r>
          </w:p>
        </w:tc>
        <w:tc>
          <w:tcPr>
            <w:tcW w:w="4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30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†101.CAL</w:t>
            </w:r>
          </w:p>
        </w:tc>
        <w:tc>
          <w:tcPr>
            <w:tcW w:w="4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1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†101.DEF</w:t>
            </w:r>
          </w:p>
        </w:tc>
        <w:tc>
          <w:tcPr>
            <w:tcW w:w="4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30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†101.LAB</w:t>
            </w:r>
          </w:p>
        </w:tc>
        <w:tc>
          <w:tcPr>
            <w:tcW w:w="4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1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†101.PRE</w:t>
            </w:r>
          </w:p>
        </w:tc>
        <w:tc>
          <w:tcPr>
            <w:tcW w:w="4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30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bl>
    <w:p>
      <w:pPr>
        <w:ind w:left="320" w:right="3360" w:firstLine="209"/>
        <w:spacing w:after="0" w:line="327" w:lineRule="auto"/>
        <w:tabs>
          <w:tab w:leader="none" w:pos="14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9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Girishchandra K. Saligram and Arunava Mitra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5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/s/ Girishchandra K. Saligram</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 February 8, 2023</w:t>
      </w:r>
    </w:p>
    <w:p>
      <w:pPr>
        <w:spacing w:after="0" w:line="35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Signatures</w:t>
            </w:r>
          </w:p>
        </w:tc>
        <w:tc>
          <w:tcPr>
            <w:tcW w:w="386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8"/>
                <w:szCs w:val="18"/>
                <w:color w:val="auto"/>
                <w:w w:val="99"/>
              </w:rPr>
              <w:t>Title</w:t>
            </w:r>
          </w:p>
        </w:tc>
        <w:tc>
          <w:tcPr>
            <w:tcW w:w="304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8"/>
                <w:szCs w:val="18"/>
                <w:color w:val="auto"/>
                <w:w w:val="94"/>
              </w:rPr>
              <w:t>Date</w:t>
            </w:r>
          </w:p>
        </w:tc>
      </w:tr>
      <w:tr>
        <w:trPr>
          <w:trHeight w:val="212"/>
        </w:trPr>
        <w:tc>
          <w:tcPr>
            <w:tcW w:w="3620" w:type="dxa"/>
            <w:vAlign w:val="bottom"/>
          </w:tcPr>
          <w:p>
            <w:pPr>
              <w:spacing w:after="0"/>
              <w:rPr>
                <w:sz w:val="18"/>
                <w:szCs w:val="18"/>
                <w:color w:val="auto"/>
              </w:rPr>
            </w:pPr>
          </w:p>
        </w:tc>
        <w:tc>
          <w:tcPr>
            <w:tcW w:w="38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President, Chief Executive Officer</w:t>
            </w:r>
          </w:p>
        </w:tc>
        <w:tc>
          <w:tcPr>
            <w:tcW w:w="3040" w:type="dxa"/>
            <w:vAlign w:val="bottom"/>
          </w:tcPr>
          <w:p>
            <w:pPr>
              <w:spacing w:after="0"/>
              <w:rPr>
                <w:sz w:val="18"/>
                <w:szCs w:val="18"/>
                <w:color w:val="auto"/>
              </w:rPr>
            </w:pPr>
          </w:p>
        </w:tc>
      </w:tr>
      <w:tr>
        <w:trPr>
          <w:trHeight w:val="2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Girishchandra K. Saligram</w:t>
            </w:r>
          </w:p>
        </w:tc>
        <w:tc>
          <w:tcPr>
            <w:tcW w:w="38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and 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8, 2023</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Girishchandra K. Saligram</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3040" w:type="dxa"/>
            <w:vAlign w:val="bottom"/>
          </w:tcPr>
          <w:p>
            <w:pPr>
              <w:spacing w:after="0"/>
              <w:rPr>
                <w:sz w:val="19"/>
                <w:szCs w:val="19"/>
                <w:color w:val="auto"/>
              </w:rPr>
            </w:pPr>
          </w:p>
        </w:tc>
      </w:tr>
      <w:tr>
        <w:trPr>
          <w:trHeight w:val="4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Arunava Mitra</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Executive Vice President and</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8, 2023</w:t>
            </w:r>
          </w:p>
        </w:tc>
      </w:tr>
      <w:tr>
        <w:trPr>
          <w:trHeight w:val="213"/>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Arunava Mitra</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040" w:type="dxa"/>
            <w:vAlign w:val="bottom"/>
          </w:tcPr>
          <w:p>
            <w:pPr>
              <w:spacing w:after="0"/>
              <w:rPr>
                <w:sz w:val="18"/>
                <w:szCs w:val="18"/>
                <w:color w:val="auto"/>
              </w:rPr>
            </w:pPr>
          </w:p>
        </w:tc>
      </w:tr>
      <w:tr>
        <w:trPr>
          <w:trHeight w:val="231"/>
        </w:trPr>
        <w:tc>
          <w:tcPr>
            <w:tcW w:w="3620" w:type="dxa"/>
            <w:vAlign w:val="bottom"/>
          </w:tcPr>
          <w:p>
            <w:pPr>
              <w:spacing w:after="0"/>
              <w:rPr>
                <w:sz w:val="20"/>
                <w:szCs w:val="20"/>
                <w:color w:val="auto"/>
              </w:rPr>
            </w:pP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3040" w:type="dxa"/>
            <w:vAlign w:val="bottom"/>
          </w:tcPr>
          <w:p>
            <w:pPr>
              <w:spacing w:after="0"/>
              <w:rPr>
                <w:sz w:val="20"/>
                <w:szCs w:val="20"/>
                <w:color w:val="auto"/>
              </w:rPr>
            </w:pPr>
          </w:p>
        </w:tc>
      </w:tr>
      <w:tr>
        <w:trPr>
          <w:trHeight w:val="330"/>
        </w:trPr>
        <w:tc>
          <w:tcPr>
            <w:tcW w:w="3620" w:type="dxa"/>
            <w:vAlign w:val="bottom"/>
          </w:tcPr>
          <w:p>
            <w:pPr>
              <w:spacing w:after="0"/>
              <w:rPr>
                <w:sz w:val="24"/>
                <w:szCs w:val="24"/>
                <w:color w:val="auto"/>
              </w:rPr>
            </w:pPr>
          </w:p>
        </w:tc>
        <w:tc>
          <w:tcPr>
            <w:tcW w:w="38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Senior Vice President and Chief Accounting</w:t>
            </w:r>
          </w:p>
        </w:tc>
        <w:tc>
          <w:tcPr>
            <w:tcW w:w="3040" w:type="dxa"/>
            <w:vAlign w:val="bottom"/>
          </w:tcPr>
          <w:p>
            <w:pPr>
              <w:spacing w:after="0"/>
              <w:rPr>
                <w:sz w:val="24"/>
                <w:szCs w:val="24"/>
                <w:color w:val="auto"/>
              </w:rPr>
            </w:pP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Desmond J. Mills</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Officer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8, 2023</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Desmond J. Mills</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3040" w:type="dxa"/>
            <w:vAlign w:val="bottom"/>
          </w:tcPr>
          <w:p>
            <w:pPr>
              <w:spacing w:after="0"/>
              <w:rPr>
                <w:sz w:val="19"/>
                <w:szCs w:val="19"/>
                <w:color w:val="auto"/>
              </w:rPr>
            </w:pPr>
          </w:p>
        </w:tc>
      </w:tr>
      <w:tr>
        <w:trPr>
          <w:trHeight w:val="630"/>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Charles M. Sledge</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Chairman of the Board and 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8, 2023</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Charles M. Sledge</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Benjamin C. Duster IV</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8, 2023</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Benjamin C. Duster IV</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Neal P. Goldman</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8, 2023</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Neal P. Goldman</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Jacqueline Mutschler</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8, 2023</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Jacqueline Mutschler</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2022 Form 10-K | 86</w:t>
      </w:r>
    </w:p>
    <w:p>
      <w:pPr>
        <w:sectPr>
          <w:pgSz w:w="11900" w:h="16838" w:orient="portrait"/>
          <w:cols w:equalWidth="0" w:num="1">
            <w:col w:w="11240"/>
          </w:cols>
          <w:pgMar w:left="320" w:top="41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4952365</wp:posOffset>
            </wp:positionH>
            <wp:positionV relativeFrom="page">
              <wp:posOffset>240030</wp:posOffset>
            </wp:positionV>
            <wp:extent cx="302895" cy="302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21"/>
          <w:szCs w:val="21"/>
          <w:color w:val="auto"/>
        </w:rPr>
        <w:t>September 19, 2022</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PERSONAL AND CONFIDENTIAL</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color w:val="auto"/>
        </w:rPr>
        <w:t>Charles Davison</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color w:val="auto"/>
        </w:rPr>
        <w:t>Dear Chuck,</w:t>
      </w:r>
    </w:p>
    <w:p>
      <w:pPr>
        <w:spacing w:after="0" w:line="198" w:lineRule="exact"/>
        <w:rPr>
          <w:sz w:val="20"/>
          <w:szCs w:val="20"/>
          <w:color w:val="auto"/>
        </w:rPr>
      </w:pPr>
    </w:p>
    <w:p>
      <w:pPr>
        <w:jc w:val="both"/>
        <w:spacing w:after="0" w:line="217" w:lineRule="auto"/>
        <w:rPr>
          <w:sz w:val="20"/>
          <w:szCs w:val="20"/>
          <w:color w:val="auto"/>
        </w:rPr>
      </w:pPr>
      <w:r>
        <w:rPr>
          <w:rFonts w:ascii="Calibri" w:cs="Calibri" w:eastAsia="Calibri" w:hAnsi="Calibri"/>
          <w:sz w:val="21"/>
          <w:szCs w:val="21"/>
          <w:color w:val="auto"/>
        </w:rPr>
        <w:t>At Weatherford, we have an exceptonal team of people working together across the globe to solve the toughest energy challenges through a unique portolio of technologies and safe, efcient processes.</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auto"/>
        </w:rPr>
        <w:t>We are delighted to extend the following job ofer to join us at Weatherford.</w:t>
      </w:r>
    </w:p>
    <w:p>
      <w:pPr>
        <w:spacing w:after="0" w:line="198" w:lineRule="exact"/>
        <w:rPr>
          <w:sz w:val="20"/>
          <w:szCs w:val="20"/>
          <w:color w:val="auto"/>
        </w:rPr>
      </w:pPr>
    </w:p>
    <w:p>
      <w:pPr>
        <w:jc w:val="both"/>
        <w:spacing w:after="0" w:line="211" w:lineRule="auto"/>
        <w:rPr>
          <w:sz w:val="20"/>
          <w:szCs w:val="20"/>
          <w:color w:val="auto"/>
        </w:rPr>
      </w:pPr>
      <w:r>
        <w:rPr>
          <w:rFonts w:ascii="Calibri" w:cs="Calibri" w:eastAsia="Calibri" w:hAnsi="Calibri"/>
          <w:sz w:val="21"/>
          <w:szCs w:val="21"/>
          <w:color w:val="auto"/>
        </w:rPr>
        <w:t>We look forward to working with you and believe that you can make a very signifcant, positve contributon to the success of Weatherford. Our company ofers you an opportunity to put your experience, abilites, dedicaton, energy and creatvity to excellent use. Welcome to the Team!</w:t>
      </w:r>
    </w:p>
    <w:p>
      <w:pPr>
        <w:spacing w:after="0" w:line="198" w:lineRule="exact"/>
        <w:rPr>
          <w:sz w:val="20"/>
          <w:szCs w:val="20"/>
          <w:color w:val="auto"/>
        </w:rPr>
      </w:pPr>
    </w:p>
    <w:p>
      <w:pPr>
        <w:jc w:val="both"/>
        <w:ind w:right="20"/>
        <w:spacing w:after="0" w:line="217" w:lineRule="auto"/>
        <w:rPr>
          <w:sz w:val="20"/>
          <w:szCs w:val="20"/>
          <w:color w:val="auto"/>
        </w:rPr>
      </w:pPr>
      <w:r>
        <w:rPr>
          <w:rFonts w:ascii="Calibri" w:cs="Calibri" w:eastAsia="Calibri" w:hAnsi="Calibri"/>
          <w:sz w:val="21"/>
          <w:szCs w:val="21"/>
          <w:color w:val="auto"/>
        </w:rPr>
        <w:t>We appreciate your careful consideraton of the terms and conditons included in this ofer leter. A summary of your benefts can be found on the following pages.</w:t>
      </w:r>
    </w:p>
    <w:p>
      <w:pPr>
        <w:spacing w:after="0" w:line="172" w:lineRule="exact"/>
        <w:rPr>
          <w:sz w:val="20"/>
          <w:szCs w:val="20"/>
          <w:color w:val="auto"/>
        </w:rPr>
      </w:pPr>
    </w:p>
    <w:p>
      <w:pPr>
        <w:jc w:val="both"/>
        <w:spacing w:after="0" w:line="217" w:lineRule="auto"/>
        <w:rPr>
          <w:sz w:val="20"/>
          <w:szCs w:val="20"/>
          <w:color w:val="auto"/>
        </w:rPr>
      </w:pPr>
      <w:r>
        <w:rPr>
          <w:rFonts w:ascii="Calibri" w:cs="Calibri" w:eastAsia="Calibri" w:hAnsi="Calibri"/>
          <w:sz w:val="21"/>
          <w:szCs w:val="21"/>
          <w:color w:val="auto"/>
        </w:rPr>
        <w:t>This ofer is contngent upon you successfully providing the necessary pre-hire documentaton (including evidence of your right to work) and successful completon of any pre-hire testng relevant to your employment locaton.</w:t>
      </w:r>
    </w:p>
    <w:p>
      <w:pPr>
        <w:spacing w:after="0" w:line="199" w:lineRule="exact"/>
        <w:rPr>
          <w:sz w:val="20"/>
          <w:szCs w:val="20"/>
          <w:color w:val="auto"/>
        </w:rPr>
      </w:pPr>
    </w:p>
    <w:p>
      <w:pPr>
        <w:jc w:val="both"/>
        <w:spacing w:after="0" w:line="211" w:lineRule="auto"/>
        <w:rPr>
          <w:sz w:val="20"/>
          <w:szCs w:val="20"/>
          <w:color w:val="auto"/>
        </w:rPr>
      </w:pPr>
      <w:r>
        <w:rPr>
          <w:rFonts w:ascii="Calibri" w:cs="Calibri" w:eastAsia="Calibri" w:hAnsi="Calibri"/>
          <w:sz w:val="21"/>
          <w:szCs w:val="21"/>
          <w:color w:val="auto"/>
        </w:rPr>
        <w:t>Please review the enclosed informaton and contact me if you have any questons or concerns. I would appreciate your acceptance of this new opportunity by signing below and returning your signed copy as soon as possible. The ofer will remain open untl 5:00 pm Central Time on September 23, 2022 afer which tme it will automatcally expire.</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color w:val="auto"/>
        </w:rPr>
        <w:t>We look forward to welcoming you to Weatherford.</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color w:val="auto"/>
        </w:rPr>
        <w:t>Sincerely,</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color w:val="auto"/>
        </w:rPr>
        <w:t>/s/ Joseph H Mongrain</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Joseph H Mongrain</w:t>
      </w:r>
    </w:p>
    <w:p>
      <w:pPr>
        <w:spacing w:after="0" w:line="198" w:lineRule="auto"/>
        <w:rPr>
          <w:sz w:val="20"/>
          <w:szCs w:val="20"/>
          <w:color w:val="auto"/>
        </w:rPr>
      </w:pPr>
      <w:r>
        <w:rPr>
          <w:rFonts w:ascii="Calibri" w:cs="Calibri" w:eastAsia="Calibri" w:hAnsi="Calibri"/>
          <w:sz w:val="21"/>
          <w:szCs w:val="21"/>
          <w:b w:val="1"/>
          <w:bCs w:val="1"/>
          <w:color w:val="CE1141"/>
        </w:rPr>
        <w:t>EVP and Chief People Ofcer</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color w:val="auto"/>
        </w:rPr>
        <w:t>Weatherford Human Resources</w:t>
      </w:r>
    </w:p>
    <w:p>
      <w:pPr>
        <w:spacing w:after="0" w:line="198" w:lineRule="auto"/>
        <w:rPr>
          <w:sz w:val="20"/>
          <w:szCs w:val="20"/>
          <w:color w:val="auto"/>
        </w:rPr>
      </w:pPr>
      <w:r>
        <w:rPr>
          <w:rFonts w:ascii="Calibri" w:cs="Calibri" w:eastAsia="Calibri" w:hAnsi="Calibri"/>
          <w:sz w:val="21"/>
          <w:szCs w:val="21"/>
          <w:color w:val="auto"/>
        </w:rPr>
        <w:t>On and behalf of Weatherford</w:t>
      </w:r>
    </w:p>
    <w:p>
      <w:pPr>
        <w:sectPr>
          <w:pgSz w:w="11900" w:h="16838" w:orient="portrait"/>
          <w:cols w:equalWidth="0" w:num="1">
            <w:col w:w="11240"/>
          </w:cols>
          <w:pgMar w:left="320" w:top="712" w:right="339" w:bottom="1440" w:gutter="0" w:footer="0" w:header="0"/>
        </w:sectPr>
      </w:pPr>
    </w:p>
    <w:bookmarkStart w:id="89" w:name="page90"/>
    <w:bookmarkEnd w:id="89"/>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7038975</wp:posOffset>
            </wp:positionH>
            <wp:positionV relativeFrom="page">
              <wp:posOffset>88900</wp:posOffset>
            </wp:positionV>
            <wp:extent cx="302895" cy="302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spacing w:after="0"/>
        <w:rPr>
          <w:sz w:val="20"/>
          <w:szCs w:val="20"/>
          <w:color w:val="auto"/>
        </w:rPr>
      </w:pPr>
      <w:r>
        <w:rPr>
          <w:rFonts w:ascii="Calibri" w:cs="Calibri" w:eastAsia="Calibri" w:hAnsi="Calibri"/>
          <w:sz w:val="21"/>
          <w:szCs w:val="21"/>
          <w:b w:val="1"/>
          <w:bCs w:val="1"/>
          <w:color w:val="CE1141"/>
        </w:rPr>
        <w:t>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0311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5031105"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24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Calibri" w:cs="Calibri" w:eastAsia="Calibri" w:hAnsi="Calibri"/>
                <w:sz w:val="21"/>
                <w:szCs w:val="21"/>
                <w:color w:val="auto"/>
              </w:rPr>
              <w:t>Name</w:t>
            </w:r>
          </w:p>
        </w:tc>
        <w:tc>
          <w:tcPr>
            <w:tcW w:w="8000" w:type="dxa"/>
            <w:vAlign w:val="bottom"/>
            <w:tcBorders>
              <w:top w:val="single" w:sz="8" w:color="BFBFBF"/>
              <w:bottom w:val="single" w:sz="8" w:color="BFBFBF"/>
            </w:tcBorders>
            <w:gridSpan w:val="2"/>
          </w:tcPr>
          <w:p>
            <w:pPr>
              <w:ind w:left="60"/>
              <w:spacing w:after="0"/>
              <w:rPr>
                <w:sz w:val="20"/>
                <w:szCs w:val="20"/>
                <w:color w:val="auto"/>
              </w:rPr>
            </w:pPr>
            <w:r>
              <w:rPr>
                <w:rFonts w:ascii="Calibri" w:cs="Calibri" w:eastAsia="Calibri" w:hAnsi="Calibri"/>
                <w:sz w:val="21"/>
                <w:szCs w:val="21"/>
                <w:b w:val="1"/>
                <w:bCs w:val="1"/>
                <w:color w:val="CE1141"/>
              </w:rPr>
              <w:t>Charles Davison</w:t>
            </w:r>
          </w:p>
        </w:tc>
      </w:tr>
      <w:tr>
        <w:trPr>
          <w:trHeight w:val="258"/>
        </w:trPr>
        <w:tc>
          <w:tcPr>
            <w:tcW w:w="3240" w:type="dxa"/>
            <w:vAlign w:val="bottom"/>
            <w:tcBorders>
              <w:bottom w:val="single" w:sz="8" w:color="BFBFBF"/>
              <w:right w:val="single" w:sz="8" w:color="BFBFBF"/>
            </w:tcBorders>
          </w:tcPr>
          <w:p>
            <w:pPr>
              <w:ind w:left="80"/>
              <w:spacing w:after="0" w:line="253" w:lineRule="exact"/>
              <w:rPr>
                <w:sz w:val="20"/>
                <w:szCs w:val="20"/>
                <w:color w:val="auto"/>
              </w:rPr>
            </w:pPr>
            <w:r>
              <w:rPr>
                <w:rFonts w:ascii="Calibri" w:cs="Calibri" w:eastAsia="Calibri" w:hAnsi="Calibri"/>
                <w:sz w:val="21"/>
                <w:szCs w:val="21"/>
                <w:color w:val="auto"/>
              </w:rPr>
              <w:t>Employer</w:t>
            </w:r>
          </w:p>
        </w:tc>
        <w:tc>
          <w:tcPr>
            <w:tcW w:w="8000" w:type="dxa"/>
            <w:vAlign w:val="bottom"/>
            <w:tcBorders>
              <w:bottom w:val="single" w:sz="8" w:color="BFBFBF"/>
            </w:tcBorders>
            <w:gridSpan w:val="2"/>
          </w:tcPr>
          <w:p>
            <w:pPr>
              <w:ind w:left="60"/>
              <w:spacing w:after="0" w:line="253" w:lineRule="exact"/>
              <w:rPr>
                <w:sz w:val="20"/>
                <w:szCs w:val="20"/>
                <w:color w:val="auto"/>
              </w:rPr>
            </w:pPr>
            <w:r>
              <w:rPr>
                <w:rFonts w:ascii="Calibri" w:cs="Calibri" w:eastAsia="Calibri" w:hAnsi="Calibri"/>
                <w:sz w:val="21"/>
                <w:szCs w:val="21"/>
                <w:b w:val="1"/>
                <w:bCs w:val="1"/>
                <w:color w:val="CE1141"/>
              </w:rPr>
              <w:t>WEATHERFORD U.S. LP</w:t>
            </w:r>
          </w:p>
        </w:tc>
      </w:tr>
      <w:tr>
        <w:trPr>
          <w:trHeight w:val="258"/>
        </w:trPr>
        <w:tc>
          <w:tcPr>
            <w:tcW w:w="3240" w:type="dxa"/>
            <w:vAlign w:val="bottom"/>
            <w:tcBorders>
              <w:bottom w:val="single" w:sz="8" w:color="BFBFBF"/>
              <w:right w:val="single" w:sz="8" w:color="BFBFBF"/>
            </w:tcBorders>
          </w:tcPr>
          <w:p>
            <w:pPr>
              <w:ind w:left="80"/>
              <w:spacing w:after="0" w:line="253" w:lineRule="exact"/>
              <w:rPr>
                <w:sz w:val="20"/>
                <w:szCs w:val="20"/>
                <w:color w:val="auto"/>
              </w:rPr>
            </w:pPr>
            <w:r>
              <w:rPr>
                <w:rFonts w:ascii="Calibri" w:cs="Calibri" w:eastAsia="Calibri" w:hAnsi="Calibri"/>
                <w:sz w:val="21"/>
                <w:szCs w:val="21"/>
                <w:color w:val="auto"/>
              </w:rPr>
              <w:t>Positon Title</w:t>
            </w:r>
          </w:p>
        </w:tc>
        <w:tc>
          <w:tcPr>
            <w:tcW w:w="8000" w:type="dxa"/>
            <w:vAlign w:val="bottom"/>
            <w:tcBorders>
              <w:bottom w:val="single" w:sz="8" w:color="BFBFBF"/>
            </w:tcBorders>
            <w:gridSpan w:val="2"/>
          </w:tcPr>
          <w:p>
            <w:pPr>
              <w:ind w:left="60"/>
              <w:spacing w:after="0" w:line="253" w:lineRule="exact"/>
              <w:rPr>
                <w:sz w:val="20"/>
                <w:szCs w:val="20"/>
                <w:color w:val="auto"/>
              </w:rPr>
            </w:pPr>
            <w:r>
              <w:rPr>
                <w:rFonts w:ascii="Calibri" w:cs="Calibri" w:eastAsia="Calibri" w:hAnsi="Calibri"/>
                <w:sz w:val="21"/>
                <w:szCs w:val="21"/>
                <w:b w:val="1"/>
                <w:bCs w:val="1"/>
                <w:color w:val="CE1141"/>
              </w:rPr>
              <w:t>Executve Vice President Operatonal Excellence</w:t>
            </w:r>
          </w:p>
        </w:tc>
      </w:tr>
      <w:tr>
        <w:trPr>
          <w:trHeight w:val="196"/>
        </w:trPr>
        <w:tc>
          <w:tcPr>
            <w:tcW w:w="3240" w:type="dxa"/>
            <w:vAlign w:val="bottom"/>
            <w:tcBorders>
              <w:right w:val="single" w:sz="8" w:color="BFBFBF"/>
            </w:tcBorders>
          </w:tcPr>
          <w:p>
            <w:pPr>
              <w:ind w:left="80"/>
              <w:spacing w:after="0" w:line="196" w:lineRule="exact"/>
              <w:rPr>
                <w:sz w:val="20"/>
                <w:szCs w:val="20"/>
                <w:color w:val="auto"/>
              </w:rPr>
            </w:pPr>
            <w:r>
              <w:rPr>
                <w:rFonts w:ascii="Calibri" w:cs="Calibri" w:eastAsia="Calibri" w:hAnsi="Calibri"/>
                <w:sz w:val="21"/>
                <w:szCs w:val="21"/>
                <w:color w:val="auto"/>
              </w:rPr>
              <w:t>Locaton</w:t>
            </w:r>
          </w:p>
        </w:tc>
        <w:tc>
          <w:tcPr>
            <w:tcW w:w="8000" w:type="dxa"/>
            <w:vAlign w:val="bottom"/>
            <w:gridSpan w:val="2"/>
          </w:tcPr>
          <w:p>
            <w:pPr>
              <w:ind w:left="60"/>
              <w:spacing w:after="0" w:line="196" w:lineRule="exact"/>
              <w:rPr>
                <w:sz w:val="20"/>
                <w:szCs w:val="20"/>
                <w:color w:val="auto"/>
              </w:rPr>
            </w:pPr>
            <w:r>
              <w:rPr>
                <w:rFonts w:ascii="Calibri" w:cs="Calibri" w:eastAsia="Calibri" w:hAnsi="Calibri"/>
                <w:sz w:val="21"/>
                <w:szCs w:val="21"/>
                <w:b w:val="1"/>
                <w:bCs w:val="1"/>
                <w:color w:val="CE1141"/>
              </w:rPr>
              <w:t>2000 ST JAMES PLACE</w:t>
            </w:r>
          </w:p>
        </w:tc>
      </w:tr>
      <w:tr>
        <w:trPr>
          <w:trHeight w:val="212"/>
        </w:trPr>
        <w:tc>
          <w:tcPr>
            <w:tcW w:w="3240" w:type="dxa"/>
            <w:vAlign w:val="bottom"/>
            <w:tcBorders>
              <w:right w:val="single" w:sz="8" w:color="BFBFBF"/>
            </w:tcBorders>
          </w:tcPr>
          <w:p>
            <w:pPr>
              <w:spacing w:after="0"/>
              <w:rPr>
                <w:sz w:val="18"/>
                <w:szCs w:val="18"/>
                <w:color w:val="auto"/>
              </w:rPr>
            </w:pPr>
          </w:p>
        </w:tc>
        <w:tc>
          <w:tcPr>
            <w:tcW w:w="8000" w:type="dxa"/>
            <w:vAlign w:val="bottom"/>
            <w:gridSpan w:val="2"/>
          </w:tcPr>
          <w:p>
            <w:pPr>
              <w:ind w:left="60"/>
              <w:spacing w:after="0" w:line="212" w:lineRule="exact"/>
              <w:rPr>
                <w:sz w:val="20"/>
                <w:szCs w:val="20"/>
                <w:color w:val="auto"/>
              </w:rPr>
            </w:pPr>
            <w:r>
              <w:rPr>
                <w:rFonts w:ascii="Calibri" w:cs="Calibri" w:eastAsia="Calibri" w:hAnsi="Calibri"/>
                <w:sz w:val="21"/>
                <w:szCs w:val="21"/>
                <w:b w:val="1"/>
                <w:bCs w:val="1"/>
                <w:color w:val="CE1141"/>
              </w:rPr>
              <w:t>HOUSTON, TX 77056</w:t>
            </w:r>
          </w:p>
        </w:tc>
      </w:tr>
      <w:tr>
        <w:trPr>
          <w:trHeight w:val="253"/>
        </w:trPr>
        <w:tc>
          <w:tcPr>
            <w:tcW w:w="3240" w:type="dxa"/>
            <w:vAlign w:val="bottom"/>
            <w:tcBorders>
              <w:right w:val="single" w:sz="8" w:color="BFBFBF"/>
            </w:tcBorders>
          </w:tcPr>
          <w:p>
            <w:pPr>
              <w:spacing w:after="0"/>
              <w:rPr>
                <w:sz w:val="22"/>
                <w:szCs w:val="22"/>
                <w:color w:val="auto"/>
              </w:rPr>
            </w:pPr>
          </w:p>
        </w:tc>
        <w:tc>
          <w:tcPr>
            <w:tcW w:w="8000" w:type="dxa"/>
            <w:vAlign w:val="bottom"/>
            <w:gridSpan w:val="2"/>
          </w:tcPr>
          <w:p>
            <w:pPr>
              <w:ind w:left="60"/>
              <w:spacing w:after="0" w:line="253" w:lineRule="exact"/>
              <w:rPr>
                <w:sz w:val="20"/>
                <w:szCs w:val="20"/>
                <w:color w:val="auto"/>
              </w:rPr>
            </w:pPr>
            <w:r>
              <w:rPr>
                <w:rFonts w:ascii="Calibri" w:cs="Calibri" w:eastAsia="Calibri" w:hAnsi="Calibri"/>
                <w:sz w:val="21"/>
                <w:szCs w:val="21"/>
                <w:b w:val="1"/>
                <w:bCs w:val="1"/>
                <w:color w:val="CE1141"/>
              </w:rPr>
              <w:t>USA</w:t>
            </w:r>
          </w:p>
        </w:tc>
      </w:tr>
      <w:tr>
        <w:trPr>
          <w:trHeight w:val="28"/>
        </w:trPr>
        <w:tc>
          <w:tcPr>
            <w:tcW w:w="3240" w:type="dxa"/>
            <w:vAlign w:val="bottom"/>
            <w:tcBorders>
              <w:bottom w:val="single" w:sz="8" w:color="BFBFBF"/>
              <w:right w:val="single" w:sz="8" w:color="BFBFBF"/>
            </w:tcBorders>
          </w:tcPr>
          <w:p>
            <w:pPr>
              <w:spacing w:after="0"/>
              <w:rPr>
                <w:sz w:val="2"/>
                <w:szCs w:val="2"/>
                <w:color w:val="auto"/>
              </w:rPr>
            </w:pPr>
          </w:p>
        </w:tc>
        <w:tc>
          <w:tcPr>
            <w:tcW w:w="1480" w:type="dxa"/>
            <w:vAlign w:val="bottom"/>
            <w:tcBorders>
              <w:bottom w:val="single" w:sz="8" w:color="BFBFBF"/>
            </w:tcBorders>
          </w:tcPr>
          <w:p>
            <w:pPr>
              <w:spacing w:after="0"/>
              <w:rPr>
                <w:sz w:val="2"/>
                <w:szCs w:val="2"/>
                <w:color w:val="auto"/>
              </w:rPr>
            </w:pPr>
          </w:p>
        </w:tc>
        <w:tc>
          <w:tcPr>
            <w:tcW w:w="6520" w:type="dxa"/>
            <w:vAlign w:val="bottom"/>
            <w:tcBorders>
              <w:bottom w:val="single" w:sz="8" w:color="BFBFBF"/>
            </w:tcBorders>
          </w:tcPr>
          <w:p>
            <w:pPr>
              <w:spacing w:after="0"/>
              <w:rPr>
                <w:sz w:val="2"/>
                <w:szCs w:val="2"/>
                <w:color w:val="auto"/>
              </w:rPr>
            </w:pPr>
          </w:p>
        </w:tc>
      </w:tr>
      <w:tr>
        <w:trPr>
          <w:trHeight w:val="536"/>
        </w:trPr>
        <w:tc>
          <w:tcPr>
            <w:tcW w:w="3240" w:type="dxa"/>
            <w:vAlign w:val="bottom"/>
          </w:tcPr>
          <w:p>
            <w:pPr>
              <w:spacing w:after="0"/>
              <w:rPr>
                <w:sz w:val="20"/>
                <w:szCs w:val="20"/>
                <w:color w:val="auto"/>
              </w:rPr>
            </w:pPr>
            <w:r>
              <w:rPr>
                <w:rFonts w:ascii="Calibri" w:cs="Calibri" w:eastAsia="Calibri" w:hAnsi="Calibri"/>
                <w:sz w:val="21"/>
                <w:szCs w:val="21"/>
                <w:b w:val="1"/>
                <w:bCs w:val="1"/>
                <w:color w:val="CE0E41"/>
              </w:rPr>
              <w:t>POINT OF CONTACT</w:t>
            </w:r>
          </w:p>
        </w:tc>
        <w:tc>
          <w:tcPr>
            <w:tcW w:w="148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66"/>
        </w:trPr>
        <w:tc>
          <w:tcPr>
            <w:tcW w:w="3240" w:type="dxa"/>
            <w:vAlign w:val="bottom"/>
            <w:tcBorders>
              <w:bottom w:val="single" w:sz="8" w:color="BFBFBF"/>
            </w:tcBorders>
          </w:tcPr>
          <w:p>
            <w:pPr>
              <w:spacing w:after="0"/>
              <w:rPr>
                <w:sz w:val="23"/>
                <w:szCs w:val="23"/>
                <w:color w:val="auto"/>
              </w:rPr>
            </w:pPr>
          </w:p>
        </w:tc>
        <w:tc>
          <w:tcPr>
            <w:tcW w:w="1480" w:type="dxa"/>
            <w:vAlign w:val="bottom"/>
            <w:tcBorders>
              <w:bottom w:val="single" w:sz="8" w:color="BFBFBF"/>
            </w:tcBorders>
          </w:tcPr>
          <w:p>
            <w:pPr>
              <w:spacing w:after="0"/>
              <w:rPr>
                <w:sz w:val="23"/>
                <w:szCs w:val="23"/>
                <w:color w:val="auto"/>
              </w:rPr>
            </w:pPr>
          </w:p>
        </w:tc>
        <w:tc>
          <w:tcPr>
            <w:tcW w:w="6520" w:type="dxa"/>
            <w:vAlign w:val="bottom"/>
            <w:tcBorders>
              <w:bottom w:val="single" w:sz="8" w:color="BFBFBF"/>
            </w:tcBorders>
          </w:tcPr>
          <w:p>
            <w:pPr>
              <w:spacing w:after="0"/>
              <w:rPr>
                <w:sz w:val="23"/>
                <w:szCs w:val="23"/>
                <w:color w:val="auto"/>
              </w:rPr>
            </w:pPr>
          </w:p>
        </w:tc>
      </w:tr>
      <w:tr>
        <w:trPr>
          <w:trHeight w:val="246"/>
        </w:trPr>
        <w:tc>
          <w:tcPr>
            <w:tcW w:w="3240" w:type="dxa"/>
            <w:vAlign w:val="bottom"/>
          </w:tcPr>
          <w:p>
            <w:pPr>
              <w:ind w:left="80"/>
              <w:spacing w:after="0" w:line="246" w:lineRule="exact"/>
              <w:rPr>
                <w:sz w:val="20"/>
                <w:szCs w:val="20"/>
                <w:color w:val="auto"/>
              </w:rPr>
            </w:pPr>
            <w:r>
              <w:rPr>
                <w:rFonts w:ascii="Calibri" w:cs="Calibri" w:eastAsia="Calibri" w:hAnsi="Calibri"/>
                <w:sz w:val="21"/>
                <w:szCs w:val="21"/>
                <w:color w:val="auto"/>
              </w:rPr>
              <w:t>Manager</w:t>
            </w:r>
          </w:p>
        </w:tc>
        <w:tc>
          <w:tcPr>
            <w:tcW w:w="1480" w:type="dxa"/>
            <w:vAlign w:val="bottom"/>
            <w:tcBorders>
              <w:right w:val="single" w:sz="8" w:color="BFBFBF"/>
            </w:tcBorders>
          </w:tcPr>
          <w:p>
            <w:pPr>
              <w:spacing w:after="0"/>
              <w:rPr>
                <w:sz w:val="21"/>
                <w:szCs w:val="21"/>
                <w:color w:val="auto"/>
              </w:rPr>
            </w:pPr>
          </w:p>
        </w:tc>
        <w:tc>
          <w:tcPr>
            <w:tcW w:w="6520" w:type="dxa"/>
            <w:vAlign w:val="bottom"/>
          </w:tcPr>
          <w:p>
            <w:pPr>
              <w:ind w:left="60"/>
              <w:spacing w:after="0" w:line="246" w:lineRule="exact"/>
              <w:rPr>
                <w:sz w:val="20"/>
                <w:szCs w:val="20"/>
                <w:color w:val="auto"/>
              </w:rPr>
            </w:pPr>
            <w:r>
              <w:rPr>
                <w:rFonts w:ascii="Calibri" w:cs="Calibri" w:eastAsia="Calibri" w:hAnsi="Calibri"/>
                <w:sz w:val="21"/>
                <w:szCs w:val="21"/>
                <w:b w:val="1"/>
                <w:bCs w:val="1"/>
                <w:color w:val="CE1141"/>
              </w:rPr>
              <w:t>Girish Saligram</w:t>
            </w:r>
          </w:p>
        </w:tc>
      </w:tr>
      <w:tr>
        <w:trPr>
          <w:trHeight w:val="251"/>
        </w:trPr>
        <w:tc>
          <w:tcPr>
            <w:tcW w:w="3240" w:type="dxa"/>
            <w:vAlign w:val="bottom"/>
            <w:tcBorders>
              <w:bottom w:val="single" w:sz="8" w:color="BFBFBF"/>
            </w:tcBorders>
          </w:tcPr>
          <w:p>
            <w:pPr>
              <w:spacing w:after="0"/>
              <w:rPr>
                <w:sz w:val="21"/>
                <w:szCs w:val="21"/>
                <w:color w:val="auto"/>
              </w:rPr>
            </w:pPr>
          </w:p>
        </w:tc>
        <w:tc>
          <w:tcPr>
            <w:tcW w:w="1480" w:type="dxa"/>
            <w:vAlign w:val="bottom"/>
            <w:tcBorders>
              <w:bottom w:val="single" w:sz="8" w:color="BFBFBF"/>
              <w:right w:val="single" w:sz="8" w:color="BFBFBF"/>
            </w:tcBorders>
          </w:tcPr>
          <w:p>
            <w:pPr>
              <w:spacing w:after="0"/>
              <w:rPr>
                <w:sz w:val="21"/>
                <w:szCs w:val="21"/>
                <w:color w:val="auto"/>
              </w:rPr>
            </w:pPr>
          </w:p>
        </w:tc>
        <w:tc>
          <w:tcPr>
            <w:tcW w:w="6520" w:type="dxa"/>
            <w:vAlign w:val="bottom"/>
            <w:tcBorders>
              <w:bottom w:val="single" w:sz="8" w:color="BFBFBF"/>
            </w:tcBorders>
          </w:tcPr>
          <w:p>
            <w:pPr>
              <w:spacing w:after="0"/>
              <w:rPr>
                <w:sz w:val="21"/>
                <w:szCs w:val="21"/>
                <w:color w:val="auto"/>
              </w:rPr>
            </w:pPr>
          </w:p>
        </w:tc>
      </w:tr>
      <w:tr>
        <w:trPr>
          <w:trHeight w:val="246"/>
        </w:trPr>
        <w:tc>
          <w:tcPr>
            <w:tcW w:w="3240" w:type="dxa"/>
            <w:vAlign w:val="bottom"/>
          </w:tcPr>
          <w:p>
            <w:pPr>
              <w:ind w:left="80"/>
              <w:spacing w:after="0" w:line="246" w:lineRule="exact"/>
              <w:rPr>
                <w:sz w:val="20"/>
                <w:szCs w:val="20"/>
                <w:color w:val="auto"/>
              </w:rPr>
            </w:pPr>
            <w:r>
              <w:rPr>
                <w:rFonts w:ascii="Calibri" w:cs="Calibri" w:eastAsia="Calibri" w:hAnsi="Calibri"/>
                <w:sz w:val="21"/>
                <w:szCs w:val="21"/>
                <w:color w:val="auto"/>
              </w:rPr>
              <w:t>HR Representatve</w:t>
            </w:r>
          </w:p>
        </w:tc>
        <w:tc>
          <w:tcPr>
            <w:tcW w:w="1480" w:type="dxa"/>
            <w:vAlign w:val="bottom"/>
            <w:tcBorders>
              <w:right w:val="single" w:sz="8" w:color="BFBFBF"/>
            </w:tcBorders>
          </w:tcPr>
          <w:p>
            <w:pPr>
              <w:spacing w:after="0"/>
              <w:rPr>
                <w:sz w:val="21"/>
                <w:szCs w:val="21"/>
                <w:color w:val="auto"/>
              </w:rPr>
            </w:pPr>
          </w:p>
        </w:tc>
        <w:tc>
          <w:tcPr>
            <w:tcW w:w="6520" w:type="dxa"/>
            <w:vAlign w:val="bottom"/>
          </w:tcPr>
          <w:p>
            <w:pPr>
              <w:ind w:left="60"/>
              <w:spacing w:after="0" w:line="246" w:lineRule="exact"/>
              <w:rPr>
                <w:sz w:val="20"/>
                <w:szCs w:val="20"/>
                <w:color w:val="auto"/>
              </w:rPr>
            </w:pPr>
            <w:r>
              <w:rPr>
                <w:rFonts w:ascii="Calibri" w:cs="Calibri" w:eastAsia="Calibri" w:hAnsi="Calibri"/>
                <w:sz w:val="21"/>
                <w:szCs w:val="21"/>
                <w:b w:val="1"/>
                <w:bCs w:val="1"/>
                <w:color w:val="CE1141"/>
              </w:rPr>
              <w:t>Joe Mongrain</w:t>
            </w:r>
          </w:p>
        </w:tc>
      </w:tr>
      <w:tr>
        <w:trPr>
          <w:trHeight w:val="251"/>
        </w:trPr>
        <w:tc>
          <w:tcPr>
            <w:tcW w:w="3240" w:type="dxa"/>
            <w:vAlign w:val="bottom"/>
            <w:tcBorders>
              <w:bottom w:val="single" w:sz="8" w:color="BFBFBF"/>
            </w:tcBorders>
          </w:tcPr>
          <w:p>
            <w:pPr>
              <w:spacing w:after="0"/>
              <w:rPr>
                <w:sz w:val="21"/>
                <w:szCs w:val="21"/>
                <w:color w:val="auto"/>
              </w:rPr>
            </w:pPr>
          </w:p>
        </w:tc>
        <w:tc>
          <w:tcPr>
            <w:tcW w:w="1480" w:type="dxa"/>
            <w:vAlign w:val="bottom"/>
            <w:tcBorders>
              <w:bottom w:val="single" w:sz="8" w:color="BFBFBF"/>
              <w:right w:val="single" w:sz="8" w:color="BFBFBF"/>
            </w:tcBorders>
          </w:tcPr>
          <w:p>
            <w:pPr>
              <w:spacing w:after="0"/>
              <w:rPr>
                <w:sz w:val="21"/>
                <w:szCs w:val="21"/>
                <w:color w:val="auto"/>
              </w:rPr>
            </w:pPr>
          </w:p>
        </w:tc>
        <w:tc>
          <w:tcPr>
            <w:tcW w:w="6520" w:type="dxa"/>
            <w:vAlign w:val="bottom"/>
            <w:tcBorders>
              <w:bottom w:val="single" w:sz="8" w:color="BFBFBF"/>
            </w:tcBorders>
          </w:tcPr>
          <w:p>
            <w:pPr>
              <w:spacing w:after="0"/>
              <w:rPr>
                <w:sz w:val="21"/>
                <w:szCs w:val="21"/>
                <w:color w:val="auto"/>
              </w:rPr>
            </w:pPr>
          </w:p>
        </w:tc>
      </w:tr>
    </w:tbl>
    <w:p>
      <w:pPr>
        <w:spacing w:after="0" w:line="273"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EMPLOYMENT PACKAGE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0311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503110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BASE SALARY</w:t>
      </w:r>
    </w:p>
    <w:p>
      <w:pPr>
        <w:spacing w:after="0" w:line="198" w:lineRule="auto"/>
        <w:rPr>
          <w:sz w:val="20"/>
          <w:szCs w:val="20"/>
          <w:color w:val="auto"/>
        </w:rPr>
      </w:pPr>
      <w:r>
        <w:rPr>
          <w:rFonts w:ascii="Calibri" w:cs="Calibri" w:eastAsia="Calibri" w:hAnsi="Calibri"/>
          <w:sz w:val="21"/>
          <w:szCs w:val="21"/>
          <w:b w:val="1"/>
          <w:bCs w:val="1"/>
          <w:color w:val="CE1141"/>
        </w:rPr>
        <w:t>US $475,000</w:t>
      </w:r>
    </w:p>
    <w:p>
      <w:pPr>
        <w:spacing w:after="0" w:line="198" w:lineRule="auto"/>
        <w:rPr>
          <w:sz w:val="20"/>
          <w:szCs w:val="20"/>
          <w:color w:val="auto"/>
        </w:rPr>
      </w:pPr>
      <w:r>
        <w:rPr>
          <w:rFonts w:ascii="Calibri" w:cs="Calibri" w:eastAsia="Calibri" w:hAnsi="Calibri"/>
          <w:sz w:val="21"/>
          <w:szCs w:val="21"/>
          <w:color w:val="auto"/>
        </w:rPr>
        <w:t>Your base salary will be paid semi-monthly via the normal payroll cycle.</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START DATE</w:t>
      </w:r>
    </w:p>
    <w:p>
      <w:pPr>
        <w:spacing w:after="0" w:line="198" w:lineRule="auto"/>
        <w:rPr>
          <w:sz w:val="20"/>
          <w:szCs w:val="20"/>
          <w:color w:val="auto"/>
        </w:rPr>
      </w:pPr>
      <w:r>
        <w:rPr>
          <w:rFonts w:ascii="Calibri" w:cs="Calibri" w:eastAsia="Calibri" w:hAnsi="Calibri"/>
          <w:sz w:val="21"/>
          <w:szCs w:val="21"/>
          <w:color w:val="auto"/>
        </w:rPr>
        <w:t>September 30, 2022</w:t>
      </w:r>
    </w:p>
    <w:p>
      <w:pPr>
        <w:spacing w:after="0" w:line="16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BENEFITS PROGRAM</w:t>
      </w:r>
    </w:p>
    <w:p>
      <w:pPr>
        <w:jc w:val="both"/>
        <w:spacing w:after="0" w:line="198" w:lineRule="auto"/>
        <w:rPr>
          <w:sz w:val="20"/>
          <w:szCs w:val="20"/>
          <w:color w:val="auto"/>
        </w:rPr>
      </w:pPr>
      <w:r>
        <w:rPr>
          <w:rFonts w:ascii="Calibri" w:cs="Calibri" w:eastAsia="Calibri" w:hAnsi="Calibri"/>
          <w:sz w:val="21"/>
          <w:szCs w:val="21"/>
          <w:color w:val="auto"/>
        </w:rPr>
        <w:t>We are pleased to ofer you partcipaton in Weatherford’s benefts program on your frst day of employment. Please see enclosed Weatherford Benefts Summary.</w:t>
      </w:r>
    </w:p>
    <w:p>
      <w:pPr>
        <w:spacing w:after="0" w:line="199" w:lineRule="exact"/>
        <w:rPr>
          <w:sz w:val="20"/>
          <w:szCs w:val="20"/>
          <w:color w:val="auto"/>
        </w:rPr>
      </w:pPr>
    </w:p>
    <w:p>
      <w:pPr>
        <w:jc w:val="both"/>
        <w:spacing w:after="0"/>
        <w:rPr>
          <w:sz w:val="20"/>
          <w:szCs w:val="20"/>
          <w:color w:val="auto"/>
        </w:rPr>
      </w:pPr>
      <w:r>
        <w:rPr>
          <w:rFonts w:ascii="Calibri" w:cs="Calibri" w:eastAsia="Calibri" w:hAnsi="Calibri"/>
          <w:sz w:val="21"/>
          <w:szCs w:val="21"/>
          <w:color w:val="auto"/>
        </w:rPr>
        <w:t>You will receive a Welcome Leter from our Benefts Department providing you with your access ID and instructons to complete your enrollment online. You will have 31 days from date of hire to enroll otherwise your plan will default to the basic single coverage.</w:t>
      </w:r>
    </w:p>
    <w:p>
      <w:pPr>
        <w:spacing w:after="0" w:line="362" w:lineRule="exact"/>
        <w:rPr>
          <w:sz w:val="20"/>
          <w:szCs w:val="20"/>
          <w:color w:val="auto"/>
        </w:rPr>
      </w:pPr>
    </w:p>
    <w:p>
      <w:pPr>
        <w:jc w:val="both"/>
        <w:spacing w:after="0" w:line="217" w:lineRule="auto"/>
        <w:rPr>
          <w:sz w:val="20"/>
          <w:szCs w:val="20"/>
          <w:color w:val="auto"/>
        </w:rPr>
      </w:pPr>
      <w:r>
        <w:rPr>
          <w:rFonts w:ascii="Calibri" w:cs="Calibri" w:eastAsia="Calibri" w:hAnsi="Calibri"/>
          <w:sz w:val="21"/>
          <w:szCs w:val="21"/>
          <w:color w:val="auto"/>
        </w:rPr>
        <w:t>As an Executve Vice President, you will be eligible to partcipate in the company’s Executve Severance Plan and Change in Control Severance plan. Please see atached documents for detail.</w:t>
      </w:r>
    </w:p>
    <w:p>
      <w:pPr>
        <w:spacing w:after="0" w:line="169"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ANNUAL LEAVE</w:t>
      </w:r>
    </w:p>
    <w:p>
      <w:pPr>
        <w:spacing w:after="0" w:line="198" w:lineRule="auto"/>
        <w:rPr>
          <w:sz w:val="20"/>
          <w:szCs w:val="20"/>
          <w:color w:val="auto"/>
        </w:rPr>
      </w:pPr>
      <w:r>
        <w:rPr>
          <w:rFonts w:ascii="Calibri" w:cs="Calibri" w:eastAsia="Calibri" w:hAnsi="Calibri"/>
          <w:sz w:val="21"/>
          <w:szCs w:val="21"/>
          <w:b w:val="1"/>
          <w:bCs w:val="1"/>
          <w:color w:val="CE1141"/>
        </w:rPr>
        <w:t>25 DAYS PER YEAR</w:t>
      </w:r>
    </w:p>
    <w:p>
      <w:pPr>
        <w:spacing w:after="0" w:line="1" w:lineRule="exact"/>
        <w:rPr>
          <w:sz w:val="20"/>
          <w:szCs w:val="20"/>
          <w:color w:val="auto"/>
        </w:rPr>
      </w:pPr>
    </w:p>
    <w:p>
      <w:pPr>
        <w:jc w:val="both"/>
        <w:spacing w:after="0" w:line="198" w:lineRule="auto"/>
        <w:rPr>
          <w:sz w:val="20"/>
          <w:szCs w:val="20"/>
          <w:color w:val="auto"/>
        </w:rPr>
      </w:pPr>
      <w:r>
        <w:rPr>
          <w:rFonts w:ascii="Calibri" w:cs="Calibri" w:eastAsia="Calibri" w:hAnsi="Calibri"/>
          <w:sz w:val="21"/>
          <w:szCs w:val="21"/>
          <w:color w:val="auto"/>
        </w:rPr>
        <w:t>Enttlement to annual leave will accrue on a calendar year basis and will be pro-rated in the frst year of employment in line with your employment start date.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COMPANY HOLIDAYS</w:t>
      </w:r>
    </w:p>
    <w:p>
      <w:pPr>
        <w:spacing w:after="0" w:line="198" w:lineRule="auto"/>
        <w:rPr>
          <w:sz w:val="20"/>
          <w:szCs w:val="20"/>
          <w:color w:val="auto"/>
        </w:rPr>
      </w:pPr>
      <w:r>
        <w:rPr>
          <w:rFonts w:ascii="Calibri" w:cs="Calibri" w:eastAsia="Calibri" w:hAnsi="Calibri"/>
          <w:sz w:val="21"/>
          <w:szCs w:val="21"/>
          <w:b w:val="1"/>
          <w:bCs w:val="1"/>
          <w:color w:val="CE1141"/>
        </w:rPr>
        <w:t>10 DAYS PER YEAR</w:t>
      </w:r>
    </w:p>
    <w:p>
      <w:pPr>
        <w:spacing w:after="0" w:line="198" w:lineRule="auto"/>
        <w:rPr>
          <w:sz w:val="20"/>
          <w:szCs w:val="20"/>
          <w:color w:val="auto"/>
        </w:rPr>
      </w:pPr>
      <w:r>
        <w:rPr>
          <w:rFonts w:ascii="Calibri" w:cs="Calibri" w:eastAsia="Calibri" w:hAnsi="Calibri"/>
          <w:sz w:val="21"/>
          <w:szCs w:val="21"/>
          <w:color w:val="auto"/>
        </w:rPr>
        <w:t>You will be eligible for ten (10) Company designated holidays.</w:t>
      </w:r>
    </w:p>
    <w:p>
      <w:pPr>
        <w:spacing w:after="0" w:line="169"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SHORT-TERM INCENTIVE PLAN (STI)</w:t>
      </w:r>
    </w:p>
    <w:p>
      <w:pPr>
        <w:spacing w:after="0" w:line="198" w:lineRule="auto"/>
        <w:rPr>
          <w:sz w:val="20"/>
          <w:szCs w:val="20"/>
          <w:color w:val="auto"/>
        </w:rPr>
      </w:pPr>
      <w:r>
        <w:rPr>
          <w:rFonts w:ascii="Calibri" w:cs="Calibri" w:eastAsia="Calibri" w:hAnsi="Calibri"/>
          <w:sz w:val="21"/>
          <w:szCs w:val="21"/>
          <w:b w:val="1"/>
          <w:bCs w:val="1"/>
          <w:color w:val="CE1141"/>
        </w:rPr>
        <w:t>90% “ON TARGET” PARTICIPATION RATE</w:t>
      </w:r>
    </w:p>
    <w:p>
      <w:pPr>
        <w:spacing w:after="0" w:line="198" w:lineRule="exact"/>
        <w:rPr>
          <w:sz w:val="20"/>
          <w:szCs w:val="20"/>
          <w:color w:val="auto"/>
        </w:rPr>
      </w:pPr>
    </w:p>
    <w:p>
      <w:pPr>
        <w:ind w:right="20"/>
        <w:spacing w:after="0" w:line="217" w:lineRule="auto"/>
        <w:rPr>
          <w:sz w:val="20"/>
          <w:szCs w:val="20"/>
          <w:color w:val="auto"/>
        </w:rPr>
      </w:pPr>
      <w:r>
        <w:rPr>
          <w:rFonts w:ascii="Calibri" w:cs="Calibri" w:eastAsia="Calibri" w:hAnsi="Calibri"/>
          <w:sz w:val="21"/>
          <w:szCs w:val="21"/>
          <w:color w:val="auto"/>
        </w:rPr>
        <w:t>You are eligible to partcipate in the Weatherford Short-Term Incentve Plan (STI) applicable to your role. The “on target” partcipaton rate is subject to the rules of the Plan. Any</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7038975</wp:posOffset>
            </wp:positionH>
            <wp:positionV relativeFrom="page">
              <wp:posOffset>88900</wp:posOffset>
            </wp:positionV>
            <wp:extent cx="302895" cy="302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jc w:val="both"/>
        <w:ind w:right="20"/>
        <w:spacing w:after="0" w:line="208" w:lineRule="auto"/>
        <w:rPr>
          <w:sz w:val="20"/>
          <w:szCs w:val="20"/>
          <w:color w:val="auto"/>
        </w:rPr>
      </w:pPr>
      <w:r>
        <w:rPr>
          <w:rFonts w:ascii="Calibri" w:cs="Calibri" w:eastAsia="Calibri" w:hAnsi="Calibri"/>
          <w:sz w:val="21"/>
          <w:szCs w:val="21"/>
          <w:color w:val="auto"/>
        </w:rPr>
        <w:t>incentve payout from the Plan will be prorated for your period of employment, calculated from your hire date. Any payout from the Plan is subject to the Company’s and your own personal performance, and you must be employed with Weatherford at the tme of the incentve payment to receive the same.  If you join on or afer 1 October of a calendar year, you will not be eligible to partcipate in the Plan for that year.</w:t>
      </w:r>
    </w:p>
    <w:p>
      <w:pPr>
        <w:spacing w:after="0" w:line="168" w:lineRule="exact"/>
        <w:rPr>
          <w:sz w:val="20"/>
          <w:szCs w:val="20"/>
          <w:color w:val="auto"/>
        </w:rPr>
      </w:pPr>
    </w:p>
    <w:p>
      <w:pPr>
        <w:spacing w:after="0"/>
        <w:rPr>
          <w:sz w:val="20"/>
          <w:szCs w:val="20"/>
          <w:color w:val="auto"/>
        </w:rPr>
      </w:pPr>
      <w:r>
        <w:rPr>
          <w:rFonts w:ascii="Calibri" w:cs="Calibri" w:eastAsia="Calibri" w:hAnsi="Calibri"/>
          <w:sz w:val="21"/>
          <w:szCs w:val="21"/>
          <w:color w:val="auto"/>
        </w:rPr>
        <w:t>The Plan is non-contractual. The Plan is operated at the discreton of the Company and can be changed or removed at any tme.</w:t>
      </w:r>
    </w:p>
    <w:p>
      <w:pPr>
        <w:spacing w:after="0" w:line="198" w:lineRule="auto"/>
        <w:rPr>
          <w:sz w:val="20"/>
          <w:szCs w:val="20"/>
          <w:color w:val="auto"/>
        </w:rPr>
      </w:pPr>
      <w:r>
        <w:rPr>
          <w:rFonts w:ascii="Calibri" w:cs="Calibri" w:eastAsia="Calibri" w:hAnsi="Calibri"/>
          <w:sz w:val="21"/>
          <w:szCs w:val="21"/>
          <w:color w:val="auto"/>
        </w:rPr>
        <w:t>Partcipaton in the Plan in one year does not guarantee partcipaton or a right to partcipate in future years.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LONG TERM INCENTIVE (LTI)</w:t>
      </w:r>
    </w:p>
    <w:p>
      <w:pPr>
        <w:spacing w:after="0" w:line="198" w:lineRule="auto"/>
        <w:rPr>
          <w:sz w:val="20"/>
          <w:szCs w:val="20"/>
          <w:color w:val="auto"/>
        </w:rPr>
      </w:pPr>
      <w:r>
        <w:rPr>
          <w:rFonts w:ascii="Calibri" w:cs="Calibri" w:eastAsia="Calibri" w:hAnsi="Calibri"/>
          <w:sz w:val="21"/>
          <w:szCs w:val="21"/>
          <w:b w:val="1"/>
          <w:bCs w:val="1"/>
          <w:color w:val="CE1141"/>
        </w:rPr>
        <w:t>INTENDED 2023 AWARD VALUE OF US$1,070,000</w:t>
      </w:r>
    </w:p>
    <w:p>
      <w:pPr>
        <w:spacing w:after="0" w:line="172" w:lineRule="exact"/>
        <w:rPr>
          <w:sz w:val="20"/>
          <w:szCs w:val="20"/>
          <w:color w:val="auto"/>
        </w:rPr>
      </w:pPr>
    </w:p>
    <w:p>
      <w:pPr>
        <w:jc w:val="both"/>
        <w:spacing w:after="0" w:line="208" w:lineRule="auto"/>
        <w:rPr>
          <w:sz w:val="20"/>
          <w:szCs w:val="20"/>
          <w:color w:val="auto"/>
        </w:rPr>
      </w:pPr>
      <w:r>
        <w:rPr>
          <w:rFonts w:ascii="Calibri" w:cs="Calibri" w:eastAsia="Calibri" w:hAnsi="Calibri"/>
          <w:sz w:val="21"/>
          <w:szCs w:val="21"/>
          <w:color w:val="auto"/>
        </w:rPr>
        <w:t>You are eligible for consideraton under Weatherford’s Annual Long-Term Incentve (“LTI”) program. Your eligibility to receive awards under the LTI program is subject to approval by the Board of Weatherford Internatonal (or a commitee thereof) and subject always to the terms and conditons of 2019 Equity Incentve Plan for Weatherford Internatonal, as may be amended from tme to tme by Weatherford Internatonal or any other long term incentve plan that may be adopted by the Board.</w:t>
      </w:r>
    </w:p>
    <w:p>
      <w:pPr>
        <w:spacing w:after="0" w:line="198" w:lineRule="exact"/>
        <w:rPr>
          <w:sz w:val="20"/>
          <w:szCs w:val="20"/>
          <w:color w:val="auto"/>
        </w:rPr>
      </w:pPr>
    </w:p>
    <w:p>
      <w:pPr>
        <w:jc w:val="both"/>
        <w:ind w:right="20"/>
        <w:spacing w:after="0" w:line="208" w:lineRule="auto"/>
        <w:rPr>
          <w:sz w:val="20"/>
          <w:szCs w:val="20"/>
          <w:color w:val="auto"/>
        </w:rPr>
      </w:pPr>
      <w:r>
        <w:rPr>
          <w:rFonts w:ascii="Calibri" w:cs="Calibri" w:eastAsia="Calibri" w:hAnsi="Calibri"/>
          <w:sz w:val="21"/>
          <w:szCs w:val="21"/>
          <w:color w:val="auto"/>
        </w:rPr>
        <w:t>This award will be granted at the tme of the annual LTI awards in January 2023. We antcipate that the award will be granted with the same distributon and terms as the 2022 LTI grants but this is yet to be ratfed by the Board. The 2022 grant was delivered in a combinaton of tme restricted RSUs (50%) which will vest ratably over 3 years from the grant date and Performance RSUs (50%) which, subject to the achievement of the performance metrics, will clif vest at the end of the applicable performance period. </w:t>
      </w:r>
    </w:p>
    <w:p>
      <w:pPr>
        <w:spacing w:after="0" w:line="198" w:lineRule="exact"/>
        <w:rPr>
          <w:sz w:val="20"/>
          <w:szCs w:val="20"/>
          <w:color w:val="auto"/>
        </w:rPr>
      </w:pPr>
    </w:p>
    <w:p>
      <w:pPr>
        <w:jc w:val="both"/>
        <w:spacing w:after="0" w:line="211" w:lineRule="auto"/>
        <w:rPr>
          <w:sz w:val="20"/>
          <w:szCs w:val="20"/>
          <w:color w:val="auto"/>
        </w:rPr>
      </w:pPr>
      <w:r>
        <w:rPr>
          <w:rFonts w:ascii="Calibri" w:cs="Calibri" w:eastAsia="Calibri" w:hAnsi="Calibri"/>
          <w:sz w:val="21"/>
          <w:szCs w:val="21"/>
          <w:color w:val="auto"/>
        </w:rPr>
        <w:t>Any future grants, annual and otherwise, will be at the discreton of the Board and subject to the terms and conditons of the current or future Long-Term Incentve Program in place. The award of any incentve is discretonary, and subject to approval of Management and to the Terms and Conditons of the Award Agreement.</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color w:val="auto"/>
        </w:rPr>
        <w:t>For future LTI awards your target award is set at 225% of your base salary, subject to board approval and discreton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ADDITIONAL LONG-TERM INCENTIVE: WAGE (WEATHERFORD: ACCELERATING GROWTH &amp; EFFICIENCY)</w:t>
      </w:r>
    </w:p>
    <w:p>
      <w:pPr>
        <w:spacing w:after="0" w:line="198" w:lineRule="auto"/>
        <w:rPr>
          <w:sz w:val="20"/>
          <w:szCs w:val="20"/>
          <w:color w:val="auto"/>
        </w:rPr>
      </w:pPr>
      <w:r>
        <w:rPr>
          <w:rFonts w:ascii="Calibri" w:cs="Calibri" w:eastAsia="Calibri" w:hAnsi="Calibri"/>
          <w:sz w:val="21"/>
          <w:szCs w:val="21"/>
          <w:b w:val="1"/>
          <w:bCs w:val="1"/>
          <w:color w:val="CE1141"/>
        </w:rPr>
        <w:t>INTENDED 2023 AWARD OF 25,000 UNITS</w:t>
      </w:r>
    </w:p>
    <w:p>
      <w:pPr>
        <w:spacing w:after="0" w:line="198" w:lineRule="exact"/>
        <w:rPr>
          <w:sz w:val="20"/>
          <w:szCs w:val="20"/>
          <w:color w:val="auto"/>
        </w:rPr>
      </w:pPr>
    </w:p>
    <w:p>
      <w:pPr>
        <w:jc w:val="both"/>
        <w:spacing w:after="0" w:line="211" w:lineRule="auto"/>
        <w:rPr>
          <w:sz w:val="20"/>
          <w:szCs w:val="20"/>
          <w:color w:val="auto"/>
        </w:rPr>
      </w:pPr>
      <w:r>
        <w:rPr>
          <w:rFonts w:ascii="Calibri" w:cs="Calibri" w:eastAsia="Calibri" w:hAnsi="Calibri"/>
          <w:sz w:val="21"/>
          <w:szCs w:val="21"/>
          <w:color w:val="auto"/>
        </w:rPr>
        <w:t>Upon joining the company, you will receive a WAGE grant of 25,000 Performance Based Stock Units. Subject to the terms of the applicable award agreement, if the company achieves the identfed objectves during the performance period your PSU award will vest on January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1666875</wp:posOffset>
            </wp:positionV>
            <wp:extent cx="50311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503110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7038975</wp:posOffset>
            </wp:positionH>
            <wp:positionV relativeFrom="page">
              <wp:posOffset>88900</wp:posOffset>
            </wp:positionV>
            <wp:extent cx="302895" cy="302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Calibri" w:cs="Calibri" w:eastAsia="Calibri" w:hAnsi="Calibri"/>
          <w:sz w:val="21"/>
          <w:szCs w:val="21"/>
          <w:color w:val="auto"/>
        </w:rPr>
        <w:t>This ofer of employment and your subsequent employment with Weatherford are contngent upon the following conditons:</w:t>
      </w:r>
    </w:p>
    <w:p>
      <w:pPr>
        <w:spacing w:after="0" w:line="211" w:lineRule="exact"/>
        <w:rPr>
          <w:sz w:val="20"/>
          <w:szCs w:val="20"/>
          <w:color w:val="auto"/>
        </w:rPr>
      </w:pPr>
    </w:p>
    <w:p>
      <w:pPr>
        <w:ind w:left="640" w:hanging="316"/>
        <w:spacing w:after="0"/>
        <w:tabs>
          <w:tab w:leader="none" w:pos="635" w:val="left"/>
        </w:tabs>
        <w:numPr>
          <w:ilvl w:val="0"/>
          <w:numId w:val="31"/>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Proof of your right to work</w:t>
      </w:r>
      <w:r>
        <w:rPr>
          <w:rFonts w:ascii="Calibri" w:cs="Calibri" w:eastAsia="Calibri" w:hAnsi="Calibri"/>
          <w:sz w:val="21"/>
          <w:szCs w:val="21"/>
          <w:color w:val="auto"/>
        </w:rPr>
        <w:t>. You will be required to produce evidence that you have the legal right to work on your frst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day.</w:t>
      </w:r>
    </w:p>
    <w:p>
      <w:pPr>
        <w:spacing w:after="0" w:line="208" w:lineRule="exact"/>
        <w:rPr>
          <w:rFonts w:ascii="Times New Roman" w:cs="Times New Roman" w:eastAsia="Times New Roman" w:hAnsi="Times New Roman"/>
          <w:sz w:val="21"/>
          <w:szCs w:val="21"/>
          <w:color w:val="auto"/>
        </w:rPr>
      </w:pPr>
    </w:p>
    <w:p>
      <w:pPr>
        <w:ind w:left="640" w:hanging="316"/>
        <w:spacing w:after="0" w:line="204" w:lineRule="auto"/>
        <w:tabs>
          <w:tab w:leader="none" w:pos="635" w:val="left"/>
        </w:tabs>
        <w:numPr>
          <w:ilvl w:val="0"/>
          <w:numId w:val="31"/>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 xml:space="preserve">Satsfactory completon of a company medical examinaton / drug and alcohol test. </w:t>
      </w:r>
      <w:r>
        <w:rPr>
          <w:rFonts w:ascii="Calibri" w:cs="Calibri" w:eastAsia="Calibri" w:hAnsi="Calibri"/>
          <w:sz w:val="21"/>
          <w:szCs w:val="21"/>
          <w:color w:val="auto"/>
        </w:rPr>
        <w:t>You will be required to pass a drug</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and alcohol test and / or medical prior to commencing employment.</w:t>
      </w:r>
    </w:p>
    <w:p>
      <w:pPr>
        <w:spacing w:after="0" w:line="1" w:lineRule="exact"/>
        <w:rPr>
          <w:rFonts w:ascii="Times New Roman" w:cs="Times New Roman" w:eastAsia="Times New Roman" w:hAnsi="Times New Roman"/>
          <w:sz w:val="21"/>
          <w:szCs w:val="21"/>
          <w:color w:val="auto"/>
        </w:rPr>
      </w:pPr>
    </w:p>
    <w:p>
      <w:pPr>
        <w:ind w:left="640" w:hanging="316"/>
        <w:spacing w:after="0" w:line="204" w:lineRule="auto"/>
        <w:tabs>
          <w:tab w:leader="none" w:pos="635" w:val="left"/>
        </w:tabs>
        <w:numPr>
          <w:ilvl w:val="0"/>
          <w:numId w:val="31"/>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Receipt of background / reference check</w:t>
      </w:r>
      <w:r>
        <w:rPr>
          <w:rFonts w:ascii="Calibri" w:cs="Calibri" w:eastAsia="Calibri" w:hAnsi="Calibri"/>
          <w:sz w:val="21"/>
          <w:szCs w:val="21"/>
          <w:color w:val="auto"/>
        </w:rPr>
        <w:t>. You must complete the necessary background check and / or provide the names</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of referees (one of whom should be your most recent employer);</w:t>
      </w:r>
    </w:p>
    <w:p>
      <w:pPr>
        <w:spacing w:after="0" w:line="1" w:lineRule="exact"/>
        <w:rPr>
          <w:rFonts w:ascii="Times New Roman" w:cs="Times New Roman" w:eastAsia="Times New Roman" w:hAnsi="Times New Roman"/>
          <w:sz w:val="21"/>
          <w:szCs w:val="21"/>
          <w:color w:val="auto"/>
        </w:rPr>
      </w:pPr>
    </w:p>
    <w:p>
      <w:pPr>
        <w:jc w:val="both"/>
        <w:ind w:left="640" w:hanging="316"/>
        <w:spacing w:after="0" w:line="202" w:lineRule="auto"/>
        <w:tabs>
          <w:tab w:leader="none" w:pos="635" w:val="left"/>
        </w:tabs>
        <w:numPr>
          <w:ilvl w:val="0"/>
          <w:numId w:val="31"/>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 xml:space="preserve">Verifcaton of your qualifcatons by Weatherford. </w:t>
      </w:r>
      <w:r>
        <w:rPr>
          <w:rFonts w:ascii="Calibri" w:cs="Calibri" w:eastAsia="Calibri" w:hAnsi="Calibri"/>
          <w:sz w:val="21"/>
          <w:szCs w:val="21"/>
          <w:color w:val="auto"/>
        </w:rPr>
        <w:t>This will either form part of your background check or you will be</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required to produce evidence of your educatonal / professional qualifcatons to the company before or on the frst day of your employment.</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auto"/>
        </w:rPr>
        <w:t>By acceptng this ofer of employment, you certfy that:</w:t>
      </w:r>
    </w:p>
    <w:p>
      <w:pPr>
        <w:spacing w:after="0" w:line="198" w:lineRule="exact"/>
        <w:rPr>
          <w:sz w:val="20"/>
          <w:szCs w:val="20"/>
          <w:color w:val="auto"/>
        </w:rPr>
      </w:pPr>
    </w:p>
    <w:p>
      <w:pPr>
        <w:ind w:left="320" w:right="160" w:hanging="314"/>
        <w:spacing w:after="0" w:line="211" w:lineRule="auto"/>
        <w:tabs>
          <w:tab w:leader="none" w:pos="315"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21"/>
          <w:szCs w:val="21"/>
          <w:color w:val="auto"/>
        </w:rPr>
        <w:t>You will abide by the terms of any enforceable non-competton agreement you have with your current employer and confrm the fact that you will not bring with you to Weatherford, nor at any tme atempt to use, any confdental, non-public informaton of your current or past employers in the performance of your work for Weatherford.</w:t>
      </w:r>
    </w:p>
    <w:p>
      <w:pPr>
        <w:spacing w:after="0" w:line="198" w:lineRule="exact"/>
        <w:rPr>
          <w:sz w:val="20"/>
          <w:szCs w:val="20"/>
          <w:color w:val="auto"/>
        </w:rPr>
      </w:pPr>
    </w:p>
    <w:p>
      <w:pPr>
        <w:spacing w:after="0" w:line="217" w:lineRule="auto"/>
        <w:rPr>
          <w:sz w:val="20"/>
          <w:szCs w:val="20"/>
          <w:color w:val="auto"/>
        </w:rPr>
      </w:pPr>
      <w:r>
        <w:rPr>
          <w:rFonts w:ascii="Calibri" w:cs="Calibri" w:eastAsia="Calibri" w:hAnsi="Calibri"/>
          <w:sz w:val="21"/>
          <w:szCs w:val="21"/>
          <w:color w:val="auto"/>
        </w:rPr>
        <w:t>This leter does not represent an ofer of employment for any specifed term. Your employment will be at will, which means that either you or Weatherford may terminate your employment at any tme for any reason or no reason whatsoever.</w:t>
      </w:r>
    </w:p>
    <w:p>
      <w:pPr>
        <w:spacing w:after="0" w:line="199" w:lineRule="exact"/>
        <w:rPr>
          <w:sz w:val="20"/>
          <w:szCs w:val="20"/>
          <w:color w:val="auto"/>
        </w:rPr>
      </w:pPr>
    </w:p>
    <w:p>
      <w:pPr>
        <w:spacing w:after="0" w:line="217" w:lineRule="auto"/>
        <w:rPr>
          <w:sz w:val="20"/>
          <w:szCs w:val="20"/>
          <w:color w:val="auto"/>
        </w:rPr>
      </w:pPr>
      <w:r>
        <w:rPr>
          <w:rFonts w:ascii="Calibri" w:cs="Calibri" w:eastAsia="Calibri" w:hAnsi="Calibri"/>
          <w:sz w:val="21"/>
          <w:szCs w:val="21"/>
          <w:color w:val="auto"/>
        </w:rPr>
        <w:t>Please confrm your acceptance of this ofer by electronically signing this ofer leter. Upon your acceptance of this ofer, you will be contacted to schedule a convenient tme and locaton for the company medical / drug and alcohol test.</w:t>
      </w:r>
    </w:p>
    <w:p>
      <w:pPr>
        <w:spacing w:after="0" w:line="199" w:lineRule="exact"/>
        <w:rPr>
          <w:sz w:val="20"/>
          <w:szCs w:val="20"/>
          <w:color w:val="auto"/>
        </w:rPr>
      </w:pPr>
    </w:p>
    <w:p>
      <w:pPr>
        <w:ind w:right="20"/>
        <w:spacing w:after="0" w:line="217" w:lineRule="auto"/>
        <w:rPr>
          <w:sz w:val="20"/>
          <w:szCs w:val="20"/>
          <w:color w:val="auto"/>
        </w:rPr>
      </w:pPr>
      <w:r>
        <w:rPr>
          <w:rFonts w:ascii="Calibri" w:cs="Calibri" w:eastAsia="Calibri" w:hAnsi="Calibri"/>
          <w:sz w:val="21"/>
          <w:szCs w:val="21"/>
          <w:color w:val="auto"/>
        </w:rPr>
        <w:t>We are excited to have you join us and look forward to working together to make Weatherford a leader in the oilfeld service marketplace.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6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Calibri" w:cs="Calibri" w:eastAsia="Calibri" w:hAnsi="Calibri"/>
                <w:sz w:val="21"/>
                <w:szCs w:val="21"/>
                <w:color w:val="auto"/>
              </w:rPr>
              <w:t>Printed Name</w:t>
            </w:r>
          </w:p>
        </w:tc>
        <w:tc>
          <w:tcPr>
            <w:tcW w:w="7880" w:type="dxa"/>
            <w:vAlign w:val="bottom"/>
            <w:tcBorders>
              <w:top w:val="single" w:sz="8" w:color="BFBFBF"/>
              <w:bottom w:val="single" w:sz="8" w:color="BFBFBF"/>
            </w:tcBorders>
          </w:tcPr>
          <w:p>
            <w:pPr>
              <w:ind w:left="60"/>
              <w:spacing w:after="0"/>
              <w:rPr>
                <w:sz w:val="20"/>
                <w:szCs w:val="20"/>
                <w:color w:val="auto"/>
              </w:rPr>
            </w:pPr>
            <w:r>
              <w:rPr>
                <w:rFonts w:ascii="Calibri" w:cs="Calibri" w:eastAsia="Calibri" w:hAnsi="Calibri"/>
                <w:sz w:val="21"/>
                <w:szCs w:val="21"/>
                <w:b w:val="1"/>
                <w:bCs w:val="1"/>
                <w:color w:val="auto"/>
              </w:rPr>
              <w:t>Charles Davison</w:t>
            </w:r>
          </w:p>
        </w:tc>
      </w:tr>
      <w:tr>
        <w:trPr>
          <w:trHeight w:val="263"/>
        </w:trPr>
        <w:tc>
          <w:tcPr>
            <w:tcW w:w="3360" w:type="dxa"/>
            <w:vAlign w:val="bottom"/>
            <w:tcBorders>
              <w:right w:val="single" w:sz="8" w:color="BFBFBF"/>
            </w:tcBorders>
          </w:tcPr>
          <w:p>
            <w:pPr>
              <w:ind w:left="80"/>
              <w:spacing w:after="0"/>
              <w:rPr>
                <w:sz w:val="20"/>
                <w:szCs w:val="20"/>
                <w:color w:val="auto"/>
              </w:rPr>
            </w:pPr>
            <w:r>
              <w:rPr>
                <w:rFonts w:ascii="Calibri" w:cs="Calibri" w:eastAsia="Calibri" w:hAnsi="Calibri"/>
                <w:sz w:val="21"/>
                <w:szCs w:val="21"/>
                <w:color w:val="auto"/>
              </w:rPr>
              <w:t>Signature</w:t>
            </w:r>
          </w:p>
        </w:tc>
        <w:tc>
          <w:tcPr>
            <w:tcW w:w="7880" w:type="dxa"/>
            <w:vAlign w:val="bottom"/>
          </w:tcPr>
          <w:p>
            <w:pPr>
              <w:spacing w:after="0"/>
              <w:rPr>
                <w:sz w:val="20"/>
                <w:szCs w:val="20"/>
                <w:color w:val="auto"/>
              </w:rPr>
            </w:pPr>
            <w:r>
              <w:rPr>
                <w:rFonts w:ascii="Calibri" w:cs="Calibri" w:eastAsia="Calibri" w:hAnsi="Calibri"/>
                <w:sz w:val="21"/>
                <w:szCs w:val="21"/>
                <w:color w:val="auto"/>
              </w:rPr>
              <w:t>/s/ Charles W. Davison, Jr</w:t>
            </w:r>
          </w:p>
        </w:tc>
      </w:tr>
      <w:tr>
        <w:trPr>
          <w:trHeight w:val="67"/>
        </w:trPr>
        <w:tc>
          <w:tcPr>
            <w:tcW w:w="3360" w:type="dxa"/>
            <w:vAlign w:val="bottom"/>
            <w:tcBorders>
              <w:bottom w:val="single" w:sz="8" w:color="BFBFBF"/>
              <w:right w:val="single" w:sz="8" w:color="BFBFBF"/>
            </w:tcBorders>
          </w:tcPr>
          <w:p>
            <w:pPr>
              <w:spacing w:after="0"/>
              <w:rPr>
                <w:sz w:val="5"/>
                <w:szCs w:val="5"/>
                <w:color w:val="auto"/>
              </w:rPr>
            </w:pPr>
          </w:p>
        </w:tc>
        <w:tc>
          <w:tcPr>
            <w:tcW w:w="7880" w:type="dxa"/>
            <w:vAlign w:val="bottom"/>
            <w:tcBorders>
              <w:bottom w:val="single" w:sz="8" w:color="BFBFBF"/>
            </w:tcBorders>
          </w:tcPr>
          <w:p>
            <w:pPr>
              <w:spacing w:after="0"/>
              <w:rPr>
                <w:sz w:val="5"/>
                <w:szCs w:val="5"/>
                <w:color w:val="auto"/>
              </w:rPr>
            </w:pPr>
          </w:p>
        </w:tc>
      </w:tr>
      <w:tr>
        <w:trPr>
          <w:trHeight w:val="257"/>
        </w:trPr>
        <w:tc>
          <w:tcPr>
            <w:tcW w:w="3360" w:type="dxa"/>
            <w:vAlign w:val="bottom"/>
            <w:tcBorders>
              <w:right w:val="single" w:sz="8" w:color="BFBFBF"/>
            </w:tcBorders>
          </w:tcPr>
          <w:p>
            <w:pPr>
              <w:ind w:left="80"/>
              <w:spacing w:after="0"/>
              <w:rPr>
                <w:sz w:val="20"/>
                <w:szCs w:val="20"/>
                <w:color w:val="auto"/>
              </w:rPr>
            </w:pPr>
            <w:r>
              <w:rPr>
                <w:rFonts w:ascii="Calibri" w:cs="Calibri" w:eastAsia="Calibri" w:hAnsi="Calibri"/>
                <w:sz w:val="21"/>
                <w:szCs w:val="21"/>
                <w:color w:val="auto"/>
              </w:rPr>
              <w:t>Date</w:t>
            </w:r>
          </w:p>
        </w:tc>
        <w:tc>
          <w:tcPr>
            <w:tcW w:w="7880" w:type="dxa"/>
            <w:vAlign w:val="bottom"/>
          </w:tcPr>
          <w:p>
            <w:pPr>
              <w:spacing w:after="0"/>
              <w:rPr>
                <w:sz w:val="20"/>
                <w:szCs w:val="20"/>
                <w:color w:val="auto"/>
              </w:rPr>
            </w:pPr>
            <w:r>
              <w:rPr>
                <w:rFonts w:ascii="Calibri" w:cs="Calibri" w:eastAsia="Calibri" w:hAnsi="Calibri"/>
                <w:sz w:val="21"/>
                <w:szCs w:val="21"/>
                <w:color w:val="auto"/>
              </w:rPr>
              <w:t>9/19/2022</w:t>
            </w:r>
          </w:p>
        </w:tc>
      </w:tr>
      <w:tr>
        <w:trPr>
          <w:trHeight w:val="67"/>
        </w:trPr>
        <w:tc>
          <w:tcPr>
            <w:tcW w:w="3360" w:type="dxa"/>
            <w:vAlign w:val="bottom"/>
            <w:tcBorders>
              <w:bottom w:val="single" w:sz="8" w:color="BFBFBF"/>
              <w:right w:val="single" w:sz="8" w:color="BFBFBF"/>
            </w:tcBorders>
          </w:tcPr>
          <w:p>
            <w:pPr>
              <w:spacing w:after="0"/>
              <w:rPr>
                <w:sz w:val="5"/>
                <w:szCs w:val="5"/>
                <w:color w:val="auto"/>
              </w:rPr>
            </w:pPr>
          </w:p>
        </w:tc>
        <w:tc>
          <w:tcPr>
            <w:tcW w:w="7880" w:type="dxa"/>
            <w:vAlign w:val="bottom"/>
            <w:tcBorders>
              <w:bottom w:val="single" w:sz="8" w:color="BFBFBF"/>
            </w:tcBorders>
          </w:tcPr>
          <w:p>
            <w:pPr>
              <w:spacing w:after="0"/>
              <w:rPr>
                <w:sz w:val="5"/>
                <w:szCs w:val="5"/>
                <w:color w:val="auto"/>
              </w:rPr>
            </w:pPr>
          </w:p>
        </w:tc>
      </w:tr>
    </w:tbl>
    <w:p>
      <w:pPr>
        <w:sectPr>
          <w:pgSz w:w="11900" w:h="16838" w:orient="portrait"/>
          <w:cols w:equalWidth="0" w:num="1">
            <w:col w:w="11240"/>
          </w:cols>
          <w:pgMar w:left="320" w:top="1440" w:right="339" w:bottom="1440" w:gutter="0" w:footer="0" w:header="0"/>
        </w:sectPr>
      </w:pPr>
    </w:p>
    <w:bookmarkStart w:id="92" w:name="page93"/>
    <w:bookmarkEnd w:id="92"/>
    <w:p>
      <w:pPr>
        <w:jc w:val="right"/>
        <w:spacing w:after="0"/>
        <w:rPr>
          <w:sz w:val="20"/>
          <w:szCs w:val="20"/>
          <w:color w:val="auto"/>
        </w:rPr>
      </w:pPr>
      <w:r>
        <w:rPr>
          <w:sz w:val="1"/>
          <w:szCs w:val="1"/>
          <w:color w:val="auto"/>
        </w:rPr>
        <w:drawing>
          <wp:inline distT="0" distB="0" distL="0" distR="0">
            <wp:extent cx="302895" cy="30289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302895" cy="302895"/>
                    </a:xfrm>
                    <a:prstGeom prst="rect">
                      <a:avLst/>
                    </a:prstGeom>
                    <a:noFill/>
                    <a:ln>
                      <a:noFill/>
                    </a:ln>
                  </pic:spPr>
                </pic:pic>
              </a:graphicData>
            </a:graphic>
          </wp:inline>
        </w:drawing>
      </w:r>
      <w:r>
        <w:rPr>
          <w:rFonts w:ascii="Arial" w:cs="Arial" w:eastAsia="Arial" w:hAnsi="Arial"/>
          <w:sz w:val="19"/>
          <w:szCs w:val="19"/>
          <w:b w:val="1"/>
          <w:bCs w:val="1"/>
          <w:color w:val="auto"/>
        </w:rPr>
        <w:t xml:space="preserve"> 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21"/>
          <w:szCs w:val="21"/>
          <w:color w:val="auto"/>
        </w:rPr>
        <w:t>November 11, 2022</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PERSONAL AND CONFIDENTIAL</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color w:val="auto"/>
        </w:rPr>
        <w:t>Arun Mitra</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color w:val="auto"/>
        </w:rPr>
        <w:t>Dear Arun,</w:t>
      </w:r>
    </w:p>
    <w:p>
      <w:pPr>
        <w:spacing w:after="0" w:line="198" w:lineRule="exact"/>
        <w:rPr>
          <w:sz w:val="20"/>
          <w:szCs w:val="20"/>
          <w:color w:val="auto"/>
        </w:rPr>
      </w:pPr>
    </w:p>
    <w:p>
      <w:pPr>
        <w:jc w:val="both"/>
        <w:spacing w:after="0" w:line="217" w:lineRule="auto"/>
        <w:rPr>
          <w:sz w:val="20"/>
          <w:szCs w:val="20"/>
          <w:color w:val="auto"/>
        </w:rPr>
      </w:pPr>
      <w:r>
        <w:rPr>
          <w:rFonts w:ascii="Calibri" w:cs="Calibri" w:eastAsia="Calibri" w:hAnsi="Calibri"/>
          <w:sz w:val="21"/>
          <w:szCs w:val="21"/>
          <w:color w:val="auto"/>
        </w:rPr>
        <w:t>At Weatherford, we have an exceptonal team of people working together across the globe to solve the toughest energy challenges through a unique portolio of technologies and safe, efcient processes.</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auto"/>
        </w:rPr>
        <w:t>We are delighted to extend the following job ofer to join us at Weatherford.</w:t>
      </w:r>
    </w:p>
    <w:p>
      <w:pPr>
        <w:spacing w:after="0" w:line="198" w:lineRule="exact"/>
        <w:rPr>
          <w:sz w:val="20"/>
          <w:szCs w:val="20"/>
          <w:color w:val="auto"/>
        </w:rPr>
      </w:pPr>
    </w:p>
    <w:p>
      <w:pPr>
        <w:jc w:val="both"/>
        <w:spacing w:after="0" w:line="211" w:lineRule="auto"/>
        <w:rPr>
          <w:sz w:val="20"/>
          <w:szCs w:val="20"/>
          <w:color w:val="auto"/>
        </w:rPr>
      </w:pPr>
      <w:r>
        <w:rPr>
          <w:rFonts w:ascii="Calibri" w:cs="Calibri" w:eastAsia="Calibri" w:hAnsi="Calibri"/>
          <w:sz w:val="21"/>
          <w:szCs w:val="21"/>
          <w:color w:val="auto"/>
        </w:rPr>
        <w:t>We look forward to working with you and believe that you can make a very signifcant, positve contributon to the success of Weatherford. Our company ofers you an opportunity to put your experience, abilites, dedicaton, energy and creatvity to excellent use. Welcome to the Team!</w:t>
      </w:r>
    </w:p>
    <w:p>
      <w:pPr>
        <w:spacing w:after="0" w:line="198" w:lineRule="exact"/>
        <w:rPr>
          <w:sz w:val="20"/>
          <w:szCs w:val="20"/>
          <w:color w:val="auto"/>
        </w:rPr>
      </w:pPr>
    </w:p>
    <w:p>
      <w:pPr>
        <w:jc w:val="both"/>
        <w:ind w:right="20"/>
        <w:spacing w:after="0" w:line="217" w:lineRule="auto"/>
        <w:rPr>
          <w:sz w:val="20"/>
          <w:szCs w:val="20"/>
          <w:color w:val="auto"/>
        </w:rPr>
      </w:pPr>
      <w:r>
        <w:rPr>
          <w:rFonts w:ascii="Calibri" w:cs="Calibri" w:eastAsia="Calibri" w:hAnsi="Calibri"/>
          <w:sz w:val="21"/>
          <w:szCs w:val="21"/>
          <w:color w:val="auto"/>
        </w:rPr>
        <w:t>We appreciate your careful consideraton of the terms and conditons included in this ofer leter. A summary of your benefts can be found on the following pages.</w:t>
      </w:r>
    </w:p>
    <w:p>
      <w:pPr>
        <w:spacing w:after="0" w:line="172" w:lineRule="exact"/>
        <w:rPr>
          <w:sz w:val="20"/>
          <w:szCs w:val="20"/>
          <w:color w:val="auto"/>
        </w:rPr>
      </w:pPr>
    </w:p>
    <w:p>
      <w:pPr>
        <w:jc w:val="both"/>
        <w:spacing w:after="0" w:line="217" w:lineRule="auto"/>
        <w:rPr>
          <w:sz w:val="20"/>
          <w:szCs w:val="20"/>
          <w:color w:val="auto"/>
        </w:rPr>
      </w:pPr>
      <w:r>
        <w:rPr>
          <w:rFonts w:ascii="Calibri" w:cs="Calibri" w:eastAsia="Calibri" w:hAnsi="Calibri"/>
          <w:sz w:val="21"/>
          <w:szCs w:val="21"/>
          <w:color w:val="auto"/>
        </w:rPr>
        <w:t>This ofer is contngent upon you successfully providing the necessary pre-hire documentaton (including evidence of your right to work) and successful completon of any pre-hire testng relevant to your employment locaton.</w:t>
      </w:r>
    </w:p>
    <w:p>
      <w:pPr>
        <w:spacing w:after="0" w:line="199" w:lineRule="exact"/>
        <w:rPr>
          <w:sz w:val="20"/>
          <w:szCs w:val="20"/>
          <w:color w:val="auto"/>
        </w:rPr>
      </w:pPr>
    </w:p>
    <w:p>
      <w:pPr>
        <w:jc w:val="both"/>
        <w:spacing w:after="0" w:line="211" w:lineRule="auto"/>
        <w:rPr>
          <w:sz w:val="20"/>
          <w:szCs w:val="20"/>
          <w:color w:val="auto"/>
        </w:rPr>
      </w:pPr>
      <w:r>
        <w:rPr>
          <w:rFonts w:ascii="Calibri" w:cs="Calibri" w:eastAsia="Calibri" w:hAnsi="Calibri"/>
          <w:sz w:val="21"/>
          <w:szCs w:val="21"/>
          <w:color w:val="auto"/>
        </w:rPr>
        <w:t>Please review the enclosed informaton and contact me if you have any questons or concerns. I would appreciate your acceptance of this new opportunity by signing below and returning your signed copy as soon as possible. The ofer will remain open untl 5:00 pm Central Time on November 25, 2022 afer which tme it will automatcally expire.</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color w:val="auto"/>
        </w:rPr>
        <w:t>We look forward to welcoming you to Weatherford.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1"/>
          <w:szCs w:val="21"/>
          <w:color w:val="auto"/>
        </w:rPr>
        <w:t>Sincerely,</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color w:val="auto"/>
        </w:rPr>
        <w:t>/s/ Joseph H Mongrain</w:t>
      </w:r>
    </w:p>
    <w:p>
      <w:pPr>
        <w:spacing w:after="0" w:line="19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Joseph H Mongrain</w:t>
      </w:r>
    </w:p>
    <w:p>
      <w:pPr>
        <w:spacing w:after="0" w:line="198" w:lineRule="auto"/>
        <w:rPr>
          <w:sz w:val="20"/>
          <w:szCs w:val="20"/>
          <w:color w:val="auto"/>
        </w:rPr>
      </w:pPr>
      <w:r>
        <w:rPr>
          <w:rFonts w:ascii="Calibri" w:cs="Calibri" w:eastAsia="Calibri" w:hAnsi="Calibri"/>
          <w:sz w:val="21"/>
          <w:szCs w:val="21"/>
          <w:b w:val="1"/>
          <w:bCs w:val="1"/>
          <w:color w:val="CE1141"/>
        </w:rPr>
        <w:t>EVP and Chief People Ofcer</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color w:val="auto"/>
        </w:rPr>
        <w:t>Weatherford Human Resources</w:t>
      </w:r>
    </w:p>
    <w:p>
      <w:pPr>
        <w:spacing w:after="0" w:line="198" w:lineRule="auto"/>
        <w:rPr>
          <w:sz w:val="20"/>
          <w:szCs w:val="20"/>
          <w:color w:val="auto"/>
        </w:rPr>
      </w:pPr>
      <w:r>
        <w:rPr>
          <w:rFonts w:ascii="Calibri" w:cs="Calibri" w:eastAsia="Calibri" w:hAnsi="Calibri"/>
          <w:sz w:val="21"/>
          <w:szCs w:val="21"/>
          <w:color w:val="auto"/>
        </w:rPr>
        <w:t>On and behalf of Weatherford</w:t>
      </w:r>
    </w:p>
    <w:p>
      <w:pPr>
        <w:sectPr>
          <w:pgSz w:w="11900" w:h="16838" w:orient="portrait"/>
          <w:cols w:equalWidth="0" w:num="1">
            <w:col w:w="11240"/>
          </w:cols>
          <w:pgMar w:left="320" w:top="378" w:right="339" w:bottom="1440" w:gutter="0" w:footer="0" w:header="0"/>
        </w:sectPr>
      </w:pPr>
    </w:p>
    <w:bookmarkStart w:id="93" w:name="page94"/>
    <w:bookmarkEnd w:id="93"/>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7038975</wp:posOffset>
            </wp:positionH>
            <wp:positionV relativeFrom="page">
              <wp:posOffset>88900</wp:posOffset>
            </wp:positionV>
            <wp:extent cx="302895" cy="302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spacing w:after="0"/>
        <w:rPr>
          <w:sz w:val="20"/>
          <w:szCs w:val="20"/>
          <w:color w:val="auto"/>
        </w:rPr>
      </w:pPr>
      <w:r>
        <w:rPr>
          <w:rFonts w:ascii="Calibri" w:cs="Calibri" w:eastAsia="Calibri" w:hAnsi="Calibri"/>
          <w:sz w:val="21"/>
          <w:szCs w:val="21"/>
          <w:b w:val="1"/>
          <w:bCs w:val="1"/>
          <w:color w:val="CE1141"/>
        </w:rPr>
        <w:t>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5031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503110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24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Calibri" w:cs="Calibri" w:eastAsia="Calibri" w:hAnsi="Calibri"/>
                <w:sz w:val="21"/>
                <w:szCs w:val="21"/>
                <w:color w:val="auto"/>
              </w:rPr>
              <w:t>Name</w:t>
            </w:r>
          </w:p>
        </w:tc>
        <w:tc>
          <w:tcPr>
            <w:tcW w:w="8000" w:type="dxa"/>
            <w:vAlign w:val="bottom"/>
            <w:tcBorders>
              <w:top w:val="single" w:sz="8" w:color="BFBFBF"/>
              <w:bottom w:val="single" w:sz="8" w:color="BFBFBF"/>
            </w:tcBorders>
            <w:gridSpan w:val="2"/>
          </w:tcPr>
          <w:p>
            <w:pPr>
              <w:ind w:left="60"/>
              <w:spacing w:after="0"/>
              <w:rPr>
                <w:sz w:val="20"/>
                <w:szCs w:val="20"/>
                <w:color w:val="auto"/>
              </w:rPr>
            </w:pPr>
            <w:r>
              <w:rPr>
                <w:rFonts w:ascii="Calibri" w:cs="Calibri" w:eastAsia="Calibri" w:hAnsi="Calibri"/>
                <w:sz w:val="21"/>
                <w:szCs w:val="21"/>
                <w:b w:val="1"/>
                <w:bCs w:val="1"/>
                <w:color w:val="CE1141"/>
              </w:rPr>
              <w:t>Arun Mitra</w:t>
            </w:r>
          </w:p>
        </w:tc>
      </w:tr>
      <w:tr>
        <w:trPr>
          <w:trHeight w:val="258"/>
        </w:trPr>
        <w:tc>
          <w:tcPr>
            <w:tcW w:w="3240" w:type="dxa"/>
            <w:vAlign w:val="bottom"/>
            <w:tcBorders>
              <w:bottom w:val="single" w:sz="8" w:color="BFBFBF"/>
              <w:right w:val="single" w:sz="8" w:color="BFBFBF"/>
            </w:tcBorders>
          </w:tcPr>
          <w:p>
            <w:pPr>
              <w:ind w:left="80"/>
              <w:spacing w:after="0" w:line="253" w:lineRule="exact"/>
              <w:rPr>
                <w:sz w:val="20"/>
                <w:szCs w:val="20"/>
                <w:color w:val="auto"/>
              </w:rPr>
            </w:pPr>
            <w:r>
              <w:rPr>
                <w:rFonts w:ascii="Calibri" w:cs="Calibri" w:eastAsia="Calibri" w:hAnsi="Calibri"/>
                <w:sz w:val="21"/>
                <w:szCs w:val="21"/>
                <w:color w:val="auto"/>
              </w:rPr>
              <w:t>Employer</w:t>
            </w:r>
          </w:p>
        </w:tc>
        <w:tc>
          <w:tcPr>
            <w:tcW w:w="8000" w:type="dxa"/>
            <w:vAlign w:val="bottom"/>
            <w:tcBorders>
              <w:bottom w:val="single" w:sz="8" w:color="BFBFBF"/>
            </w:tcBorders>
            <w:gridSpan w:val="2"/>
          </w:tcPr>
          <w:p>
            <w:pPr>
              <w:ind w:left="60"/>
              <w:spacing w:after="0" w:line="253" w:lineRule="exact"/>
              <w:rPr>
                <w:sz w:val="20"/>
                <w:szCs w:val="20"/>
                <w:color w:val="auto"/>
              </w:rPr>
            </w:pPr>
            <w:r>
              <w:rPr>
                <w:rFonts w:ascii="Calibri" w:cs="Calibri" w:eastAsia="Calibri" w:hAnsi="Calibri"/>
                <w:sz w:val="21"/>
                <w:szCs w:val="21"/>
                <w:b w:val="1"/>
                <w:bCs w:val="1"/>
                <w:color w:val="CE1141"/>
              </w:rPr>
              <w:t>WEATHERFORD U.S. LP</w:t>
            </w:r>
          </w:p>
        </w:tc>
      </w:tr>
      <w:tr>
        <w:trPr>
          <w:trHeight w:val="258"/>
        </w:trPr>
        <w:tc>
          <w:tcPr>
            <w:tcW w:w="3240" w:type="dxa"/>
            <w:vAlign w:val="bottom"/>
            <w:tcBorders>
              <w:bottom w:val="single" w:sz="8" w:color="BFBFBF"/>
              <w:right w:val="single" w:sz="8" w:color="BFBFBF"/>
            </w:tcBorders>
          </w:tcPr>
          <w:p>
            <w:pPr>
              <w:ind w:left="80"/>
              <w:spacing w:after="0" w:line="253" w:lineRule="exact"/>
              <w:rPr>
                <w:sz w:val="20"/>
                <w:szCs w:val="20"/>
                <w:color w:val="auto"/>
              </w:rPr>
            </w:pPr>
            <w:r>
              <w:rPr>
                <w:rFonts w:ascii="Calibri" w:cs="Calibri" w:eastAsia="Calibri" w:hAnsi="Calibri"/>
                <w:sz w:val="21"/>
                <w:szCs w:val="21"/>
                <w:color w:val="auto"/>
              </w:rPr>
              <w:t>Positon Title</w:t>
            </w:r>
          </w:p>
        </w:tc>
        <w:tc>
          <w:tcPr>
            <w:tcW w:w="8000" w:type="dxa"/>
            <w:vAlign w:val="bottom"/>
            <w:tcBorders>
              <w:bottom w:val="single" w:sz="8" w:color="BFBFBF"/>
            </w:tcBorders>
            <w:gridSpan w:val="2"/>
          </w:tcPr>
          <w:p>
            <w:pPr>
              <w:ind w:left="60"/>
              <w:spacing w:after="0" w:line="253" w:lineRule="exact"/>
              <w:rPr>
                <w:sz w:val="20"/>
                <w:szCs w:val="20"/>
                <w:color w:val="auto"/>
              </w:rPr>
            </w:pPr>
            <w:r>
              <w:rPr>
                <w:rFonts w:ascii="Calibri" w:cs="Calibri" w:eastAsia="Calibri" w:hAnsi="Calibri"/>
                <w:sz w:val="21"/>
                <w:szCs w:val="21"/>
                <w:b w:val="1"/>
                <w:bCs w:val="1"/>
                <w:color w:val="CE1141"/>
              </w:rPr>
              <w:t>Executve Vice President &amp; Chief Financial Ofcer</w:t>
            </w:r>
          </w:p>
        </w:tc>
      </w:tr>
      <w:tr>
        <w:trPr>
          <w:trHeight w:val="196"/>
        </w:trPr>
        <w:tc>
          <w:tcPr>
            <w:tcW w:w="3240" w:type="dxa"/>
            <w:vAlign w:val="bottom"/>
            <w:tcBorders>
              <w:right w:val="single" w:sz="8" w:color="BFBFBF"/>
            </w:tcBorders>
          </w:tcPr>
          <w:p>
            <w:pPr>
              <w:ind w:left="80"/>
              <w:spacing w:after="0" w:line="196" w:lineRule="exact"/>
              <w:rPr>
                <w:sz w:val="20"/>
                <w:szCs w:val="20"/>
                <w:color w:val="auto"/>
              </w:rPr>
            </w:pPr>
            <w:r>
              <w:rPr>
                <w:rFonts w:ascii="Calibri" w:cs="Calibri" w:eastAsia="Calibri" w:hAnsi="Calibri"/>
                <w:sz w:val="21"/>
                <w:szCs w:val="21"/>
                <w:color w:val="auto"/>
              </w:rPr>
              <w:t>Locaton</w:t>
            </w:r>
          </w:p>
        </w:tc>
        <w:tc>
          <w:tcPr>
            <w:tcW w:w="8000" w:type="dxa"/>
            <w:vAlign w:val="bottom"/>
            <w:gridSpan w:val="2"/>
          </w:tcPr>
          <w:p>
            <w:pPr>
              <w:ind w:left="60"/>
              <w:spacing w:after="0" w:line="196" w:lineRule="exact"/>
              <w:rPr>
                <w:sz w:val="20"/>
                <w:szCs w:val="20"/>
                <w:color w:val="auto"/>
              </w:rPr>
            </w:pPr>
            <w:r>
              <w:rPr>
                <w:rFonts w:ascii="Calibri" w:cs="Calibri" w:eastAsia="Calibri" w:hAnsi="Calibri"/>
                <w:sz w:val="21"/>
                <w:szCs w:val="21"/>
                <w:b w:val="1"/>
                <w:bCs w:val="1"/>
                <w:color w:val="CE1141"/>
              </w:rPr>
              <w:t>2000 ST JAMES PLACE</w:t>
            </w:r>
          </w:p>
        </w:tc>
      </w:tr>
      <w:tr>
        <w:trPr>
          <w:trHeight w:val="212"/>
        </w:trPr>
        <w:tc>
          <w:tcPr>
            <w:tcW w:w="3240" w:type="dxa"/>
            <w:vAlign w:val="bottom"/>
            <w:tcBorders>
              <w:right w:val="single" w:sz="8" w:color="BFBFBF"/>
            </w:tcBorders>
          </w:tcPr>
          <w:p>
            <w:pPr>
              <w:spacing w:after="0"/>
              <w:rPr>
                <w:sz w:val="18"/>
                <w:szCs w:val="18"/>
                <w:color w:val="auto"/>
              </w:rPr>
            </w:pPr>
          </w:p>
        </w:tc>
        <w:tc>
          <w:tcPr>
            <w:tcW w:w="8000" w:type="dxa"/>
            <w:vAlign w:val="bottom"/>
            <w:gridSpan w:val="2"/>
          </w:tcPr>
          <w:p>
            <w:pPr>
              <w:ind w:left="60"/>
              <w:spacing w:after="0" w:line="212" w:lineRule="exact"/>
              <w:rPr>
                <w:sz w:val="20"/>
                <w:szCs w:val="20"/>
                <w:color w:val="auto"/>
              </w:rPr>
            </w:pPr>
            <w:r>
              <w:rPr>
                <w:rFonts w:ascii="Calibri" w:cs="Calibri" w:eastAsia="Calibri" w:hAnsi="Calibri"/>
                <w:sz w:val="21"/>
                <w:szCs w:val="21"/>
                <w:b w:val="1"/>
                <w:bCs w:val="1"/>
                <w:color w:val="CE1141"/>
              </w:rPr>
              <w:t>HOUSTON, TX 77056</w:t>
            </w:r>
          </w:p>
        </w:tc>
      </w:tr>
      <w:tr>
        <w:trPr>
          <w:trHeight w:val="253"/>
        </w:trPr>
        <w:tc>
          <w:tcPr>
            <w:tcW w:w="3240" w:type="dxa"/>
            <w:vAlign w:val="bottom"/>
            <w:tcBorders>
              <w:right w:val="single" w:sz="8" w:color="BFBFBF"/>
            </w:tcBorders>
          </w:tcPr>
          <w:p>
            <w:pPr>
              <w:spacing w:after="0"/>
              <w:rPr>
                <w:sz w:val="22"/>
                <w:szCs w:val="22"/>
                <w:color w:val="auto"/>
              </w:rPr>
            </w:pPr>
          </w:p>
        </w:tc>
        <w:tc>
          <w:tcPr>
            <w:tcW w:w="8000" w:type="dxa"/>
            <w:vAlign w:val="bottom"/>
            <w:gridSpan w:val="2"/>
          </w:tcPr>
          <w:p>
            <w:pPr>
              <w:ind w:left="60"/>
              <w:spacing w:after="0" w:line="253" w:lineRule="exact"/>
              <w:rPr>
                <w:sz w:val="20"/>
                <w:szCs w:val="20"/>
                <w:color w:val="auto"/>
              </w:rPr>
            </w:pPr>
            <w:r>
              <w:rPr>
                <w:rFonts w:ascii="Calibri" w:cs="Calibri" w:eastAsia="Calibri" w:hAnsi="Calibri"/>
                <w:sz w:val="21"/>
                <w:szCs w:val="21"/>
                <w:b w:val="1"/>
                <w:bCs w:val="1"/>
                <w:color w:val="CE1141"/>
              </w:rPr>
              <w:t>USA</w:t>
            </w:r>
          </w:p>
        </w:tc>
      </w:tr>
      <w:tr>
        <w:trPr>
          <w:trHeight w:val="28"/>
        </w:trPr>
        <w:tc>
          <w:tcPr>
            <w:tcW w:w="3240" w:type="dxa"/>
            <w:vAlign w:val="bottom"/>
            <w:tcBorders>
              <w:bottom w:val="single" w:sz="8" w:color="BFBFBF"/>
              <w:right w:val="single" w:sz="8" w:color="BFBFBF"/>
            </w:tcBorders>
          </w:tcPr>
          <w:p>
            <w:pPr>
              <w:spacing w:after="0"/>
              <w:rPr>
                <w:sz w:val="2"/>
                <w:szCs w:val="2"/>
                <w:color w:val="auto"/>
              </w:rPr>
            </w:pPr>
          </w:p>
        </w:tc>
        <w:tc>
          <w:tcPr>
            <w:tcW w:w="1480" w:type="dxa"/>
            <w:vAlign w:val="bottom"/>
            <w:tcBorders>
              <w:bottom w:val="single" w:sz="8" w:color="BFBFBF"/>
            </w:tcBorders>
          </w:tcPr>
          <w:p>
            <w:pPr>
              <w:spacing w:after="0"/>
              <w:rPr>
                <w:sz w:val="2"/>
                <w:szCs w:val="2"/>
                <w:color w:val="auto"/>
              </w:rPr>
            </w:pPr>
          </w:p>
        </w:tc>
        <w:tc>
          <w:tcPr>
            <w:tcW w:w="6520" w:type="dxa"/>
            <w:vAlign w:val="bottom"/>
            <w:tcBorders>
              <w:bottom w:val="single" w:sz="8" w:color="BFBFBF"/>
            </w:tcBorders>
          </w:tcPr>
          <w:p>
            <w:pPr>
              <w:spacing w:after="0"/>
              <w:rPr>
                <w:sz w:val="2"/>
                <w:szCs w:val="2"/>
                <w:color w:val="auto"/>
              </w:rPr>
            </w:pPr>
          </w:p>
        </w:tc>
      </w:tr>
      <w:tr>
        <w:trPr>
          <w:trHeight w:val="535"/>
        </w:trPr>
        <w:tc>
          <w:tcPr>
            <w:tcW w:w="3240" w:type="dxa"/>
            <w:vAlign w:val="bottom"/>
          </w:tcPr>
          <w:p>
            <w:pPr>
              <w:spacing w:after="0"/>
              <w:rPr>
                <w:sz w:val="20"/>
                <w:szCs w:val="20"/>
                <w:color w:val="auto"/>
              </w:rPr>
            </w:pPr>
            <w:r>
              <w:rPr>
                <w:rFonts w:ascii="Calibri" w:cs="Calibri" w:eastAsia="Calibri" w:hAnsi="Calibri"/>
                <w:sz w:val="21"/>
                <w:szCs w:val="21"/>
                <w:b w:val="1"/>
                <w:bCs w:val="1"/>
                <w:color w:val="CE0E41"/>
              </w:rPr>
              <w:t>POINT OF CONTACT</w:t>
            </w:r>
          </w:p>
        </w:tc>
        <w:tc>
          <w:tcPr>
            <w:tcW w:w="148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66"/>
        </w:trPr>
        <w:tc>
          <w:tcPr>
            <w:tcW w:w="3240" w:type="dxa"/>
            <w:vAlign w:val="bottom"/>
            <w:tcBorders>
              <w:bottom w:val="single" w:sz="8" w:color="BFBFBF"/>
            </w:tcBorders>
          </w:tcPr>
          <w:p>
            <w:pPr>
              <w:spacing w:after="0"/>
              <w:rPr>
                <w:sz w:val="23"/>
                <w:szCs w:val="23"/>
                <w:color w:val="auto"/>
              </w:rPr>
            </w:pPr>
          </w:p>
        </w:tc>
        <w:tc>
          <w:tcPr>
            <w:tcW w:w="1480" w:type="dxa"/>
            <w:vAlign w:val="bottom"/>
            <w:tcBorders>
              <w:bottom w:val="single" w:sz="8" w:color="BFBFBF"/>
            </w:tcBorders>
          </w:tcPr>
          <w:p>
            <w:pPr>
              <w:spacing w:after="0"/>
              <w:rPr>
                <w:sz w:val="23"/>
                <w:szCs w:val="23"/>
                <w:color w:val="auto"/>
              </w:rPr>
            </w:pPr>
          </w:p>
        </w:tc>
        <w:tc>
          <w:tcPr>
            <w:tcW w:w="6520" w:type="dxa"/>
            <w:vAlign w:val="bottom"/>
            <w:tcBorders>
              <w:bottom w:val="single" w:sz="8" w:color="BFBFBF"/>
            </w:tcBorders>
          </w:tcPr>
          <w:p>
            <w:pPr>
              <w:spacing w:after="0"/>
              <w:rPr>
                <w:sz w:val="23"/>
                <w:szCs w:val="23"/>
                <w:color w:val="auto"/>
              </w:rPr>
            </w:pPr>
          </w:p>
        </w:tc>
      </w:tr>
      <w:tr>
        <w:trPr>
          <w:trHeight w:val="246"/>
        </w:trPr>
        <w:tc>
          <w:tcPr>
            <w:tcW w:w="3240" w:type="dxa"/>
            <w:vAlign w:val="bottom"/>
          </w:tcPr>
          <w:p>
            <w:pPr>
              <w:ind w:left="80"/>
              <w:spacing w:after="0" w:line="246" w:lineRule="exact"/>
              <w:rPr>
                <w:sz w:val="20"/>
                <w:szCs w:val="20"/>
                <w:color w:val="auto"/>
              </w:rPr>
            </w:pPr>
            <w:r>
              <w:rPr>
                <w:rFonts w:ascii="Calibri" w:cs="Calibri" w:eastAsia="Calibri" w:hAnsi="Calibri"/>
                <w:sz w:val="21"/>
                <w:szCs w:val="21"/>
                <w:color w:val="auto"/>
              </w:rPr>
              <w:t>Manager</w:t>
            </w:r>
          </w:p>
        </w:tc>
        <w:tc>
          <w:tcPr>
            <w:tcW w:w="1480" w:type="dxa"/>
            <w:vAlign w:val="bottom"/>
            <w:tcBorders>
              <w:right w:val="single" w:sz="8" w:color="BFBFBF"/>
            </w:tcBorders>
          </w:tcPr>
          <w:p>
            <w:pPr>
              <w:spacing w:after="0"/>
              <w:rPr>
                <w:sz w:val="21"/>
                <w:szCs w:val="21"/>
                <w:color w:val="auto"/>
              </w:rPr>
            </w:pPr>
          </w:p>
        </w:tc>
        <w:tc>
          <w:tcPr>
            <w:tcW w:w="6520" w:type="dxa"/>
            <w:vAlign w:val="bottom"/>
          </w:tcPr>
          <w:p>
            <w:pPr>
              <w:ind w:left="60"/>
              <w:spacing w:after="0" w:line="246" w:lineRule="exact"/>
              <w:rPr>
                <w:sz w:val="20"/>
                <w:szCs w:val="20"/>
                <w:color w:val="auto"/>
              </w:rPr>
            </w:pPr>
            <w:r>
              <w:rPr>
                <w:rFonts w:ascii="Calibri" w:cs="Calibri" w:eastAsia="Calibri" w:hAnsi="Calibri"/>
                <w:sz w:val="21"/>
                <w:szCs w:val="21"/>
                <w:b w:val="1"/>
                <w:bCs w:val="1"/>
                <w:color w:val="CE1141"/>
              </w:rPr>
              <w:t>Girish Saligram</w:t>
            </w:r>
          </w:p>
        </w:tc>
      </w:tr>
      <w:tr>
        <w:trPr>
          <w:trHeight w:val="251"/>
        </w:trPr>
        <w:tc>
          <w:tcPr>
            <w:tcW w:w="3240" w:type="dxa"/>
            <w:vAlign w:val="bottom"/>
            <w:tcBorders>
              <w:bottom w:val="single" w:sz="8" w:color="BFBFBF"/>
            </w:tcBorders>
          </w:tcPr>
          <w:p>
            <w:pPr>
              <w:spacing w:after="0"/>
              <w:rPr>
                <w:sz w:val="21"/>
                <w:szCs w:val="21"/>
                <w:color w:val="auto"/>
              </w:rPr>
            </w:pPr>
          </w:p>
        </w:tc>
        <w:tc>
          <w:tcPr>
            <w:tcW w:w="1480" w:type="dxa"/>
            <w:vAlign w:val="bottom"/>
            <w:tcBorders>
              <w:bottom w:val="single" w:sz="8" w:color="BFBFBF"/>
              <w:right w:val="single" w:sz="8" w:color="BFBFBF"/>
            </w:tcBorders>
          </w:tcPr>
          <w:p>
            <w:pPr>
              <w:spacing w:after="0"/>
              <w:rPr>
                <w:sz w:val="21"/>
                <w:szCs w:val="21"/>
                <w:color w:val="auto"/>
              </w:rPr>
            </w:pPr>
          </w:p>
        </w:tc>
        <w:tc>
          <w:tcPr>
            <w:tcW w:w="6520" w:type="dxa"/>
            <w:vAlign w:val="bottom"/>
            <w:tcBorders>
              <w:bottom w:val="single" w:sz="8" w:color="BFBFBF"/>
            </w:tcBorders>
          </w:tcPr>
          <w:p>
            <w:pPr>
              <w:spacing w:after="0"/>
              <w:rPr>
                <w:sz w:val="21"/>
                <w:szCs w:val="21"/>
                <w:color w:val="auto"/>
              </w:rPr>
            </w:pPr>
          </w:p>
        </w:tc>
      </w:tr>
      <w:tr>
        <w:trPr>
          <w:trHeight w:val="246"/>
        </w:trPr>
        <w:tc>
          <w:tcPr>
            <w:tcW w:w="3240" w:type="dxa"/>
            <w:vAlign w:val="bottom"/>
          </w:tcPr>
          <w:p>
            <w:pPr>
              <w:ind w:left="80"/>
              <w:spacing w:after="0" w:line="246" w:lineRule="exact"/>
              <w:rPr>
                <w:sz w:val="20"/>
                <w:szCs w:val="20"/>
                <w:color w:val="auto"/>
              </w:rPr>
            </w:pPr>
            <w:r>
              <w:rPr>
                <w:rFonts w:ascii="Calibri" w:cs="Calibri" w:eastAsia="Calibri" w:hAnsi="Calibri"/>
                <w:sz w:val="21"/>
                <w:szCs w:val="21"/>
                <w:color w:val="auto"/>
              </w:rPr>
              <w:t>HR Representatve</w:t>
            </w:r>
          </w:p>
        </w:tc>
        <w:tc>
          <w:tcPr>
            <w:tcW w:w="1480" w:type="dxa"/>
            <w:vAlign w:val="bottom"/>
            <w:tcBorders>
              <w:right w:val="single" w:sz="8" w:color="BFBFBF"/>
            </w:tcBorders>
          </w:tcPr>
          <w:p>
            <w:pPr>
              <w:spacing w:after="0"/>
              <w:rPr>
                <w:sz w:val="21"/>
                <w:szCs w:val="21"/>
                <w:color w:val="auto"/>
              </w:rPr>
            </w:pPr>
          </w:p>
        </w:tc>
        <w:tc>
          <w:tcPr>
            <w:tcW w:w="6520" w:type="dxa"/>
            <w:vAlign w:val="bottom"/>
          </w:tcPr>
          <w:p>
            <w:pPr>
              <w:ind w:left="60"/>
              <w:spacing w:after="0" w:line="246" w:lineRule="exact"/>
              <w:rPr>
                <w:sz w:val="20"/>
                <w:szCs w:val="20"/>
                <w:color w:val="auto"/>
              </w:rPr>
            </w:pPr>
            <w:r>
              <w:rPr>
                <w:rFonts w:ascii="Calibri" w:cs="Calibri" w:eastAsia="Calibri" w:hAnsi="Calibri"/>
                <w:sz w:val="21"/>
                <w:szCs w:val="21"/>
                <w:b w:val="1"/>
                <w:bCs w:val="1"/>
                <w:color w:val="CE1141"/>
              </w:rPr>
              <w:t>Joe Mongrain</w:t>
            </w:r>
          </w:p>
        </w:tc>
      </w:tr>
      <w:tr>
        <w:trPr>
          <w:trHeight w:val="251"/>
        </w:trPr>
        <w:tc>
          <w:tcPr>
            <w:tcW w:w="3240" w:type="dxa"/>
            <w:vAlign w:val="bottom"/>
            <w:tcBorders>
              <w:bottom w:val="single" w:sz="8" w:color="BFBFBF"/>
            </w:tcBorders>
          </w:tcPr>
          <w:p>
            <w:pPr>
              <w:spacing w:after="0"/>
              <w:rPr>
                <w:sz w:val="21"/>
                <w:szCs w:val="21"/>
                <w:color w:val="auto"/>
              </w:rPr>
            </w:pPr>
          </w:p>
        </w:tc>
        <w:tc>
          <w:tcPr>
            <w:tcW w:w="1480" w:type="dxa"/>
            <w:vAlign w:val="bottom"/>
            <w:tcBorders>
              <w:bottom w:val="single" w:sz="8" w:color="BFBFBF"/>
              <w:right w:val="single" w:sz="8" w:color="BFBFBF"/>
            </w:tcBorders>
          </w:tcPr>
          <w:p>
            <w:pPr>
              <w:spacing w:after="0"/>
              <w:rPr>
                <w:sz w:val="21"/>
                <w:szCs w:val="21"/>
                <w:color w:val="auto"/>
              </w:rPr>
            </w:pPr>
          </w:p>
        </w:tc>
        <w:tc>
          <w:tcPr>
            <w:tcW w:w="6520" w:type="dxa"/>
            <w:vAlign w:val="bottom"/>
            <w:tcBorders>
              <w:bottom w:val="single" w:sz="8" w:color="BFBFBF"/>
            </w:tcBorders>
          </w:tcPr>
          <w:p>
            <w:pPr>
              <w:spacing w:after="0"/>
              <w:rPr>
                <w:sz w:val="21"/>
                <w:szCs w:val="21"/>
                <w:color w:val="auto"/>
              </w:rPr>
            </w:pPr>
          </w:p>
        </w:tc>
      </w:tr>
    </w:tbl>
    <w:p>
      <w:pPr>
        <w:spacing w:after="0" w:line="28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EMPLOYMENT PACKAGE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0311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503110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BASE SALARY</w:t>
      </w:r>
    </w:p>
    <w:p>
      <w:pPr>
        <w:spacing w:after="0" w:line="198" w:lineRule="auto"/>
        <w:rPr>
          <w:sz w:val="20"/>
          <w:szCs w:val="20"/>
          <w:color w:val="auto"/>
        </w:rPr>
      </w:pPr>
      <w:r>
        <w:rPr>
          <w:rFonts w:ascii="Calibri" w:cs="Calibri" w:eastAsia="Calibri" w:hAnsi="Calibri"/>
          <w:sz w:val="21"/>
          <w:szCs w:val="21"/>
          <w:b w:val="1"/>
          <w:bCs w:val="1"/>
          <w:color w:val="CE1141"/>
        </w:rPr>
        <w:t>US $525,000</w:t>
      </w:r>
    </w:p>
    <w:p>
      <w:pPr>
        <w:spacing w:after="0" w:line="198" w:lineRule="auto"/>
        <w:rPr>
          <w:sz w:val="20"/>
          <w:szCs w:val="20"/>
          <w:color w:val="auto"/>
        </w:rPr>
      </w:pPr>
      <w:r>
        <w:rPr>
          <w:rFonts w:ascii="Calibri" w:cs="Calibri" w:eastAsia="Calibri" w:hAnsi="Calibri"/>
          <w:sz w:val="21"/>
          <w:szCs w:val="21"/>
          <w:color w:val="auto"/>
        </w:rPr>
        <w:t>Your base salary will be paid semi-monthly via the normal payroll cycle.</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START DATE</w:t>
      </w:r>
    </w:p>
    <w:p>
      <w:pPr>
        <w:spacing w:after="0" w:line="198" w:lineRule="auto"/>
        <w:rPr>
          <w:sz w:val="20"/>
          <w:szCs w:val="20"/>
          <w:color w:val="auto"/>
        </w:rPr>
      </w:pPr>
      <w:r>
        <w:rPr>
          <w:rFonts w:ascii="Calibri" w:cs="Calibri" w:eastAsia="Calibri" w:hAnsi="Calibri"/>
          <w:sz w:val="21"/>
          <w:szCs w:val="21"/>
          <w:color w:val="auto"/>
        </w:rPr>
        <w:t>Upon a mutually agreeable date.</w:t>
      </w:r>
    </w:p>
    <w:p>
      <w:pPr>
        <w:spacing w:after="0" w:line="16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BENEFITS PROGRAM</w:t>
      </w:r>
    </w:p>
    <w:p>
      <w:pPr>
        <w:jc w:val="both"/>
        <w:spacing w:after="0" w:line="198" w:lineRule="auto"/>
        <w:rPr>
          <w:sz w:val="20"/>
          <w:szCs w:val="20"/>
          <w:color w:val="auto"/>
        </w:rPr>
      </w:pPr>
      <w:r>
        <w:rPr>
          <w:rFonts w:ascii="Calibri" w:cs="Calibri" w:eastAsia="Calibri" w:hAnsi="Calibri"/>
          <w:sz w:val="21"/>
          <w:szCs w:val="21"/>
          <w:color w:val="auto"/>
        </w:rPr>
        <w:t>We are pleased to ofer you partcipaton in Weatherford’s benefts program on your frst day of employment. Please see enclosed Weatherford Benefts Summary.</w:t>
      </w:r>
    </w:p>
    <w:p>
      <w:pPr>
        <w:spacing w:after="0" w:line="199" w:lineRule="exact"/>
        <w:rPr>
          <w:sz w:val="20"/>
          <w:szCs w:val="20"/>
          <w:color w:val="auto"/>
        </w:rPr>
      </w:pPr>
    </w:p>
    <w:p>
      <w:pPr>
        <w:jc w:val="both"/>
        <w:spacing w:after="0"/>
        <w:rPr>
          <w:sz w:val="20"/>
          <w:szCs w:val="20"/>
          <w:color w:val="auto"/>
        </w:rPr>
      </w:pPr>
      <w:r>
        <w:rPr>
          <w:rFonts w:ascii="Calibri" w:cs="Calibri" w:eastAsia="Calibri" w:hAnsi="Calibri"/>
          <w:sz w:val="21"/>
          <w:szCs w:val="21"/>
          <w:color w:val="auto"/>
        </w:rPr>
        <w:t>You will receive a Welcome Leter from our Benefts Department providing you with your access ID and instructons to complete your enrollment online. You will have 31 days from date of hire to enroll otherwise your plan will default to the basic single coverage.</w:t>
      </w:r>
    </w:p>
    <w:p>
      <w:pPr>
        <w:spacing w:after="0" w:line="362" w:lineRule="exact"/>
        <w:rPr>
          <w:sz w:val="20"/>
          <w:szCs w:val="20"/>
          <w:color w:val="auto"/>
        </w:rPr>
      </w:pPr>
    </w:p>
    <w:p>
      <w:pPr>
        <w:jc w:val="both"/>
        <w:spacing w:after="0" w:line="217" w:lineRule="auto"/>
        <w:rPr>
          <w:sz w:val="20"/>
          <w:szCs w:val="20"/>
          <w:color w:val="auto"/>
        </w:rPr>
      </w:pPr>
      <w:r>
        <w:rPr>
          <w:rFonts w:ascii="Calibri" w:cs="Calibri" w:eastAsia="Calibri" w:hAnsi="Calibri"/>
          <w:sz w:val="21"/>
          <w:szCs w:val="21"/>
          <w:color w:val="auto"/>
        </w:rPr>
        <w:t>As an Executve Vice President, you will be eligible to partcipate in the company’s Executve Severance Plan and Change in Control Severance plan.</w:t>
      </w:r>
    </w:p>
    <w:p>
      <w:pPr>
        <w:spacing w:after="0" w:line="169"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ANNUAL LEAVE</w:t>
      </w:r>
    </w:p>
    <w:p>
      <w:pPr>
        <w:spacing w:after="0" w:line="198" w:lineRule="auto"/>
        <w:rPr>
          <w:sz w:val="20"/>
          <w:szCs w:val="20"/>
          <w:color w:val="auto"/>
        </w:rPr>
      </w:pPr>
      <w:r>
        <w:rPr>
          <w:rFonts w:ascii="Calibri" w:cs="Calibri" w:eastAsia="Calibri" w:hAnsi="Calibri"/>
          <w:sz w:val="21"/>
          <w:szCs w:val="21"/>
          <w:b w:val="1"/>
          <w:bCs w:val="1"/>
          <w:color w:val="CE1141"/>
        </w:rPr>
        <w:t>25 DAYS PER YEAR</w:t>
      </w:r>
    </w:p>
    <w:p>
      <w:pPr>
        <w:spacing w:after="0" w:line="1" w:lineRule="exact"/>
        <w:rPr>
          <w:sz w:val="20"/>
          <w:szCs w:val="20"/>
          <w:color w:val="auto"/>
        </w:rPr>
      </w:pPr>
    </w:p>
    <w:p>
      <w:pPr>
        <w:jc w:val="both"/>
        <w:spacing w:after="0" w:line="198" w:lineRule="auto"/>
        <w:rPr>
          <w:sz w:val="20"/>
          <w:szCs w:val="20"/>
          <w:color w:val="auto"/>
        </w:rPr>
      </w:pPr>
      <w:r>
        <w:rPr>
          <w:rFonts w:ascii="Calibri" w:cs="Calibri" w:eastAsia="Calibri" w:hAnsi="Calibri"/>
          <w:sz w:val="21"/>
          <w:szCs w:val="21"/>
          <w:color w:val="auto"/>
        </w:rPr>
        <w:t>Enttlement to annual leave will accrue on a calendar year basis and will be pro-rated in the frst year of employment in line with your employment start date.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COMPANY HOLIDAYS</w:t>
      </w:r>
    </w:p>
    <w:p>
      <w:pPr>
        <w:spacing w:after="0" w:line="198" w:lineRule="auto"/>
        <w:rPr>
          <w:sz w:val="20"/>
          <w:szCs w:val="20"/>
          <w:color w:val="auto"/>
        </w:rPr>
      </w:pPr>
      <w:r>
        <w:rPr>
          <w:rFonts w:ascii="Calibri" w:cs="Calibri" w:eastAsia="Calibri" w:hAnsi="Calibri"/>
          <w:sz w:val="21"/>
          <w:szCs w:val="21"/>
          <w:b w:val="1"/>
          <w:bCs w:val="1"/>
          <w:color w:val="CE1141"/>
        </w:rPr>
        <w:t>10 DAYS PER YEAR</w:t>
      </w:r>
    </w:p>
    <w:p>
      <w:pPr>
        <w:spacing w:after="0" w:line="198" w:lineRule="auto"/>
        <w:rPr>
          <w:sz w:val="20"/>
          <w:szCs w:val="20"/>
          <w:color w:val="auto"/>
        </w:rPr>
      </w:pPr>
      <w:r>
        <w:rPr>
          <w:rFonts w:ascii="Calibri" w:cs="Calibri" w:eastAsia="Calibri" w:hAnsi="Calibri"/>
          <w:sz w:val="21"/>
          <w:szCs w:val="21"/>
          <w:color w:val="auto"/>
        </w:rPr>
        <w:t>You will be eligible for ten (10) Company designated holidays.</w:t>
      </w:r>
    </w:p>
    <w:p>
      <w:pPr>
        <w:spacing w:after="0" w:line="169"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SHORT-TERM INCENTIVE PLAN (STI)</w:t>
      </w:r>
    </w:p>
    <w:p>
      <w:pPr>
        <w:spacing w:after="0" w:line="198" w:lineRule="auto"/>
        <w:rPr>
          <w:sz w:val="20"/>
          <w:szCs w:val="20"/>
          <w:color w:val="auto"/>
        </w:rPr>
      </w:pPr>
      <w:r>
        <w:rPr>
          <w:rFonts w:ascii="Calibri" w:cs="Calibri" w:eastAsia="Calibri" w:hAnsi="Calibri"/>
          <w:sz w:val="21"/>
          <w:szCs w:val="21"/>
          <w:b w:val="1"/>
          <w:bCs w:val="1"/>
          <w:color w:val="CE1141"/>
        </w:rPr>
        <w:t>90% “ON TARGET” PARTICIPATION RATE</w:t>
      </w:r>
    </w:p>
    <w:p>
      <w:pPr>
        <w:spacing w:after="0" w:line="1" w:lineRule="exact"/>
        <w:rPr>
          <w:sz w:val="20"/>
          <w:szCs w:val="20"/>
          <w:color w:val="auto"/>
        </w:rPr>
      </w:pPr>
    </w:p>
    <w:p>
      <w:pPr>
        <w:ind w:right="20"/>
        <w:spacing w:after="0" w:line="198" w:lineRule="auto"/>
        <w:rPr>
          <w:sz w:val="20"/>
          <w:szCs w:val="20"/>
          <w:color w:val="auto"/>
        </w:rPr>
      </w:pPr>
      <w:r>
        <w:rPr>
          <w:rFonts w:ascii="Calibri" w:cs="Calibri" w:eastAsia="Calibri" w:hAnsi="Calibri"/>
          <w:sz w:val="21"/>
          <w:szCs w:val="21"/>
          <w:color w:val="auto"/>
        </w:rPr>
        <w:t>You are eligible to partcipate in the Weatherford Short-Term Incentve Plan (STI) applicable to your role. The “on target” partcipaton rate is subject to the rules of the Plan. Any</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7038975</wp:posOffset>
            </wp:positionH>
            <wp:positionV relativeFrom="page">
              <wp:posOffset>88900</wp:posOffset>
            </wp:positionV>
            <wp:extent cx="302895" cy="3028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jc w:val="both"/>
        <w:ind w:right="20"/>
        <w:spacing w:after="0" w:line="194" w:lineRule="auto"/>
        <w:rPr>
          <w:sz w:val="20"/>
          <w:szCs w:val="20"/>
          <w:color w:val="auto"/>
        </w:rPr>
      </w:pPr>
      <w:r>
        <w:rPr>
          <w:rFonts w:ascii="Calibri" w:cs="Calibri" w:eastAsia="Calibri" w:hAnsi="Calibri"/>
          <w:sz w:val="21"/>
          <w:szCs w:val="21"/>
          <w:color w:val="auto"/>
        </w:rPr>
        <w:t>incentve payout from the Plan will be prorated for your period of employment, calculated from your hire date. Any payout from the Plan is subject to the Company’s and your own personal performance, and you must be employed with Weatherford at the tme of the incentve payment to receive the same.  If you join on or afer October 1</w:t>
      </w:r>
      <w:r>
        <w:rPr>
          <w:rFonts w:ascii="Calibri" w:cs="Calibri" w:eastAsia="Calibri" w:hAnsi="Calibri"/>
          <w:sz w:val="27"/>
          <w:szCs w:val="27"/>
          <w:color w:val="auto"/>
          <w:vertAlign w:val="superscript"/>
        </w:rPr>
        <w:t>st</w:t>
      </w:r>
      <w:r>
        <w:rPr>
          <w:rFonts w:ascii="Calibri" w:cs="Calibri" w:eastAsia="Calibri" w:hAnsi="Calibri"/>
          <w:sz w:val="21"/>
          <w:szCs w:val="21"/>
          <w:color w:val="auto"/>
        </w:rPr>
        <w:t xml:space="preserve"> of a calendar year, you will not be eligible to partcipate in the Plan for that year.</w:t>
      </w:r>
    </w:p>
    <w:p>
      <w:pPr>
        <w:spacing w:after="0" w:line="169" w:lineRule="exact"/>
        <w:rPr>
          <w:sz w:val="20"/>
          <w:szCs w:val="20"/>
          <w:color w:val="auto"/>
        </w:rPr>
      </w:pPr>
    </w:p>
    <w:p>
      <w:pPr>
        <w:spacing w:after="0"/>
        <w:rPr>
          <w:sz w:val="20"/>
          <w:szCs w:val="20"/>
          <w:color w:val="auto"/>
        </w:rPr>
      </w:pPr>
      <w:r>
        <w:rPr>
          <w:rFonts w:ascii="Calibri" w:cs="Calibri" w:eastAsia="Calibri" w:hAnsi="Calibri"/>
          <w:sz w:val="21"/>
          <w:szCs w:val="21"/>
          <w:color w:val="auto"/>
        </w:rPr>
        <w:t>The Plan is non-contractual. The Plan is operated at the discreton of the Company and can be changed or removed at any tme.</w:t>
      </w:r>
    </w:p>
    <w:p>
      <w:pPr>
        <w:spacing w:after="0" w:line="198" w:lineRule="auto"/>
        <w:rPr>
          <w:sz w:val="20"/>
          <w:szCs w:val="20"/>
          <w:color w:val="auto"/>
        </w:rPr>
      </w:pPr>
      <w:r>
        <w:rPr>
          <w:rFonts w:ascii="Calibri" w:cs="Calibri" w:eastAsia="Calibri" w:hAnsi="Calibri"/>
          <w:sz w:val="21"/>
          <w:szCs w:val="21"/>
          <w:color w:val="auto"/>
        </w:rPr>
        <w:t>Partcipaton in the Plan in one year does not guarantee partcipaton or a right to partcipate in future years.</w:t>
      </w:r>
    </w:p>
    <w:p>
      <w:pPr>
        <w:spacing w:after="0" w:line="16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LONG TERM INCENTIVE (LTI)</w:t>
      </w:r>
    </w:p>
    <w:p>
      <w:pPr>
        <w:spacing w:after="0" w:line="198" w:lineRule="auto"/>
        <w:rPr>
          <w:sz w:val="20"/>
          <w:szCs w:val="20"/>
          <w:color w:val="auto"/>
        </w:rPr>
      </w:pPr>
      <w:r>
        <w:rPr>
          <w:rFonts w:ascii="Calibri" w:cs="Calibri" w:eastAsia="Calibri" w:hAnsi="Calibri"/>
          <w:sz w:val="21"/>
          <w:szCs w:val="21"/>
          <w:b w:val="1"/>
          <w:bCs w:val="1"/>
          <w:color w:val="CE1141"/>
        </w:rPr>
        <w:t>INTENDED 2023 AWARD VALUE OF US$1,730,000</w:t>
      </w:r>
    </w:p>
    <w:p>
      <w:pPr>
        <w:spacing w:after="0" w:line="1" w:lineRule="exact"/>
        <w:rPr>
          <w:sz w:val="20"/>
          <w:szCs w:val="20"/>
          <w:color w:val="auto"/>
        </w:rPr>
      </w:pPr>
    </w:p>
    <w:p>
      <w:pPr>
        <w:jc w:val="both"/>
        <w:spacing w:after="0" w:line="198" w:lineRule="auto"/>
        <w:rPr>
          <w:sz w:val="20"/>
          <w:szCs w:val="20"/>
          <w:color w:val="auto"/>
        </w:rPr>
      </w:pPr>
      <w:r>
        <w:rPr>
          <w:rFonts w:ascii="Calibri" w:cs="Calibri" w:eastAsia="Calibri" w:hAnsi="Calibri"/>
          <w:sz w:val="21"/>
          <w:szCs w:val="21"/>
          <w:color w:val="auto"/>
        </w:rPr>
        <w:t>You are eligible for consideraton under Weatherford’s Annual Long-Term Incentve (“LTI”) program. Your eligibility to receive awards under the LTI program is subject to approval by the Board of Weatherford Internatonal (or a commitee thereof) and subject always to the terms and conditons of 2019 Equity Incentve Plan for Weatherford Internatonal, as may be amended from tme to tme by Weatherford Internatonal or any other long term incentve plan that may be adopted by the Board.</w:t>
      </w:r>
    </w:p>
    <w:p>
      <w:pPr>
        <w:spacing w:after="0" w:line="200" w:lineRule="exact"/>
        <w:rPr>
          <w:sz w:val="20"/>
          <w:szCs w:val="20"/>
          <w:color w:val="auto"/>
        </w:rPr>
      </w:pPr>
    </w:p>
    <w:p>
      <w:pPr>
        <w:jc w:val="both"/>
        <w:ind w:right="20"/>
        <w:spacing w:after="0" w:line="211" w:lineRule="auto"/>
        <w:rPr>
          <w:sz w:val="20"/>
          <w:szCs w:val="20"/>
          <w:color w:val="auto"/>
        </w:rPr>
      </w:pPr>
      <w:r>
        <w:rPr>
          <w:rFonts w:ascii="Calibri" w:cs="Calibri" w:eastAsia="Calibri" w:hAnsi="Calibri"/>
          <w:sz w:val="21"/>
          <w:szCs w:val="21"/>
          <w:color w:val="auto"/>
        </w:rPr>
        <w:t>This award will be granted at the tme of the annual LTI awards in January 2023. The grant will be delivered in a combinaton of tme restricted RSUs (40%) which will vest ratably over 3 years from the grant date and Performance RSUs (60%) which, subject to the achievement of the performance metrics, will clif vest at the end of the applicable performance period. </w:t>
      </w:r>
    </w:p>
    <w:p>
      <w:pPr>
        <w:spacing w:after="0" w:line="198" w:lineRule="exact"/>
        <w:rPr>
          <w:sz w:val="20"/>
          <w:szCs w:val="20"/>
          <w:color w:val="auto"/>
        </w:rPr>
      </w:pPr>
    </w:p>
    <w:p>
      <w:pPr>
        <w:jc w:val="both"/>
        <w:spacing w:after="0" w:line="211" w:lineRule="auto"/>
        <w:rPr>
          <w:sz w:val="20"/>
          <w:szCs w:val="20"/>
          <w:color w:val="auto"/>
        </w:rPr>
      </w:pPr>
      <w:r>
        <w:rPr>
          <w:rFonts w:ascii="Calibri" w:cs="Calibri" w:eastAsia="Calibri" w:hAnsi="Calibri"/>
          <w:sz w:val="21"/>
          <w:szCs w:val="21"/>
          <w:color w:val="auto"/>
        </w:rPr>
        <w:t>Any future grants, annual and otherwise, will be at the discreton of the Board and subject to the terms and conditons of the current or future Long-Term Incentve Program in place. The award of any incentve is discretonary, and subject to approval of Management and to the Terms and Conditons of the Award Agreement.</w:t>
      </w:r>
    </w:p>
    <w:p>
      <w:pPr>
        <w:spacing w:after="0" w:line="195" w:lineRule="exact"/>
        <w:rPr>
          <w:sz w:val="20"/>
          <w:szCs w:val="20"/>
          <w:color w:val="auto"/>
        </w:rPr>
      </w:pPr>
    </w:p>
    <w:p>
      <w:pPr>
        <w:spacing w:after="0"/>
        <w:rPr>
          <w:sz w:val="20"/>
          <w:szCs w:val="20"/>
          <w:color w:val="auto"/>
        </w:rPr>
      </w:pPr>
      <w:r>
        <w:rPr>
          <w:rFonts w:ascii="Calibri" w:cs="Calibri" w:eastAsia="Calibri" w:hAnsi="Calibri"/>
          <w:sz w:val="21"/>
          <w:szCs w:val="21"/>
          <w:color w:val="auto"/>
        </w:rPr>
        <w:t>For future LTI awards your target award is set at 330% of your base salary, subject to board approval and discreton.</w:t>
      </w:r>
    </w:p>
    <w:p>
      <w:pPr>
        <w:spacing w:after="0" w:line="16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ADDITIONAL LONG-TERM INCENTIVE: WAGE (WEATHERFORD: ACCELERATING GROWTH &amp; EFFICIENCY)</w:t>
      </w:r>
    </w:p>
    <w:p>
      <w:pPr>
        <w:spacing w:after="0" w:line="198" w:lineRule="auto"/>
        <w:rPr>
          <w:sz w:val="20"/>
          <w:szCs w:val="20"/>
          <w:color w:val="auto"/>
        </w:rPr>
      </w:pPr>
      <w:r>
        <w:rPr>
          <w:rFonts w:ascii="Calibri" w:cs="Calibri" w:eastAsia="Calibri" w:hAnsi="Calibri"/>
          <w:sz w:val="21"/>
          <w:szCs w:val="21"/>
          <w:b w:val="1"/>
          <w:bCs w:val="1"/>
          <w:color w:val="CE1141"/>
        </w:rPr>
        <w:t>INTENDED AWARD OF 40,000 UNITS</w:t>
      </w:r>
    </w:p>
    <w:p>
      <w:pPr>
        <w:spacing w:after="0" w:line="1" w:lineRule="exact"/>
        <w:rPr>
          <w:sz w:val="20"/>
          <w:szCs w:val="20"/>
          <w:color w:val="auto"/>
        </w:rPr>
      </w:pPr>
    </w:p>
    <w:p>
      <w:pPr>
        <w:jc w:val="both"/>
        <w:spacing w:after="0" w:line="198" w:lineRule="auto"/>
        <w:rPr>
          <w:sz w:val="20"/>
          <w:szCs w:val="20"/>
          <w:color w:val="auto"/>
        </w:rPr>
      </w:pPr>
      <w:r>
        <w:rPr>
          <w:rFonts w:ascii="Calibri" w:cs="Calibri" w:eastAsia="Calibri" w:hAnsi="Calibri"/>
          <w:sz w:val="21"/>
          <w:szCs w:val="21"/>
          <w:color w:val="auto"/>
        </w:rPr>
        <w:t>Upon joining the company, you will receive a WAGE grant of 40,000 Performance Based Stock Units. Subject to the terms of the applicable award agreement, if the company achieves the identfed objectves during the performance period your PSU award will vest on January 2, 2025.</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SIGN ON CASH AWARD: $410,000</w:t>
      </w:r>
    </w:p>
    <w:p>
      <w:pPr>
        <w:jc w:val="both"/>
        <w:spacing w:after="0"/>
        <w:rPr>
          <w:sz w:val="20"/>
          <w:szCs w:val="20"/>
          <w:color w:val="auto"/>
        </w:rPr>
      </w:pPr>
      <w:r>
        <w:rPr>
          <w:rFonts w:ascii="Calibri" w:cs="Calibri" w:eastAsia="Calibri" w:hAnsi="Calibri"/>
          <w:sz w:val="21"/>
          <w:szCs w:val="21"/>
          <w:color w:val="auto"/>
        </w:rPr>
        <w:t>Upon your commencement of employment with the company, you will be awarded a cash incentve award in the total amount of US $410,000 payable on the frst pay period of March 2023. The award will be subject to withholding or other similar taxes, if applicable. Should you voluntarily resign your employment with Weatherford or if you are involuntarily terminated for cause within twelve (12) months of the payment, you agree to immediately repay the full amount which has been paid to you without proraton.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CE1141"/>
        </w:rPr>
        <w:t>RELOCATION</w:t>
      </w:r>
    </w:p>
    <w:p>
      <w:pPr>
        <w:spacing w:after="0" w:line="198" w:lineRule="auto"/>
        <w:rPr>
          <w:sz w:val="20"/>
          <w:szCs w:val="20"/>
          <w:color w:val="auto"/>
        </w:rPr>
      </w:pPr>
      <w:r>
        <w:rPr>
          <w:rFonts w:ascii="Calibri" w:cs="Calibri" w:eastAsia="Calibri" w:hAnsi="Calibri"/>
          <w:sz w:val="21"/>
          <w:szCs w:val="21"/>
          <w:color w:val="auto"/>
        </w:rPr>
        <w:t>Relocaton will be covered under the Weatherford Domestc Relocaton policy which will be provided to you.</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7038975</wp:posOffset>
            </wp:positionH>
            <wp:positionV relativeFrom="page">
              <wp:posOffset>88900</wp:posOffset>
            </wp:positionV>
            <wp:extent cx="302895" cy="302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302895" cy="30289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1207770</wp:posOffset>
            </wp:positionV>
            <wp:extent cx="50311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503110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21"/>
          <w:szCs w:val="21"/>
          <w:color w:val="auto"/>
        </w:rPr>
        <w:t>This ofer of employment and your subsequent employment with Weatherford are contngent upon the following conditons:</w:t>
      </w:r>
    </w:p>
    <w:p>
      <w:pPr>
        <w:spacing w:after="0" w:line="211" w:lineRule="exact"/>
        <w:rPr>
          <w:sz w:val="20"/>
          <w:szCs w:val="20"/>
          <w:color w:val="auto"/>
        </w:rPr>
      </w:pPr>
    </w:p>
    <w:p>
      <w:pPr>
        <w:ind w:left="640" w:hanging="316"/>
        <w:spacing w:after="0"/>
        <w:tabs>
          <w:tab w:leader="none" w:pos="635" w:val="left"/>
        </w:tabs>
        <w:numPr>
          <w:ilvl w:val="0"/>
          <w:numId w:val="33"/>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Proof of your right to work</w:t>
      </w:r>
      <w:r>
        <w:rPr>
          <w:rFonts w:ascii="Calibri" w:cs="Calibri" w:eastAsia="Calibri" w:hAnsi="Calibri"/>
          <w:sz w:val="21"/>
          <w:szCs w:val="21"/>
          <w:color w:val="auto"/>
        </w:rPr>
        <w:t>. You will be required to produce evidence that you have the legal right to work on your frst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day.</w:t>
      </w:r>
    </w:p>
    <w:p>
      <w:pPr>
        <w:spacing w:after="0" w:line="208" w:lineRule="exact"/>
        <w:rPr>
          <w:rFonts w:ascii="Times New Roman" w:cs="Times New Roman" w:eastAsia="Times New Roman" w:hAnsi="Times New Roman"/>
          <w:sz w:val="21"/>
          <w:szCs w:val="21"/>
          <w:color w:val="auto"/>
        </w:rPr>
      </w:pPr>
    </w:p>
    <w:p>
      <w:pPr>
        <w:ind w:left="640" w:hanging="316"/>
        <w:spacing w:after="0" w:line="204" w:lineRule="auto"/>
        <w:tabs>
          <w:tab w:leader="none" w:pos="635" w:val="left"/>
        </w:tabs>
        <w:numPr>
          <w:ilvl w:val="0"/>
          <w:numId w:val="33"/>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 xml:space="preserve">Satsfactory completon of a company medical examinaton / drug and alcohol test. </w:t>
      </w:r>
      <w:r>
        <w:rPr>
          <w:rFonts w:ascii="Calibri" w:cs="Calibri" w:eastAsia="Calibri" w:hAnsi="Calibri"/>
          <w:sz w:val="21"/>
          <w:szCs w:val="21"/>
          <w:color w:val="auto"/>
        </w:rPr>
        <w:t>You will be required to pass a drug</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and alcohol test and / or medical prior to commencing employment.</w:t>
      </w:r>
    </w:p>
    <w:p>
      <w:pPr>
        <w:spacing w:after="0" w:line="1" w:lineRule="exact"/>
        <w:rPr>
          <w:rFonts w:ascii="Times New Roman" w:cs="Times New Roman" w:eastAsia="Times New Roman" w:hAnsi="Times New Roman"/>
          <w:sz w:val="21"/>
          <w:szCs w:val="21"/>
          <w:color w:val="auto"/>
        </w:rPr>
      </w:pPr>
    </w:p>
    <w:p>
      <w:pPr>
        <w:ind w:left="640" w:hanging="316"/>
        <w:spacing w:after="0" w:line="204" w:lineRule="auto"/>
        <w:tabs>
          <w:tab w:leader="none" w:pos="635" w:val="left"/>
        </w:tabs>
        <w:numPr>
          <w:ilvl w:val="0"/>
          <w:numId w:val="33"/>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Receipt of background / reference check</w:t>
      </w:r>
      <w:r>
        <w:rPr>
          <w:rFonts w:ascii="Calibri" w:cs="Calibri" w:eastAsia="Calibri" w:hAnsi="Calibri"/>
          <w:sz w:val="21"/>
          <w:szCs w:val="21"/>
          <w:color w:val="auto"/>
        </w:rPr>
        <w:t>. You must complete the necessary background check and / or provide the names</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of referees (one of whom should be your most recent employer);</w:t>
      </w:r>
    </w:p>
    <w:p>
      <w:pPr>
        <w:spacing w:after="0" w:line="1" w:lineRule="exact"/>
        <w:rPr>
          <w:rFonts w:ascii="Times New Roman" w:cs="Times New Roman" w:eastAsia="Times New Roman" w:hAnsi="Times New Roman"/>
          <w:sz w:val="21"/>
          <w:szCs w:val="21"/>
          <w:color w:val="auto"/>
        </w:rPr>
      </w:pPr>
    </w:p>
    <w:p>
      <w:pPr>
        <w:jc w:val="both"/>
        <w:ind w:left="640" w:hanging="316"/>
        <w:spacing w:after="0" w:line="202" w:lineRule="auto"/>
        <w:tabs>
          <w:tab w:leader="none" w:pos="635" w:val="left"/>
        </w:tabs>
        <w:numPr>
          <w:ilvl w:val="0"/>
          <w:numId w:val="33"/>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 xml:space="preserve">Verifcaton of your qualifcatons by Weatherford. </w:t>
      </w:r>
      <w:r>
        <w:rPr>
          <w:rFonts w:ascii="Calibri" w:cs="Calibri" w:eastAsia="Calibri" w:hAnsi="Calibri"/>
          <w:sz w:val="21"/>
          <w:szCs w:val="21"/>
          <w:color w:val="auto"/>
        </w:rPr>
        <w:t>This will either form part of your background check or you will be</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required to produce evidence of your educatonal / professional qualifcatons to the company before or on the frst day of your employment.</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auto"/>
        </w:rPr>
        <w:t>By acceptng this ofer of employment, you certfy that:</w:t>
      </w:r>
    </w:p>
    <w:p>
      <w:pPr>
        <w:spacing w:after="0" w:line="198" w:lineRule="exact"/>
        <w:rPr>
          <w:sz w:val="20"/>
          <w:szCs w:val="20"/>
          <w:color w:val="auto"/>
        </w:rPr>
      </w:pPr>
    </w:p>
    <w:p>
      <w:pPr>
        <w:ind w:left="320" w:right="160" w:hanging="314"/>
        <w:spacing w:after="0" w:line="211" w:lineRule="auto"/>
        <w:tabs>
          <w:tab w:leader="none" w:pos="315"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21"/>
          <w:szCs w:val="21"/>
          <w:color w:val="auto"/>
        </w:rPr>
        <w:t>You will abide by the terms of any enforceable non-competton agreement you have with your current employer and confrm the fact that you will not bring with you to Weatherford, nor at any tme atempt to use, any confdental, non-public informaton of your current or past employers in the performance of your work for Weatherford.</w:t>
      </w:r>
    </w:p>
    <w:p>
      <w:pPr>
        <w:spacing w:after="0" w:line="198" w:lineRule="exact"/>
        <w:rPr>
          <w:sz w:val="20"/>
          <w:szCs w:val="20"/>
          <w:color w:val="auto"/>
        </w:rPr>
      </w:pPr>
    </w:p>
    <w:p>
      <w:pPr>
        <w:spacing w:after="0" w:line="217" w:lineRule="auto"/>
        <w:rPr>
          <w:sz w:val="20"/>
          <w:szCs w:val="20"/>
          <w:color w:val="auto"/>
        </w:rPr>
      </w:pPr>
      <w:r>
        <w:rPr>
          <w:rFonts w:ascii="Calibri" w:cs="Calibri" w:eastAsia="Calibri" w:hAnsi="Calibri"/>
          <w:sz w:val="21"/>
          <w:szCs w:val="21"/>
          <w:color w:val="auto"/>
        </w:rPr>
        <w:t>This leter does not represent an ofer of employment for any specifed term. Your employment will be at will, which means that either you or Weatherford may terminate your employment at any tme for any reason or no reason whatsoever.</w:t>
      </w:r>
    </w:p>
    <w:p>
      <w:pPr>
        <w:spacing w:after="0" w:line="199" w:lineRule="exact"/>
        <w:rPr>
          <w:sz w:val="20"/>
          <w:szCs w:val="20"/>
          <w:color w:val="auto"/>
        </w:rPr>
      </w:pPr>
    </w:p>
    <w:p>
      <w:pPr>
        <w:spacing w:after="0" w:line="217" w:lineRule="auto"/>
        <w:rPr>
          <w:sz w:val="20"/>
          <w:szCs w:val="20"/>
          <w:color w:val="auto"/>
        </w:rPr>
      </w:pPr>
      <w:r>
        <w:rPr>
          <w:rFonts w:ascii="Calibri" w:cs="Calibri" w:eastAsia="Calibri" w:hAnsi="Calibri"/>
          <w:sz w:val="21"/>
          <w:szCs w:val="21"/>
          <w:color w:val="auto"/>
        </w:rPr>
        <w:t>Please confrm your acceptance of this ofer by electronically signing this ofer leter. Upon your acceptance of this ofer, you will be contacted to schedule a convenient tme and locaton for the company medical / drug and alcohol test.</w:t>
      </w:r>
    </w:p>
    <w:p>
      <w:pPr>
        <w:spacing w:after="0" w:line="199" w:lineRule="exact"/>
        <w:rPr>
          <w:sz w:val="20"/>
          <w:szCs w:val="20"/>
          <w:color w:val="auto"/>
        </w:rPr>
      </w:pPr>
    </w:p>
    <w:p>
      <w:pPr>
        <w:ind w:right="20"/>
        <w:spacing w:after="0" w:line="217" w:lineRule="auto"/>
        <w:rPr>
          <w:sz w:val="20"/>
          <w:szCs w:val="20"/>
          <w:color w:val="auto"/>
        </w:rPr>
      </w:pPr>
      <w:r>
        <w:rPr>
          <w:rFonts w:ascii="Calibri" w:cs="Calibri" w:eastAsia="Calibri" w:hAnsi="Calibri"/>
          <w:sz w:val="21"/>
          <w:szCs w:val="21"/>
          <w:color w:val="auto"/>
        </w:rPr>
        <w:t>We are excited to have you join us and look forward to working together to make Weatherford a leader in the oilfeld service marketplace.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6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Calibri" w:cs="Calibri" w:eastAsia="Calibri" w:hAnsi="Calibri"/>
                <w:sz w:val="21"/>
                <w:szCs w:val="21"/>
                <w:color w:val="auto"/>
              </w:rPr>
              <w:t>Printed Name</w:t>
            </w:r>
          </w:p>
        </w:tc>
        <w:tc>
          <w:tcPr>
            <w:tcW w:w="7880" w:type="dxa"/>
            <w:vAlign w:val="bottom"/>
            <w:tcBorders>
              <w:top w:val="single" w:sz="8" w:color="BFBFBF"/>
              <w:bottom w:val="single" w:sz="8" w:color="BFBFBF"/>
            </w:tcBorders>
          </w:tcPr>
          <w:p>
            <w:pPr>
              <w:ind w:left="60"/>
              <w:spacing w:after="0"/>
              <w:rPr>
                <w:sz w:val="20"/>
                <w:szCs w:val="20"/>
                <w:color w:val="auto"/>
              </w:rPr>
            </w:pPr>
            <w:r>
              <w:rPr>
                <w:rFonts w:ascii="Calibri" w:cs="Calibri" w:eastAsia="Calibri" w:hAnsi="Calibri"/>
                <w:sz w:val="21"/>
                <w:szCs w:val="21"/>
                <w:b w:val="1"/>
                <w:bCs w:val="1"/>
                <w:color w:val="auto"/>
              </w:rPr>
              <w:t>Arun Mitra</w:t>
            </w:r>
          </w:p>
        </w:tc>
      </w:tr>
      <w:tr>
        <w:trPr>
          <w:trHeight w:val="263"/>
        </w:trPr>
        <w:tc>
          <w:tcPr>
            <w:tcW w:w="3360" w:type="dxa"/>
            <w:vAlign w:val="bottom"/>
            <w:tcBorders>
              <w:right w:val="single" w:sz="8" w:color="BFBFBF"/>
            </w:tcBorders>
          </w:tcPr>
          <w:p>
            <w:pPr>
              <w:ind w:left="80"/>
              <w:spacing w:after="0"/>
              <w:rPr>
                <w:sz w:val="20"/>
                <w:szCs w:val="20"/>
                <w:color w:val="auto"/>
              </w:rPr>
            </w:pPr>
            <w:r>
              <w:rPr>
                <w:rFonts w:ascii="Calibri" w:cs="Calibri" w:eastAsia="Calibri" w:hAnsi="Calibri"/>
                <w:sz w:val="21"/>
                <w:szCs w:val="21"/>
                <w:color w:val="auto"/>
              </w:rPr>
              <w:t>Signature</w:t>
            </w:r>
          </w:p>
        </w:tc>
        <w:tc>
          <w:tcPr>
            <w:tcW w:w="7880" w:type="dxa"/>
            <w:vAlign w:val="bottom"/>
          </w:tcPr>
          <w:p>
            <w:pPr>
              <w:spacing w:after="0"/>
              <w:rPr>
                <w:sz w:val="20"/>
                <w:szCs w:val="20"/>
                <w:color w:val="auto"/>
              </w:rPr>
            </w:pPr>
            <w:r>
              <w:rPr>
                <w:rFonts w:ascii="Calibri" w:cs="Calibri" w:eastAsia="Calibri" w:hAnsi="Calibri"/>
                <w:sz w:val="21"/>
                <w:szCs w:val="21"/>
                <w:color w:val="auto"/>
              </w:rPr>
              <w:t>/s/ Arun Mitra</w:t>
            </w:r>
          </w:p>
        </w:tc>
      </w:tr>
      <w:tr>
        <w:trPr>
          <w:trHeight w:val="67"/>
        </w:trPr>
        <w:tc>
          <w:tcPr>
            <w:tcW w:w="3360" w:type="dxa"/>
            <w:vAlign w:val="bottom"/>
            <w:tcBorders>
              <w:bottom w:val="single" w:sz="8" w:color="BFBFBF"/>
              <w:right w:val="single" w:sz="8" w:color="BFBFBF"/>
            </w:tcBorders>
          </w:tcPr>
          <w:p>
            <w:pPr>
              <w:spacing w:after="0"/>
              <w:rPr>
                <w:sz w:val="5"/>
                <w:szCs w:val="5"/>
                <w:color w:val="auto"/>
              </w:rPr>
            </w:pPr>
          </w:p>
        </w:tc>
        <w:tc>
          <w:tcPr>
            <w:tcW w:w="7880" w:type="dxa"/>
            <w:vAlign w:val="bottom"/>
            <w:tcBorders>
              <w:bottom w:val="single" w:sz="8" w:color="BFBFBF"/>
            </w:tcBorders>
          </w:tcPr>
          <w:p>
            <w:pPr>
              <w:spacing w:after="0"/>
              <w:rPr>
                <w:sz w:val="5"/>
                <w:szCs w:val="5"/>
                <w:color w:val="auto"/>
              </w:rPr>
            </w:pPr>
          </w:p>
        </w:tc>
      </w:tr>
      <w:tr>
        <w:trPr>
          <w:trHeight w:val="257"/>
        </w:trPr>
        <w:tc>
          <w:tcPr>
            <w:tcW w:w="3360" w:type="dxa"/>
            <w:vAlign w:val="bottom"/>
            <w:tcBorders>
              <w:right w:val="single" w:sz="8" w:color="BFBFBF"/>
            </w:tcBorders>
          </w:tcPr>
          <w:p>
            <w:pPr>
              <w:ind w:left="80"/>
              <w:spacing w:after="0"/>
              <w:rPr>
                <w:sz w:val="20"/>
                <w:szCs w:val="20"/>
                <w:color w:val="auto"/>
              </w:rPr>
            </w:pPr>
            <w:r>
              <w:rPr>
                <w:rFonts w:ascii="Calibri" w:cs="Calibri" w:eastAsia="Calibri" w:hAnsi="Calibri"/>
                <w:sz w:val="21"/>
                <w:szCs w:val="21"/>
                <w:color w:val="auto"/>
              </w:rPr>
              <w:t>Date</w:t>
            </w:r>
          </w:p>
        </w:tc>
        <w:tc>
          <w:tcPr>
            <w:tcW w:w="7880" w:type="dxa"/>
            <w:vAlign w:val="bottom"/>
          </w:tcPr>
          <w:p>
            <w:pPr>
              <w:spacing w:after="0"/>
              <w:rPr>
                <w:sz w:val="20"/>
                <w:szCs w:val="20"/>
                <w:color w:val="auto"/>
              </w:rPr>
            </w:pPr>
            <w:r>
              <w:rPr>
                <w:rFonts w:ascii="Calibri" w:cs="Calibri" w:eastAsia="Calibri" w:hAnsi="Calibri"/>
                <w:sz w:val="21"/>
                <w:szCs w:val="21"/>
                <w:color w:val="auto"/>
              </w:rPr>
              <w:t>11/15/2022</w:t>
            </w:r>
          </w:p>
        </w:tc>
      </w:tr>
      <w:tr>
        <w:trPr>
          <w:trHeight w:val="67"/>
        </w:trPr>
        <w:tc>
          <w:tcPr>
            <w:tcW w:w="3360" w:type="dxa"/>
            <w:vAlign w:val="bottom"/>
            <w:tcBorders>
              <w:bottom w:val="single" w:sz="8" w:color="BFBFBF"/>
              <w:right w:val="single" w:sz="8" w:color="BFBFBF"/>
            </w:tcBorders>
          </w:tcPr>
          <w:p>
            <w:pPr>
              <w:spacing w:after="0"/>
              <w:rPr>
                <w:sz w:val="5"/>
                <w:szCs w:val="5"/>
                <w:color w:val="auto"/>
              </w:rPr>
            </w:pPr>
          </w:p>
        </w:tc>
        <w:tc>
          <w:tcPr>
            <w:tcW w:w="7880" w:type="dxa"/>
            <w:vAlign w:val="bottom"/>
            <w:tcBorders>
              <w:bottom w:val="single" w:sz="8" w:color="BFBFBF"/>
            </w:tcBorders>
          </w:tcPr>
          <w:p>
            <w:pPr>
              <w:spacing w:after="0"/>
              <w:rPr>
                <w:sz w:val="5"/>
                <w:szCs w:val="5"/>
                <w:color w:val="auto"/>
              </w:rPr>
            </w:pPr>
          </w:p>
        </w:tc>
      </w:tr>
    </w:tbl>
    <w:p>
      <w:pPr>
        <w:sectPr>
          <w:pgSz w:w="11900" w:h="16838" w:orient="portrait"/>
          <w:cols w:equalWidth="0" w:num="1">
            <w:col w:w="11240"/>
          </w:cols>
          <w:pgMar w:left="320" w:top="144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&amp; RESTATED</w:t>
      </w:r>
    </w:p>
    <w:p>
      <w:pPr>
        <w:jc w:val="center"/>
        <w:spacing w:after="0" w:line="210" w:lineRule="auto"/>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SEVERANCE PLAN</w:t>
      </w:r>
    </w:p>
    <w:p>
      <w:pPr>
        <w:spacing w:after="0" w:line="155" w:lineRule="exact"/>
        <w:rPr>
          <w:sz w:val="20"/>
          <w:szCs w:val="20"/>
          <w:color w:val="auto"/>
        </w:rPr>
      </w:pPr>
    </w:p>
    <w:p>
      <w:pPr>
        <w:ind w:right="660" w:firstLine="1272"/>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Weatherford International plc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considers it essential to the best interests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its stockholders to foster the continued employment of its executives; and</w:t>
      </w:r>
    </w:p>
    <w:p>
      <w:pPr>
        <w:spacing w:after="0" w:line="135" w:lineRule="exact"/>
        <w:rPr>
          <w:sz w:val="20"/>
          <w:szCs w:val="20"/>
          <w:color w:val="auto"/>
        </w:rPr>
      </w:pPr>
    </w:p>
    <w:p>
      <w:pPr>
        <w:ind w:right="320" w:firstLine="1272"/>
        <w:spacing w:after="0" w:line="23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has determined to adopt this Weatherford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plc Executive Severance Plan (this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to provide stability and reinforce and encourage the continued attention and dedication of the Company’s executives to the Company;</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adopted this Plan as of November 1, 2021; and</w:t>
      </w:r>
    </w:p>
    <w:p>
      <w:pPr>
        <w:spacing w:after="0" w:line="183" w:lineRule="exact"/>
        <w:rPr>
          <w:sz w:val="20"/>
          <w:szCs w:val="20"/>
          <w:color w:val="auto"/>
        </w:rPr>
      </w:pPr>
    </w:p>
    <w:p>
      <w:pPr>
        <w:jc w:val="both"/>
        <w:ind w:right="140" w:firstLine="1272"/>
        <w:spacing w:after="0" w:line="23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following the Board’s enactment of the Plan, the Board delegated the administration of the Plan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&amp; Human Resources Committee of the Board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and the Committee reviewed the Plan desires to amend the Plan as reflected below.</w:t>
      </w:r>
    </w:p>
    <w:p>
      <w:pPr>
        <w:spacing w:after="0" w:line="145" w:lineRule="exact"/>
        <w:rPr>
          <w:sz w:val="20"/>
          <w:szCs w:val="20"/>
          <w:color w:val="auto"/>
        </w:rPr>
      </w:pPr>
    </w:p>
    <w:p>
      <w:pPr>
        <w:ind w:right="80" w:firstLine="1272"/>
        <w:spacing w:after="0" w:line="233" w:lineRule="auto"/>
        <w:rPr>
          <w:sz w:val="20"/>
          <w:szCs w:val="20"/>
          <w:color w:val="auto"/>
        </w:rPr>
      </w:pPr>
      <w:r>
        <w:rPr>
          <w:rFonts w:ascii="Times New Roman" w:cs="Times New Roman" w:eastAsia="Times New Roman" w:hAnsi="Times New Roman"/>
          <w:sz w:val="21"/>
          <w:szCs w:val="21"/>
          <w:b w:val="1"/>
          <w:bCs w:val="1"/>
          <w:color w:val="auto"/>
        </w:rPr>
        <w:t>NOW, THEREFORE, BE IT RESOLVED</w:t>
      </w:r>
      <w:r>
        <w:rPr>
          <w:rFonts w:ascii="Times New Roman" w:cs="Times New Roman" w:eastAsia="Times New Roman" w:hAnsi="Times New Roman"/>
          <w:sz w:val="21"/>
          <w:szCs w:val="21"/>
          <w:color w:val="auto"/>
        </w:rPr>
        <w:t>, that the Committee does hereby amend and restate the Plan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below effective as of November 30, 2022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for the benefit of the Company’s executives on the terms and conditions hereinafter stated.</w:t>
      </w:r>
    </w:p>
    <w:p>
      <w:pPr>
        <w:spacing w:after="0" w:line="147"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As hereinafter used:</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right="120" w:firstLine="1272"/>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shall mean the sum of (i) the Participant’s Base Salary through the Employment Termination Date for periods through but not following his or her Employment Termination Date and (ii) any accrued vacation pay earned by the Participant, in each case, to the extent not theretofore paid.</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shall have the meaning set forth in Rule 12b-2 of the Exchange Act.</w:t>
      </w:r>
    </w:p>
    <w:p>
      <w:pPr>
        <w:spacing w:after="0" w:line="183" w:lineRule="exact"/>
        <w:rPr>
          <w:sz w:val="20"/>
          <w:szCs w:val="20"/>
          <w:color w:val="auto"/>
        </w:rPr>
      </w:pPr>
    </w:p>
    <w:p>
      <w:pPr>
        <w:ind w:right="1180" w:firstLine="1272"/>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shall mean the Participant’s annual bonus under the then-current non-equity incentive compensation plan of the Company and any of its Affiliates.</w:t>
      </w:r>
    </w:p>
    <w:p>
      <w:pPr>
        <w:spacing w:after="0" w:line="135" w:lineRule="exact"/>
        <w:rPr>
          <w:sz w:val="20"/>
          <w:szCs w:val="20"/>
          <w:color w:val="auto"/>
        </w:rPr>
      </w:pPr>
    </w:p>
    <w:p>
      <w:pPr>
        <w:ind w:right="540" w:firstLine="1272"/>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Multiple</w:t>
      </w:r>
      <w:r>
        <w:rPr>
          <w:rFonts w:ascii="Times New Roman" w:cs="Times New Roman" w:eastAsia="Times New Roman" w:hAnsi="Times New Roman"/>
          <w:sz w:val="21"/>
          <w:szCs w:val="21"/>
          <w:color w:val="auto"/>
        </w:rPr>
        <w:t>” shall mean (i) one and a half times for the President and Chief Executive Officer of the Company and (ii) one times for other Participants.</w:t>
      </w:r>
    </w:p>
    <w:p>
      <w:pPr>
        <w:spacing w:after="0" w:line="135" w:lineRule="exact"/>
        <w:rPr>
          <w:sz w:val="20"/>
          <w:szCs w:val="20"/>
          <w:color w:val="auto"/>
        </w:rPr>
      </w:pPr>
    </w:p>
    <w:p>
      <w:pPr>
        <w:ind w:right="480" w:firstLine="1272"/>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shall mean the annual base salary paid by the Company or any of its Affiliates to the Participant, including any portion thereof that such Participant could have received in cash in lieu of any elective deferrals, but excluding amounts received under any non-equity incentive or other bonus plan.</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shall have the meaning set forth in Rule 13d-3 of the Exchange Act.</w:t>
      </w:r>
    </w:p>
    <w:p>
      <w:pPr>
        <w:spacing w:after="0" w:line="183" w:lineRule="exact"/>
        <w:rPr>
          <w:sz w:val="20"/>
          <w:szCs w:val="20"/>
          <w:color w:val="auto"/>
        </w:rPr>
      </w:pPr>
    </w:p>
    <w:p>
      <w:pPr>
        <w:ind w:right="180" w:firstLine="1272"/>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Obligations</w:t>
      </w:r>
      <w:r>
        <w:rPr>
          <w:rFonts w:ascii="Times New Roman" w:cs="Times New Roman" w:eastAsia="Times New Roman" w:hAnsi="Times New Roman"/>
          <w:sz w:val="21"/>
          <w:szCs w:val="21"/>
          <w:color w:val="auto"/>
        </w:rPr>
        <w:t>” shall mean all benefits to which the Participant (or his or her designated beneficiary or legal representative, as applicable) is entitled or vested (or becomes entitled or vested as a result of termination) under the terms of all Benefit Plans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40"/>
          </w:cols>
          <w:pgMar w:left="320" w:top="9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1"/>
          <w:szCs w:val="21"/>
          <w:color w:val="auto"/>
        </w:rPr>
        <w:t>Participant is a participant as of the Participant’s termination of employment and to the extent not theretofore paid or provided.</w:t>
      </w:r>
    </w:p>
    <w:p>
      <w:pPr>
        <w:spacing w:after="0" w:line="179" w:lineRule="exact"/>
        <w:rPr>
          <w:sz w:val="20"/>
          <w:szCs w:val="20"/>
          <w:color w:val="auto"/>
        </w:rPr>
      </w:pPr>
    </w:p>
    <w:p>
      <w:pPr>
        <w:ind w:right="440" w:firstLine="1272"/>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Plans</w:t>
      </w:r>
      <w:r>
        <w:rPr>
          <w:rFonts w:ascii="Times New Roman" w:cs="Times New Roman" w:eastAsia="Times New Roman" w:hAnsi="Times New Roman"/>
          <w:sz w:val="21"/>
          <w:szCs w:val="21"/>
          <w:color w:val="auto"/>
        </w:rPr>
        <w:t>” shall mean all employee benefit and compensation plans, agreements, arrangements, programs, policies, practices, contracts or agreement of the Company and its Affiliates</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shall have the meaning set forth in the recitals.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the occurrence of any of the following:</w:t>
      </w:r>
    </w:p>
    <w:p>
      <w:pPr>
        <w:spacing w:after="0" w:line="187" w:lineRule="exact"/>
        <w:rPr>
          <w:sz w:val="20"/>
          <w:szCs w:val="20"/>
          <w:color w:val="auto"/>
        </w:rPr>
      </w:pPr>
    </w:p>
    <w:p>
      <w:pPr>
        <w:ind w:right="260" w:firstLine="1278"/>
        <w:spacing w:after="0" w:line="223" w:lineRule="auto"/>
        <w:tabs>
          <w:tab w:leader="none" w:pos="189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willful and continued failure of the Participant to substantially perform the Participant’s duties with the Company (other than any such failure resulting from incapacity due to physical or mental illness), after a written demand for substantial performance is delivered to the Participant by the Company that specifically identifies the manner in which the Participant has not substantially performed the Participant’s duties, and after the Participant fails to take the corrective action(s) identified by the Company within [15-30] days of delivery to Participant of such written demand;</w:t>
      </w:r>
    </w:p>
    <w:p>
      <w:pPr>
        <w:spacing w:after="0" w:line="150"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willfully engaging in illegal conduct;</w:t>
      </w:r>
    </w:p>
    <w:p>
      <w:pPr>
        <w:spacing w:after="0" w:line="182" w:lineRule="exact"/>
        <w:rPr>
          <w:rFonts w:ascii="Times New Roman" w:cs="Times New Roman" w:eastAsia="Times New Roman" w:hAnsi="Times New Roman"/>
          <w:sz w:val="21"/>
          <w:szCs w:val="21"/>
          <w:color w:val="auto"/>
        </w:rPr>
      </w:pPr>
    </w:p>
    <w:p>
      <w:pPr>
        <w:ind w:firstLine="1278"/>
        <w:spacing w:after="0" w:line="245" w:lineRule="auto"/>
        <w:tabs>
          <w:tab w:leader="none" w:pos="190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willfully engaging in gross misconduct that results or could reasonably be expected to result in harm to the Company’s or any of its Affiliates’ business or reputation;</w:t>
      </w:r>
    </w:p>
    <w:p>
      <w:pPr>
        <w:spacing w:after="0" w:line="142" w:lineRule="exact"/>
        <w:rPr>
          <w:rFonts w:ascii="Times New Roman" w:cs="Times New Roman" w:eastAsia="Times New Roman" w:hAnsi="Times New Roman"/>
          <w:sz w:val="21"/>
          <w:szCs w:val="21"/>
          <w:color w:val="auto"/>
        </w:rPr>
      </w:pPr>
    </w:p>
    <w:p>
      <w:pPr>
        <w:jc w:val="both"/>
        <w:ind w:right="260" w:firstLine="1278"/>
        <w:spacing w:after="0" w:line="232" w:lineRule="auto"/>
        <w:tabs>
          <w:tab w:leader="none" w:pos="189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material breach of any written agreements with or material policies of the Company or its Affiliates, including, but not limited to, those relating to discrimination, harassment, performance of illegal or unethical activities and ethical misconduct; or</w:t>
      </w:r>
    </w:p>
    <w:p>
      <w:pPr>
        <w:spacing w:after="0" w:line="142"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violation of any fiduciary duty or duty of loyalty owed to the Company or any of its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Affiliates.</w:t>
      </w:r>
    </w:p>
    <w:p>
      <w:pPr>
        <w:spacing w:after="0" w:line="155"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21"/>
          <w:szCs w:val="21"/>
          <w:color w:val="auto"/>
        </w:rPr>
        <w:t>No act, or failure to act, on the part of the Participant shall be considered “</w:t>
      </w:r>
      <w:r>
        <w:rPr>
          <w:rFonts w:ascii="Times New Roman" w:cs="Times New Roman" w:eastAsia="Times New Roman" w:hAnsi="Times New Roman"/>
          <w:sz w:val="21"/>
          <w:szCs w:val="21"/>
          <w:b w:val="1"/>
          <w:bCs w:val="1"/>
          <w:color w:val="auto"/>
        </w:rPr>
        <w:t>willful</w:t>
      </w:r>
      <w:r>
        <w:rPr>
          <w:rFonts w:ascii="Times New Roman" w:cs="Times New Roman" w:eastAsia="Times New Roman" w:hAnsi="Times New Roman"/>
          <w:sz w:val="21"/>
          <w:szCs w:val="21"/>
          <w:color w:val="auto"/>
        </w:rPr>
        <w:t>” unless it is done, or omitted to be done, by the Participant in bad faith or without reasonable belief that the Participant’s action or omission was in the best interests of the Company.</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shall have the meaning set forth in the recitals.</w:t>
      </w:r>
    </w:p>
    <w:p>
      <w:pPr>
        <w:spacing w:after="0" w:line="183" w:lineRule="exact"/>
        <w:rPr>
          <w:sz w:val="20"/>
          <w:szCs w:val="20"/>
          <w:color w:val="auto"/>
        </w:rPr>
      </w:pPr>
    </w:p>
    <w:p>
      <w:pPr>
        <w:ind w:right="80" w:firstLine="1272"/>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shall have the meaning set forth in the recitals, and shall include (i) any successor to Weatherford International plc (or any successor to it), including but not limited to any entity into which Weatherford International plc is merged, consolidated or amalgamated, and (ii) any Affiliate of the Company, as applicable, to the extent the Participant is employed by or seconded to any such Affiliate or any entity to which the Company may assign this Plan in accordance with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shall have the meaning set forth in the recitals.</w:t>
      </w:r>
    </w:p>
    <w:p>
      <w:pPr>
        <w:spacing w:after="0" w:line="183" w:lineRule="exact"/>
        <w:rPr>
          <w:sz w:val="20"/>
          <w:szCs w:val="20"/>
          <w:color w:val="auto"/>
        </w:rPr>
      </w:pPr>
    </w:p>
    <w:p>
      <w:pPr>
        <w:ind w:right="120" w:firstLine="1272"/>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Employment Termination Date</w:t>
      </w:r>
      <w:r>
        <w:rPr>
          <w:rFonts w:ascii="Times New Roman" w:cs="Times New Roman" w:eastAsia="Times New Roman" w:hAnsi="Times New Roman"/>
          <w:sz w:val="21"/>
          <w:szCs w:val="21"/>
          <w:color w:val="auto"/>
        </w:rPr>
        <w:t>” shall mean the date on which a Participant has a “separation from service” from the Company within the meaning of Section 409A of the Code.</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shall mean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20"/>
          </w:cols>
          <w:pgMar w:left="320" w:top="1371" w:right="359" w:bottom="1440" w:gutter="0" w:footer="0" w:header="0"/>
        </w:sectPr>
      </w:pPr>
    </w:p>
    <w:bookmarkStart w:id="98" w:name="page99"/>
    <w:bookmarkEnd w:id="98"/>
    <w:p>
      <w:pPr>
        <w:ind w:right="260" w:firstLine="1272"/>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means an employee of the Company who has been designated as eligible to participate in the Plan by the Committee from time to time. For the avoidance of doubt, the Committee shall have the authority to designate additional employees as eligible to participate in the Plan and remove employees from being eligible to participate in the Plan in its sole discretion.</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the occurrence of any of the following without the express written consent of the</w:t>
      </w: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159" w:lineRule="exact"/>
        <w:rPr>
          <w:sz w:val="20"/>
          <w:szCs w:val="20"/>
          <w:color w:val="auto"/>
        </w:rPr>
      </w:pPr>
    </w:p>
    <w:p>
      <w:pPr>
        <w:ind w:right="20" w:firstLine="1278"/>
        <w:spacing w:after="0" w:line="226" w:lineRule="auto"/>
        <w:tabs>
          <w:tab w:leader="none" w:pos="189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Participant’s Total Annual Target Direct Compensation, as established by the Committee (for the case of the CEO or Executive Vice Presidents) or by the Company (for the case of Senior Vice Presidents), from the levels then in effect, except if such reduction is part of a cost reduction initiative that applies to and affects all executive officers of the Company and/or all executive officers of any Person that controls the Company equally and proportionately; or</w:t>
      </w:r>
    </w:p>
    <w:p>
      <w:pPr>
        <w:spacing w:after="0" w:line="150" w:lineRule="exact"/>
        <w:rPr>
          <w:rFonts w:ascii="Times New Roman" w:cs="Times New Roman" w:eastAsia="Times New Roman" w:hAnsi="Times New Roman"/>
          <w:sz w:val="21"/>
          <w:szCs w:val="21"/>
          <w:color w:val="auto"/>
        </w:rPr>
      </w:pPr>
    </w:p>
    <w:p>
      <w:pPr>
        <w:ind w:right="140" w:firstLine="1278"/>
        <w:spacing w:after="0" w:line="232" w:lineRule="auto"/>
        <w:tabs>
          <w:tab w:leader="none" w:pos="190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Participants who have a principal office located at the Company’s Houston, Texas headquarters location, the relocation of the Participant’s principal office to an area more than 50 miles from its location immediately prior to such relocation;</w:t>
      </w:r>
    </w:p>
    <w:p>
      <w:pPr>
        <w:spacing w:after="0" w:line="14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no such event described above shall constitute “Good Reason” unless the Participant provides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with notice of Good Reason setting forth the event that the Participant believes in good faith constitutes Good Reason within 45 days following the Participant’s knowledge of such event;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 such event described above shall constitute Good Reason if the Company cures such event within 30 days following the Company’s receipt of such notice.</w:t>
      </w:r>
    </w:p>
    <w:p>
      <w:pPr>
        <w:spacing w:after="0" w:line="171" w:lineRule="exact"/>
        <w:rPr>
          <w:sz w:val="20"/>
          <w:szCs w:val="20"/>
          <w:color w:val="auto"/>
        </w:rPr>
      </w:pPr>
    </w:p>
    <w:p>
      <w:pPr>
        <w:ind w:right="60" w:firstLine="1272"/>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Independent Tax Advisor</w:t>
      </w:r>
      <w:r>
        <w:rPr>
          <w:rFonts w:ascii="Times New Roman" w:cs="Times New Roman" w:eastAsia="Times New Roman" w:hAnsi="Times New Roman"/>
          <w:sz w:val="21"/>
          <w:szCs w:val="21"/>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shall be acceptable to the Participant (the Participant’s acceptance not to be unreasonably withheld), and all of whose fees and disbursements shall be paid by the Company.</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Severance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right="640" w:firstLine="1272"/>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xml:space="preserve">” shall mean each Executive who is entitled to severance benefits under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based on the provisions hereof.</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firstLine="1272"/>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shall have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20"/>
          </w:cols>
          <w:pgMar w:left="320" w:top="1367" w:right="359" w:bottom="1440" w:gutter="0" w:footer="0" w:header="0"/>
        </w:sectPr>
      </w:pPr>
    </w:p>
    <w:bookmarkStart w:id="99" w:name="page100"/>
    <w:bookmarkEnd w:id="99"/>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Q/A-24(c) Payments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RCA</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Reduced Amount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183" w:lineRule="exact"/>
        <w:rPr>
          <w:sz w:val="20"/>
          <w:szCs w:val="20"/>
          <w:color w:val="auto"/>
        </w:rPr>
      </w:pPr>
    </w:p>
    <w:p>
      <w:pPr>
        <w:ind w:right="260" w:firstLine="1272"/>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Annual Target Direct Compensation</w:t>
      </w:r>
      <w:r>
        <w:rPr>
          <w:rFonts w:ascii="Times New Roman" w:cs="Times New Roman" w:eastAsia="Times New Roman" w:hAnsi="Times New Roman"/>
          <w:sz w:val="21"/>
          <w:szCs w:val="21"/>
          <w:color w:val="auto"/>
        </w:rPr>
        <w:t>” means the sum of (i) annual base salary and (ii) annual short-term incentive opportunity at target.</w:t>
      </w:r>
    </w:p>
    <w:p>
      <w:pPr>
        <w:spacing w:after="0" w:line="137"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1"/>
          <w:szCs w:val="21"/>
          <w:i w:val="1"/>
          <w:iCs w:val="1"/>
          <w:color w:val="auto"/>
        </w:rPr>
        <w:t>Severance Eligibility and Payments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right="480" w:firstLine="1272"/>
        <w:spacing w:after="0" w:line="232" w:lineRule="auto"/>
        <w:rPr>
          <w:sz w:val="20"/>
          <w:szCs w:val="20"/>
          <w:color w:val="auto"/>
        </w:rPr>
      </w:pPr>
      <w:r>
        <w:rPr>
          <w:rFonts w:ascii="Times New Roman" w:cs="Times New Roman" w:eastAsia="Times New Roman" w:hAnsi="Times New Roman"/>
          <w:sz w:val="21"/>
          <w:szCs w:val="21"/>
          <w:color w:val="auto"/>
        </w:rPr>
        <w:t xml:space="preserve">2.1 Notwithstanding anything else in this Plan to the contrary, a Participant shall only be entitled to the compensation and benefits provided under this Plan if the Participant has executed the confidentiality and restrictive covenant agreement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RCA</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firstLine="1272"/>
        <w:spacing w:after="0" w:line="227"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i w:val="1"/>
          <w:iCs w:val="1"/>
          <w:color w:val="auto"/>
        </w:rPr>
        <w:t>Benefits Upon Qualifying Termination</w:t>
      </w:r>
      <w:r>
        <w:rPr>
          <w:rFonts w:ascii="Times New Roman" w:cs="Times New Roman" w:eastAsia="Times New Roman" w:hAnsi="Times New Roman"/>
          <w:sz w:val="21"/>
          <w:szCs w:val="21"/>
          <w:color w:val="auto"/>
        </w:rPr>
        <w:t>. Upon a termination of the Participant’s employment relationship with the Company by the Company without Cause or by the Participant for Good Reason (such termination, a “</w:t>
      </w:r>
      <w:r>
        <w:rPr>
          <w:rFonts w:ascii="Times New Roman" w:cs="Times New Roman" w:eastAsia="Times New Roman" w:hAnsi="Times New Roman"/>
          <w:sz w:val="21"/>
          <w:szCs w:val="21"/>
          <w:b w:val="1"/>
          <w:bCs w:val="1"/>
          <w:color w:val="auto"/>
        </w:rPr>
        <w:t>Qualifying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then the Participant shall be entitled to the following, in lieu of any severance payments or benefits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to the Participant under any plan or arrangement between the Company or any of its Affiliates and the Participant:</w:t>
      </w:r>
    </w:p>
    <w:p>
      <w:pPr>
        <w:spacing w:after="0" w:line="148" w:lineRule="exact"/>
        <w:rPr>
          <w:sz w:val="20"/>
          <w:szCs w:val="20"/>
          <w:color w:val="auto"/>
        </w:rPr>
      </w:pPr>
    </w:p>
    <w:p>
      <w:pPr>
        <w:ind w:left="2540" w:hanging="626"/>
        <w:spacing w:after="0"/>
        <w:tabs>
          <w:tab w:leader="none" w:pos="25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Accrued Obligations in a lump sum in cash;</w:t>
      </w:r>
    </w:p>
    <w:p>
      <w:pPr>
        <w:spacing w:after="0" w:line="182" w:lineRule="exact"/>
        <w:rPr>
          <w:rFonts w:ascii="Times New Roman" w:cs="Times New Roman" w:eastAsia="Times New Roman" w:hAnsi="Times New Roman"/>
          <w:sz w:val="21"/>
          <w:szCs w:val="21"/>
          <w:color w:val="auto"/>
        </w:rPr>
      </w:pPr>
    </w:p>
    <w:p>
      <w:pPr>
        <w:ind w:left="2540" w:hanging="626"/>
        <w:spacing w:after="0"/>
        <w:tabs>
          <w:tab w:leader="none" w:pos="25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Benefit Obligations (subject to the terms of the applicable Benefit Plans); and</w:t>
      </w:r>
    </w:p>
    <w:p>
      <w:pPr>
        <w:spacing w:after="0" w:line="182" w:lineRule="exact"/>
        <w:rPr>
          <w:rFonts w:ascii="Times New Roman" w:cs="Times New Roman" w:eastAsia="Times New Roman" w:hAnsi="Times New Roman"/>
          <w:sz w:val="21"/>
          <w:szCs w:val="21"/>
          <w:color w:val="auto"/>
        </w:rPr>
      </w:pPr>
    </w:p>
    <w:p>
      <w:pPr>
        <w:ind w:right="200" w:firstLine="1914"/>
        <w:spacing w:after="0" w:line="226" w:lineRule="auto"/>
        <w:tabs>
          <w:tab w:leader="none" w:pos="254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that, within 55 days following the Employment Termination Date, the Participant has executed a general release and waiver agreement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and any applicable revocation periods relating to the Release have expired, and subject to the Participant’s compliance with the restrictive covenants set forth in any written agreement with the Company or any of its Affiliates, including the RCA, and the Release:</w:t>
      </w:r>
    </w:p>
    <w:p>
      <w:pPr>
        <w:spacing w:after="0" w:line="150" w:lineRule="exact"/>
        <w:rPr>
          <w:rFonts w:ascii="Times New Roman" w:cs="Times New Roman" w:eastAsia="Times New Roman" w:hAnsi="Times New Roman"/>
          <w:sz w:val="21"/>
          <w:szCs w:val="21"/>
          <w:color w:val="auto"/>
        </w:rPr>
      </w:pPr>
    </w:p>
    <w:p>
      <w:pPr>
        <w:ind w:left="1280" w:right="200" w:firstLine="1270"/>
        <w:spacing w:after="0" w:line="226" w:lineRule="auto"/>
        <w:tabs>
          <w:tab w:leader="none" w:pos="3177"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lump-sum cash amount equal to the Applicable Multiple times the sum of (1) the rate of Base Salary then in effect up to and including the Employment Termination Date, and (2) the Participant’s Annual Bonus at target;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for purposes of clauses (1) and (2) of this paragraph (A), such amounts shall be annualized for any period of employment that is less than one full year;</w:t>
      </w:r>
    </w:p>
    <w:p>
      <w:pPr>
        <w:spacing w:after="0" w:line="150" w:lineRule="exact"/>
        <w:rPr>
          <w:rFonts w:ascii="Times New Roman" w:cs="Times New Roman" w:eastAsia="Times New Roman" w:hAnsi="Times New Roman"/>
          <w:sz w:val="21"/>
          <w:szCs w:val="21"/>
          <w:color w:val="auto"/>
        </w:rPr>
      </w:pPr>
    </w:p>
    <w:p>
      <w:pPr>
        <w:ind w:left="1280" w:right="40" w:firstLine="1270"/>
        <w:spacing w:after="0" w:line="222" w:lineRule="auto"/>
        <w:tabs>
          <w:tab w:leader="none" w:pos="3179"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lump-sum cash amount equal to the product of (i) the Participant’s target Annual Bonus for such fiscal year, as determined by the Board in good faith, in which the Employment Termination Date occurs and</w:t>
      </w:r>
    </w:p>
    <w:p>
      <w:pPr>
        <w:spacing w:after="0" w:line="1" w:lineRule="exact"/>
        <w:rPr>
          <w:rFonts w:ascii="Times New Roman" w:cs="Times New Roman" w:eastAsia="Times New Roman" w:hAnsi="Times New Roman"/>
          <w:sz w:val="21"/>
          <w:szCs w:val="21"/>
          <w:color w:val="auto"/>
        </w:rPr>
      </w:pPr>
    </w:p>
    <w:p>
      <w:pPr>
        <w:ind w:left="1280" w:right="20" w:hanging="2"/>
        <w:spacing w:after="0" w:line="220" w:lineRule="auto"/>
        <w:tabs>
          <w:tab w:leader="none" w:pos="159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fraction, the numerator of which is the number of days in the current fiscal year through the Employment Termination Date, and the denominator of which is 365. The pro-rata bonus payment described in the preceding sentence shall be without duplication of any payments received by the Participant under the Company’s then current non-equity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4</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160"/>
          </w:cols>
          <w:pgMar w:left="320" w:top="1367" w:right="419" w:bottom="1440" w:gutter="0" w:footer="0" w:header="0"/>
        </w:sectPr>
      </w:pPr>
    </w:p>
    <w:bookmarkStart w:id="100" w:name="page101"/>
    <w:bookmarkEnd w:id="100"/>
    <w:p>
      <w:pPr>
        <w:ind w:left="1280" w:firstLine="1270"/>
        <w:spacing w:after="0" w:line="216" w:lineRule="auto"/>
        <w:tabs>
          <w:tab w:leader="none" w:pos="317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Commencing immediately after the Employment Termination Date and continuing for a number of years equal to the Applicable Multiple (or until the date on which the Participant becomes eligible for coverage under a subsequent employer’s plan, whichever is earlier), the Company shall continue dental and health benefits to the Participant and the Participant’s family equal to those which would have been provided to them in accordance with the dental and health insurance plans, programs, practices and policies in effect immediately prior to the Employment Termination Date as if the Participant’s employment had not been terminated (or, if more favorable to the Participant, those provided to the Participant and the Participant’s family immediately prior to the first occurrence of an event or circumstance constituting Good Reason);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with respect to any of such dental and health insurance plans, programs, practices or policies requiring an employee contribution, the Participant (or the Participant’s heirs or beneficiaries, as applicable) shall continue to pay the monthly employee contribution for such benefits; and</w:t>
      </w:r>
    </w:p>
    <w:p>
      <w:pPr>
        <w:spacing w:after="0" w:line="153" w:lineRule="exact"/>
        <w:rPr>
          <w:rFonts w:ascii="Times New Roman" w:cs="Times New Roman" w:eastAsia="Times New Roman" w:hAnsi="Times New Roman"/>
          <w:sz w:val="21"/>
          <w:szCs w:val="21"/>
          <w:color w:val="auto"/>
        </w:rPr>
      </w:pPr>
    </w:p>
    <w:p>
      <w:pPr>
        <w:ind w:left="1280" w:right="40" w:firstLine="1270"/>
        <w:spacing w:after="0" w:line="232" w:lineRule="auto"/>
        <w:tabs>
          <w:tab w:leader="none" w:pos="317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Outplacement services supplied by a service provider selected by the Company for a period of six months; provided that such services must commence no later than 90 days after the Employment Termination Date and terminate 12 months after commencement of same.</w:t>
      </w:r>
    </w:p>
    <w:p>
      <w:pPr>
        <w:spacing w:after="0" w:line="146" w:lineRule="exact"/>
        <w:rPr>
          <w:sz w:val="20"/>
          <w:szCs w:val="20"/>
          <w:color w:val="auto"/>
        </w:rPr>
      </w:pPr>
    </w:p>
    <w:p>
      <w:pPr>
        <w:ind w:right="120" w:firstLine="1272"/>
        <w:spacing w:after="0" w:line="219"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i w:val="1"/>
          <w:iCs w:val="1"/>
          <w:color w:val="auto"/>
        </w:rPr>
        <w:t>Timing of Severance Payments</w:t>
      </w:r>
      <w:r>
        <w:rPr>
          <w:rFonts w:ascii="Times New Roman" w:cs="Times New Roman" w:eastAsia="Times New Roman" w:hAnsi="Times New Roman"/>
          <w:sz w:val="21"/>
          <w:szCs w:val="21"/>
          <w:color w:val="auto"/>
        </w:rPr>
        <w:t xml:space="preserve">. The Company shall pay (or cause to be paid) to the Participant the amounts or benefits specified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60 days following the Employment Termination Date (other than the Benefit Obligations), subject to receipt of an executed and irrevocable Release. For the avoidance of doubt,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shall not result in a delay of:</w:t>
      </w:r>
    </w:p>
    <w:p>
      <w:pPr>
        <w:spacing w:after="0" w:line="1" w:lineRule="exact"/>
        <w:rPr>
          <w:sz w:val="20"/>
          <w:szCs w:val="20"/>
          <w:color w:val="auto"/>
        </w:rPr>
      </w:pPr>
    </w:p>
    <w:p>
      <w:pPr>
        <w:ind w:right="100" w:firstLine="6"/>
        <w:spacing w:after="0" w:line="220" w:lineRule="auto"/>
        <w:tabs>
          <w:tab w:leader="none" w:pos="25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of Accrued Obligations that otherwise would occur on an earlier date in accordance with applicable law or the usual and customary payroll policies of the Company (as in effect immediately prior to the Participant’s termination of employment) or (ii) any payment of the Benefit Obligations that otherwise would occur pursuant to the terms and conditions of the applicable benefit programs (as in effect immediately prior to the Participant’s termination of employment).</w:t>
      </w:r>
    </w:p>
    <w:p>
      <w:pPr>
        <w:spacing w:after="0" w:line="149" w:lineRule="exact"/>
        <w:rPr>
          <w:sz w:val="20"/>
          <w:szCs w:val="20"/>
          <w:color w:val="auto"/>
        </w:rPr>
      </w:pPr>
    </w:p>
    <w:p>
      <w:pPr>
        <w:ind w:right="20" w:firstLine="1272"/>
        <w:spacing w:after="0" w:line="219"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i w:val="1"/>
          <w:iCs w:val="1"/>
          <w:color w:val="auto"/>
        </w:rPr>
        <w:t>Other Severance Payments</w:t>
      </w:r>
      <w:r>
        <w:rPr>
          <w:rFonts w:ascii="Times New Roman" w:cs="Times New Roman" w:eastAsia="Times New Roman" w:hAnsi="Times New Roman"/>
          <w:sz w:val="21"/>
          <w:szCs w:val="21"/>
          <w:color w:val="auto"/>
        </w:rPr>
        <w:t>. In the event that the Company is obligated by law or contract to pay a Participant other severance pay, a termination indemnity, notice pay or the like, or if the Company is obligated by law to provide advance notice of separation (“</w:t>
      </w:r>
      <w:r>
        <w:rPr>
          <w:rFonts w:ascii="Times New Roman" w:cs="Times New Roman" w:eastAsia="Times New Roman" w:hAnsi="Times New Roman"/>
          <w:sz w:val="21"/>
          <w:szCs w:val="21"/>
          <w:b w:val="1"/>
          <w:bCs w:val="1"/>
          <w:color w:val="auto"/>
        </w:rPr>
        <w:t>Other Severance</w:t>
      </w:r>
      <w:r>
        <w:rPr>
          <w:rFonts w:ascii="Times New Roman" w:cs="Times New Roman" w:eastAsia="Times New Roman" w:hAnsi="Times New Roman"/>
          <w:sz w:val="21"/>
          <w:szCs w:val="21"/>
          <w:color w:val="auto"/>
        </w:rPr>
        <w:t xml:space="preserve">”), then the amount of severance under </w:t>
      </w:r>
      <w:r>
        <w:rPr>
          <w:rFonts w:ascii="Times New Roman" w:cs="Times New Roman" w:eastAsia="Times New Roman" w:hAnsi="Times New Roman"/>
          <w:sz w:val="21"/>
          <w:szCs w:val="21"/>
          <w:u w:val="single" w:color="auto"/>
          <w:color w:val="auto"/>
        </w:rPr>
        <w:t>Section 2.2(iii)(A)</w:t>
      </w:r>
      <w:r>
        <w:rPr>
          <w:rFonts w:ascii="Times New Roman" w:cs="Times New Roman" w:eastAsia="Times New Roman" w:hAnsi="Times New Roman"/>
          <w:sz w:val="21"/>
          <w:szCs w:val="21"/>
          <w:color w:val="auto"/>
        </w:rPr>
        <w:t xml:space="preserve"> otherwise payable to such Participant shall be reduced by the amount of any such Other Severance actually paid to the Participant (but not below zero). Notwithstanding anything to the contrary herein, nothing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prevent the Board, or the Committee, from making any subsequent determinations with respect to severance payments and benefits payable to a Participant. For the avoidance of doubt,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not apply to any accelerated vesting, payment or settlement of long-term cash or equity incentive awards that specifically provide for such treatment in connection with a Qualifying Termination or similar event.</w:t>
      </w:r>
    </w:p>
    <w:p>
      <w:pPr>
        <w:spacing w:after="0" w:line="145" w:lineRule="exact"/>
        <w:rPr>
          <w:sz w:val="20"/>
          <w:szCs w:val="20"/>
          <w:color w:val="auto"/>
        </w:rPr>
      </w:pPr>
    </w:p>
    <w:p>
      <w:pPr>
        <w:ind w:right="20" w:firstLine="1272"/>
        <w:spacing w:after="0" w:line="221"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i w:val="1"/>
          <w:iCs w:val="1"/>
          <w:color w:val="auto"/>
        </w:rPr>
        <w:t>No Mitigation</w:t>
      </w:r>
      <w:r>
        <w:rPr>
          <w:rFonts w:ascii="Times New Roman" w:cs="Times New Roman" w:eastAsia="Times New Roman" w:hAnsi="Times New Roman"/>
          <w:sz w:val="21"/>
          <w:szCs w:val="21"/>
          <w:color w:val="auto"/>
        </w:rPr>
        <w:t xml:space="preserve">. The Company agrees that, if the Participant’s employment with the Company terminates, the Participant is not required to seek other employment or to attempt in any way to reduce any amounts payable to the Participant by the Company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 Further, except as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the amount of any payment or benefit provided for in this Plan shall not be reduced by any compensation earned by the Participant as the result of employment by another employer, by retirement benefits, by offset against any amount claimed to be owed by the Participant to the Company or otherwise (other than under </w:t>
      </w:r>
      <w:r>
        <w:rPr>
          <w:rFonts w:ascii="Times New Roman" w:cs="Times New Roman" w:eastAsia="Times New Roman" w:hAnsi="Times New Roman"/>
          <w:sz w:val="21"/>
          <w:szCs w:val="21"/>
          <w:u w:val="single" w:color="auto"/>
          <w:color w:val="auto"/>
        </w:rPr>
        <w:t>Section 2.2(iii)(C)</w:t>
      </w:r>
      <w:r>
        <w:rPr>
          <w:rFonts w:ascii="Times New Roman" w:cs="Times New Roman" w:eastAsia="Times New Roman" w:hAnsi="Times New Roman"/>
          <w:sz w:val="21"/>
          <w:szCs w:val="21"/>
          <w:color w:val="auto"/>
        </w:rPr>
        <w:t xml:space="preserve"> if the Participant becomes eligible for coverage under a subsequent employer’s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20"/>
          </w:cols>
          <w:pgMar w:left="320" w:top="1371" w:right="359" w:bottom="1440" w:gutter="0" w:footer="0" w:header="0"/>
        </w:sectPr>
      </w:pPr>
    </w:p>
    <w:bookmarkStart w:id="101" w:name="page102"/>
    <w:bookmarkEnd w:id="101"/>
    <w:p>
      <w:pPr>
        <w:ind w:firstLine="1272"/>
        <w:spacing w:after="0" w:line="223"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color w:val="auto"/>
        </w:rPr>
        <w:t>Notice of Termination</w:t>
      </w:r>
      <w:r>
        <w:rPr>
          <w:rFonts w:ascii="Times New Roman" w:cs="Times New Roman" w:eastAsia="Times New Roman" w:hAnsi="Times New Roman"/>
          <w:sz w:val="21"/>
          <w:szCs w:val="21"/>
          <w:color w:val="auto"/>
        </w:rPr>
        <w:t xml:space="preserve">. Any purported termination of the Participant’s employment pursuant to this Plan shall be communicated by a Notice of Termination from the Participant to the Company or the Company to the Participant, as applicable, in accordance with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hereof. For purposes of this Plan, a “</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shall mean a notice in writing which shall (i) indicate the specific termination provision in this Plan relied upon and (ii) set forth in reasonable detail the facts and circumstances claimed to provide a basis for termination of the Participant’s employment under the provision so indicated.</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i w:val="1"/>
          <w:iCs w:val="1"/>
          <w:color w:val="auto"/>
        </w:rPr>
        <w:t>Successors; Binding Agreement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0" w:firstLine="1272"/>
        <w:spacing w:after="0" w:line="227"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i w:val="1"/>
          <w:iCs w:val="1"/>
          <w:color w:val="auto"/>
        </w:rPr>
        <w:t>Successors</w:t>
      </w:r>
      <w:r>
        <w:rPr>
          <w:rFonts w:ascii="Times New Roman" w:cs="Times New Roman" w:eastAsia="Times New Roman" w:hAnsi="Times New Roman"/>
          <w:sz w:val="21"/>
          <w:szCs w:val="21"/>
          <w:color w:val="auto"/>
        </w:rPr>
        <w:t>.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such succession had taken place.</w:t>
      </w:r>
    </w:p>
    <w:p>
      <w:pPr>
        <w:spacing w:after="0" w:line="146" w:lineRule="exact"/>
        <w:rPr>
          <w:sz w:val="20"/>
          <w:szCs w:val="20"/>
          <w:color w:val="auto"/>
        </w:rPr>
      </w:pPr>
    </w:p>
    <w:p>
      <w:pPr>
        <w:ind w:right="100" w:firstLine="1272"/>
        <w:spacing w:after="0" w:line="223"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i w:val="1"/>
          <w:iCs w:val="1"/>
          <w:color w:val="auto"/>
        </w:rPr>
        <w:t>Enforcement by Participant’s Successors</w:t>
      </w:r>
      <w:r>
        <w:rPr>
          <w:rFonts w:ascii="Times New Roman" w:cs="Times New Roman" w:eastAsia="Times New Roman" w:hAnsi="Times New Roman"/>
          <w:sz w:val="21"/>
          <w:szCs w:val="21"/>
          <w:color w:val="auto"/>
        </w:rPr>
        <w:t>. The Company’s obligations under this Plan shall inure to the benefit of and be enforceable by the Participant’s personal or legal representatives, executors, administrators, successors, heirs, distributees, devisees and legatees. If the Participant shall die while any amount would still be payable to the Participant hereunder if the Participant had continued to live, all such amounts, unless otherwise provided herein, shall be paid in accordance with the terms of this Plan to the executors, personal representatives or administrators of the Participant’s estate.</w:t>
      </w:r>
    </w:p>
    <w:p>
      <w:pPr>
        <w:spacing w:after="0" w:line="148" w:lineRule="exact"/>
        <w:rPr>
          <w:sz w:val="20"/>
          <w:szCs w:val="20"/>
          <w:color w:val="auto"/>
        </w:rPr>
      </w:pPr>
    </w:p>
    <w:p>
      <w:pPr>
        <w:ind w:right="20" w:firstLine="1272"/>
        <w:spacing w:after="0" w:line="249"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color w:val="auto"/>
        </w:rPr>
        <w:t>Settlement of Disputes</w:t>
      </w:r>
      <w:r>
        <w:rPr>
          <w:rFonts w:ascii="Times New Roman" w:cs="Times New Roman" w:eastAsia="Times New Roman" w:hAnsi="Times New Roman"/>
          <w:sz w:val="21"/>
          <w:szCs w:val="21"/>
          <w:color w:val="auto"/>
        </w:rPr>
        <w:t>. The Participant and the Company (collectively,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irrevocably and unconditionally agree that any disputes shall be settled in accordance with the RCA.</w:t>
      </w:r>
    </w:p>
    <w:p>
      <w:pPr>
        <w:spacing w:after="0" w:line="137" w:lineRule="exact"/>
        <w:rPr>
          <w:sz w:val="20"/>
          <w:szCs w:val="20"/>
          <w:color w:val="auto"/>
        </w:rPr>
      </w:pPr>
    </w:p>
    <w:p>
      <w:pPr>
        <w:ind w:right="140" w:firstLine="1272"/>
        <w:spacing w:after="0" w:line="227"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i w:val="1"/>
          <w:iCs w:val="1"/>
          <w:color w:val="auto"/>
        </w:rPr>
        <w:t>Legal Fees</w:t>
      </w:r>
      <w:r>
        <w:rPr>
          <w:rFonts w:ascii="Times New Roman" w:cs="Times New Roman" w:eastAsia="Times New Roman" w:hAnsi="Times New Roman"/>
          <w:sz w:val="21"/>
          <w:szCs w:val="21"/>
          <w:color w:val="auto"/>
        </w:rPr>
        <w:t xml:space="preserve">. The Parties shall each bear their own expenses, legal fees and other fees incurred in connection with this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46" w:lineRule="exact"/>
        <w:rPr>
          <w:sz w:val="20"/>
          <w:szCs w:val="20"/>
          <w:color w:val="auto"/>
        </w:rPr>
      </w:pPr>
    </w:p>
    <w:p>
      <w:pPr>
        <w:ind w:right="60" w:firstLine="1272"/>
        <w:spacing w:after="0" w:line="219"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i w:val="1"/>
          <w:iCs w:val="1"/>
          <w:color w:val="auto"/>
        </w:rPr>
        <w:t>Plan Modification or Termination</w:t>
      </w:r>
      <w:r>
        <w:rPr>
          <w:rFonts w:ascii="Times New Roman" w:cs="Times New Roman" w:eastAsia="Times New Roman" w:hAnsi="Times New Roman"/>
          <w:sz w:val="21"/>
          <w:szCs w:val="21"/>
          <w:color w:val="auto"/>
        </w:rPr>
        <w:t xml:space="preserve">. This Plan may be amended in any manner or terminated in whole or in part by the Board upon 30 days’ prior notice to the Participants in accordance with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hereof. Notwithstanding the foregoing, any amendment to this Plan (or any appendix or exhibit thereto) that adversely affects the benefits potentially payable to a Participant (including, without limitation, a proposed termination of this Plan, or imposing additional conditions or modifying the amount or timing of payment) shall not be effective without the written consent of such Participant, unless such amendment is required by law or a written notice is provided to such Participant at least one year in advance of the effectiveness of such amendment. Any action of the Board in amending or terminating this Plan (or any appendix or exhibit thereto) shall be taken in a non-fiduciary capacity.</w:t>
      </w:r>
    </w:p>
    <w:p>
      <w:pPr>
        <w:spacing w:after="0" w:line="145"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8.</w:t>
      </w:r>
      <w:r>
        <w:rPr>
          <w:sz w:val="20"/>
          <w:szCs w:val="20"/>
          <w:color w:val="auto"/>
        </w:rPr>
        <w:tab/>
      </w:r>
      <w:r>
        <w:rPr>
          <w:rFonts w:ascii="Times New Roman" w:cs="Times New Roman" w:eastAsia="Times New Roman" w:hAnsi="Times New Roman"/>
          <w:sz w:val="21"/>
          <w:szCs w:val="21"/>
          <w:i w:val="1"/>
          <w:iCs w:val="1"/>
          <w:color w:val="auto"/>
        </w:rPr>
        <w:t>Parachute Payments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right="40" w:firstLine="1272"/>
        <w:spacing w:after="0" w:line="232" w:lineRule="auto"/>
        <w:rPr>
          <w:sz w:val="20"/>
          <w:szCs w:val="20"/>
          <w:color w:val="auto"/>
        </w:rPr>
      </w:pPr>
      <w:r>
        <w:rPr>
          <w:rFonts w:ascii="Times New Roman" w:cs="Times New Roman" w:eastAsia="Times New Roman" w:hAnsi="Times New Roman"/>
          <w:sz w:val="21"/>
          <w:szCs w:val="21"/>
          <w:color w:val="auto"/>
        </w:rPr>
        <w:t>8.1 Notwithstanding any other provision of this Plan or any compensation or benefit program or other agreement to the contrary, if any payment or benefit by or from the Company or any of its Affiliates to or for the benefit of the Participant, whether paid or payable or distributed or distributable pursuant to the terms of this Plan or otherwise, would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00"/>
          </w:cols>
          <w:pgMar w:left="320" w:top="1369" w:right="379" w:bottom="1440" w:gutter="0" w:footer="0" w:header="0"/>
        </w:sectPr>
      </w:pPr>
    </w:p>
    <w:bookmarkStart w:id="102" w:name="page103"/>
    <w:bookmarkEnd w:id="102"/>
    <w:p>
      <w:pPr>
        <w:ind w:right="60"/>
        <w:spacing w:after="0" w:line="227" w:lineRule="auto"/>
        <w:rPr>
          <w:sz w:val="20"/>
          <w:szCs w:val="20"/>
          <w:color w:val="auto"/>
        </w:rPr>
      </w:pPr>
      <w:r>
        <w:rPr>
          <w:rFonts w:ascii="Times New Roman" w:cs="Times New Roman" w:eastAsia="Times New Roman" w:hAnsi="Times New Roman"/>
          <w:sz w:val="21"/>
          <w:szCs w:val="21"/>
          <w:color w:val="auto"/>
        </w:rPr>
        <w:t>the Excise Tax (as hereinafter defined) (all such payments and benefits being collectively referred to herein as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xml:space="preserve">”), then except as otherwise provided in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the Payments shall be reduced (but not below zero) or eliminated (as further provided for in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to the extent the Independent Tax Advisor shall reasonably determine is necessary so that no portion of the Payments shall be subject to the Excise Tax (the “</w:t>
      </w:r>
      <w:r>
        <w:rPr>
          <w:rFonts w:ascii="Times New Roman" w:cs="Times New Roman" w:eastAsia="Times New Roman" w:hAnsi="Times New Roman"/>
          <w:sz w:val="21"/>
          <w:szCs w:val="21"/>
          <w:b w:val="1"/>
          <w:bCs w:val="1"/>
          <w:color w:val="auto"/>
        </w:rPr>
        <w:t>Reduced Amount</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 xml:space="preserve">8.2 Notwithstanding the provisions of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if the Independent Tax Advisor reasonably determines that the Participant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then no such reduction shall be made notwithstanding that all or any portion of the Payments may be subject to the Excise Tax.</w:t>
      </w:r>
    </w:p>
    <w:p>
      <w:pPr>
        <w:spacing w:after="0" w:line="150" w:lineRule="exact"/>
        <w:rPr>
          <w:sz w:val="20"/>
          <w:szCs w:val="20"/>
          <w:color w:val="auto"/>
        </w:rPr>
      </w:pPr>
    </w:p>
    <w:p>
      <w:pPr>
        <w:ind w:firstLine="1272"/>
        <w:spacing w:after="0" w:line="215" w:lineRule="auto"/>
        <w:rPr>
          <w:sz w:val="20"/>
          <w:szCs w:val="20"/>
          <w:color w:val="auto"/>
        </w:rPr>
      </w:pPr>
      <w:r>
        <w:rPr>
          <w:rFonts w:ascii="Times New Roman" w:cs="Times New Roman" w:eastAsia="Times New Roman" w:hAnsi="Times New Roman"/>
          <w:sz w:val="21"/>
          <w:szCs w:val="21"/>
          <w:color w:val="auto"/>
        </w:rPr>
        <w:t xml:space="preserve">8.3 For purposes of determining which of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shall be given effect, the determination of which Payments shall be reduced or eliminated to avoid the Excise Tax shall be made by the Independent Tax Advisor. The Independent Tax Advisor shall provide its determinations, together with detailed supporting calculations and documentation, to the Company and the Participant for their review no later than 10 days after the change in control (within the meaning of Code Section 280G). If a reduction in payments or benefits is necessary so that the Payments equal the Reduced Amount, reduction shall occur in the following order: (i) first by reducing or eliminating the portion of the Payments that are payable in cash, (ii) second by reducing or eliminating the portion of the Payments that are not payable in cash (other than Payments as to which Treasury Regulations Section 1.280G-1 Q/A – 24(c) (or any successor provision thereto) applies (“</w:t>
      </w:r>
      <w:r>
        <w:rPr>
          <w:rFonts w:ascii="Times New Roman" w:cs="Times New Roman" w:eastAsia="Times New Roman" w:hAnsi="Times New Roman"/>
          <w:sz w:val="21"/>
          <w:szCs w:val="21"/>
          <w:b w:val="1"/>
          <w:bCs w:val="1"/>
          <w:color w:val="auto"/>
        </w:rPr>
        <w:t>Q/A-24(c) Payments</w:t>
      </w:r>
      <w:r>
        <w:rPr>
          <w:rFonts w:ascii="Times New Roman" w:cs="Times New Roman" w:eastAsia="Times New Roman" w:hAnsi="Times New Roman"/>
          <w:sz w:val="21"/>
          <w:szCs w:val="21"/>
          <w:color w:val="auto"/>
        </w:rPr>
        <w:t xml:space="preserve">”)) and (iii) third by reducing or eliminating Q/A-24(c) Payments. In the event that any Q/A-24(c) Payment or acceleration is to be reduced, such Q/A-24(c) Payment shall be reduced or cancelled in the reverse order of the date of grant of the awards. The determinations of the Independent Tax Advisor under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shall, after due consideration of the Company’s and the Participant’s comments with respect to such determinations and the interpretation and application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be final and binding on the Parties absent manifest error. The Company and the Participant shall furnish to the Independent Tax Advisor such information and documents as the Independent Tax Advisor may reasonably request in order to make the determinations required under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9.</w:t>
      </w:r>
      <w:r>
        <w:rPr>
          <w:sz w:val="20"/>
          <w:szCs w:val="20"/>
          <w:color w:val="auto"/>
        </w:rPr>
        <w:tab/>
      </w:r>
      <w:r>
        <w:rPr>
          <w:rFonts w:ascii="Times New Roman" w:cs="Times New Roman" w:eastAsia="Times New Roman" w:hAnsi="Times New Roman"/>
          <w:sz w:val="21"/>
          <w:szCs w:val="21"/>
          <w:i w:val="1"/>
          <w:iCs w:val="1"/>
          <w:color w:val="auto"/>
        </w:rPr>
        <w:t>General Provisions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right="400" w:firstLine="1272"/>
        <w:spacing w:after="0" w:line="232"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All notices and communications that are required or permitted to be given hereunder shall be in writing and shall be deemed to have been duly given when delivered personally or upon mailing by registered or certified mail, postage prepaid, return receipt requested, as follows:</w:t>
      </w:r>
    </w:p>
    <w:p>
      <w:pPr>
        <w:spacing w:after="0" w:line="1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17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Weatherford International plc.</w:t>
      </w:r>
    </w:p>
    <w:p>
      <w:pPr>
        <w:ind w:left="2560"/>
        <w:spacing w:after="0" w:line="210" w:lineRule="auto"/>
        <w:rPr>
          <w:sz w:val="20"/>
          <w:szCs w:val="20"/>
          <w:color w:val="auto"/>
        </w:rPr>
      </w:pPr>
      <w:r>
        <w:rPr>
          <w:rFonts w:ascii="Times New Roman" w:cs="Times New Roman" w:eastAsia="Times New Roman" w:hAnsi="Times New Roman"/>
          <w:sz w:val="21"/>
          <w:szCs w:val="21"/>
          <w:color w:val="auto"/>
        </w:rPr>
        <w:t>2000 Saint James Place</w:t>
      </w:r>
    </w:p>
    <w:p>
      <w:pPr>
        <w:ind w:left="2560"/>
        <w:spacing w:after="0" w:line="211" w:lineRule="auto"/>
        <w:rPr>
          <w:sz w:val="20"/>
          <w:szCs w:val="20"/>
          <w:color w:val="auto"/>
        </w:rPr>
      </w:pPr>
      <w:r>
        <w:rPr>
          <w:rFonts w:ascii="Times New Roman" w:cs="Times New Roman" w:eastAsia="Times New Roman" w:hAnsi="Times New Roman"/>
          <w:sz w:val="21"/>
          <w:szCs w:val="21"/>
          <w:color w:val="auto"/>
        </w:rPr>
        <w:t>Houston, Texas 77056</w:t>
      </w:r>
    </w:p>
    <w:p>
      <w:pPr>
        <w:ind w:left="2560"/>
        <w:spacing w:after="0" w:line="211" w:lineRule="auto"/>
        <w:rPr>
          <w:sz w:val="20"/>
          <w:szCs w:val="20"/>
          <w:color w:val="auto"/>
        </w:rPr>
      </w:pPr>
      <w:r>
        <w:rPr>
          <w:rFonts w:ascii="Times New Roman" w:cs="Times New Roman" w:eastAsia="Times New Roman" w:hAnsi="Times New Roman"/>
          <w:sz w:val="21"/>
          <w:szCs w:val="21"/>
          <w:color w:val="auto"/>
        </w:rPr>
        <w:t>Attention: General Counsel</w:t>
      </w:r>
    </w:p>
    <w:p>
      <w:pPr>
        <w:ind w:left="2560"/>
        <w:spacing w:after="0"/>
        <w:rPr>
          <w:sz w:val="20"/>
          <w:szCs w:val="20"/>
          <w:color w:val="auto"/>
        </w:rPr>
      </w:pPr>
      <w:r>
        <w:rPr>
          <w:rFonts w:ascii="Times New Roman" w:cs="Times New Roman" w:eastAsia="Times New Roman" w:hAnsi="Times New Roman"/>
          <w:sz w:val="21"/>
          <w:szCs w:val="21"/>
          <w:color w:val="auto"/>
        </w:rPr>
        <w:t>Email: legalweatherford@weatherford.com</w:t>
      </w:r>
    </w:p>
    <w:p>
      <w:pPr>
        <w:spacing w:after="0" w:line="15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If to the Participant, to the address on file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in either case to such other address as may be specified in a notice given by one Party to the other Party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00"/>
          </w:cols>
          <w:pgMar w:left="320" w:top="1367" w:right="379" w:bottom="1440" w:gutter="0" w:footer="0" w:header="0"/>
        </w:sectPr>
      </w:pPr>
    </w:p>
    <w:bookmarkStart w:id="103" w:name="page104"/>
    <w:bookmarkEnd w:id="103"/>
    <w:p>
      <w:pPr>
        <w:ind w:firstLine="1272"/>
        <w:spacing w:after="0" w:line="218"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i w:val="1"/>
          <w:iCs w:val="1"/>
          <w:color w:val="auto"/>
        </w:rPr>
        <w:t>Administration</w:t>
      </w:r>
      <w:r>
        <w:rPr>
          <w:rFonts w:ascii="Times New Roman" w:cs="Times New Roman" w:eastAsia="Times New Roman" w:hAnsi="Times New Roman"/>
          <w:sz w:val="21"/>
          <w:szCs w:val="21"/>
          <w:color w:val="auto"/>
        </w:rPr>
        <w:t xml:space="preserve">. This Plan shall be interpreted, administered and operated by the Committee, which shall have complete authority, in its sole discretion subject to the express provisions of this Plan, to interpret this Plan, to prescribe, amend and rescind rules and regulations relating to it and to make all other determinations necessary or advisable for the administration of this Plan (including, without limitation, any determinations regarding eligibility to participate in this Plan). All questions of any character whatsoever arising in connection with the interpretation of this Plan or its administration or operation shall be submitted to and settled and determined by the Committee in accordance with the procedure for the settlement of disputes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w:t>
      </w:r>
      <w:r>
        <w:rPr>
          <w:rFonts w:ascii="Times New Roman" w:cs="Times New Roman" w:eastAsia="Times New Roman" w:hAnsi="Times New Roman"/>
          <w:sz w:val="21"/>
          <w:szCs w:val="21"/>
          <w:color w:val="auto"/>
        </w:rPr>
        <w:t xml:space="preserve"> hereof. Any such settlement and determination shall be final and conclusive, and shall bind and may be relied upon by the Company, each of the Participants and all other parties in interest. The Committee may delegate any of its duties hereunder to such person or persons from time to time as it may designate.</w:t>
      </w:r>
    </w:p>
    <w:p>
      <w:pPr>
        <w:spacing w:after="0" w:line="146" w:lineRule="exact"/>
        <w:rPr>
          <w:sz w:val="20"/>
          <w:szCs w:val="20"/>
          <w:color w:val="auto"/>
        </w:rPr>
      </w:pPr>
    </w:p>
    <w:p>
      <w:pPr>
        <w:ind w:right="120" w:firstLine="1272"/>
        <w:spacing w:after="0" w:line="221"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i w:val="1"/>
          <w:iCs w:val="1"/>
          <w:color w:val="auto"/>
        </w:rPr>
        <w:t>Assignment</w:t>
      </w:r>
      <w:r>
        <w:rPr>
          <w:rFonts w:ascii="Times New Roman" w:cs="Times New Roman" w:eastAsia="Times New Roman" w:hAnsi="Times New Roman"/>
          <w:sz w:val="21"/>
          <w:szCs w:val="21"/>
          <w:color w:val="auto"/>
        </w:rPr>
        <w:t>. Except as otherwise provided herein or by law, no right or interest of any Participant under this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this Plan shall be subject to any obligation or liability of such Participant. When a payment is due under this Plan to a Participant who is unable to care for his or her affairs, payment may be made directly to his or her legal guardian or personal representative.</w:t>
      </w:r>
    </w:p>
    <w:p>
      <w:pPr>
        <w:spacing w:after="0" w:line="150" w:lineRule="exact"/>
        <w:rPr>
          <w:sz w:val="20"/>
          <w:szCs w:val="20"/>
          <w:color w:val="auto"/>
        </w:rPr>
      </w:pPr>
    </w:p>
    <w:p>
      <w:pPr>
        <w:ind w:right="140" w:firstLine="1272"/>
        <w:spacing w:after="0" w:line="232"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Plan shall be governed by and construed in accordance with the laws of the State of Texas, without regard to any conflicts or choice of law, rule or principle that might otherwise refer the interpretation of this Plan to the substantive law of another jurisdiction.</w:t>
      </w:r>
    </w:p>
    <w:p>
      <w:pPr>
        <w:spacing w:after="0" w:line="148" w:lineRule="exact"/>
        <w:rPr>
          <w:sz w:val="20"/>
          <w:szCs w:val="20"/>
          <w:color w:val="auto"/>
        </w:rPr>
      </w:pPr>
    </w:p>
    <w:p>
      <w:pPr>
        <w:ind w:right="900" w:firstLine="1272"/>
        <w:spacing w:after="0" w:line="247"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i w:val="1"/>
          <w:iCs w:val="1"/>
          <w:color w:val="auto"/>
        </w:rPr>
        <w:t>Withholding</w:t>
      </w:r>
      <w:r>
        <w:rPr>
          <w:rFonts w:ascii="Times New Roman" w:cs="Times New Roman" w:eastAsia="Times New Roman" w:hAnsi="Times New Roman"/>
          <w:sz w:val="21"/>
          <w:szCs w:val="21"/>
          <w:color w:val="auto"/>
        </w:rPr>
        <w:t>. Any payments and benefits provided for hereunder shall be paid net of any applicable withholding required under applicable law.</w:t>
      </w:r>
    </w:p>
    <w:p>
      <w:pPr>
        <w:spacing w:after="0" w:line="139" w:lineRule="exact"/>
        <w:rPr>
          <w:sz w:val="20"/>
          <w:szCs w:val="20"/>
          <w:color w:val="auto"/>
        </w:rPr>
      </w:pPr>
    </w:p>
    <w:p>
      <w:pPr>
        <w:ind w:right="500" w:firstLine="1272"/>
        <w:spacing w:after="0" w:line="247"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The obligations of the Company and the Participant under this Plan which by their nature may require either partial or total performance after the termination of this Plan shall survive such termination.</w:t>
      </w:r>
    </w:p>
    <w:p>
      <w:pPr>
        <w:spacing w:after="0" w:line="139" w:lineRule="exact"/>
        <w:rPr>
          <w:sz w:val="20"/>
          <w:szCs w:val="20"/>
          <w:color w:val="auto"/>
        </w:rPr>
      </w:pPr>
    </w:p>
    <w:p>
      <w:pPr>
        <w:ind w:right="60" w:firstLine="1272"/>
        <w:spacing w:after="0" w:line="227"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i w:val="1"/>
          <w:iCs w:val="1"/>
          <w:color w:val="auto"/>
        </w:rPr>
        <w:t>No Right to Continued Employment</w:t>
      </w:r>
      <w:r>
        <w:rPr>
          <w:rFonts w:ascii="Times New Roman" w:cs="Times New Roman" w:eastAsia="Times New Roman" w:hAnsi="Times New Roman"/>
          <w:sz w:val="21"/>
          <w:szCs w:val="21"/>
          <w:color w:val="auto"/>
        </w:rPr>
        <w:t>. Neither the establishment of this Plan, nor any modification thereof, nor the creation of any fund, trust or account, nor the payment of any benefits shall be construed as giving any Participant, or any person whomsoever, the right to be retained in the service of the Company, and all Participants shall remain subject to discharge to the same extent as if this Plan had never been adopted.</w:t>
      </w:r>
    </w:p>
    <w:p>
      <w:pPr>
        <w:spacing w:after="0" w:line="146" w:lineRule="exact"/>
        <w:rPr>
          <w:sz w:val="20"/>
          <w:szCs w:val="20"/>
          <w:color w:val="auto"/>
        </w:rPr>
      </w:pPr>
    </w:p>
    <w:p>
      <w:pPr>
        <w:ind w:right="20" w:firstLine="1272"/>
        <w:spacing w:after="0" w:line="247" w:lineRule="auto"/>
        <w:rPr>
          <w:sz w:val="20"/>
          <w:szCs w:val="20"/>
          <w:color w:val="auto"/>
        </w:rPr>
      </w:pPr>
      <w:r>
        <w:rPr>
          <w:rFonts w:ascii="Times New Roman" w:cs="Times New Roman" w:eastAsia="Times New Roman" w:hAnsi="Times New Roman"/>
          <w:sz w:val="21"/>
          <w:szCs w:val="21"/>
          <w:color w:val="auto"/>
        </w:rPr>
        <w:t xml:space="preserve">9.8 </w:t>
      </w:r>
      <w:r>
        <w:rPr>
          <w:rFonts w:ascii="Times New Roman" w:cs="Times New Roman" w:eastAsia="Times New Roman" w:hAnsi="Times New Roman"/>
          <w:sz w:val="21"/>
          <w:szCs w:val="21"/>
          <w:i w:val="1"/>
          <w:iCs w:val="1"/>
          <w:color w:val="auto"/>
        </w:rPr>
        <w:t>Headings Descriptive</w:t>
      </w:r>
      <w:r>
        <w:rPr>
          <w:rFonts w:ascii="Times New Roman" w:cs="Times New Roman" w:eastAsia="Times New Roman" w:hAnsi="Times New Roman"/>
          <w:sz w:val="21"/>
          <w:szCs w:val="21"/>
          <w:color w:val="auto"/>
        </w:rPr>
        <w:t>. The headings of sections and paragraphs of this Plan are inserted for convenience only and shall not in any way affect the meaning or construction of any provision of this Plan.</w:t>
      </w:r>
    </w:p>
    <w:p>
      <w:pPr>
        <w:spacing w:after="0" w:line="139" w:lineRule="exact"/>
        <w:rPr>
          <w:sz w:val="20"/>
          <w:szCs w:val="20"/>
          <w:color w:val="auto"/>
        </w:rPr>
      </w:pPr>
    </w:p>
    <w:p>
      <w:pPr>
        <w:ind w:right="280" w:firstLine="1272"/>
        <w:spacing w:after="0" w:line="247" w:lineRule="auto"/>
        <w:rPr>
          <w:sz w:val="20"/>
          <w:szCs w:val="20"/>
          <w:color w:val="auto"/>
        </w:rPr>
      </w:pPr>
      <w:r>
        <w:rPr>
          <w:rFonts w:ascii="Times New Roman" w:cs="Times New Roman" w:eastAsia="Times New Roman" w:hAnsi="Times New Roman"/>
          <w:sz w:val="21"/>
          <w:szCs w:val="21"/>
          <w:color w:val="auto"/>
        </w:rPr>
        <w:t xml:space="preserve">9.9 </w:t>
      </w:r>
      <w:r>
        <w:rPr>
          <w:rFonts w:ascii="Times New Roman" w:cs="Times New Roman" w:eastAsia="Times New Roman" w:hAnsi="Times New Roman"/>
          <w:sz w:val="21"/>
          <w:szCs w:val="21"/>
          <w:i w:val="1"/>
          <w:iCs w:val="1"/>
          <w:color w:val="auto"/>
        </w:rPr>
        <w:t>Benefits Unfunded</w:t>
      </w:r>
      <w:r>
        <w:rPr>
          <w:rFonts w:ascii="Times New Roman" w:cs="Times New Roman" w:eastAsia="Times New Roman" w:hAnsi="Times New Roman"/>
          <w:sz w:val="21"/>
          <w:szCs w:val="21"/>
          <w:color w:val="auto"/>
        </w:rPr>
        <w:t>. This Plan shall not be funded. No Participant shall have any right to, or interest in, any assets of the Company which may be applied by the Company to the payment of benefits or other rights under this Plan.</w:t>
      </w:r>
    </w:p>
    <w:p>
      <w:pPr>
        <w:spacing w:after="0" w:line="139" w:lineRule="exact"/>
        <w:rPr>
          <w:sz w:val="20"/>
          <w:szCs w:val="20"/>
          <w:color w:val="auto"/>
        </w:rPr>
      </w:pPr>
    </w:p>
    <w:p>
      <w:pPr>
        <w:ind w:right="120" w:firstLine="1272"/>
        <w:spacing w:after="0" w:line="247" w:lineRule="auto"/>
        <w:rPr>
          <w:sz w:val="20"/>
          <w:szCs w:val="20"/>
          <w:color w:val="auto"/>
        </w:rPr>
      </w:pPr>
      <w:r>
        <w:rPr>
          <w:rFonts w:ascii="Times New Roman" w:cs="Times New Roman" w:eastAsia="Times New Roman" w:hAnsi="Times New Roman"/>
          <w:sz w:val="21"/>
          <w:szCs w:val="21"/>
          <w:color w:val="auto"/>
        </w:rPr>
        <w:t xml:space="preserve">9.10 </w:t>
      </w:r>
      <w:r>
        <w:rPr>
          <w:rFonts w:ascii="Times New Roman" w:cs="Times New Roman" w:eastAsia="Times New Roman" w:hAnsi="Times New Roman"/>
          <w:sz w:val="21"/>
          <w:szCs w:val="21"/>
          <w:i w:val="1"/>
          <w:iCs w:val="1"/>
          <w:color w:val="auto"/>
        </w:rPr>
        <w:t>Enforceability</w:t>
      </w:r>
      <w:r>
        <w:rPr>
          <w:rFonts w:ascii="Times New Roman" w:cs="Times New Roman" w:eastAsia="Times New Roman" w:hAnsi="Times New Roman"/>
          <w:sz w:val="21"/>
          <w:szCs w:val="21"/>
          <w:color w:val="auto"/>
        </w:rPr>
        <w:t>. The invalidity or unenforceability of any provision of this Plan shall not affect the validity or enforceability of any other provision of this Plan, which shall remain in full force and effect.</w:t>
      </w:r>
    </w:p>
    <w:p>
      <w:pPr>
        <w:spacing w:after="0" w:line="139" w:lineRule="exact"/>
        <w:rPr>
          <w:sz w:val="20"/>
          <w:szCs w:val="20"/>
          <w:color w:val="auto"/>
        </w:rPr>
      </w:pPr>
    </w:p>
    <w:p>
      <w:pPr>
        <w:ind w:right="240" w:firstLine="1272"/>
        <w:spacing w:after="0" w:line="247" w:lineRule="auto"/>
        <w:rPr>
          <w:sz w:val="20"/>
          <w:szCs w:val="20"/>
          <w:color w:val="auto"/>
        </w:rPr>
      </w:pPr>
      <w:r>
        <w:rPr>
          <w:rFonts w:ascii="Times New Roman" w:cs="Times New Roman" w:eastAsia="Times New Roman" w:hAnsi="Times New Roman"/>
          <w:sz w:val="21"/>
          <w:szCs w:val="21"/>
          <w:color w:val="auto"/>
        </w:rPr>
        <w:t xml:space="preserve">9.11 </w:t>
      </w: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This Plan shall be interpreted to avoid any penalty sanctions under Section 409A or 457A of the Code. If any payment or benefit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20"/>
          </w:cols>
          <w:pgMar w:left="320" w:top="1369" w:right="359" w:bottom="1440" w:gutter="0" w:footer="0" w:header="0"/>
        </w:sectPr>
      </w:pPr>
    </w:p>
    <w:bookmarkStart w:id="104" w:name="page105"/>
    <w:bookmarkEnd w:id="104"/>
    <w:p>
      <w:pPr>
        <w:spacing w:after="0" w:line="213" w:lineRule="auto"/>
        <w:rPr>
          <w:sz w:val="20"/>
          <w:szCs w:val="20"/>
          <w:color w:val="auto"/>
        </w:rPr>
      </w:pPr>
      <w:r>
        <w:rPr>
          <w:rFonts w:ascii="Times New Roman" w:cs="Times New Roman" w:eastAsia="Times New Roman" w:hAnsi="Times New Roman"/>
          <w:sz w:val="21"/>
          <w:szCs w:val="21"/>
          <w:color w:val="auto"/>
        </w:rPr>
        <w:t xml:space="preserve">provided or made at the time specified herein without incurring sanctions under Section 409A or 457A of the Code, then such benefit or payment shall be provided in full at the earliest time thereafter when such sanctions shall not be imposed. All payments to be made upon a termination of employment under this Plan shall be made upon a ”separation from service” within the meaning of Section 409A of the Code. For purposes of Section 409A of the Code, each payment made under this Plan shall be treated as a separate payment. In no event may the Participant, directly or indirectly, designate the calendar year of payment. To the maximum extent permitted under Section 409A of the Code and its corresponding regulations, the cash severance benefits payable under this Plan are intended to meet the requirements of the short-term deferral exemption under Section 409A or 457A of the Code and the “separation pay exception” under Treas. Reg. §1.409A-1(b)(9)(iii). However, if such severance benefits do not qualify for such exemptions at the time of the Participant’s termination of employment and therefore are deemed as deferred compensation subject to the requirements of Section 409A of the Code, then if the Participant is a “specified employee” under Section 409A of the Code on the date of the Participant’s termination of employment, notwithstanding any other provision of this Plan, payment of severance under this Plan shall be delayed for a period of six months from the date of the Participant’s termination of employment if required by Section 409A of the Code. The accumulated postponed amount shall be paid in a lump sum payment within 15 days after the end of the six-month period. If the Participant dies during the postponement period prior to payment of the postponed amount, the amounts withheld on account of Section 409A of the Code shall be paid to the Participant’s estate within 15 days after the date of the Participant’s death. All reimbursements and in-kind benefits provided under this Plan shall be made or provided in accordance with the requirements of Section 409A of the Code, including, where applicable, the requirement that (i) any reimbursement shall be for expenses incurred during the Participant’s lifetime (or during a shorter period of time specified in this Plan), (ii) the amount of expenses eligible for reimbursement, or in kind benefits provided, during a calendar year may not affect the expenses eligible for reimbursement, or in kind benefits to be provided, in any other calendar year, (iii) the reimbursement of an eligible expense shall be made on or before the last day of the calendar year following the year in which the expense is incurred and (iv) the right to reimbursement or in kind benefits is not subject to liquidation or exchange for another benefit. For the avoidance of doubt, this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shall not apply to any Participant who is not subject to the provisions of Section 409A of the Code. Neither the Company nor its directors, officers, employees or advisers shall be liable to the Participant (or any other individual claiming a benefit through the Participant) for any tax, interest, or penalties the Participant may owe as a result of compensation or benefits paid under this Plan, and the Company shall have no obligation to indemnify or otherwise protect the Participant from the obligation to pay any taxes pursuant to Section 409A or 457A or otherwise.</w:t>
      </w:r>
    </w:p>
    <w:p>
      <w:pPr>
        <w:spacing w:after="0" w:line="147" w:lineRule="exact"/>
        <w:rPr>
          <w:sz w:val="20"/>
          <w:szCs w:val="20"/>
          <w:color w:val="auto"/>
        </w:rPr>
      </w:pPr>
    </w:p>
    <w:p>
      <w:pPr>
        <w:ind w:firstLine="1272"/>
        <w:spacing w:after="0" w:line="220" w:lineRule="auto"/>
        <w:rPr>
          <w:sz w:val="20"/>
          <w:szCs w:val="20"/>
          <w:color w:val="auto"/>
        </w:rPr>
      </w:pPr>
      <w:r>
        <w:rPr>
          <w:rFonts w:ascii="Times New Roman" w:cs="Times New Roman" w:eastAsia="Times New Roman" w:hAnsi="Times New Roman"/>
          <w:sz w:val="21"/>
          <w:szCs w:val="21"/>
          <w:color w:val="auto"/>
        </w:rPr>
        <w:t xml:space="preserve">9.12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xml:space="preserve">. This Plan constitutes the entire agreement between the Company and the Participants and, except as expressly provided herein or in another agreement that specifically references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xml:space="preserve">, supersedes the provisions of all other prior agreements or policies concerning the payment of severance benefits upon a termination of employment other than those that may be payable pursuant to the Company’s Change in Control Severance Plan, as may be amended or restated from time to time, in connection with or following a Change in Control (as defined in such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payments or benefits provided pursuant to any other severance agreement or policy entitle a Participant to a duplication of payments and benefits pursuant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1220"/>
          </w:cols>
          <w:pgMar w:left="320" w:top="1371" w:right="359" w:bottom="1440" w:gutter="0" w:footer="0" w:header="0"/>
        </w:sectPr>
      </w:pPr>
    </w:p>
    <w:bookmarkStart w:id="105" w:name="page106"/>
    <w:bookmarkEnd w:id="105"/>
    <w:p>
      <w:pPr>
        <w:jc w:val="right"/>
        <w:ind w:right="3239"/>
        <w:spacing w:after="0"/>
        <w:rPr>
          <w:sz w:val="20"/>
          <w:szCs w:val="20"/>
          <w:color w:val="auto"/>
        </w:rPr>
      </w:pPr>
      <w:r>
        <w:rPr>
          <w:rFonts w:ascii="Times New Roman" w:cs="Times New Roman" w:eastAsia="Times New Roman" w:hAnsi="Times New Roman"/>
          <w:sz w:val="21"/>
          <w:szCs w:val="21"/>
          <w:color w:val="auto"/>
        </w:rPr>
        <w:t>Exhibits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10</w:t>
      </w:r>
    </w:p>
    <w:p>
      <w:pPr>
        <w:spacing w:after="0"/>
        <w:rPr>
          <w:sz w:val="20"/>
          <w:szCs w:val="20"/>
          <w:color w:val="auto"/>
        </w:rPr>
      </w:pPr>
      <w:r>
        <w:rPr>
          <w:rFonts w:ascii="Times New Roman" w:cs="Times New Roman" w:eastAsia="Times New Roman" w:hAnsi="Times New Roman"/>
          <w:sz w:val="14"/>
          <w:szCs w:val="14"/>
          <w:color w:val="auto"/>
        </w:rPr>
        <w:t>#1107756v1</w:t>
      </w:r>
    </w:p>
    <w:p>
      <w:pPr>
        <w:sectPr>
          <w:pgSz w:w="11900" w:h="16838" w:orient="portrait"/>
          <w:cols w:equalWidth="0" w:num="1">
            <w:col w:w="10139"/>
          </w:cols>
          <w:pgMar w:left="320" w:top="1371"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9"/>
          <w:szCs w:val="19"/>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WEATHERFORD INTERNATIONAL PLC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NONQUALIFIED DEFERRED COMPENSATION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as of November 30, 2022)</w:t>
      </w:r>
    </w:p>
    <w:p>
      <w:pPr>
        <w:spacing w:after="0" w:line="178" w:lineRule="exact"/>
        <w:rPr>
          <w:sz w:val="20"/>
          <w:szCs w:val="20"/>
          <w:color w:val="auto"/>
        </w:rPr>
      </w:pPr>
    </w:p>
    <w:p>
      <w:pPr>
        <w:ind w:firstLine="388"/>
        <w:spacing w:after="0" w:line="226" w:lineRule="auto"/>
        <w:tabs>
          <w:tab w:leader="none" w:pos="63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w:t>
      </w:r>
      <w:r>
        <w:rPr>
          <w:rFonts w:ascii="Times New Roman" w:cs="Times New Roman" w:eastAsia="Times New Roman" w:hAnsi="Times New Roman"/>
          <w:sz w:val="21"/>
          <w:szCs w:val="21"/>
          <w:color w:val="auto"/>
        </w:rPr>
        <w:t>. The Weatherford International plc Nonqualified Deferred Compensation Plan (the “</w:t>
      </w:r>
      <w:r>
        <w:rPr>
          <w:rFonts w:ascii="Times New Roman" w:cs="Times New Roman" w:eastAsia="Times New Roman" w:hAnsi="Times New Roman"/>
          <w:sz w:val="21"/>
          <w:szCs w:val="21"/>
          <w:u w:val="single" w:color="auto"/>
          <w:color w:val="auto"/>
        </w:rPr>
        <w:t>DCP</w:t>
      </w:r>
      <w:r>
        <w:rPr>
          <w:rFonts w:ascii="Times New Roman" w:cs="Times New Roman" w:eastAsia="Times New Roman" w:hAnsi="Times New Roman"/>
          <w:sz w:val="21"/>
          <w:szCs w:val="21"/>
          <w:color w:val="auto"/>
        </w:rPr>
        <w:t>”) is an unfunded deferred compensation plan for non-employee directors of Weatherford International plc, an Irish public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The DCP was originally adopted effective as November 1, 2021 and was amended and restated effective as of the Effective Date. The DCP is a sub-plan under the Second Amended and Restated 2019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right="80" w:firstLine="388"/>
        <w:spacing w:after="0" w:line="232" w:lineRule="auto"/>
        <w:tabs>
          <w:tab w:leader="none" w:pos="63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the DCP is to provide each non-employee director of the Company the ability to defer receipt of Shares issued in respect of equity-based awards received by such non-employee director for her or his service to the Company until a future date chosen by such non-employee director.</w:t>
      </w:r>
    </w:p>
    <w:p>
      <w:pPr>
        <w:spacing w:after="0" w:line="147" w:lineRule="exact"/>
        <w:rPr>
          <w:rFonts w:ascii="Times New Roman" w:cs="Times New Roman" w:eastAsia="Times New Roman" w:hAnsi="Times New Roman"/>
          <w:sz w:val="21"/>
          <w:szCs w:val="21"/>
          <w:color w:val="auto"/>
        </w:rPr>
      </w:pPr>
    </w:p>
    <w:p>
      <w:pPr>
        <w:ind w:right="40" w:firstLine="388"/>
        <w:spacing w:after="0" w:line="219" w:lineRule="auto"/>
        <w:tabs>
          <w:tab w:leader="none" w:pos="63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By Reference; Plan Document Receipt</w:t>
      </w:r>
      <w:r>
        <w:rPr>
          <w:rFonts w:ascii="Times New Roman" w:cs="Times New Roman" w:eastAsia="Times New Roman" w:hAnsi="Times New Roman"/>
          <w:sz w:val="21"/>
          <w:szCs w:val="21"/>
          <w:color w:val="auto"/>
        </w:rPr>
        <w:t>. This DCP is subject in all respects to the terms and provisions of the Plan (including, without limitation, any amendments thereto adopted at any time and from time to time unless such amendments are expressly intended not to apply hereunder), all of which terms and provisions are made a part of and incorporated into this DCP as if they were each expressly set forth herein. Except as provided otherwise herein, any capitalized term not defined in this DCP shall have the same meaning as is ascribed thereto in the Plan. The Participant hereby acknowledges receipt of a true copy of the Plan and that the Participant has read the Plan carefully and fully understands its content. In the event of any conflict between the terms of this DCP and the terms of the Plan, the terms of the Plan shall control.</w:t>
      </w:r>
    </w:p>
    <w:p>
      <w:pPr>
        <w:spacing w:after="0" w:line="153" w:lineRule="exact"/>
        <w:rPr>
          <w:rFonts w:ascii="Times New Roman" w:cs="Times New Roman" w:eastAsia="Times New Roman" w:hAnsi="Times New Roman"/>
          <w:sz w:val="21"/>
          <w:szCs w:val="21"/>
          <w:color w:val="auto"/>
        </w:rPr>
      </w:pPr>
    </w:p>
    <w:p>
      <w:pPr>
        <w:ind w:left="640" w:hanging="252"/>
        <w:spacing w:after="0"/>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Acceleration Events</w:t>
      </w:r>
      <w:r>
        <w:rPr>
          <w:rFonts w:ascii="Times New Roman" w:cs="Times New Roman" w:eastAsia="Times New Roman" w:hAnsi="Times New Roman"/>
          <w:sz w:val="21"/>
          <w:szCs w:val="21"/>
          <w:color w:val="auto"/>
        </w:rPr>
        <w:t>” is defined in Section 11.1 hereof.</w:t>
      </w:r>
    </w:p>
    <w:p>
      <w:pPr>
        <w:spacing w:after="0" w:line="183" w:lineRule="exact"/>
        <w:rPr>
          <w:sz w:val="20"/>
          <w:szCs w:val="20"/>
          <w:color w:val="auto"/>
        </w:rPr>
      </w:pPr>
    </w:p>
    <w:p>
      <w:pPr>
        <w:ind w:left="380" w:right="6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means a hypothetical bookkeeping account established in the name of each Participant and maintained by the Company to reflect the Participant’s interests under the DCP.</w:t>
      </w:r>
    </w:p>
    <w:p>
      <w:pPr>
        <w:spacing w:after="0" w:line="143" w:lineRule="exact"/>
        <w:rPr>
          <w:sz w:val="20"/>
          <w:szCs w:val="20"/>
          <w:color w:val="auto"/>
        </w:rPr>
      </w:pPr>
    </w:p>
    <w:p>
      <w:pPr>
        <w:ind w:left="380" w:right="8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Beneficiary</w:t>
      </w:r>
      <w:r>
        <w:rPr>
          <w:rFonts w:ascii="Times New Roman" w:cs="Times New Roman" w:eastAsia="Times New Roman" w:hAnsi="Times New Roman"/>
          <w:sz w:val="21"/>
          <w:szCs w:val="21"/>
          <w:color w:val="auto"/>
        </w:rPr>
        <w:t>” means any person or entity, designated in accordance with Section 13.6, entitled to receive benefits which are payable upon or after a Participant’s death pursuant to the terms of the DCP.</w:t>
      </w:r>
    </w:p>
    <w:p>
      <w:pPr>
        <w:spacing w:after="0" w:line="143" w:lineRule="exact"/>
        <w:rPr>
          <w:sz w:val="20"/>
          <w:szCs w:val="20"/>
          <w:color w:val="auto"/>
        </w:rPr>
      </w:pPr>
    </w:p>
    <w:p>
      <w:pPr>
        <w:ind w:left="380" w:right="46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DCP</w:t>
      </w:r>
      <w:r>
        <w:rPr>
          <w:rFonts w:ascii="Times New Roman" w:cs="Times New Roman" w:eastAsia="Times New Roman" w:hAnsi="Times New Roman"/>
          <w:sz w:val="21"/>
          <w:szCs w:val="21"/>
          <w:color w:val="auto"/>
        </w:rPr>
        <w:t>” means this Weatherford International plc Nonqualified Deferred Compensation Plan, as amended and restated from time to time.</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Deferral Election</w:t>
      </w:r>
      <w:r>
        <w:rPr>
          <w:rFonts w:ascii="Times New Roman" w:cs="Times New Roman" w:eastAsia="Times New Roman" w:hAnsi="Times New Roman"/>
          <w:sz w:val="21"/>
          <w:szCs w:val="21"/>
          <w:color w:val="auto"/>
        </w:rPr>
        <w:t>” means an election by an Eligible Director to defer Equity Compensation.</w:t>
      </w:r>
    </w:p>
    <w:p>
      <w:pPr>
        <w:spacing w:after="0" w:line="183" w:lineRule="exact"/>
        <w:rPr>
          <w:sz w:val="20"/>
          <w:szCs w:val="20"/>
          <w:color w:val="auto"/>
        </w:rPr>
      </w:pPr>
    </w:p>
    <w:p>
      <w:pPr>
        <w:ind w:left="380" w:right="12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 Date</w:t>
      </w:r>
      <w:r>
        <w:rPr>
          <w:rFonts w:ascii="Times New Roman" w:cs="Times New Roman" w:eastAsia="Times New Roman" w:hAnsi="Times New Roman"/>
          <w:sz w:val="21"/>
          <w:szCs w:val="21"/>
          <w:color w:val="auto"/>
        </w:rPr>
        <w:t>” means a date specified by a Participant in his or her Election Notice for the payment of all or a portion of such Participant’s Account.</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November 30, 2022.</w:t>
      </w:r>
    </w:p>
    <w:p>
      <w:pPr>
        <w:spacing w:after="0" w:line="183" w:lineRule="exact"/>
        <w:rPr>
          <w:sz w:val="20"/>
          <w:szCs w:val="20"/>
          <w:color w:val="auto"/>
        </w:rPr>
      </w:pPr>
    </w:p>
    <w:p>
      <w:pPr>
        <w:ind w:left="380" w:right="74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Election Notice</w:t>
      </w:r>
      <w:r>
        <w:rPr>
          <w:rFonts w:ascii="Times New Roman" w:cs="Times New Roman" w:eastAsia="Times New Roman" w:hAnsi="Times New Roman"/>
          <w:sz w:val="21"/>
          <w:szCs w:val="21"/>
          <w:color w:val="auto"/>
        </w:rPr>
        <w:t>” means the notice or notices established from time to time by the Committee for making Deferral Elections under the DCP. The Election Notice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1240"/>
          </w:cols>
          <w:pgMar w:left="320" w:top="100" w:right="339" w:bottom="1440" w:gutter="0" w:footer="0" w:header="0"/>
        </w:sectPr>
      </w:pPr>
    </w:p>
    <w:bookmarkStart w:id="107" w:name="page108"/>
    <w:bookmarkEnd w:id="107"/>
    <w:p>
      <w:pPr>
        <w:ind w:left="380" w:right="180"/>
        <w:spacing w:after="0" w:line="232" w:lineRule="auto"/>
        <w:rPr>
          <w:sz w:val="20"/>
          <w:szCs w:val="20"/>
          <w:color w:val="auto"/>
        </w:rPr>
      </w:pPr>
      <w:r>
        <w:rPr>
          <w:rFonts w:ascii="Times New Roman" w:cs="Times New Roman" w:eastAsia="Times New Roman" w:hAnsi="Times New Roman"/>
          <w:sz w:val="21"/>
          <w:szCs w:val="21"/>
          <w:color w:val="auto"/>
        </w:rPr>
        <w:t xml:space="preserve">the amount or percentage of Equity Compensation; the Distribution Date(s); and the form of payment. The form Election Notice is attached hereto and incorporated herein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Each Election Notice shall become irrevocable as of the last day of the Election Period.</w:t>
      </w:r>
    </w:p>
    <w:p>
      <w:pPr>
        <w:spacing w:after="0" w:line="148" w:lineRule="exact"/>
        <w:rPr>
          <w:sz w:val="20"/>
          <w:szCs w:val="20"/>
          <w:color w:val="auto"/>
        </w:rPr>
      </w:pPr>
    </w:p>
    <w:p>
      <w:pPr>
        <w:ind w:left="380" w:right="340" w:firstLine="1145"/>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Election Period</w:t>
      </w:r>
      <w:r>
        <w:rPr>
          <w:rFonts w:ascii="Times New Roman" w:cs="Times New Roman" w:eastAsia="Times New Roman" w:hAnsi="Times New Roman"/>
          <w:sz w:val="21"/>
          <w:szCs w:val="21"/>
          <w:color w:val="auto"/>
        </w:rPr>
        <w:t>” means the period established by the Committee with respect to each Plan Year during which Deferral Elections for such Plan Year must be made in accordance with the requirements of Section 409A of the Code, as follows:</w:t>
      </w:r>
    </w:p>
    <w:p>
      <w:pPr>
        <w:spacing w:after="0" w:line="148" w:lineRule="exact"/>
        <w:rPr>
          <w:sz w:val="20"/>
          <w:szCs w:val="20"/>
          <w:color w:val="auto"/>
        </w:rPr>
      </w:pPr>
    </w:p>
    <w:p>
      <w:pPr>
        <w:ind w:left="900" w:right="180" w:firstLine="632"/>
        <w:spacing w:after="0" w:line="245" w:lineRule="auto"/>
        <w:tabs>
          <w:tab w:leader="none" w:pos="191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 Except as provided in (b) below, the Election Period shall end no later than the last day of the Plan Year immediately preceding the Plan Year to which the Deferral Election relates.</w:t>
      </w:r>
    </w:p>
    <w:p>
      <w:pPr>
        <w:spacing w:after="0" w:line="142" w:lineRule="exact"/>
        <w:rPr>
          <w:rFonts w:ascii="Times New Roman" w:cs="Times New Roman" w:eastAsia="Times New Roman" w:hAnsi="Times New Roman"/>
          <w:sz w:val="21"/>
          <w:szCs w:val="21"/>
          <w:color w:val="auto"/>
        </w:rPr>
      </w:pPr>
    </w:p>
    <w:p>
      <w:pPr>
        <w:jc w:val="both"/>
        <w:ind w:left="900" w:right="120" w:firstLine="632"/>
        <w:spacing w:after="0" w:line="232" w:lineRule="auto"/>
        <w:tabs>
          <w:tab w:leader="none" w:pos="191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Newly Eligible Directors</w:t>
      </w:r>
      <w:r>
        <w:rPr>
          <w:rFonts w:ascii="Times New Roman" w:cs="Times New Roman" w:eastAsia="Times New Roman" w:hAnsi="Times New Roman"/>
          <w:sz w:val="21"/>
          <w:szCs w:val="21"/>
          <w:color w:val="auto"/>
        </w:rPr>
        <w:t>. The Election Period for newly Eligible Directors shall end no later than thirty (30) days after the non-employee director first becomes eligible to participate in the DCP and shall apply only with respect to compensation earned after the date of the Deferral Election.</w:t>
      </w:r>
    </w:p>
    <w:p>
      <w:pPr>
        <w:spacing w:after="0" w:line="14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Director</w:t>
      </w:r>
      <w:r>
        <w:rPr>
          <w:rFonts w:ascii="Times New Roman" w:cs="Times New Roman" w:eastAsia="Times New Roman" w:hAnsi="Times New Roman"/>
          <w:sz w:val="21"/>
          <w:szCs w:val="21"/>
          <w:color w:val="auto"/>
        </w:rPr>
        <w:t>” means each non-employee director of the Company.</w:t>
      </w:r>
    </w:p>
    <w:p>
      <w:pPr>
        <w:spacing w:after="0" w:line="183" w:lineRule="exact"/>
        <w:rPr>
          <w:sz w:val="20"/>
          <w:szCs w:val="20"/>
          <w:color w:val="auto"/>
        </w:rPr>
      </w:pPr>
    </w:p>
    <w:p>
      <w:pPr>
        <w:ind w:left="380" w:right="12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Compensation</w:t>
      </w:r>
      <w:r>
        <w:rPr>
          <w:rFonts w:ascii="Times New Roman" w:cs="Times New Roman" w:eastAsia="Times New Roman" w:hAnsi="Times New Roman"/>
          <w:sz w:val="21"/>
          <w:szCs w:val="21"/>
          <w:color w:val="auto"/>
        </w:rPr>
        <w:t>” means any equity-based incentive compensation awards received by a Participant for his or her service as a Director pursuant to the Plan or any successor thereto.</w:t>
      </w:r>
    </w:p>
    <w:p>
      <w:pPr>
        <w:spacing w:after="0" w:line="143" w:lineRule="exact"/>
        <w:rPr>
          <w:sz w:val="20"/>
          <w:szCs w:val="20"/>
          <w:color w:val="auto"/>
        </w:rPr>
      </w:pPr>
    </w:p>
    <w:p>
      <w:pPr>
        <w:ind w:left="380" w:right="52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Eligible Director who elects to participate in the DCP by filing an Election Notice in accordance with Section 6.1 and any former Eligible Director who continues to be entitled to a benefit under the DCP.</w:t>
      </w:r>
    </w:p>
    <w:p>
      <w:pPr>
        <w:spacing w:after="0" w:line="143" w:lineRule="exact"/>
        <w:rPr>
          <w:sz w:val="20"/>
          <w:szCs w:val="20"/>
          <w:color w:val="auto"/>
        </w:rPr>
      </w:pPr>
    </w:p>
    <w:p>
      <w:pPr>
        <w:ind w:left="380" w:right="840" w:firstLine="114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Year</w:t>
      </w:r>
      <w:r>
        <w:rPr>
          <w:rFonts w:ascii="Times New Roman" w:cs="Times New Roman" w:eastAsia="Times New Roman" w:hAnsi="Times New Roman"/>
          <w:sz w:val="21"/>
          <w:szCs w:val="21"/>
          <w:color w:val="auto"/>
        </w:rPr>
        <w:t>” means the twelve (12) consecutive month period which begins on January 1 and ends on the following December 31.</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has the meaning set forth in Section 409A(a)(2)(A)(i) of the Code and Treas. Reg.</w:t>
      </w:r>
    </w:p>
    <w:p>
      <w:pPr>
        <w:ind w:left="380"/>
        <w:spacing w:after="0"/>
        <w:rPr>
          <w:sz w:val="20"/>
          <w:szCs w:val="20"/>
          <w:color w:val="auto"/>
        </w:rPr>
      </w:pPr>
      <w:r>
        <w:rPr>
          <w:rFonts w:ascii="Times New Roman" w:cs="Times New Roman" w:eastAsia="Times New Roman" w:hAnsi="Times New Roman"/>
          <w:sz w:val="21"/>
          <w:szCs w:val="21"/>
          <w:color w:val="auto"/>
        </w:rPr>
        <w:t>Section 1.409A-1(h).</w:t>
      </w:r>
    </w:p>
    <w:p>
      <w:pPr>
        <w:spacing w:after="0" w:line="159" w:lineRule="exact"/>
        <w:rPr>
          <w:sz w:val="20"/>
          <w:szCs w:val="20"/>
          <w:color w:val="auto"/>
        </w:rPr>
      </w:pPr>
    </w:p>
    <w:p>
      <w:pPr>
        <w:ind w:left="380" w:firstLine="1145"/>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Unforeseeable Emergency</w:t>
      </w:r>
      <w:r>
        <w:rPr>
          <w:rFonts w:ascii="Times New Roman" w:cs="Times New Roman" w:eastAsia="Times New Roman" w:hAnsi="Times New Roman"/>
          <w:sz w:val="21"/>
          <w:szCs w:val="21"/>
          <w:color w:val="auto"/>
        </w:rPr>
        <w:t>” means a severe financial hardship of the Participant resulting from (a) an illness or accident of the Participant, the Participant’s spouse, or the Participant’s dependent; (b) a loss of the Participant’s property due to casualty; or (c) such other similar extraordinary and unforeseeable circumstances arising as a result of events beyond the control of the Participant, all as determined in the sole discretion of the Committee.</w:t>
      </w:r>
    </w:p>
    <w:p>
      <w:pPr>
        <w:spacing w:after="0" w:line="150" w:lineRule="exact"/>
        <w:rPr>
          <w:sz w:val="20"/>
          <w:szCs w:val="20"/>
          <w:color w:val="auto"/>
        </w:rPr>
      </w:pPr>
    </w:p>
    <w:p>
      <w:pPr>
        <w:ind w:left="640" w:hanging="252"/>
        <w:spacing w:after="0"/>
        <w:tabs>
          <w:tab w:leader="none" w:pos="6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 Participation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380" w:right="40" w:firstLine="509"/>
        <w:spacing w:after="0" w:line="223"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Requirements for Participation</w:t>
      </w:r>
      <w:r>
        <w:rPr>
          <w:rFonts w:ascii="Times New Roman" w:cs="Times New Roman" w:eastAsia="Times New Roman" w:hAnsi="Times New Roman"/>
          <w:sz w:val="21"/>
          <w:szCs w:val="21"/>
          <w:color w:val="auto"/>
        </w:rPr>
        <w:t>. Any Eligible Director may participate in the DCP commencing as of the date on which he or she becomes an Eligible Director. An Eligible Director may become a Participant in the DCP by making a Deferral Election in accordance with Section 6. If a Participant ceases to be an Eligible Director for a Plan Year, then the Participant’s Deferral Elections shall no longer be effective but such Participant’s Account shall continue to be credited with earnings and losses until the applicable Determination Date.</w:t>
      </w:r>
    </w:p>
    <w:p>
      <w:pPr>
        <w:spacing w:after="0" w:line="150" w:lineRule="exact"/>
        <w:rPr>
          <w:sz w:val="20"/>
          <w:szCs w:val="20"/>
          <w:color w:val="auto"/>
        </w:rPr>
      </w:pPr>
    </w:p>
    <w:p>
      <w:pPr>
        <w:ind w:left="640" w:hanging="252"/>
        <w:spacing w:after="0"/>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Procedures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1240"/>
          </w:cols>
          <w:pgMar w:left="320" w:top="1371" w:right="339" w:bottom="1440" w:gutter="0" w:footer="0" w:header="0"/>
        </w:sectPr>
      </w:pPr>
    </w:p>
    <w:bookmarkStart w:id="108" w:name="page109"/>
    <w:bookmarkEnd w:id="108"/>
    <w:p>
      <w:pPr>
        <w:ind w:left="380" w:right="260" w:firstLine="509"/>
        <w:spacing w:after="0" w:line="245"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Deferral Election</w:t>
      </w:r>
      <w:r>
        <w:rPr>
          <w:rFonts w:ascii="Times New Roman" w:cs="Times New Roman" w:eastAsia="Times New Roman" w:hAnsi="Times New Roman"/>
          <w:sz w:val="21"/>
          <w:szCs w:val="21"/>
          <w:color w:val="auto"/>
        </w:rPr>
        <w:t>. An Eligible Director may elect to defer Equity Compensation by completing an Election Notice and filing it with the Committee during the Election Period. The Election Notice must specify:</w:t>
      </w:r>
    </w:p>
    <w:p>
      <w:pPr>
        <w:spacing w:after="0" w:line="143" w:lineRule="exact"/>
        <w:rPr>
          <w:sz w:val="20"/>
          <w:szCs w:val="20"/>
          <w:color w:val="auto"/>
        </w:rPr>
      </w:pPr>
    </w:p>
    <w:p>
      <w:pPr>
        <w:ind w:left="1920" w:hanging="388"/>
        <w:spacing w:after="0"/>
        <w:tabs>
          <w:tab w:leader="none" w:pos="19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or percentage of Equity Compensation to be deferred;</w:t>
      </w:r>
    </w:p>
    <w:p>
      <w:pPr>
        <w:spacing w:after="0" w:line="182" w:lineRule="exact"/>
        <w:rPr>
          <w:rFonts w:ascii="Times New Roman" w:cs="Times New Roman" w:eastAsia="Times New Roman" w:hAnsi="Times New Roman"/>
          <w:sz w:val="21"/>
          <w:szCs w:val="21"/>
          <w:color w:val="auto"/>
        </w:rPr>
      </w:pPr>
    </w:p>
    <w:p>
      <w:pPr>
        <w:ind w:left="1920" w:hanging="388"/>
        <w:spacing w:after="0"/>
        <w:tabs>
          <w:tab w:leader="none" w:pos="19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Date for the Participant’s Account (subject to the provisions of the DCP); and</w:t>
      </w:r>
    </w:p>
    <w:p>
      <w:pPr>
        <w:spacing w:after="0" w:line="182" w:lineRule="exact"/>
        <w:rPr>
          <w:rFonts w:ascii="Times New Roman" w:cs="Times New Roman" w:eastAsia="Times New Roman" w:hAnsi="Times New Roman"/>
          <w:sz w:val="21"/>
          <w:szCs w:val="21"/>
          <w:color w:val="auto"/>
        </w:rPr>
      </w:pPr>
    </w:p>
    <w:p>
      <w:pPr>
        <w:ind w:left="1920" w:hanging="388"/>
        <w:spacing w:after="0"/>
        <w:tabs>
          <w:tab w:leader="none" w:pos="19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form of payment for the Participant’s Account.</w:t>
      </w:r>
    </w:p>
    <w:p>
      <w:pPr>
        <w:spacing w:after="0" w:line="183" w:lineRule="exact"/>
        <w:rPr>
          <w:sz w:val="20"/>
          <w:szCs w:val="20"/>
          <w:color w:val="auto"/>
        </w:rPr>
      </w:pPr>
    </w:p>
    <w:p>
      <w:pPr>
        <w:ind w:left="380" w:right="120" w:firstLine="509"/>
        <w:spacing w:after="0" w:line="221"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Equity Compensation Deferrals</w:t>
      </w:r>
      <w:r>
        <w:rPr>
          <w:rFonts w:ascii="Times New Roman" w:cs="Times New Roman" w:eastAsia="Times New Roman" w:hAnsi="Times New Roman"/>
          <w:sz w:val="21"/>
          <w:szCs w:val="21"/>
          <w:color w:val="auto"/>
        </w:rPr>
        <w:t>. A Participant may elect to defer receipt of up to 100% of the Participant’s Equity Compensation for any Plan Year by making a Deferral Election in accordance with this Section 6. Equity Compensation Deferrals shall be credited to the Participant’s Account as of the date the deferred Equity Compensation otherwise would have been settled. In the event a Participant elects to defer receipt of the Participant’s Equity Compensation, such election must provide for the deferral of Equity Compensation for a minimum of three (3) years and may provide for the deferral of Equity Compensation for a maximum of five (5) years.</w:t>
      </w:r>
    </w:p>
    <w:p>
      <w:pPr>
        <w:spacing w:after="0" w:line="150" w:lineRule="exact"/>
        <w:rPr>
          <w:sz w:val="20"/>
          <w:szCs w:val="20"/>
          <w:color w:val="auto"/>
        </w:rPr>
      </w:pPr>
    </w:p>
    <w:p>
      <w:pPr>
        <w:ind w:left="640" w:hanging="252"/>
        <w:spacing w:after="0"/>
        <w:tabs>
          <w:tab w:leader="none" w:pos="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Accounts and Investment Options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380" w:right="660" w:firstLine="509"/>
        <w:spacing w:after="0" w:line="232"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Establishment of Accounts</w:t>
      </w:r>
      <w:r>
        <w:rPr>
          <w:rFonts w:ascii="Times New Roman" w:cs="Times New Roman" w:eastAsia="Times New Roman" w:hAnsi="Times New Roman"/>
          <w:sz w:val="21"/>
          <w:szCs w:val="21"/>
          <w:color w:val="auto"/>
        </w:rPr>
        <w:t>. The Company shall establish and maintain an Account for each Participant. The Company may establish more than one Account on behalf of any Participant as deemed necessary by the Committee for administrative purposes.</w:t>
      </w:r>
    </w:p>
    <w:p>
      <w:pPr>
        <w:spacing w:after="0" w:line="148" w:lineRule="exact"/>
        <w:rPr>
          <w:sz w:val="20"/>
          <w:szCs w:val="20"/>
          <w:color w:val="auto"/>
        </w:rPr>
      </w:pPr>
    </w:p>
    <w:p>
      <w:pPr>
        <w:jc w:val="both"/>
        <w:ind w:left="380" w:right="260" w:firstLine="509"/>
        <w:spacing w:after="0" w:line="226"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Crediting of Account</w:t>
      </w:r>
      <w:r>
        <w:rPr>
          <w:rFonts w:ascii="Times New Roman" w:cs="Times New Roman" w:eastAsia="Times New Roman" w:hAnsi="Times New Roman"/>
          <w:sz w:val="21"/>
          <w:szCs w:val="21"/>
          <w:color w:val="auto"/>
        </w:rPr>
        <w:t>. The Committee will credit to the Participant’s Account a number of Restricted Share Units equal to the number of Shares otherwise deliverable to the Participant in respect of the deferred Equity Compensation absent such Participant’s Deferral Election. The number of Restricted Share Units credited to a Participant’s Account are subject to adjustment in accordance with the terms of the Plan.</w:t>
      </w:r>
    </w:p>
    <w:p>
      <w:pPr>
        <w:spacing w:after="0" w:line="150" w:lineRule="exact"/>
        <w:rPr>
          <w:sz w:val="20"/>
          <w:szCs w:val="20"/>
          <w:color w:val="auto"/>
        </w:rPr>
      </w:pPr>
    </w:p>
    <w:p>
      <w:pPr>
        <w:ind w:left="380" w:firstLine="509"/>
        <w:spacing w:after="0" w:line="221"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As of the date of payment of any cash dividend on Shares (if any), the Committee will credit to the stock Account a number of Restricted Share Units denominated in Shares equal to the cash dividend per share times the number of Restricted Share Units credited to the stock Account as of the dividend record date divided by the Fair Market Value of the Shares on the dividend record date. As of the date of payment of any stock dividend on Shares, the Committee will credit to the Account a number of Restricted Share Units equal to the stock dividend declared times the number of Restricted Share Units credited to the Account as of the dividend record date.</w:t>
      </w:r>
    </w:p>
    <w:p>
      <w:pPr>
        <w:spacing w:after="0" w:line="150" w:lineRule="exact"/>
        <w:rPr>
          <w:sz w:val="20"/>
          <w:szCs w:val="20"/>
          <w:color w:val="auto"/>
        </w:rPr>
      </w:pPr>
    </w:p>
    <w:p>
      <w:pPr>
        <w:ind w:left="380" w:right="240" w:firstLine="509"/>
        <w:spacing w:after="0" w:line="232"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Nature of Accounts</w:t>
      </w:r>
      <w:r>
        <w:rPr>
          <w:rFonts w:ascii="Times New Roman" w:cs="Times New Roman" w:eastAsia="Times New Roman" w:hAnsi="Times New Roman"/>
          <w:sz w:val="21"/>
          <w:szCs w:val="21"/>
          <w:color w:val="auto"/>
        </w:rPr>
        <w:t>. The Account is maintained for bookkeeping purposes only. Restricted Share Units credited to the Account are not considered actual Shares of the Company for any purpose and a Participant will have no rights as a stockholder with respect to the same. Shares will include fractional Restricted Share Units computed to three decimal places.</w:t>
      </w:r>
    </w:p>
    <w:p>
      <w:pPr>
        <w:spacing w:after="0" w:line="148" w:lineRule="exact"/>
        <w:rPr>
          <w:sz w:val="20"/>
          <w:szCs w:val="20"/>
          <w:color w:val="auto"/>
        </w:rPr>
      </w:pPr>
    </w:p>
    <w:p>
      <w:pPr>
        <w:ind w:left="640" w:hanging="252"/>
        <w:spacing w:after="0"/>
        <w:tabs>
          <w:tab w:leader="none" w:pos="6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380" w:right="1220" w:firstLine="509"/>
        <w:spacing w:after="0" w:line="245"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Vesting of Equity Compensation Deferrals</w:t>
      </w:r>
      <w:r>
        <w:rPr>
          <w:rFonts w:ascii="Times New Roman" w:cs="Times New Roman" w:eastAsia="Times New Roman" w:hAnsi="Times New Roman"/>
          <w:sz w:val="21"/>
          <w:szCs w:val="21"/>
          <w:color w:val="auto"/>
        </w:rPr>
        <w:t>. Participants shall be fully vested at all times in their Equity Compensation deferrals and any dividend equivalents made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1220"/>
          </w:cols>
          <w:pgMar w:left="320" w:top="1371" w:right="359" w:bottom="1440" w:gutter="0" w:footer="0" w:header="0"/>
        </w:sectPr>
      </w:pPr>
    </w:p>
    <w:bookmarkStart w:id="109" w:name="page110"/>
    <w:bookmarkEnd w:id="109"/>
    <w:p>
      <w:pPr>
        <w:ind w:left="640" w:hanging="252"/>
        <w:spacing w:after="0"/>
        <w:tabs>
          <w:tab w:leader="none" w:pos="6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Participant Accounts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380" w:right="80" w:firstLine="509"/>
        <w:spacing w:after="0" w:line="245"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Payment of a Participant’s Account shall be made on the earliest to occur of the following events (each a “</w:t>
      </w:r>
      <w:r>
        <w:rPr>
          <w:rFonts w:ascii="Times New Roman" w:cs="Times New Roman" w:eastAsia="Times New Roman" w:hAnsi="Times New Roman"/>
          <w:sz w:val="21"/>
          <w:szCs w:val="21"/>
          <w:u w:val="single" w:color="auto"/>
          <w:color w:val="auto"/>
        </w:rPr>
        <w:t>Payment Event</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ind w:left="900" w:right="260" w:firstLine="632"/>
        <w:spacing w:after="0" w:line="245" w:lineRule="auto"/>
        <w:tabs>
          <w:tab w:leader="none" w:pos="191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Date specified in the Participant’s Deferral Election; provided that, the Participant must select from among the available Distribution Date(s) designated by the Committee and set forth in the Election Notice;</w:t>
      </w:r>
    </w:p>
    <w:p>
      <w:pPr>
        <w:spacing w:after="0" w:line="142" w:lineRule="exact"/>
        <w:rPr>
          <w:rFonts w:ascii="Times New Roman" w:cs="Times New Roman" w:eastAsia="Times New Roman" w:hAnsi="Times New Roman"/>
          <w:sz w:val="21"/>
          <w:szCs w:val="21"/>
          <w:color w:val="auto"/>
        </w:rPr>
      </w:pPr>
    </w:p>
    <w:p>
      <w:pPr>
        <w:ind w:left="1920" w:hanging="388"/>
        <w:spacing w:after="0"/>
        <w:tabs>
          <w:tab w:leader="none" w:pos="192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Separation from Service;</w:t>
      </w:r>
    </w:p>
    <w:p>
      <w:pPr>
        <w:spacing w:after="0" w:line="182" w:lineRule="exact"/>
        <w:rPr>
          <w:rFonts w:ascii="Times New Roman" w:cs="Times New Roman" w:eastAsia="Times New Roman" w:hAnsi="Times New Roman"/>
          <w:sz w:val="21"/>
          <w:szCs w:val="21"/>
          <w:color w:val="auto"/>
        </w:rPr>
      </w:pPr>
    </w:p>
    <w:p>
      <w:pPr>
        <w:ind w:left="1920" w:hanging="388"/>
        <w:spacing w:after="0"/>
        <w:tabs>
          <w:tab w:leader="none" w:pos="192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death;</w:t>
      </w:r>
    </w:p>
    <w:p>
      <w:pPr>
        <w:spacing w:after="0" w:line="182" w:lineRule="exact"/>
        <w:rPr>
          <w:rFonts w:ascii="Times New Roman" w:cs="Times New Roman" w:eastAsia="Times New Roman" w:hAnsi="Times New Roman"/>
          <w:sz w:val="21"/>
          <w:szCs w:val="21"/>
          <w:color w:val="auto"/>
        </w:rPr>
      </w:pPr>
    </w:p>
    <w:p>
      <w:pPr>
        <w:ind w:left="1920" w:hanging="388"/>
        <w:spacing w:after="0"/>
        <w:tabs>
          <w:tab w:leader="none" w:pos="192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Disability; and</w:t>
      </w:r>
    </w:p>
    <w:p>
      <w:pPr>
        <w:spacing w:after="0" w:line="182" w:lineRule="exact"/>
        <w:rPr>
          <w:rFonts w:ascii="Times New Roman" w:cs="Times New Roman" w:eastAsia="Times New Roman" w:hAnsi="Times New Roman"/>
          <w:sz w:val="21"/>
          <w:szCs w:val="21"/>
          <w:color w:val="auto"/>
        </w:rPr>
      </w:pPr>
    </w:p>
    <w:p>
      <w:pPr>
        <w:ind w:left="900" w:right="80" w:firstLine="632"/>
        <w:spacing w:after="0" w:line="245" w:lineRule="auto"/>
        <w:tabs>
          <w:tab w:leader="none" w:pos="191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 Change in Control, which, for the avoidance of doubt, for the purposes of the DCP, must also constitute a “change in control event,” as defined in Treasury Regulation Section 1.409A-3(i)(5).</w:t>
      </w:r>
    </w:p>
    <w:p>
      <w:pPr>
        <w:spacing w:after="0" w:line="143" w:lineRule="exact"/>
        <w:rPr>
          <w:sz w:val="20"/>
          <w:szCs w:val="20"/>
          <w:color w:val="auto"/>
        </w:rPr>
      </w:pPr>
    </w:p>
    <w:p>
      <w:pPr>
        <w:ind w:left="380" w:right="20" w:firstLine="509"/>
        <w:spacing w:after="0" w:line="245"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Timing of Payments</w:t>
      </w:r>
      <w:r>
        <w:rPr>
          <w:rFonts w:ascii="Times New Roman" w:cs="Times New Roman" w:eastAsia="Times New Roman" w:hAnsi="Times New Roman"/>
          <w:sz w:val="21"/>
          <w:szCs w:val="21"/>
          <w:color w:val="auto"/>
        </w:rPr>
        <w:t>. Except as otherwise provided in this Section 9, payments shall be made or commence within 10 business days following a Payment Event.</w:t>
      </w:r>
    </w:p>
    <w:p>
      <w:pPr>
        <w:spacing w:after="0" w:line="143" w:lineRule="exact"/>
        <w:rPr>
          <w:sz w:val="20"/>
          <w:szCs w:val="20"/>
          <w:color w:val="auto"/>
        </w:rPr>
      </w:pPr>
    </w:p>
    <w:p>
      <w:pPr>
        <w:ind w:left="380" w:right="40" w:firstLine="509"/>
        <w:spacing w:after="0" w:line="232"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Form of Payment</w:t>
      </w:r>
      <w:r>
        <w:rPr>
          <w:rFonts w:ascii="Times New Roman" w:cs="Times New Roman" w:eastAsia="Times New Roman" w:hAnsi="Times New Roman"/>
          <w:sz w:val="21"/>
          <w:szCs w:val="21"/>
          <w:color w:val="auto"/>
        </w:rPr>
        <w:t>. Each Participant shall specify in his or her Election Notice the form of payment for amounts in his or her Account that are covered by the election. In the absence of a valid election with respect to form of payment, amounts will be paid under Option 2 on the Election Notice.</w:t>
      </w:r>
    </w:p>
    <w:p>
      <w:pPr>
        <w:spacing w:after="0" w:line="148" w:lineRule="exact"/>
        <w:rPr>
          <w:sz w:val="20"/>
          <w:szCs w:val="20"/>
          <w:color w:val="auto"/>
        </w:rPr>
      </w:pPr>
    </w:p>
    <w:p>
      <w:pPr>
        <w:ind w:left="380" w:right="80" w:firstLine="509"/>
        <w:spacing w:after="0" w:line="219"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Medium of Payment</w:t>
      </w:r>
      <w:r>
        <w:rPr>
          <w:rFonts w:ascii="Times New Roman" w:cs="Times New Roman" w:eastAsia="Times New Roman" w:hAnsi="Times New Roman"/>
          <w:sz w:val="21"/>
          <w:szCs w:val="21"/>
          <w:color w:val="auto"/>
        </w:rPr>
        <w:t xml:space="preserve">. Payment of a Participant’s Account shall be made either (a) in a number of Shares equal to the number of Restricted Share Units subject to the applicable deferral election, or (b) in the following two forms: (i) an amount in cash equal to the Fair Market Value of the Restricted Share Units subject to the applicable deferral election at the time of the Payment Event multiplied by the then-effective highest marginal federal income tax rate, and (ii) a number of Shares equal to the remaining number of Restricted Share Units subject to the applicable deferral election after payment of subsection (i)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any fractional shares under either (a) or (b) shall be paid in cash based on the Fair Market Value of the Shares at the time of the Payment Event.</w:t>
      </w:r>
    </w:p>
    <w:p>
      <w:pPr>
        <w:spacing w:after="0" w:line="154" w:lineRule="exact"/>
        <w:rPr>
          <w:sz w:val="20"/>
          <w:szCs w:val="20"/>
          <w:color w:val="auto"/>
        </w:rPr>
      </w:pPr>
    </w:p>
    <w:p>
      <w:pPr>
        <w:ind w:left="1280" w:hanging="892"/>
        <w:spacing w:after="0"/>
        <w:tabs>
          <w:tab w:leader="none" w:pos="12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Due to Unforeseeable Emergency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380" w:right="60" w:firstLine="509"/>
        <w:spacing w:after="0" w:line="245" w:lineRule="auto"/>
        <w:rPr>
          <w:sz w:val="20"/>
          <w:szCs w:val="20"/>
          <w:color w:val="auto"/>
        </w:rPr>
      </w:pPr>
      <w:r>
        <w:rPr>
          <w:rFonts w:ascii="Times New Roman" w:cs="Times New Roman" w:eastAsia="Times New Roman" w:hAnsi="Times New Roman"/>
          <w:sz w:val="21"/>
          <w:szCs w:val="21"/>
          <w:color w:val="auto"/>
        </w:rPr>
        <w:t>10.1</w:t>
      </w:r>
      <w:r>
        <w:rPr>
          <w:rFonts w:ascii="Times New Roman" w:cs="Times New Roman" w:eastAsia="Times New Roman" w:hAnsi="Times New Roman"/>
          <w:sz w:val="21"/>
          <w:szCs w:val="21"/>
          <w:u w:val="single" w:color="auto"/>
          <w:color w:val="auto"/>
        </w:rPr>
        <w:t>Request for Payment</w:t>
      </w:r>
      <w:r>
        <w:rPr>
          <w:rFonts w:ascii="Times New Roman" w:cs="Times New Roman" w:eastAsia="Times New Roman" w:hAnsi="Times New Roman"/>
          <w:sz w:val="21"/>
          <w:szCs w:val="21"/>
          <w:color w:val="auto"/>
        </w:rPr>
        <w:t>. If a Participant suffers an Unforeseeable Emergency, he or she may submit a written request to the Committee for payment of his or her Account.</w:t>
      </w:r>
    </w:p>
    <w:p>
      <w:pPr>
        <w:spacing w:after="0" w:line="143" w:lineRule="exact"/>
        <w:rPr>
          <w:sz w:val="20"/>
          <w:szCs w:val="20"/>
          <w:color w:val="auto"/>
        </w:rPr>
      </w:pPr>
    </w:p>
    <w:p>
      <w:pPr>
        <w:ind w:left="380" w:firstLine="509"/>
        <w:spacing w:after="0" w:line="221" w:lineRule="auto"/>
        <w:rPr>
          <w:sz w:val="20"/>
          <w:szCs w:val="20"/>
          <w:color w:val="auto"/>
        </w:rPr>
      </w:pPr>
      <w:r>
        <w:rPr>
          <w:rFonts w:ascii="Times New Roman" w:cs="Times New Roman" w:eastAsia="Times New Roman" w:hAnsi="Times New Roman"/>
          <w:sz w:val="21"/>
          <w:szCs w:val="21"/>
          <w:color w:val="auto"/>
        </w:rPr>
        <w:t>10.2</w:t>
      </w:r>
      <w:r>
        <w:rPr>
          <w:rFonts w:ascii="Times New Roman" w:cs="Times New Roman" w:eastAsia="Times New Roman" w:hAnsi="Times New Roman"/>
          <w:sz w:val="21"/>
          <w:szCs w:val="21"/>
          <w:u w:val="single" w:color="auto"/>
          <w:color w:val="auto"/>
        </w:rPr>
        <w:t>No Payment If Other Relief Available</w:t>
      </w:r>
      <w:r>
        <w:rPr>
          <w:rFonts w:ascii="Times New Roman" w:cs="Times New Roman" w:eastAsia="Times New Roman" w:hAnsi="Times New Roman"/>
          <w:sz w:val="21"/>
          <w:szCs w:val="21"/>
          <w:color w:val="auto"/>
        </w:rPr>
        <w:t>. The Committee will evaluate the Participant’s request for payment due to an Unforeseeable Emergency taking into account the Participant’s circumstances and the requirements of Section 409A of the Code. In no event will payments be made pursuant to this Section 10 to the extent that the Participant’s hardship can be relieved: (a) through reimbursement or compensation by insurance or otherwise; or (b) by liquidation of the Participant’s assets, to the extent that liquidation of the Participant’s assets would not itself cause severe financial hardship; or (c) by the cessation of deferrals under the DCP.</w:t>
      </w:r>
    </w:p>
    <w:p>
      <w:pPr>
        <w:spacing w:after="0" w:line="150" w:lineRule="exact"/>
        <w:rPr>
          <w:sz w:val="20"/>
          <w:szCs w:val="20"/>
          <w:color w:val="auto"/>
        </w:rPr>
      </w:pPr>
    </w:p>
    <w:p>
      <w:pPr>
        <w:jc w:val="both"/>
        <w:ind w:left="380" w:right="60" w:firstLine="509"/>
        <w:spacing w:after="0" w:line="232" w:lineRule="auto"/>
        <w:rPr>
          <w:sz w:val="20"/>
          <w:szCs w:val="20"/>
          <w:color w:val="auto"/>
        </w:rPr>
      </w:pPr>
      <w:r>
        <w:rPr>
          <w:rFonts w:ascii="Times New Roman" w:cs="Times New Roman" w:eastAsia="Times New Roman" w:hAnsi="Times New Roman"/>
          <w:sz w:val="21"/>
          <w:szCs w:val="21"/>
          <w:color w:val="auto"/>
        </w:rPr>
        <w:t>10.3</w:t>
      </w:r>
      <w:r>
        <w:rPr>
          <w:rFonts w:ascii="Times New Roman" w:cs="Times New Roman" w:eastAsia="Times New Roman" w:hAnsi="Times New Roman"/>
          <w:sz w:val="21"/>
          <w:szCs w:val="21"/>
          <w:u w:val="single" w:color="auto"/>
          <w:color w:val="auto"/>
        </w:rPr>
        <w:t>Limitation on Payment Amount</w:t>
      </w:r>
      <w:r>
        <w:rPr>
          <w:rFonts w:ascii="Times New Roman" w:cs="Times New Roman" w:eastAsia="Times New Roman" w:hAnsi="Times New Roman"/>
          <w:sz w:val="21"/>
          <w:szCs w:val="21"/>
          <w:color w:val="auto"/>
        </w:rPr>
        <w:t>. The amount of any payment made on account of an Unforeseeable Emergency shall not exceed the amount reasonably necessary to satisfy the Participant’s financial need, including amounts necessary to pay any Federal,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1240"/>
          </w:cols>
          <w:pgMar w:left="320" w:top="1371" w:right="339" w:bottom="1440" w:gutter="0" w:footer="0" w:header="0"/>
        </w:sectPr>
      </w:pPr>
    </w:p>
    <w:bookmarkStart w:id="110" w:name="page111"/>
    <w:bookmarkEnd w:id="110"/>
    <w:p>
      <w:pPr>
        <w:ind w:left="380"/>
        <w:spacing w:after="0"/>
        <w:rPr>
          <w:sz w:val="20"/>
          <w:szCs w:val="20"/>
          <w:color w:val="auto"/>
        </w:rPr>
      </w:pPr>
      <w:r>
        <w:rPr>
          <w:rFonts w:ascii="Times New Roman" w:cs="Times New Roman" w:eastAsia="Times New Roman" w:hAnsi="Times New Roman"/>
          <w:sz w:val="21"/>
          <w:szCs w:val="21"/>
          <w:color w:val="auto"/>
        </w:rPr>
        <w:t>local income taxes or penalties reasonably anticipated to result from the payment, as determined by the Committee.</w:t>
      </w:r>
    </w:p>
    <w:p>
      <w:pPr>
        <w:spacing w:after="0" w:line="183" w:lineRule="exact"/>
        <w:rPr>
          <w:sz w:val="20"/>
          <w:szCs w:val="20"/>
          <w:color w:val="auto"/>
        </w:rPr>
      </w:pPr>
    </w:p>
    <w:p>
      <w:pPr>
        <w:ind w:left="380" w:right="260" w:firstLine="509"/>
        <w:spacing w:after="0" w:line="232" w:lineRule="auto"/>
        <w:rPr>
          <w:sz w:val="20"/>
          <w:szCs w:val="20"/>
          <w:color w:val="auto"/>
        </w:rPr>
      </w:pPr>
      <w:r>
        <w:rPr>
          <w:rFonts w:ascii="Times New Roman" w:cs="Times New Roman" w:eastAsia="Times New Roman" w:hAnsi="Times New Roman"/>
          <w:sz w:val="21"/>
          <w:szCs w:val="21"/>
          <w:color w:val="auto"/>
        </w:rPr>
        <w:t>10.4</w:t>
      </w:r>
      <w:r>
        <w:rPr>
          <w:rFonts w:ascii="Times New Roman" w:cs="Times New Roman" w:eastAsia="Times New Roman" w:hAnsi="Times New Roman"/>
          <w:sz w:val="21"/>
          <w:szCs w:val="21"/>
          <w:u w:val="single" w:color="auto"/>
          <w:color w:val="auto"/>
        </w:rPr>
        <w:t>Timing of Payment</w:t>
      </w:r>
      <w:r>
        <w:rPr>
          <w:rFonts w:ascii="Times New Roman" w:cs="Times New Roman" w:eastAsia="Times New Roman" w:hAnsi="Times New Roman"/>
          <w:sz w:val="21"/>
          <w:szCs w:val="21"/>
          <w:color w:val="auto"/>
        </w:rPr>
        <w:t>. Payments shall be made from a Participant’s Account as soon as practicable and in any event within 10 business days following the Committee’s determination that an Unforeseeable Emergency has occurred and authorization of payment from the Participant’s Account.</w:t>
      </w:r>
    </w:p>
    <w:p>
      <w:pPr>
        <w:spacing w:after="0" w:line="148" w:lineRule="exact"/>
        <w:rPr>
          <w:sz w:val="20"/>
          <w:szCs w:val="20"/>
          <w:color w:val="auto"/>
        </w:rPr>
      </w:pPr>
    </w:p>
    <w:p>
      <w:pPr>
        <w:ind w:left="1260" w:hanging="872"/>
        <w:spacing w:after="0"/>
        <w:tabs>
          <w:tab w:leader="none" w:pos="12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Acceleration Events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11.1</w:t>
      </w:r>
      <w:r>
        <w:rPr>
          <w:rFonts w:ascii="Times New Roman" w:cs="Times New Roman" w:eastAsia="Times New Roman" w:hAnsi="Times New Roman"/>
          <w:sz w:val="21"/>
          <w:szCs w:val="21"/>
          <w:u w:val="single" w:color="auto"/>
          <w:color w:val="auto"/>
        </w:rPr>
        <w:t>Permissible Acceleration Events</w:t>
      </w:r>
      <w:r>
        <w:rPr>
          <w:rFonts w:ascii="Times New Roman" w:cs="Times New Roman" w:eastAsia="Times New Roman" w:hAnsi="Times New Roman"/>
          <w:sz w:val="21"/>
          <w:szCs w:val="21"/>
          <w:color w:val="auto"/>
        </w:rPr>
        <w:t>. Notwithstanding anything in the DCP to the contrary, the Committee, in its sole</w:t>
      </w:r>
    </w:p>
    <w:p>
      <w:pPr>
        <w:ind w:left="380"/>
        <w:spacing w:after="0" w:line="210" w:lineRule="auto"/>
        <w:rPr>
          <w:sz w:val="20"/>
          <w:szCs w:val="20"/>
          <w:color w:val="auto"/>
        </w:rPr>
      </w:pPr>
      <w:r>
        <w:rPr>
          <w:rFonts w:ascii="Times New Roman" w:cs="Times New Roman" w:eastAsia="Times New Roman" w:hAnsi="Times New Roman"/>
          <w:sz w:val="21"/>
          <w:szCs w:val="21"/>
          <w:color w:val="auto"/>
        </w:rPr>
        <w:t>discretion, may accelerate payment of all or a portion of a Participant’s Account upon the occurrence of any of the events</w:t>
      </w:r>
    </w:p>
    <w:p>
      <w:pPr>
        <w:ind w:left="380"/>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Acceleration Events</w:t>
      </w:r>
      <w:r>
        <w:rPr>
          <w:rFonts w:ascii="Times New Roman" w:cs="Times New Roman" w:eastAsia="Times New Roman" w:hAnsi="Times New Roman"/>
          <w:sz w:val="21"/>
          <w:szCs w:val="21"/>
          <w:color w:val="auto"/>
        </w:rPr>
        <w:t>”) set forth in this Section 11. The Committee’s determination of whether payment may be accelerated in</w:t>
      </w:r>
    </w:p>
    <w:p>
      <w:pPr>
        <w:ind w:left="380"/>
        <w:spacing w:after="0"/>
        <w:rPr>
          <w:sz w:val="20"/>
          <w:szCs w:val="20"/>
          <w:color w:val="auto"/>
        </w:rPr>
      </w:pPr>
      <w:r>
        <w:rPr>
          <w:rFonts w:ascii="Times New Roman" w:cs="Times New Roman" w:eastAsia="Times New Roman" w:hAnsi="Times New Roman"/>
          <w:sz w:val="21"/>
          <w:szCs w:val="21"/>
          <w:color w:val="auto"/>
        </w:rPr>
        <w:t>accordance with this Section 11 shall be made in accordance with Treas. Reg. Section 1.409A-3(j)(4).</w:t>
      </w:r>
    </w:p>
    <w:p>
      <w:pPr>
        <w:spacing w:after="0" w:line="159" w:lineRule="exact"/>
        <w:rPr>
          <w:sz w:val="20"/>
          <w:szCs w:val="20"/>
          <w:color w:val="auto"/>
        </w:rPr>
      </w:pPr>
    </w:p>
    <w:p>
      <w:pPr>
        <w:ind w:left="900" w:right="60" w:firstLine="632"/>
        <w:spacing w:after="0" w:line="245" w:lineRule="auto"/>
        <w:tabs>
          <w:tab w:leader="none" w:pos="1917"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Domestic Relations Orders</w:t>
      </w:r>
      <w:r>
        <w:rPr>
          <w:rFonts w:ascii="Times New Roman" w:cs="Times New Roman" w:eastAsia="Times New Roman" w:hAnsi="Times New Roman"/>
          <w:sz w:val="21"/>
          <w:szCs w:val="21"/>
          <w:color w:val="auto"/>
        </w:rPr>
        <w:t>. The Committee may accelerate payment of a Participant’s Account to the extent necessary to comply with a domestic relations order (as defined in Section 414(p)(1)(B) of the Code).</w:t>
      </w:r>
    </w:p>
    <w:p>
      <w:pPr>
        <w:spacing w:after="0" w:line="142" w:lineRule="exact"/>
        <w:rPr>
          <w:rFonts w:ascii="Times New Roman" w:cs="Times New Roman" w:eastAsia="Times New Roman" w:hAnsi="Times New Roman"/>
          <w:sz w:val="21"/>
          <w:szCs w:val="21"/>
          <w:color w:val="auto"/>
        </w:rPr>
      </w:pPr>
    </w:p>
    <w:p>
      <w:pPr>
        <w:ind w:left="900" w:right="60" w:firstLine="632"/>
        <w:spacing w:after="0" w:line="222" w:lineRule="auto"/>
        <w:tabs>
          <w:tab w:leader="none" w:pos="1916"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Limited Cashouts</w:t>
      </w:r>
      <w:r>
        <w:rPr>
          <w:rFonts w:ascii="Times New Roman" w:cs="Times New Roman" w:eastAsia="Times New Roman" w:hAnsi="Times New Roman"/>
          <w:sz w:val="21"/>
          <w:szCs w:val="21"/>
          <w:color w:val="auto"/>
        </w:rPr>
        <w:t>. The Committee may accelerate payment of a Participant’s Account to the extent that (i) the aggregate amount in the Participant’s Account does not exceed the applicable dollar amount under Section 402(g)(1)</w:t>
      </w:r>
    </w:p>
    <w:p>
      <w:pPr>
        <w:spacing w:after="0" w:line="1" w:lineRule="exact"/>
        <w:rPr>
          <w:rFonts w:ascii="Times New Roman" w:cs="Times New Roman" w:eastAsia="Times New Roman" w:hAnsi="Times New Roman"/>
          <w:sz w:val="21"/>
          <w:szCs w:val="21"/>
          <w:color w:val="auto"/>
        </w:rPr>
      </w:pPr>
    </w:p>
    <w:p>
      <w:pPr>
        <w:jc w:val="both"/>
        <w:ind w:left="900" w:right="180" w:hanging="4"/>
        <w:spacing w:after="0" w:line="224" w:lineRule="auto"/>
        <w:tabs>
          <w:tab w:leader="none" w:pos="123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(ii) the payment results in the termination of the Participant’s entire interest in the DCP and any plans that are aggregated with the DCP pursuant to Treas. Reg. Section 1.409A-1(c)(2), and (iii) the Committee’s decision to cash out the Participant’s Account is evidenced in writing no later than the date of payment.</w:t>
      </w:r>
    </w:p>
    <w:p>
      <w:pPr>
        <w:spacing w:after="0" w:line="147" w:lineRule="exact"/>
        <w:rPr>
          <w:rFonts w:ascii="Times New Roman" w:cs="Times New Roman" w:eastAsia="Times New Roman" w:hAnsi="Times New Roman"/>
          <w:sz w:val="21"/>
          <w:szCs w:val="21"/>
          <w:color w:val="auto"/>
        </w:rPr>
      </w:pPr>
    </w:p>
    <w:p>
      <w:pPr>
        <w:ind w:left="900" w:right="260" w:firstLine="632"/>
        <w:spacing w:after="0" w:line="226" w:lineRule="auto"/>
        <w:tabs>
          <w:tab w:leader="none" w:pos="1917"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Upon Income Inclusion</w:t>
      </w:r>
      <w:r>
        <w:rPr>
          <w:rFonts w:ascii="Times New Roman" w:cs="Times New Roman" w:eastAsia="Times New Roman" w:hAnsi="Times New Roman"/>
          <w:sz w:val="21"/>
          <w:szCs w:val="21"/>
          <w:color w:val="auto"/>
        </w:rPr>
        <w:t>. The Committee may accelerate payment of all or a portion of a Participant’s Account to the extent that the DCP fails to meet the requirements of Section 409A of the Code; provided that, the amount accelerated shall not exceed the amount required to be included in income as a result of the failure to comply with Section 409A of the Code.</w:t>
      </w:r>
    </w:p>
    <w:p>
      <w:pPr>
        <w:spacing w:after="0" w:line="150" w:lineRule="exact"/>
        <w:rPr>
          <w:rFonts w:ascii="Times New Roman" w:cs="Times New Roman" w:eastAsia="Times New Roman" w:hAnsi="Times New Roman"/>
          <w:sz w:val="21"/>
          <w:szCs w:val="21"/>
          <w:color w:val="auto"/>
        </w:rPr>
      </w:pPr>
    </w:p>
    <w:p>
      <w:pPr>
        <w:ind w:left="900" w:right="660" w:firstLine="632"/>
        <w:spacing w:after="0" w:line="245" w:lineRule="auto"/>
        <w:tabs>
          <w:tab w:leader="none" w:pos="1916"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the DCP</w:t>
      </w:r>
      <w:r>
        <w:rPr>
          <w:rFonts w:ascii="Times New Roman" w:cs="Times New Roman" w:eastAsia="Times New Roman" w:hAnsi="Times New Roman"/>
          <w:sz w:val="21"/>
          <w:szCs w:val="21"/>
          <w:color w:val="auto"/>
        </w:rPr>
        <w:t>. The Committee may accelerate payment of all or a portion of a Participant’s Account upon termination of the DCP in accordance with Treas. Reg. Section 1.409A-3(j)(4)(ix).</w:t>
      </w:r>
    </w:p>
    <w:p>
      <w:pPr>
        <w:spacing w:after="0" w:line="142" w:lineRule="exact"/>
        <w:rPr>
          <w:rFonts w:ascii="Times New Roman" w:cs="Times New Roman" w:eastAsia="Times New Roman" w:hAnsi="Times New Roman"/>
          <w:sz w:val="21"/>
          <w:szCs w:val="21"/>
          <w:color w:val="auto"/>
        </w:rPr>
      </w:pPr>
    </w:p>
    <w:p>
      <w:pPr>
        <w:ind w:left="900" w:right="80" w:firstLine="632"/>
        <w:spacing w:after="0" w:line="223" w:lineRule="auto"/>
        <w:tabs>
          <w:tab w:leader="none" w:pos="1917"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Offsets</w:t>
      </w:r>
      <w:r>
        <w:rPr>
          <w:rFonts w:ascii="Times New Roman" w:cs="Times New Roman" w:eastAsia="Times New Roman" w:hAnsi="Times New Roman"/>
          <w:sz w:val="21"/>
          <w:szCs w:val="21"/>
          <w:color w:val="auto"/>
        </w:rPr>
        <w:t>. The Committee may accelerate payment of all or a portion of the Participant’s Account to satisfy a debt of the Participant to the Company incurred in the ordinary course of the service relationship between the Company and the Participant; provided, however, the amount accelerated shall not exceed $5,000 and the payment shall be made at the same time and in the same amount as the debt otherwise would have been due and collected from the Participant.</w:t>
      </w:r>
    </w:p>
    <w:p>
      <w:pPr>
        <w:spacing w:after="0" w:line="150" w:lineRule="exact"/>
        <w:rPr>
          <w:rFonts w:ascii="Times New Roman" w:cs="Times New Roman" w:eastAsia="Times New Roman" w:hAnsi="Times New Roman"/>
          <w:sz w:val="21"/>
          <w:szCs w:val="21"/>
          <w:color w:val="auto"/>
        </w:rPr>
      </w:pPr>
    </w:p>
    <w:p>
      <w:pPr>
        <w:ind w:left="900" w:right="160" w:firstLine="632"/>
        <w:spacing w:after="0" w:line="232" w:lineRule="auto"/>
        <w:tabs>
          <w:tab w:leader="none" w:pos="1907"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Bona Fide Disputes as to Right to Payment</w:t>
      </w:r>
      <w:r>
        <w:rPr>
          <w:rFonts w:ascii="Times New Roman" w:cs="Times New Roman" w:eastAsia="Times New Roman" w:hAnsi="Times New Roman"/>
          <w:sz w:val="21"/>
          <w:szCs w:val="21"/>
          <w:color w:val="auto"/>
        </w:rPr>
        <w:t>. The Committee may accelerate payment of all or a portion of a Participant’s Account where the payment is part of a settlement between the Company and the Participant of an arm’s length, bona fide dispute as to the Participant’s right to the deferred amount.</w:t>
      </w:r>
    </w:p>
    <w:p>
      <w:pPr>
        <w:spacing w:after="0" w:line="147" w:lineRule="exact"/>
        <w:rPr>
          <w:rFonts w:ascii="Times New Roman" w:cs="Times New Roman" w:eastAsia="Times New Roman" w:hAnsi="Times New Roman"/>
          <w:sz w:val="21"/>
          <w:szCs w:val="21"/>
          <w:color w:val="auto"/>
        </w:rPr>
      </w:pPr>
    </w:p>
    <w:p>
      <w:pPr>
        <w:ind w:left="1280" w:hanging="892"/>
        <w:spacing w:after="0"/>
        <w:tabs>
          <w:tab w:leader="none" w:pos="12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5</w:t>
      </w: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1160"/>
          </w:cols>
          <w:pgMar w:left="320" w:top="1371" w:right="419" w:bottom="1440" w:gutter="0" w:footer="0" w:header="0"/>
        </w:sectPr>
      </w:pPr>
    </w:p>
    <w:bookmarkStart w:id="111" w:name="page112"/>
    <w:bookmarkEnd w:id="111"/>
    <w:p>
      <w:pPr>
        <w:ind w:left="380" w:right="100" w:firstLine="509"/>
        <w:spacing w:after="0" w:line="223" w:lineRule="auto"/>
        <w:rPr>
          <w:sz w:val="20"/>
          <w:szCs w:val="20"/>
          <w:color w:val="auto"/>
        </w:rPr>
      </w:pPr>
      <w:r>
        <w:rPr>
          <w:rFonts w:ascii="Times New Roman" w:cs="Times New Roman" w:eastAsia="Times New Roman" w:hAnsi="Times New Roman"/>
          <w:sz w:val="21"/>
          <w:szCs w:val="21"/>
          <w:color w:val="auto"/>
        </w:rPr>
        <w:t>12.1The Board may, at any time, and in its discretion, alter, amend, modify, suspend or terminate the DCP or any portion thereof; provided, however, that no such amendment, modification, suspension or termination shall, without the consent of a Participant, adversely affect such Participant’s rights with respect to amounts credited to or accrued in his or her Account and provided, further, that, no payment of benefits shall occur upon termination of the DCP unless the requirements of Section 409A of the Code have been met.</w:t>
      </w:r>
    </w:p>
    <w:p>
      <w:pPr>
        <w:spacing w:after="0" w:line="150" w:lineRule="exact"/>
        <w:rPr>
          <w:sz w:val="20"/>
          <w:szCs w:val="20"/>
          <w:color w:val="auto"/>
        </w:rPr>
      </w:pPr>
    </w:p>
    <w:p>
      <w:pPr>
        <w:ind w:left="1280" w:hanging="892"/>
        <w:spacing w:after="0"/>
        <w:tabs>
          <w:tab w:leader="none" w:pos="12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380" w:right="180" w:firstLine="509"/>
        <w:spacing w:after="0" w:line="232" w:lineRule="auto"/>
        <w:rPr>
          <w:sz w:val="20"/>
          <w:szCs w:val="20"/>
          <w:color w:val="auto"/>
        </w:rPr>
      </w:pPr>
      <w:r>
        <w:rPr>
          <w:rFonts w:ascii="Times New Roman" w:cs="Times New Roman" w:eastAsia="Times New Roman" w:hAnsi="Times New Roman"/>
          <w:sz w:val="21"/>
          <w:szCs w:val="21"/>
          <w:color w:val="auto"/>
        </w:rPr>
        <w:t>13.1</w:t>
      </w:r>
      <w:r>
        <w:rPr>
          <w:rFonts w:ascii="Times New Roman" w:cs="Times New Roman" w:eastAsia="Times New Roman" w:hAnsi="Times New Roman"/>
          <w:sz w:val="21"/>
          <w:szCs w:val="21"/>
          <w:u w:val="single" w:color="auto"/>
          <w:color w:val="auto"/>
        </w:rPr>
        <w:t>No Employment or Other Service Rights</w:t>
      </w:r>
      <w:r>
        <w:rPr>
          <w:rFonts w:ascii="Times New Roman" w:cs="Times New Roman" w:eastAsia="Times New Roman" w:hAnsi="Times New Roman"/>
          <w:sz w:val="21"/>
          <w:szCs w:val="21"/>
          <w:color w:val="auto"/>
        </w:rPr>
        <w:t>. Nothing in the DCP or any instrument executed pursuant thereto shall confer upon any Participant any right to continue to serve the Company or interfere in any way with the right of the Company to terminate the Participant’s service at any time with or without notice and with or without cause.</w:t>
      </w:r>
    </w:p>
    <w:p>
      <w:pPr>
        <w:spacing w:after="0" w:line="148" w:lineRule="exact"/>
        <w:rPr>
          <w:sz w:val="20"/>
          <w:szCs w:val="20"/>
          <w:color w:val="auto"/>
        </w:rPr>
      </w:pPr>
    </w:p>
    <w:p>
      <w:pPr>
        <w:ind w:left="380" w:right="300" w:firstLine="509"/>
        <w:spacing w:after="0" w:line="245" w:lineRule="auto"/>
        <w:rPr>
          <w:sz w:val="20"/>
          <w:szCs w:val="20"/>
          <w:color w:val="auto"/>
        </w:rPr>
      </w:pPr>
      <w:r>
        <w:rPr>
          <w:rFonts w:ascii="Times New Roman" w:cs="Times New Roman" w:eastAsia="Times New Roman" w:hAnsi="Times New Roman"/>
          <w:sz w:val="21"/>
          <w:szCs w:val="21"/>
          <w:color w:val="auto"/>
        </w:rPr>
        <w:t>13.2</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DCP shall be administered, construed and governed in all respects under and by the laws of Texas, without reference to the principles of conflicts of law (except and to the extent preempted by applicable Federal law).</w:t>
      </w:r>
    </w:p>
    <w:p>
      <w:pPr>
        <w:spacing w:after="0" w:line="143" w:lineRule="exact"/>
        <w:rPr>
          <w:sz w:val="20"/>
          <w:szCs w:val="20"/>
          <w:color w:val="auto"/>
        </w:rPr>
      </w:pPr>
    </w:p>
    <w:p>
      <w:pPr>
        <w:ind w:left="380" w:right="60" w:firstLine="509"/>
        <w:spacing w:after="0" w:line="221" w:lineRule="auto"/>
        <w:rPr>
          <w:sz w:val="20"/>
          <w:szCs w:val="20"/>
          <w:color w:val="auto"/>
        </w:rPr>
      </w:pPr>
      <w:r>
        <w:rPr>
          <w:rFonts w:ascii="Times New Roman" w:cs="Times New Roman" w:eastAsia="Times New Roman" w:hAnsi="Times New Roman"/>
          <w:sz w:val="21"/>
          <w:szCs w:val="21"/>
          <w:color w:val="auto"/>
        </w:rPr>
        <w:t>13.3</w:t>
      </w: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The DCP is intended to either comply with, or be exempt from, the requirements of Section 409A of the Code. To the extent that the DCP is not exempt from the requirements of Section 409A of the Code, the DCP is intended to comply with the requirements of Section 409A of the Code and shall be limited, construed and interpreted in accordance with such intent. Notwithstanding the foregoing, in no event whatsoever shall the Company be liable for any additional tax, interest, income inclusion or other penalty that may be imposed on a Participant by Section 409A of the Code or for damages for failing to comply with Section 409A of the Code.</w:t>
      </w:r>
    </w:p>
    <w:p>
      <w:pPr>
        <w:spacing w:after="0" w:line="150" w:lineRule="exact"/>
        <w:rPr>
          <w:sz w:val="20"/>
          <w:szCs w:val="20"/>
          <w:color w:val="auto"/>
        </w:rPr>
      </w:pPr>
    </w:p>
    <w:p>
      <w:pPr>
        <w:ind w:left="380" w:right="20" w:firstLine="509"/>
        <w:spacing w:after="0" w:line="226" w:lineRule="auto"/>
        <w:rPr>
          <w:sz w:val="20"/>
          <w:szCs w:val="20"/>
          <w:color w:val="auto"/>
        </w:rPr>
      </w:pPr>
      <w:r>
        <w:rPr>
          <w:rFonts w:ascii="Times New Roman" w:cs="Times New Roman" w:eastAsia="Times New Roman" w:hAnsi="Times New Roman"/>
          <w:sz w:val="21"/>
          <w:szCs w:val="21"/>
          <w:color w:val="auto"/>
        </w:rPr>
        <w:t>13.4The Company intends that the DCP comply with the requirements of Section 409A of the Code and shall be operated and interpreted consistent with that intent. Notwithstanding the foregoing, the Company makes no representation that the DCP complies with Section 409A of the Code and shall have no liability to any Participant for any failure to comply with Section 409A of the Code.</w:t>
      </w:r>
    </w:p>
    <w:p>
      <w:pPr>
        <w:spacing w:after="0" w:line="150" w:lineRule="exact"/>
        <w:rPr>
          <w:sz w:val="20"/>
          <w:szCs w:val="20"/>
          <w:color w:val="auto"/>
        </w:rPr>
      </w:pPr>
    </w:p>
    <w:p>
      <w:pPr>
        <w:ind w:left="380" w:right="20" w:firstLine="509"/>
        <w:spacing w:after="0" w:line="232" w:lineRule="auto"/>
        <w:rPr>
          <w:sz w:val="20"/>
          <w:szCs w:val="20"/>
          <w:color w:val="auto"/>
        </w:rPr>
      </w:pPr>
      <w:r>
        <w:rPr>
          <w:rFonts w:ascii="Times New Roman" w:cs="Times New Roman" w:eastAsia="Times New Roman" w:hAnsi="Times New Roman"/>
          <w:sz w:val="21"/>
          <w:szCs w:val="21"/>
          <w:color w:val="auto"/>
        </w:rPr>
        <w:t>13.5</w:t>
      </w:r>
      <w:r>
        <w:rPr>
          <w:rFonts w:ascii="Times New Roman" w:cs="Times New Roman" w:eastAsia="Times New Roman" w:hAnsi="Times New Roman"/>
          <w:sz w:val="21"/>
          <w:szCs w:val="21"/>
          <w:u w:val="single" w:color="auto"/>
          <w:color w:val="auto"/>
        </w:rPr>
        <w:t>General Assets/Trust</w:t>
      </w:r>
      <w:r>
        <w:rPr>
          <w:rFonts w:ascii="Times New Roman" w:cs="Times New Roman" w:eastAsia="Times New Roman" w:hAnsi="Times New Roman"/>
          <w:sz w:val="21"/>
          <w:szCs w:val="21"/>
          <w:color w:val="auto"/>
        </w:rPr>
        <w:t>. All amounts provided under the DCP shall be paid from the general assets of the Company and no separate fund shall be established to secure payment. Notwithstanding the foregoing, the Company may, but need not, establish a rabbi trust to assist it in funding any DCP obligations.</w:t>
      </w:r>
    </w:p>
    <w:p>
      <w:pPr>
        <w:spacing w:after="0" w:line="148" w:lineRule="exact"/>
        <w:rPr>
          <w:sz w:val="20"/>
          <w:szCs w:val="20"/>
          <w:color w:val="auto"/>
        </w:rPr>
      </w:pPr>
    </w:p>
    <w:p>
      <w:pPr>
        <w:ind w:left="380" w:right="360" w:firstLine="509"/>
        <w:spacing w:after="0" w:line="245" w:lineRule="auto"/>
        <w:rPr>
          <w:sz w:val="20"/>
          <w:szCs w:val="20"/>
          <w:color w:val="auto"/>
        </w:rPr>
      </w:pPr>
      <w:r>
        <w:rPr>
          <w:rFonts w:ascii="Times New Roman" w:cs="Times New Roman" w:eastAsia="Times New Roman" w:hAnsi="Times New Roman"/>
          <w:sz w:val="21"/>
          <w:szCs w:val="21"/>
          <w:color w:val="auto"/>
        </w:rPr>
        <w:t>13.6</w:t>
      </w:r>
      <w:r>
        <w:rPr>
          <w:rFonts w:ascii="Times New Roman" w:cs="Times New Roman" w:eastAsia="Times New Roman" w:hAnsi="Times New Roman"/>
          <w:sz w:val="21"/>
          <w:szCs w:val="21"/>
          <w:u w:val="single" w:color="auto"/>
          <w:color w:val="auto"/>
        </w:rPr>
        <w:t>No Warranties</w:t>
      </w:r>
      <w:r>
        <w:rPr>
          <w:rFonts w:ascii="Times New Roman" w:cs="Times New Roman" w:eastAsia="Times New Roman" w:hAnsi="Times New Roman"/>
          <w:sz w:val="21"/>
          <w:szCs w:val="21"/>
          <w:color w:val="auto"/>
        </w:rPr>
        <w:t>. Neither the Company nor the Committee warrants or represents that the value of any Participant’s Account will increase. Each Participant assumes the risk in connection with the deemed investment of his or her Account.</w:t>
      </w:r>
    </w:p>
    <w:p>
      <w:pPr>
        <w:spacing w:after="0" w:line="143" w:lineRule="exact"/>
        <w:rPr>
          <w:sz w:val="20"/>
          <w:szCs w:val="20"/>
          <w:color w:val="auto"/>
        </w:rPr>
      </w:pPr>
    </w:p>
    <w:p>
      <w:pPr>
        <w:ind w:left="380" w:firstLine="509"/>
        <w:spacing w:after="0" w:line="223" w:lineRule="auto"/>
        <w:rPr>
          <w:sz w:val="20"/>
          <w:szCs w:val="20"/>
          <w:color w:val="auto"/>
        </w:rPr>
      </w:pPr>
      <w:r>
        <w:rPr>
          <w:rFonts w:ascii="Times New Roman" w:cs="Times New Roman" w:eastAsia="Times New Roman" w:hAnsi="Times New Roman"/>
          <w:sz w:val="21"/>
          <w:szCs w:val="21"/>
          <w:color w:val="auto"/>
        </w:rPr>
        <w:t>13.7</w:t>
      </w: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Each Participant under the DCP may from time to time name any beneficiary or beneficiaries to receive the Participant’s interest in the DCP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If a Participant fails to designate a beneficiary, then the Participant’s designated beneficiary shall be deemed to be the Participant’s estate.</w:t>
      </w:r>
    </w:p>
    <w:p>
      <w:pPr>
        <w:spacing w:after="0" w:line="150" w:lineRule="exact"/>
        <w:rPr>
          <w:sz w:val="20"/>
          <w:szCs w:val="20"/>
          <w:color w:val="auto"/>
        </w:rPr>
      </w:pPr>
    </w:p>
    <w:p>
      <w:pPr>
        <w:ind w:left="380" w:right="320" w:firstLine="509"/>
        <w:spacing w:after="0" w:line="232" w:lineRule="auto"/>
        <w:rPr>
          <w:sz w:val="20"/>
          <w:szCs w:val="20"/>
          <w:color w:val="auto"/>
        </w:rPr>
      </w:pPr>
      <w:r>
        <w:rPr>
          <w:rFonts w:ascii="Times New Roman" w:cs="Times New Roman" w:eastAsia="Times New Roman" w:hAnsi="Times New Roman"/>
          <w:sz w:val="21"/>
          <w:szCs w:val="21"/>
          <w:color w:val="auto"/>
        </w:rPr>
        <w:t>13.8</w:t>
      </w:r>
      <w:r>
        <w:rPr>
          <w:rFonts w:ascii="Times New Roman" w:cs="Times New Roman" w:eastAsia="Times New Roman" w:hAnsi="Times New Roman"/>
          <w:sz w:val="21"/>
          <w:szCs w:val="21"/>
          <w:u w:val="single" w:color="auto"/>
          <w:color w:val="auto"/>
        </w:rPr>
        <w:t>No Assignment</w:t>
      </w:r>
      <w:r>
        <w:rPr>
          <w:rFonts w:ascii="Times New Roman" w:cs="Times New Roman" w:eastAsia="Times New Roman" w:hAnsi="Times New Roman"/>
          <w:sz w:val="21"/>
          <w:szCs w:val="21"/>
          <w:color w:val="auto"/>
        </w:rPr>
        <w:t>. Neither a Participant nor any other person shall have any right to sell, assign, transfer, pledge, anticipate or otherwise encumber, transfer, hypothecate or convey any amounts payable hereunder prior to the date that such amounts are paid (except for the designation of beneficiaries pursuant to Section 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1240"/>
          </w:cols>
          <w:pgMar w:left="320" w:top="1371" w:right="339" w:bottom="1440" w:gutter="0" w:footer="0" w:header="0"/>
        </w:sectPr>
      </w:pPr>
    </w:p>
    <w:bookmarkStart w:id="112" w:name="page113"/>
    <w:bookmarkEnd w:id="112"/>
    <w:p>
      <w:pPr>
        <w:ind w:left="900"/>
        <w:spacing w:after="0"/>
        <w:rPr>
          <w:sz w:val="20"/>
          <w:szCs w:val="20"/>
          <w:color w:val="auto"/>
        </w:rPr>
      </w:pPr>
      <w:r>
        <w:rPr>
          <w:rFonts w:ascii="Times New Roman" w:cs="Times New Roman" w:eastAsia="Times New Roman" w:hAnsi="Times New Roman"/>
          <w:sz w:val="21"/>
          <w:szCs w:val="21"/>
          <w:color w:val="auto"/>
        </w:rPr>
        <w:t>13.9</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costs of administering the DCP shall be paid by the Company.</w:t>
      </w:r>
    </w:p>
    <w:p>
      <w:pPr>
        <w:spacing w:after="0" w:line="183" w:lineRule="exact"/>
        <w:rPr>
          <w:sz w:val="20"/>
          <w:szCs w:val="20"/>
          <w:color w:val="auto"/>
        </w:rPr>
      </w:pPr>
    </w:p>
    <w:p>
      <w:pPr>
        <w:ind w:left="380" w:right="140" w:firstLine="509"/>
        <w:spacing w:after="0" w:line="232" w:lineRule="auto"/>
        <w:rPr>
          <w:sz w:val="20"/>
          <w:szCs w:val="20"/>
          <w:color w:val="auto"/>
        </w:rPr>
      </w:pPr>
      <w:r>
        <w:rPr>
          <w:rFonts w:ascii="Times New Roman" w:cs="Times New Roman" w:eastAsia="Times New Roman" w:hAnsi="Times New Roman"/>
          <w:sz w:val="21"/>
          <w:szCs w:val="21"/>
          <w:color w:val="auto"/>
        </w:rPr>
        <w:t xml:space="preserve">13.10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the DCP is held to be invalid, illegal or unenforceable, whether in whole or in part, such provision shall be deemed modified to the extent of such invalidity, illegality or unenforceability and the remaining provisions shall not be affected.</w:t>
      </w:r>
    </w:p>
    <w:p>
      <w:pPr>
        <w:spacing w:after="0" w:line="148" w:lineRule="exact"/>
        <w:rPr>
          <w:sz w:val="20"/>
          <w:szCs w:val="20"/>
          <w:color w:val="auto"/>
        </w:rPr>
      </w:pPr>
    </w:p>
    <w:p>
      <w:pPr>
        <w:ind w:left="380" w:firstLine="509"/>
        <w:spacing w:after="0" w:line="245" w:lineRule="auto"/>
        <w:rPr>
          <w:sz w:val="20"/>
          <w:szCs w:val="20"/>
          <w:color w:val="auto"/>
        </w:rPr>
      </w:pPr>
      <w:r>
        <w:rPr>
          <w:rFonts w:ascii="Times New Roman" w:cs="Times New Roman" w:eastAsia="Times New Roman" w:hAnsi="Times New Roman"/>
          <w:sz w:val="21"/>
          <w:szCs w:val="21"/>
          <w:color w:val="auto"/>
        </w:rPr>
        <w:t xml:space="preserve">13.11 </w:t>
      </w:r>
      <w:r>
        <w:rPr>
          <w:rFonts w:ascii="Times New Roman" w:cs="Times New Roman" w:eastAsia="Times New Roman" w:hAnsi="Times New Roman"/>
          <w:sz w:val="21"/>
          <w:szCs w:val="21"/>
          <w:u w:val="single" w:color="auto"/>
          <w:color w:val="auto"/>
        </w:rPr>
        <w:t>Headings and Subheadings</w:t>
      </w:r>
      <w:r>
        <w:rPr>
          <w:rFonts w:ascii="Times New Roman" w:cs="Times New Roman" w:eastAsia="Times New Roman" w:hAnsi="Times New Roman"/>
          <w:sz w:val="21"/>
          <w:szCs w:val="21"/>
          <w:color w:val="auto"/>
        </w:rPr>
        <w:t>. Headings and subheadings in the DCP are for convenience only and are not to be considered in the construction of the provisions hereof.</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w:t>
      </w: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1180"/>
          </w:cols>
          <w:pgMar w:left="320" w:top="1371" w:right="399" w:bottom="1440" w:gutter="0" w:footer="0" w:header="0"/>
        </w:sectPr>
      </w:pPr>
    </w:p>
    <w:bookmarkStart w:id="113" w:name="page114"/>
    <w:bookmarkEnd w:id="113"/>
    <w:p>
      <w:pPr>
        <w:jc w:val="right"/>
        <w:ind w:right="3399"/>
        <w:spacing w:after="0"/>
        <w:rPr>
          <w:sz w:val="20"/>
          <w:szCs w:val="20"/>
          <w:color w:val="auto"/>
        </w:rPr>
      </w:pPr>
      <w:r>
        <w:rPr>
          <w:rFonts w:ascii="Times New Roman" w:cs="Times New Roman" w:eastAsia="Times New Roman" w:hAnsi="Times New Roman"/>
          <w:sz w:val="19"/>
          <w:szCs w:val="19"/>
          <w:color w:val="auto"/>
        </w:rPr>
        <w:t>Exhibit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#1105435v4</w:t>
      </w:r>
    </w:p>
    <w:p>
      <w:pPr>
        <w:sectPr>
          <w:pgSz w:w="11900" w:h="16838" w:orient="portrait"/>
          <w:cols w:equalWidth="0" w:num="1">
            <w:col w:w="10139"/>
          </w:cols>
          <w:pgMar w:left="320" w:top="1402"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9"/>
          <w:szCs w:val="19"/>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jc w:val="center"/>
        <w:spacing w:after="0"/>
        <w:rPr>
          <w:sz w:val="20"/>
          <w:szCs w:val="20"/>
          <w:color w:val="auto"/>
        </w:rPr>
      </w:pPr>
      <w:r>
        <w:rPr>
          <w:rFonts w:ascii="Times New Roman" w:cs="Times New Roman" w:eastAsia="Times New Roman" w:hAnsi="Times New Roman"/>
          <w:sz w:val="21"/>
          <w:szCs w:val="21"/>
          <w:b w:val="1"/>
          <w:bCs w:val="1"/>
          <w:color w:val="auto"/>
        </w:rPr>
        <w:t>SHORT-TERM INCENTIVE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as of January 18, 2023)</w:t>
      </w:r>
    </w:p>
    <w:p>
      <w:pPr>
        <w:spacing w:after="0" w:line="196" w:lineRule="exact"/>
        <w:rPr>
          <w:sz w:val="20"/>
          <w:szCs w:val="20"/>
          <w:color w:val="auto"/>
        </w:rPr>
      </w:pPr>
    </w:p>
    <w:p>
      <w:pPr>
        <w:ind w:firstLine="324"/>
        <w:spacing w:after="0" w:line="241" w:lineRule="auto"/>
        <w:tabs>
          <w:tab w:leader="none" w:pos="63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Purpose</w:t>
      </w:r>
      <w:r>
        <w:rPr>
          <w:rFonts w:ascii="Times New Roman" w:cs="Times New Roman" w:eastAsia="Times New Roman" w:hAnsi="Times New Roman"/>
          <w:sz w:val="19"/>
          <w:szCs w:val="19"/>
          <w:color w:val="auto"/>
        </w:rPr>
        <w:t>. This Weatherford International plc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Short-Term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designed to align the interests of the Company and eligible employees of the Company and its subsidiaries.</w:t>
      </w:r>
    </w:p>
    <w:p>
      <w:pPr>
        <w:spacing w:after="0" w:line="117" w:lineRule="exact"/>
        <w:rPr>
          <w:rFonts w:ascii="Times New Roman" w:cs="Times New Roman" w:eastAsia="Times New Roman" w:hAnsi="Times New Roman"/>
          <w:sz w:val="19"/>
          <w:szCs w:val="19"/>
          <w:color w:val="auto"/>
        </w:rPr>
      </w:pPr>
    </w:p>
    <w:p>
      <w:pPr>
        <w:jc w:val="both"/>
        <w:ind w:firstLine="324"/>
        <w:spacing w:after="0" w:line="238" w:lineRule="auto"/>
        <w:tabs>
          <w:tab w:leader="none" w:pos="63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Adoption of the Plan</w:t>
      </w:r>
      <w:r>
        <w:rPr>
          <w:rFonts w:ascii="Times New Roman" w:cs="Times New Roman" w:eastAsia="Times New Roman" w:hAnsi="Times New Roman"/>
          <w:sz w:val="19"/>
          <w:szCs w:val="19"/>
          <w:color w:val="auto"/>
        </w:rPr>
        <w:t>. The Plan was originally adopted effective as of January 1, 2021 and was amended and restated by the Committee effective as of January 18, 2023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Plan shall be in effect from the Effective Date, may be amended from time to time, and shall continue until terminated by the Committee.</w:t>
      </w:r>
    </w:p>
    <w:p>
      <w:pPr>
        <w:spacing w:after="0" w:line="118" w:lineRule="exact"/>
        <w:rPr>
          <w:rFonts w:ascii="Times New Roman" w:cs="Times New Roman" w:eastAsia="Times New Roman" w:hAnsi="Times New Roman"/>
          <w:sz w:val="19"/>
          <w:szCs w:val="19"/>
          <w:color w:val="auto"/>
        </w:rPr>
      </w:pPr>
    </w:p>
    <w:p>
      <w:pPr>
        <w:jc w:val="both"/>
        <w:ind w:firstLine="324"/>
        <w:spacing w:after="0" w:line="235" w:lineRule="auto"/>
        <w:tabs>
          <w:tab w:leader="none" w:pos="63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compensation provided under the Plan is intended to be in addition to all other compensation payable to Participants under any employment agreement or incentive plan or program in effect with the Company or its direct or indirect subsidiaries (collectively, “</w:t>
      </w:r>
      <w:r>
        <w:rPr>
          <w:rFonts w:ascii="Times New Roman" w:cs="Times New Roman" w:eastAsia="Times New Roman" w:hAnsi="Times New Roman"/>
          <w:sz w:val="19"/>
          <w:szCs w:val="19"/>
          <w:u w:val="single" w:color="auto"/>
          <w:color w:val="auto"/>
        </w:rPr>
        <w:t>Weatherford</w:t>
      </w:r>
      <w:r>
        <w:rPr>
          <w:rFonts w:ascii="Times New Roman" w:cs="Times New Roman" w:eastAsia="Times New Roman" w:hAnsi="Times New Roman"/>
          <w:sz w:val="19"/>
          <w:szCs w:val="19"/>
          <w:color w:val="auto"/>
        </w:rPr>
        <w:t>”). Notwithstanding the foregoing, if any Participant is entitled to participate in or otherwise receive a bonus paid by Weatherford under any bonus scheme, plan, employment agreement or applicable collective agreement provided under the applicable law of the country(ies) in which they have performed services for Weatherford (a “</w:t>
      </w:r>
      <w:r>
        <w:rPr>
          <w:rFonts w:ascii="Times New Roman" w:cs="Times New Roman" w:eastAsia="Times New Roman" w:hAnsi="Times New Roman"/>
          <w:sz w:val="19"/>
          <w:szCs w:val="19"/>
          <w:u w:val="single" w:color="auto"/>
          <w:color w:val="auto"/>
        </w:rPr>
        <w:t>Statutory Bonus</w:t>
      </w:r>
      <w:r>
        <w:rPr>
          <w:rFonts w:ascii="Times New Roman" w:cs="Times New Roman" w:eastAsia="Times New Roman" w:hAnsi="Times New Roman"/>
          <w:sz w:val="19"/>
          <w:szCs w:val="19"/>
          <w:color w:val="auto"/>
        </w:rPr>
        <w:t>”), it is the intent of the Committee that such Participant shall not receive the full amount of the Performance Incentive and the applicable Statutory Bonus(es) in the same Plan Year and the applicable Statutory Bonus shall prevail and supersede the Plan. In those countries where the Statutory Bonus is required, regardless of eligibility in the Plan, the Statutory Bonus will be paid; provided, however, that if the amount of the Performance Incentive exceeds the amount of the Statutory Bonus the Participant is entitled to for the same given Plan Year, a true-up payment will be made in an amount equal to the difference between the Performance Incentive and the Statutory Bonus for the Plan Year (“</w:t>
      </w:r>
      <w:r>
        <w:rPr>
          <w:rFonts w:ascii="Times New Roman" w:cs="Times New Roman" w:eastAsia="Times New Roman" w:hAnsi="Times New Roman"/>
          <w:sz w:val="19"/>
          <w:szCs w:val="19"/>
          <w:u w:val="single" w:color="auto"/>
          <w:color w:val="auto"/>
        </w:rPr>
        <w:t>Performance Incentive True-Up</w:t>
      </w:r>
      <w:r>
        <w:rPr>
          <w:rFonts w:ascii="Times New Roman" w:cs="Times New Roman" w:eastAsia="Times New Roman" w:hAnsi="Times New Roman"/>
          <w:sz w:val="19"/>
          <w:szCs w:val="19"/>
          <w:color w:val="auto"/>
        </w:rPr>
        <w:t>”). If the Performance Incentive for the applicable Plan Year is less than the Statutory Bonus applicable to the same year, payment of the Statutory Bonus shall satisfy Weatherford’s Performance Incentive obligations for such Plan Year and no further incentive payment or obligation will be due or owing to such participant for the applicable Plan Year.</w:t>
      </w:r>
    </w:p>
    <w:p>
      <w:pPr>
        <w:spacing w:after="0" w:line="122"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purposes of this Plan:</w:t>
      </w:r>
    </w:p>
    <w:p>
      <w:pPr>
        <w:spacing w:after="0" w:line="152"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Company’s Board of Directors.</w:t>
      </w:r>
    </w:p>
    <w:p>
      <w:pPr>
        <w:spacing w:after="0" w:line="152" w:lineRule="exact"/>
        <w:rPr>
          <w:rFonts w:ascii="Times New Roman" w:cs="Times New Roman" w:eastAsia="Times New Roman" w:hAnsi="Times New Roman"/>
          <w:sz w:val="19"/>
          <w:szCs w:val="19"/>
          <w:color w:val="auto"/>
        </w:rPr>
      </w:pPr>
    </w:p>
    <w:p>
      <w:pPr>
        <w:ind w:firstLine="642"/>
        <w:spacing w:after="0" w:line="256" w:lineRule="auto"/>
        <w:tabs>
          <w:tab w:leader="none" w:pos="12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the Compensation and Human Resources Committee of the Board or a designee of the Committee authorized to act on its behalf with respect to the Plan.</w:t>
      </w:r>
    </w:p>
    <w:p>
      <w:pPr>
        <w:spacing w:after="0" w:line="103"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 Group</w:t>
      </w:r>
      <w:r>
        <w:rPr>
          <w:rFonts w:ascii="Times New Roman" w:cs="Times New Roman" w:eastAsia="Times New Roman" w:hAnsi="Times New Roman"/>
          <w:sz w:val="19"/>
          <w:szCs w:val="19"/>
          <w:color w:val="auto"/>
        </w:rPr>
        <w:t>” means the Company and its direct and indirect subsidiaries, and each of their respective members, officers</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directors.</w:t>
      </w:r>
    </w:p>
    <w:p>
      <w:pPr>
        <w:spacing w:after="0" w:line="130"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Executive Officer</w:t>
      </w:r>
      <w:r>
        <w:rPr>
          <w:rFonts w:ascii="Times New Roman" w:cs="Times New Roman" w:eastAsia="Times New Roman" w:hAnsi="Times New Roman"/>
          <w:sz w:val="19"/>
          <w:szCs w:val="19"/>
          <w:color w:val="auto"/>
        </w:rPr>
        <w:t>” means an executive officer within the meaning of Rule 3b-7 of Securities Exchange Act of 1934.</w:t>
      </w:r>
    </w:p>
    <w:p>
      <w:pPr>
        <w:spacing w:after="0" w:line="152"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U.S. Generally Accepted Accounting Principles.</w:t>
      </w:r>
    </w:p>
    <w:p>
      <w:pPr>
        <w:spacing w:after="0" w:line="152" w:lineRule="exact"/>
        <w:rPr>
          <w:rFonts w:ascii="Times New Roman" w:cs="Times New Roman" w:eastAsia="Times New Roman" w:hAnsi="Times New Roman"/>
          <w:sz w:val="19"/>
          <w:szCs w:val="19"/>
          <w:color w:val="auto"/>
        </w:rPr>
      </w:pPr>
    </w:p>
    <w:p>
      <w:pPr>
        <w:ind w:firstLine="642"/>
        <w:spacing w:after="0" w:line="241" w:lineRule="auto"/>
        <w:tabs>
          <w:tab w:leader="none" w:pos="126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Goals</w:t>
      </w:r>
      <w:r>
        <w:rPr>
          <w:rFonts w:ascii="Times New Roman" w:cs="Times New Roman" w:eastAsia="Times New Roman" w:hAnsi="Times New Roman"/>
          <w:sz w:val="19"/>
          <w:szCs w:val="19"/>
          <w:color w:val="auto"/>
        </w:rPr>
        <w:t>” means the Performance Metrics as determined by the Committee in its sole discretion for Participants for each Plan Year and communicated, in writing, to each Participant each Plan Year.</w:t>
      </w:r>
    </w:p>
    <w:p>
      <w:pPr>
        <w:spacing w:after="0" w:line="117" w:lineRule="exact"/>
        <w:rPr>
          <w:rFonts w:ascii="Times New Roman" w:cs="Times New Roman" w:eastAsia="Times New Roman" w:hAnsi="Times New Roman"/>
          <w:sz w:val="19"/>
          <w:szCs w:val="19"/>
          <w:color w:val="auto"/>
        </w:rPr>
      </w:pPr>
    </w:p>
    <w:p>
      <w:pPr>
        <w:ind w:firstLine="642"/>
        <w:spacing w:after="0" w:line="256" w:lineRule="auto"/>
        <w:tabs>
          <w:tab w:leader="none" w:pos="12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Incentive</w:t>
      </w:r>
      <w:r>
        <w:rPr>
          <w:rFonts w:ascii="Times New Roman" w:cs="Times New Roman" w:eastAsia="Times New Roman" w:hAnsi="Times New Roman"/>
          <w:sz w:val="19"/>
          <w:szCs w:val="19"/>
          <w:color w:val="auto"/>
        </w:rPr>
        <w:t>” shall mean, in the case of any Participant, the incentive payable to such Participant under the Plan for the applicable Plan Year.</w:t>
      </w:r>
    </w:p>
    <w:p>
      <w:pPr>
        <w:spacing w:after="0" w:line="103" w:lineRule="exact"/>
        <w:rPr>
          <w:rFonts w:ascii="Times New Roman" w:cs="Times New Roman" w:eastAsia="Times New Roman" w:hAnsi="Times New Roman"/>
          <w:sz w:val="19"/>
          <w:szCs w:val="19"/>
          <w:color w:val="auto"/>
        </w:rPr>
      </w:pPr>
    </w:p>
    <w:p>
      <w:pPr>
        <w:jc w:val="both"/>
        <w:ind w:firstLine="642"/>
        <w:spacing w:after="0" w:line="233" w:lineRule="auto"/>
        <w:tabs>
          <w:tab w:leader="none" w:pos="12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Incentive Amount</w:t>
      </w:r>
      <w:r>
        <w:rPr>
          <w:rFonts w:ascii="Times New Roman" w:cs="Times New Roman" w:eastAsia="Times New Roman" w:hAnsi="Times New Roman"/>
          <w:sz w:val="19"/>
          <w:szCs w:val="19"/>
          <w:color w:val="auto"/>
        </w:rPr>
        <w:t>” shall mean, in the case of any Participant, the amount of the Performance Incentive each Participant is eligible to earn as determined by the Committee (for Executive Officers) or by the Company (for persons other than Executive Officers).</w:t>
      </w:r>
    </w:p>
    <w:p>
      <w:pPr>
        <w:sectPr>
          <w:pgSz w:w="11900" w:h="16838" w:orient="portrait"/>
          <w:cols w:equalWidth="0" w:num="1">
            <w:col w:w="11240"/>
          </w:cols>
          <w:pgMar w:left="320" w:top="100" w:right="339" w:bottom="1440" w:gutter="0" w:footer="0" w:header="0"/>
        </w:sectPr>
      </w:pPr>
    </w:p>
    <w:bookmarkStart w:id="115" w:name="page116"/>
    <w:bookmarkEnd w:id="115"/>
    <w:p>
      <w:pPr>
        <w:ind w:firstLine="642"/>
        <w:spacing w:after="0" w:line="256" w:lineRule="auto"/>
        <w:tabs>
          <w:tab w:leader="none" w:pos="127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Metrics</w:t>
      </w:r>
      <w:r>
        <w:rPr>
          <w:rFonts w:ascii="Times New Roman" w:cs="Times New Roman" w:eastAsia="Times New Roman" w:hAnsi="Times New Roman"/>
          <w:sz w:val="19"/>
          <w:szCs w:val="19"/>
          <w:color w:val="auto"/>
        </w:rPr>
        <w:t>” means the performance metrics (also referred to as key performance indicators or KPIs) used to measure the Company’s performance under the Plan, as may be applicable to a Participant from time to time.</w:t>
      </w:r>
    </w:p>
    <w:p>
      <w:pPr>
        <w:spacing w:after="0" w:line="103" w:lineRule="exact"/>
        <w:rPr>
          <w:rFonts w:ascii="Times New Roman" w:cs="Times New Roman" w:eastAsia="Times New Roman" w:hAnsi="Times New Roman"/>
          <w:sz w:val="19"/>
          <w:szCs w:val="19"/>
          <w:color w:val="auto"/>
        </w:rPr>
      </w:pPr>
    </w:p>
    <w:p>
      <w:pPr>
        <w:ind w:left="1280" w:hanging="638"/>
        <w:spacing w:after="0"/>
        <w:tabs>
          <w:tab w:leader="none" w:pos="128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 Year</w:t>
      </w:r>
      <w:r>
        <w:rPr>
          <w:rFonts w:ascii="Times New Roman" w:cs="Times New Roman" w:eastAsia="Times New Roman" w:hAnsi="Times New Roman"/>
          <w:sz w:val="19"/>
          <w:szCs w:val="19"/>
          <w:color w:val="auto"/>
        </w:rPr>
        <w:t>” means the applicable calendar year.</w:t>
      </w:r>
    </w:p>
    <w:p>
      <w:pPr>
        <w:spacing w:after="0" w:line="152" w:lineRule="exact"/>
        <w:rPr>
          <w:rFonts w:ascii="Times New Roman" w:cs="Times New Roman" w:eastAsia="Times New Roman" w:hAnsi="Times New Roman"/>
          <w:sz w:val="19"/>
          <w:szCs w:val="19"/>
          <w:color w:val="auto"/>
        </w:rPr>
      </w:pPr>
    </w:p>
    <w:p>
      <w:pPr>
        <w:jc w:val="both"/>
        <w:ind w:firstLine="324"/>
        <w:spacing w:after="0" w:line="236" w:lineRule="auto"/>
        <w:tabs>
          <w:tab w:leader="none" w:pos="63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Eligible Participants</w:t>
      </w:r>
      <w:r>
        <w:rPr>
          <w:rFonts w:ascii="Times New Roman" w:cs="Times New Roman" w:eastAsia="Times New Roman" w:hAnsi="Times New Roman"/>
          <w:sz w:val="19"/>
          <w:szCs w:val="19"/>
          <w:color w:val="auto"/>
        </w:rPr>
        <w:t>. Each person designated by the Committee (for Executive Officers) or by the Company (for persons other than Executive Officers) from time to time shall be a participant in the Plan and eligible to receive a Performance Incentive with respect to each Plan Year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any person designated by the Committee or by the Company to participate in the Plan who is or becomes subject to a written performance improvement plan may have their Performance Incentive reduced or forfeited. Furthermore, and unless expressly decided otherwise by the Committee, the following persons shall not be eligible to participate in the Plan for that Plan Year: (i) employees hired after September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of the applicable Plan Year, (ii) independent contractors or consultants, (iii) temporary or seasonal employees, (iv) employees of discontinued operations, or (v) employees transferred or promoted into an eligible position after November 30 of the Plan Year. Entitlement to participate in this Plan shall not afford or guarantee a right to participate in any other incentive plans of the Company, and no Participant under this Plan may participate in any other short-term incentive plan of the Company without the Committee’s express consent.</w:t>
      </w:r>
    </w:p>
    <w:p>
      <w:pPr>
        <w:spacing w:after="0" w:line="118"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Participation</w:t>
      </w:r>
      <w:r>
        <w:rPr>
          <w:rFonts w:ascii="Times New Roman" w:cs="Times New Roman" w:eastAsia="Times New Roman" w:hAnsi="Times New Roman"/>
          <w:sz w:val="19"/>
          <w:szCs w:val="19"/>
          <w:color w:val="auto"/>
        </w:rPr>
        <w:t>.</w:t>
      </w:r>
    </w:p>
    <w:p>
      <w:pPr>
        <w:spacing w:after="0" w:line="152" w:lineRule="exact"/>
        <w:rPr>
          <w:rFonts w:ascii="Times New Roman" w:cs="Times New Roman" w:eastAsia="Times New Roman" w:hAnsi="Times New Roman"/>
          <w:sz w:val="19"/>
          <w:szCs w:val="19"/>
          <w:color w:val="auto"/>
        </w:rPr>
      </w:pPr>
    </w:p>
    <w:p>
      <w:pPr>
        <w:jc w:val="both"/>
        <w:ind w:firstLine="642"/>
        <w:spacing w:after="0" w:line="233" w:lineRule="auto"/>
        <w:tabs>
          <w:tab w:leader="none" w:pos="1262"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this Plan, each Participant may earn a Performance Incentive as of the end of the Plan Year, equal to all or a portion of the Performance Incentive Amount, depending upon the extent to which the Performance Goals have been achieved for such Plan Year and subject in all respects to the discretion of the Committee.</w:t>
      </w:r>
    </w:p>
    <w:p>
      <w:pPr>
        <w:spacing w:after="0" w:line="145" w:lineRule="exact"/>
        <w:rPr>
          <w:rFonts w:ascii="Times New Roman" w:cs="Times New Roman" w:eastAsia="Times New Roman" w:hAnsi="Times New Roman"/>
          <w:sz w:val="19"/>
          <w:szCs w:val="19"/>
          <w:color w:val="auto"/>
        </w:rPr>
      </w:pPr>
    </w:p>
    <w:p>
      <w:pPr>
        <w:ind w:firstLine="642"/>
        <w:spacing w:after="0" w:line="256" w:lineRule="auto"/>
        <w:tabs>
          <w:tab w:leader="none" w:pos="126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Plan is terminated after the commencement, and before the end, of a Plan Year each Participant who is then employed by the Company shall earn a prorated amount of the Performance Incentive (based on the number of days in the Plan Year that has elapsed).</w:t>
      </w:r>
    </w:p>
    <w:p>
      <w:pPr>
        <w:spacing w:after="0" w:line="143" w:lineRule="exact"/>
        <w:rPr>
          <w:rFonts w:ascii="Times New Roman" w:cs="Times New Roman" w:eastAsia="Times New Roman" w:hAnsi="Times New Roman"/>
          <w:sz w:val="19"/>
          <w:szCs w:val="19"/>
          <w:color w:val="auto"/>
        </w:rPr>
      </w:pPr>
    </w:p>
    <w:p>
      <w:pPr>
        <w:jc w:val="both"/>
        <w:ind w:firstLine="642"/>
        <w:spacing w:after="0" w:line="211" w:lineRule="auto"/>
        <w:tabs>
          <w:tab w:leader="none" w:pos="1262"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Performance Incentive earned under this Plan shall be paid by the Company no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of the year immediately following the applicable Plan Year. If a Participant is on a Company-approved leave of absence on the payment date, the Performance Incentive will be paid as soon as reasonably practicable after the Participant’s return to work.</w:t>
      </w:r>
    </w:p>
    <w:p>
      <w:pPr>
        <w:spacing w:after="0" w:line="158" w:lineRule="exact"/>
        <w:rPr>
          <w:rFonts w:ascii="Times New Roman" w:cs="Times New Roman" w:eastAsia="Times New Roman" w:hAnsi="Times New Roman"/>
          <w:sz w:val="19"/>
          <w:szCs w:val="19"/>
          <w:color w:val="auto"/>
        </w:rPr>
      </w:pPr>
    </w:p>
    <w:p>
      <w:pPr>
        <w:jc w:val="both"/>
        <w:ind w:firstLine="642"/>
        <w:spacing w:after="0" w:line="223" w:lineRule="auto"/>
        <w:tabs>
          <w:tab w:leader="none" w:pos="126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required under applicable law, a Participant must remain employed by the Company Group through the date on which the Performance Incentive for the applicable Plan Year is paid in order to earn a Performance Incentive for any Plan Year. A Participant whose employment with the Company Group terminates for any reason (including any Participant that has notified the Company of their intent to resign or who have received a notice of termination from the Company) prior to the date on which the Performance Incentive for the applicable Plan Year is paid shall forfeit the right to any Performance Incentive for that Plan Year. Furthermore, each Participant shall have timely completed all safety, compliance and other required training in order to be eligible for their Performance Incentive for any Plan Year.</w:t>
      </w:r>
    </w:p>
    <w:p>
      <w:pPr>
        <w:spacing w:after="0" w:line="159" w:lineRule="exact"/>
        <w:rPr>
          <w:rFonts w:ascii="Times New Roman" w:cs="Times New Roman" w:eastAsia="Times New Roman" w:hAnsi="Times New Roman"/>
          <w:sz w:val="19"/>
          <w:szCs w:val="19"/>
          <w:color w:val="auto"/>
        </w:rPr>
      </w:pPr>
    </w:p>
    <w:p>
      <w:pPr>
        <w:jc w:val="both"/>
        <w:ind w:left="80" w:firstLine="562"/>
        <w:spacing w:after="0" w:line="229" w:lineRule="auto"/>
        <w:tabs>
          <w:tab w:leader="none" w:pos="1263"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may, in its sole and absolute discretion, reduce or eliminate a Performance Incentive granted to a Participant before the Performance Incentive has been paid for any reason, including by example but without limitation, the Committee’s judgment that the Performance Goals have become an inappropriate measure of achievement, a change in employment status, position or duties of the Participant, unsatisfactory performance of the Participant or the Participant’s service for less than the entire Plan Year.</w:t>
      </w:r>
    </w:p>
    <w:p>
      <w:pPr>
        <w:spacing w:after="0" w:line="146" w:lineRule="exact"/>
        <w:rPr>
          <w:rFonts w:ascii="Times New Roman" w:cs="Times New Roman" w:eastAsia="Times New Roman" w:hAnsi="Times New Roman"/>
          <w:sz w:val="19"/>
          <w:szCs w:val="19"/>
          <w:color w:val="auto"/>
        </w:rPr>
      </w:pPr>
    </w:p>
    <w:p>
      <w:pPr>
        <w:jc w:val="both"/>
        <w:ind w:firstLine="324"/>
        <w:spacing w:after="0" w:line="238" w:lineRule="auto"/>
        <w:tabs>
          <w:tab w:leader="none" w:pos="63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Improvement Participants</w:t>
      </w:r>
      <w:r>
        <w:rPr>
          <w:rFonts w:ascii="Times New Roman" w:cs="Times New Roman" w:eastAsia="Times New Roman" w:hAnsi="Times New Roman"/>
          <w:sz w:val="19"/>
          <w:szCs w:val="19"/>
          <w:color w:val="auto"/>
        </w:rPr>
        <w:t xml:space="preserve">. Notwithstanding anything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above, any Participant who is or becomes subject to a written performance improvement plan may have his or her Performance Incentive reduced or forfeited as determined in the discretion of the Committee.</w:t>
      </w:r>
    </w:p>
    <w:p>
      <w:pPr>
        <w:spacing w:after="0" w:line="118" w:lineRule="exact"/>
        <w:rPr>
          <w:rFonts w:ascii="Times New Roman" w:cs="Times New Roman" w:eastAsia="Times New Roman" w:hAnsi="Times New Roman"/>
          <w:sz w:val="19"/>
          <w:szCs w:val="19"/>
          <w:color w:val="auto"/>
        </w:rPr>
      </w:pPr>
    </w:p>
    <w:p>
      <w:pPr>
        <w:ind w:firstLine="324"/>
        <w:spacing w:after="0" w:line="241" w:lineRule="auto"/>
        <w:tabs>
          <w:tab w:leader="none" w:pos="63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Goals</w:t>
      </w:r>
      <w:r>
        <w:rPr>
          <w:rFonts w:ascii="Times New Roman" w:cs="Times New Roman" w:eastAsia="Times New Roman" w:hAnsi="Times New Roman"/>
          <w:sz w:val="19"/>
          <w:szCs w:val="19"/>
          <w:color w:val="auto"/>
        </w:rPr>
        <w:t>. As soon as administratively practicable after the end of a Plan Year, the Committee (for Executive Officers) and the Company (for persons other than Executive Officers)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1"/>
          <w:szCs w:val="11"/>
          <w:color w:val="auto"/>
        </w:rPr>
        <w:t>103224</w:t>
      </w:r>
      <w:r>
        <w:rPr>
          <w:sz w:val="20"/>
          <w:szCs w:val="20"/>
          <w:color w:val="auto"/>
        </w:rPr>
        <w:tab/>
      </w: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color w:val="auto"/>
        </w:rPr>
        <w:t>certify the degree to which the applicable Performance Goals have been achieved and the amount payable to each Participant hereunder.</w:t>
      </w:r>
    </w:p>
    <w:p>
      <w:pPr>
        <w:spacing w:after="0" w:line="153" w:lineRule="exact"/>
        <w:rPr>
          <w:sz w:val="20"/>
          <w:szCs w:val="20"/>
          <w:color w:val="auto"/>
        </w:rPr>
      </w:pPr>
    </w:p>
    <w:p>
      <w:pPr>
        <w:jc w:val="both"/>
        <w:ind w:firstLine="324"/>
        <w:spacing w:after="0" w:line="229" w:lineRule="auto"/>
        <w:tabs>
          <w:tab w:leader="none" w:pos="636"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to Performance Goals</w:t>
      </w:r>
      <w:r>
        <w:rPr>
          <w:rFonts w:ascii="Times New Roman" w:cs="Times New Roman" w:eastAsia="Times New Roman" w:hAnsi="Times New Roman"/>
          <w:sz w:val="19"/>
          <w:szCs w:val="19"/>
          <w:color w:val="auto"/>
        </w:rPr>
        <w:t>.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of the following events that occur during a Performance Period, without duplication:</w:t>
      </w:r>
    </w:p>
    <w:p>
      <w:pPr>
        <w:spacing w:after="0" w:line="120" w:lineRule="exact"/>
        <w:rPr>
          <w:rFonts w:ascii="Times New Roman" w:cs="Times New Roman" w:eastAsia="Times New Roman" w:hAnsi="Times New Roman"/>
          <w:sz w:val="19"/>
          <w:szCs w:val="19"/>
          <w:color w:val="auto"/>
        </w:rPr>
      </w:pPr>
    </w:p>
    <w:p>
      <w:pPr>
        <w:jc w:val="both"/>
        <w:ind w:firstLine="642"/>
        <w:spacing w:after="0" w:line="222" w:lineRule="auto"/>
        <w:tabs>
          <w:tab w:leader="none" w:pos="1262"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changes in financial reporting, including (i) the effects of currency fluctuations, (ii) adjustments used to derive non-GAAP financial performance measures, as reflected in any Company disclosure, (iii) asset write-downs, write-offs, impairments or losses and the positive impact on depreciation and amortization expenses as a result of the impairment for the period commencing on the date of the impairment and ending on the last day of the Performance Period, (iv) gains or losses (or amortization thereof) resulting from any newly-enacted law or regulation, litigation and regulatory claims, charges, judgments or settlements, including legal fees, (v) the effect of changes in tax law, accounting principles, regulatory pronouncements or other such laws or provisions affecting reported results, (vi) accelerated amortization or write-off of deferred financing and debt discount costs as a result of debt repayments or refinancings or (vii) any errors in calculating projected financial results used as the basis for determining a Performance Goal;</w:t>
      </w:r>
    </w:p>
    <w:p>
      <w:pPr>
        <w:spacing w:after="0" w:line="119" w:lineRule="exact"/>
        <w:rPr>
          <w:rFonts w:ascii="Times New Roman" w:cs="Times New Roman" w:eastAsia="Times New Roman" w:hAnsi="Times New Roman"/>
          <w:sz w:val="19"/>
          <w:szCs w:val="19"/>
          <w:color w:val="auto"/>
        </w:rPr>
      </w:pPr>
    </w:p>
    <w:p>
      <w:pPr>
        <w:jc w:val="both"/>
        <w:ind w:firstLine="642"/>
        <w:spacing w:after="0"/>
        <w:tabs>
          <w:tab w:leader="none" w:pos="126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non-recurring, infrequent or unusual events that (i) would provide the Participant undue harm or enrichment, (ii) are related to accounting and non-operational items, (iii) are the result of reorganization and restructuring programs, capital return strategies or financings or refinancings, (iv) are a major casualty or natural disaster that directly result in gains or losses or (v) are related to any acquisition or divestiture on financial statements, including pre-and post-transition, alignment, purchase accounting adjustments, restructuring charges and integration costs; or</w:t>
      </w:r>
    </w:p>
    <w:p>
      <w:pPr>
        <w:spacing w:after="0" w:line="2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events, as reasonably determined by the Committee.</w:t>
      </w:r>
    </w:p>
    <w:p>
      <w:pPr>
        <w:spacing w:after="0" w:line="152" w:lineRule="exact"/>
        <w:rPr>
          <w:rFonts w:ascii="Times New Roman" w:cs="Times New Roman" w:eastAsia="Times New Roman" w:hAnsi="Times New Roman"/>
          <w:sz w:val="19"/>
          <w:szCs w:val="19"/>
          <w:color w:val="auto"/>
        </w:rPr>
      </w:pPr>
    </w:p>
    <w:p>
      <w:pPr>
        <w:jc w:val="both"/>
        <w:ind w:firstLine="324"/>
        <w:spacing w:after="0" w:line="238" w:lineRule="auto"/>
        <w:tabs>
          <w:tab w:leader="none" w:pos="62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Clawback/Recoupment Policy</w:t>
      </w:r>
      <w:r>
        <w:rPr>
          <w:rFonts w:ascii="Times New Roman" w:cs="Times New Roman" w:eastAsia="Times New Roman" w:hAnsi="Times New Roman"/>
          <w:sz w:val="19"/>
          <w:szCs w:val="19"/>
          <w:color w:val="auto"/>
        </w:rPr>
        <w:t>. Notwithstanding any other provision of this Plan, all Performance Incentives shall be subject to reduction, cancellation, forfeiture or recoupment to the extent necessary to comply with (a) the Company’s Compensation Clawback Policy and any other clawback, forfeiture or other similar policy adopted by the Board or the Committee and as in effect from time to time; and (b) applicable law. Further, unless otherwise determined by the Committee in good faith in its reasonable discretion, to the extent that the Participant receives any amount in excess of the amount that the Participant should otherwise have received under the terms of the Performance Incentive for any reason (including, without limitation, by reason of a financial restatement, mistake in calculations or other administrative error), the Participant shall be required to repay any such excess amount to the Company. By accepting a Performance Incentive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Performance Incentive,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121" w:lineRule="exact"/>
        <w:rPr>
          <w:rFonts w:ascii="Times New Roman" w:cs="Times New Roman" w:eastAsia="Times New Roman" w:hAnsi="Times New Roman"/>
          <w:sz w:val="19"/>
          <w:szCs w:val="19"/>
          <w:color w:val="auto"/>
        </w:rPr>
      </w:pPr>
    </w:p>
    <w:p>
      <w:pPr>
        <w:jc w:val="both"/>
        <w:ind w:firstLine="324"/>
        <w:spacing w:after="0" w:line="227" w:lineRule="auto"/>
        <w:tabs>
          <w:tab w:leader="none" w:pos="6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Plan Administration</w:t>
      </w:r>
      <w:r>
        <w:rPr>
          <w:rFonts w:ascii="Times New Roman" w:cs="Times New Roman" w:eastAsia="Times New Roman" w:hAnsi="Times New Roman"/>
          <w:sz w:val="19"/>
          <w:szCs w:val="19"/>
          <w:color w:val="auto"/>
        </w:rPr>
        <w:t>. This Plan shall be administered by the Committee. The Committee is given full authority and discretion within the limits of this Plan to establish such administrative measures as may be necessary to administer and attain the objectives of this Plan and may delegate the authority to administer the Plan to an officer of the Company. The Committee (or its delegate, as applicable) shall have full power and authority to construe and interpret this Plan and any interpretation by the Committee shall be binding on all Participants and shall be accorded the maximum deference permitted by law.</w:t>
      </w:r>
    </w:p>
    <w:p>
      <w:pPr>
        <w:spacing w:after="0" w:line="119" w:lineRule="exact"/>
        <w:rPr>
          <w:rFonts w:ascii="Times New Roman" w:cs="Times New Roman" w:eastAsia="Times New Roman" w:hAnsi="Times New Roman"/>
          <w:sz w:val="19"/>
          <w:szCs w:val="19"/>
          <w:color w:val="auto"/>
        </w:rPr>
      </w:pPr>
    </w:p>
    <w:p>
      <w:pPr>
        <w:jc w:val="both"/>
        <w:ind w:firstLine="642"/>
        <w:spacing w:after="0" w:line="233" w:lineRule="auto"/>
        <w:tabs>
          <w:tab w:leader="none" w:pos="1262"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rights and interests of Participants under this Plan shall be non-assignable and nontransferable, and otherwise not subject to pledge or encumbrance, whether voluntary or involuntary, other than by will or by the laws of descent and distribution. In the event of any sale, transfer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1"/>
          <w:szCs w:val="11"/>
          <w:color w:val="auto"/>
        </w:rPr>
        <w:t>103224</w:t>
      </w:r>
      <w:r>
        <w:rPr>
          <w:sz w:val="20"/>
          <w:szCs w:val="20"/>
          <w:color w:val="auto"/>
        </w:rPr>
        <w:tab/>
      </w: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75" w:right="339" w:bottom="1440" w:gutter="0" w:footer="0" w:header="0"/>
        </w:sectPr>
      </w:pPr>
    </w:p>
    <w:bookmarkStart w:id="117" w:name="page118"/>
    <w:bookmarkEnd w:id="117"/>
    <w:p>
      <w:pPr>
        <w:spacing w:after="0" w:line="256" w:lineRule="auto"/>
        <w:rPr>
          <w:sz w:val="20"/>
          <w:szCs w:val="20"/>
          <w:color w:val="auto"/>
        </w:rPr>
      </w:pPr>
      <w:r>
        <w:rPr>
          <w:rFonts w:ascii="Times New Roman" w:cs="Times New Roman" w:eastAsia="Times New Roman" w:hAnsi="Times New Roman"/>
          <w:sz w:val="19"/>
          <w:szCs w:val="19"/>
          <w:color w:val="auto"/>
        </w:rPr>
        <w:t>disposition of all or substantially all of the Company’s assets or business, whether by merger, stock sale, consolidation or otherwise, the Company may assign this Plan.</w:t>
      </w:r>
    </w:p>
    <w:p>
      <w:pPr>
        <w:spacing w:after="0" w:line="104" w:lineRule="exact"/>
        <w:rPr>
          <w:sz w:val="20"/>
          <w:szCs w:val="20"/>
          <w:color w:val="auto"/>
        </w:rPr>
      </w:pPr>
    </w:p>
    <w:p>
      <w:pPr>
        <w:jc w:val="both"/>
        <w:ind w:firstLine="642"/>
        <w:spacing w:after="0" w:line="233" w:lineRule="auto"/>
        <w:tabs>
          <w:tab w:leader="none" w:pos="1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to a Participant in accordance with the provisions of this Plan shall, to the extent thereof, be in full satisfaction of all claims against the Company Group, and the Company may require Participant, as a condition precedent to such payment, to execute a receipt and release to such effect.</w:t>
      </w:r>
    </w:p>
    <w:p>
      <w:pPr>
        <w:spacing w:after="0" w:line="118" w:lineRule="exact"/>
        <w:rPr>
          <w:rFonts w:ascii="Times New Roman" w:cs="Times New Roman" w:eastAsia="Times New Roman" w:hAnsi="Times New Roman"/>
          <w:sz w:val="19"/>
          <w:szCs w:val="19"/>
          <w:color w:val="auto"/>
        </w:rPr>
      </w:pPr>
    </w:p>
    <w:p>
      <w:pPr>
        <w:jc w:val="both"/>
        <w:ind w:firstLine="642"/>
        <w:spacing w:after="0"/>
        <w:tabs>
          <w:tab w:leader="none" w:pos="126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Amounts due under the Plan are calculated on base (basic) salary, as defined in the general administrative addendum of this Plan, and such payment of amounts due under the Plan shall be provided to Participant in the same manner as Participant receives his or her regular paycheck or by mail at the last known address of Participant in the possession of the Company, at the discretion of Committee. The Company will deduct all applicable taxes and any other withholdings required to be withheld with respect to the payment of any award pursuant to this Plan.</w:t>
      </w:r>
    </w:p>
    <w:p>
      <w:pPr>
        <w:spacing w:after="0" w:line="278" w:lineRule="exact"/>
        <w:rPr>
          <w:rFonts w:ascii="Times New Roman" w:cs="Times New Roman" w:eastAsia="Times New Roman" w:hAnsi="Times New Roman"/>
          <w:sz w:val="19"/>
          <w:szCs w:val="19"/>
          <w:color w:val="auto"/>
        </w:rPr>
      </w:pPr>
    </w:p>
    <w:p>
      <w:pPr>
        <w:jc w:val="both"/>
        <w:ind w:firstLine="642"/>
        <w:spacing w:after="0" w:line="224" w:lineRule="auto"/>
        <w:tabs>
          <w:tab w:leader="none" w:pos="1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required to establish any special or separate fund or to make any other segregation of assets to ensure the payment of any award provided for hereunder. Performance Incentive payments shall not be considered as extraordinary, special incentive compensation, and it will not be included as “earnings,” “wages,” “salary,” or “compensation” in any pension, welfare, life insurance, or other employee benefit plan or arrangement of the Company Group. To the extent there exists any conflict between the terms of this Section 11(d) of this Plan and applicable local laws, the applicable local laws shall apply.</w:t>
      </w:r>
    </w:p>
    <w:p>
      <w:pPr>
        <w:spacing w:after="0" w:line="119" w:lineRule="exact"/>
        <w:rPr>
          <w:rFonts w:ascii="Times New Roman" w:cs="Times New Roman" w:eastAsia="Times New Roman" w:hAnsi="Times New Roman"/>
          <w:sz w:val="19"/>
          <w:szCs w:val="19"/>
          <w:color w:val="auto"/>
        </w:rPr>
      </w:pPr>
    </w:p>
    <w:p>
      <w:pPr>
        <w:jc w:val="both"/>
        <w:ind w:firstLine="642"/>
        <w:spacing w:after="0" w:line="227" w:lineRule="auto"/>
        <w:tabs>
          <w:tab w:leader="none" w:pos="126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in its sole discretion, shall have the right to modify, supplement, suspend or terminate this Plan at any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amendment or termination adversely affect the rights of Participants regarding any Performance Incentive for a Plan Year that has been earned due to the completion of a Plan Year but not yet paid as of the date of such action without the consent of the affected Participants. Subject to the foregoing, the Plan shall terminate upon the satisfaction of all obligations of the Company or its successor entities hereunder.</w:t>
      </w:r>
    </w:p>
    <w:p>
      <w:pPr>
        <w:spacing w:after="0" w:line="119" w:lineRule="exact"/>
        <w:rPr>
          <w:rFonts w:ascii="Times New Roman" w:cs="Times New Roman" w:eastAsia="Times New Roman" w:hAnsi="Times New Roman"/>
          <w:sz w:val="19"/>
          <w:szCs w:val="19"/>
          <w:color w:val="auto"/>
        </w:rPr>
      </w:pPr>
    </w:p>
    <w:p>
      <w:pPr>
        <w:ind w:firstLine="642"/>
        <w:spacing w:after="0" w:line="241" w:lineRule="auto"/>
        <w:tabs>
          <w:tab w:leader="none" w:pos="126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contained in this Plan shall in any way affect the right and power of the Company to discharge any Participant or otherwise terminate his or her employment at any time or for any reason or to change the terms of his or her employment in any manner.</w:t>
      </w:r>
    </w:p>
    <w:p>
      <w:pPr>
        <w:spacing w:after="0" w:line="117"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under this Plan, any expense incurred in administering this Plan shall be borne by the Company.</w:t>
      </w:r>
    </w:p>
    <w:p>
      <w:pPr>
        <w:spacing w:after="0" w:line="152" w:lineRule="exact"/>
        <w:rPr>
          <w:rFonts w:ascii="Times New Roman" w:cs="Times New Roman" w:eastAsia="Times New Roman" w:hAnsi="Times New Roman"/>
          <w:sz w:val="19"/>
          <w:szCs w:val="19"/>
          <w:color w:val="auto"/>
        </w:rPr>
      </w:pPr>
    </w:p>
    <w:p>
      <w:pPr>
        <w:ind w:firstLine="642"/>
        <w:spacing w:after="0" w:line="256" w:lineRule="auto"/>
        <w:tabs>
          <w:tab w:leader="none" w:pos="1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Captions preceding the sections hereof are inserted solely as a matter of convenience and in no way define or limit the scope or intent of any provision hereof.</w:t>
      </w:r>
    </w:p>
    <w:p>
      <w:pPr>
        <w:spacing w:after="0" w:line="103" w:lineRule="exact"/>
        <w:rPr>
          <w:rFonts w:ascii="Times New Roman" w:cs="Times New Roman" w:eastAsia="Times New Roman" w:hAnsi="Times New Roman"/>
          <w:sz w:val="19"/>
          <w:szCs w:val="19"/>
          <w:color w:val="auto"/>
        </w:rPr>
      </w:pPr>
    </w:p>
    <w:p>
      <w:pPr>
        <w:jc w:val="both"/>
        <w:ind w:firstLine="642"/>
        <w:spacing w:after="0" w:line="233" w:lineRule="auto"/>
        <w:tabs>
          <w:tab w:leader="none" w:pos="127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administration of the Plan shall be governed by the laws of the State of Texas, without regard to the conflict of law principles of any state. Any persons or corporations who now are or shall subsequently become parties to the Plan shall be deemed to consent to this provision.</w:t>
      </w:r>
    </w:p>
    <w:p>
      <w:pPr>
        <w:spacing w:after="0" w:line="118" w:lineRule="exact"/>
        <w:rPr>
          <w:rFonts w:ascii="Times New Roman" w:cs="Times New Roman" w:eastAsia="Times New Roman" w:hAnsi="Times New Roman"/>
          <w:sz w:val="19"/>
          <w:szCs w:val="19"/>
          <w:color w:val="auto"/>
        </w:rPr>
      </w:pPr>
    </w:p>
    <w:p>
      <w:pPr>
        <w:jc w:val="both"/>
        <w:ind w:firstLine="642"/>
        <w:spacing w:after="0" w:line="227" w:lineRule="auto"/>
        <w:tabs>
          <w:tab w:leader="none" w:pos="127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intended to either comply with, or be exempt from, the requirements of Section 409A of the Internal Revenue Code of 1986, as amended (“</w:t>
      </w:r>
      <w:r>
        <w:rPr>
          <w:rFonts w:ascii="Times New Roman" w:cs="Times New Roman" w:eastAsia="Times New Roman" w:hAnsi="Times New Roman"/>
          <w:sz w:val="19"/>
          <w:szCs w:val="19"/>
          <w:u w:val="single" w:color="auto"/>
          <w:color w:val="auto"/>
        </w:rPr>
        <w:t>Code Section 409A</w:t>
      </w:r>
      <w:r>
        <w:rPr>
          <w:rFonts w:ascii="Times New Roman" w:cs="Times New Roman" w:eastAsia="Times New Roman" w:hAnsi="Times New Roman"/>
          <w:sz w:val="19"/>
          <w:szCs w:val="19"/>
          <w:color w:val="auto"/>
        </w:rPr>
        <w:t>”). To the extent that the Plan is not exempt from the requirements of Code Section 409A, the Plan is intended to comply with the requirements of Code Section 409A and shall be limited, construed and interpreted in accordance with such intent. Notwithstanding the foregoing, in no event whatsoever shall the Company be liable for any additional tax, interest, income inclusion or other penalty that may be imposed on a Participant by Code Section 409A or for damages for failing to comply with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1"/>
          <w:szCs w:val="11"/>
          <w:color w:val="auto"/>
        </w:rPr>
        <w:t>103224</w:t>
      </w:r>
      <w:r>
        <w:rPr>
          <w:sz w:val="20"/>
          <w:szCs w:val="20"/>
          <w:color w:val="auto"/>
        </w:rPr>
        <w:tab/>
      </w: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37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9"/>
          <w:szCs w:val="19"/>
          <w:b w:val="1"/>
          <w:bCs w:val="1"/>
          <w:color w:val="auto"/>
        </w:rPr>
        <w:t>SECOND AMENDMENT TO AMENDED AND RESTATED CREDIT AGREEMENT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This SECOND AMENDMENT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January 6, 2023, is entered into among WEATHERFORD</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INTERNATIONAL LTD., a Bermuda exempted company (“</w:t>
      </w:r>
      <w:r>
        <w:rPr>
          <w:rFonts w:ascii="Times New Roman" w:cs="Times New Roman" w:eastAsia="Times New Roman" w:hAnsi="Times New Roman"/>
          <w:sz w:val="19"/>
          <w:szCs w:val="19"/>
          <w:u w:val="single" w:color="auto"/>
          <w:color w:val="auto"/>
        </w:rPr>
        <w:t>WIL-Bermuda</w:t>
      </w:r>
      <w:r>
        <w:rPr>
          <w:rFonts w:ascii="Times New Roman" w:cs="Times New Roman" w:eastAsia="Times New Roman" w:hAnsi="Times New Roman"/>
          <w:sz w:val="19"/>
          <w:szCs w:val="19"/>
          <w:color w:val="auto"/>
        </w:rPr>
        <w:t>”), WEATHERFORD INTERNATIONAL, LLC, a Delaware limited liability company (“</w:t>
      </w:r>
      <w:r>
        <w:rPr>
          <w:rFonts w:ascii="Times New Roman" w:cs="Times New Roman" w:eastAsia="Times New Roman" w:hAnsi="Times New Roman"/>
          <w:sz w:val="19"/>
          <w:szCs w:val="19"/>
          <w:u w:val="single" w:color="auto"/>
          <w:color w:val="auto"/>
        </w:rPr>
        <w:t>WIL-Delaware</w:t>
      </w:r>
      <w:r>
        <w:rPr>
          <w:rFonts w:ascii="Times New Roman" w:cs="Times New Roman" w:eastAsia="Times New Roman" w:hAnsi="Times New Roman"/>
          <w:sz w:val="19"/>
          <w:szCs w:val="19"/>
          <w:color w:val="auto"/>
        </w:rPr>
        <w:t>”), WEATHERFORD CANADA LTD., an Alberta corporation (“</w:t>
      </w:r>
      <w:r>
        <w:rPr>
          <w:rFonts w:ascii="Times New Roman" w:cs="Times New Roman" w:eastAsia="Times New Roman" w:hAnsi="Times New Roman"/>
          <w:sz w:val="19"/>
          <w:szCs w:val="19"/>
          <w:u w:val="single" w:color="auto"/>
          <w:color w:val="auto"/>
        </w:rPr>
        <w:t>WIL-Canada</w:t>
      </w:r>
      <w:r>
        <w:rPr>
          <w:rFonts w:ascii="Times New Roman" w:cs="Times New Roman" w:eastAsia="Times New Roman" w:hAnsi="Times New Roman"/>
          <w:sz w:val="19"/>
          <w:szCs w:val="19"/>
          <w:color w:val="auto"/>
        </w:rPr>
        <w:t>” and, together with WIL-</w:t>
      </w:r>
    </w:p>
    <w:p>
      <w:pPr>
        <w:spacing w:after="0" w:line="228" w:lineRule="auto"/>
        <w:rPr>
          <w:sz w:val="20"/>
          <w:szCs w:val="20"/>
          <w:color w:val="auto"/>
        </w:rPr>
      </w:pPr>
      <w:r>
        <w:rPr>
          <w:rFonts w:ascii="Times New Roman" w:cs="Times New Roman" w:eastAsia="Times New Roman" w:hAnsi="Times New Roman"/>
          <w:sz w:val="19"/>
          <w:szCs w:val="19"/>
          <w:color w:val="auto"/>
        </w:rPr>
        <w:t>Bermuda and WIL-Delaware,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WELLS FARGO BANK, NATIONAL ASSOCIATION, as administrative agent for the Lenders (“</w:t>
      </w:r>
      <w:r>
        <w:rPr>
          <w:rFonts w:ascii="Times New Roman" w:cs="Times New Roman" w:eastAsia="Times New Roman" w:hAnsi="Times New Roman"/>
          <w:sz w:val="19"/>
          <w:szCs w:val="19"/>
          <w:u w:val="single" w:color="auto"/>
          <w:color w:val="auto"/>
        </w:rPr>
        <w:t>Wells Fargo</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192" w:lineRule="exact"/>
        <w:rPr>
          <w:sz w:val="20"/>
          <w:szCs w:val="20"/>
          <w:color w:val="auto"/>
        </w:rPr>
      </w:pPr>
    </w:p>
    <w:p>
      <w:pPr>
        <w:ind w:firstLine="636"/>
        <w:spacing w:after="0" w:line="223" w:lineRule="auto"/>
        <w:rPr>
          <w:sz w:val="20"/>
          <w:szCs w:val="20"/>
          <w:color w:val="auto"/>
        </w:rPr>
      </w:pPr>
      <w:r>
        <w:rPr>
          <w:rFonts w:ascii="Times New Roman" w:cs="Times New Roman" w:eastAsia="Times New Roman" w:hAnsi="Times New Roman"/>
          <w:sz w:val="19"/>
          <w:szCs w:val="19"/>
          <w:color w:val="auto"/>
        </w:rPr>
        <w:t>WHEREAS, the Borrowers, WEATHERFORD INTERNATIONAL PLC, Wells Fargo, and the Lenders party thereto from time to time are party to that certain Amended and Restated Credit Agreement, dated as of October 17, 2022 (as amended, supplemented or otherwise</w:t>
      </w:r>
    </w:p>
    <w:p>
      <w:pPr>
        <w:spacing w:after="0" w:line="236" w:lineRule="auto"/>
        <w:rPr>
          <w:sz w:val="20"/>
          <w:szCs w:val="20"/>
          <w:color w:val="auto"/>
        </w:rPr>
      </w:pPr>
      <w:r>
        <w:rPr>
          <w:rFonts w:ascii="Times New Roman" w:cs="Times New Roman" w:eastAsia="Times New Roman" w:hAnsi="Times New Roman"/>
          <w:sz w:val="19"/>
          <w:szCs w:val="19"/>
          <w:color w:val="auto"/>
        </w:rPr>
        <w:t>modified prior to the date hereof,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and as amended by this Amendment and as may be further amended, restated, amended and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firstLine="636"/>
        <w:spacing w:after="0" w:line="230" w:lineRule="auto"/>
        <w:rPr>
          <w:sz w:val="20"/>
          <w:szCs w:val="20"/>
          <w:color w:val="auto"/>
        </w:rPr>
      </w:pPr>
      <w:r>
        <w:rPr>
          <w:rFonts w:ascii="Times New Roman" w:cs="Times New Roman" w:eastAsia="Times New Roman" w:hAnsi="Times New Roman"/>
          <w:sz w:val="19"/>
          <w:szCs w:val="19"/>
          <w:color w:val="auto"/>
        </w:rPr>
        <w:t>WHEREAS, the Borrowers and the Administrative Agent acting together have identified certain ambiguities and omissions in the Existing Credit Agreement in that, among other things, the definition of “LC Participation Fee Rate” does not unambiguously state the interest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rate to be applied in respect of Letters of Credit denominated in an Alternative Currency that is not Euros, Sterling, Swiss Francs, Yen, Australian Dollars or Canadian Dollars; and</w:t>
      </w:r>
    </w:p>
    <w:p>
      <w:pPr>
        <w:spacing w:after="0" w:line="159"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19"/>
          <w:szCs w:val="19"/>
          <w:color w:val="auto"/>
        </w:rPr>
        <w:t>WHEREAS, Wells Fargo and the Borrowers have agreed to amend the Credit Agreement pursuant to Section 12.01(d)(i) as hereinafter set forth to address the foregoing.</w:t>
      </w:r>
    </w:p>
    <w:p>
      <w:pPr>
        <w:spacing w:after="0" w:line="130"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43" w:lineRule="exact"/>
        <w:rPr>
          <w:sz w:val="20"/>
          <w:szCs w:val="20"/>
          <w:color w:val="auto"/>
        </w:rPr>
      </w:pPr>
    </w:p>
    <w:p>
      <w:pPr>
        <w:ind w:firstLine="642"/>
        <w:spacing w:after="0" w:line="241" w:lineRule="auto"/>
        <w:tabs>
          <w:tab w:leader="none" w:pos="1157"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 Section References</w:t>
      </w:r>
      <w:r>
        <w:rPr>
          <w:rFonts w:ascii="Times New Roman" w:cs="Times New Roman" w:eastAsia="Times New Roman" w:hAnsi="Times New Roman"/>
          <w:sz w:val="19"/>
          <w:szCs w:val="19"/>
          <w:color w:val="auto"/>
        </w:rPr>
        <w:t>. Capitalized terms used herein but not otherwise defined herein shall have the meanings provided to such terms in the Credit Agreement.</w:t>
      </w:r>
    </w:p>
    <w:p>
      <w:pPr>
        <w:spacing w:after="0" w:line="157" w:lineRule="exact"/>
        <w:rPr>
          <w:rFonts w:ascii="Times New Roman" w:cs="Times New Roman" w:eastAsia="Times New Roman" w:hAnsi="Times New Roman"/>
          <w:sz w:val="19"/>
          <w:szCs w:val="19"/>
          <w:color w:val="auto"/>
        </w:rPr>
      </w:pPr>
    </w:p>
    <w:p>
      <w:pPr>
        <w:ind w:left="980" w:hanging="338"/>
        <w:spacing w:after="0"/>
        <w:tabs>
          <w:tab w:leader="none" w:pos="9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Existing Credit Agreement</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firstLine="636"/>
        <w:spacing w:after="0" w:line="223" w:lineRule="auto"/>
        <w:rPr>
          <w:sz w:val="20"/>
          <w:szCs w:val="20"/>
          <w:color w:val="auto"/>
        </w:rPr>
      </w:pPr>
      <w:r>
        <w:rPr>
          <w:rFonts w:ascii="Times New Roman" w:cs="Times New Roman" w:eastAsia="Times New Roman" w:hAnsi="Times New Roman"/>
          <w:sz w:val="19"/>
          <w:szCs w:val="19"/>
          <w:color w:val="auto"/>
        </w:rPr>
        <w:t>2.1 The definitions of “Adjusted Eurocurrency Rate,” “Alternative Currency,” “Alternative Currency Equivalent” and “LC Participation Fee Rate” in Section 1.01 of the Existing Credit Agreement are hereby amended to delete the stricken text (indicated textually in</w:t>
      </w:r>
    </w:p>
    <w:p>
      <w:pPr>
        <w:spacing w:after="0" w:line="218" w:lineRule="auto"/>
        <w:rPr>
          <w:sz w:val="20"/>
          <w:szCs w:val="20"/>
          <w:color w:val="auto"/>
        </w:rPr>
      </w:pPr>
      <w:r>
        <w:rPr>
          <w:rFonts w:ascii="Times New Roman" w:cs="Times New Roman" w:eastAsia="Times New Roman" w:hAnsi="Times New Roman"/>
          <w:sz w:val="19"/>
          <w:szCs w:val="19"/>
          <w:color w:val="auto"/>
        </w:rPr>
        <w:t xml:space="preserve">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and to add the double-underlined text (indicated textually in the same manner as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following example: </w:t>
      </w:r>
      <w:r>
        <w:rPr>
          <w:rFonts w:ascii="Times New Roman" w:cs="Times New Roman" w:eastAsia="Times New Roman" w:hAnsi="Times New Roman"/>
          <w:sz w:val="19"/>
          <w:szCs w:val="19"/>
          <w:u w:val="single" w:color="auto"/>
          <w:color w:val="0070C0"/>
        </w:rPr>
        <w:t>double-underlined text</w:t>
      </w:r>
      <w:r>
        <w:rPr>
          <w:rFonts w:ascii="Times New Roman" w:cs="Times New Roman" w:eastAsia="Times New Roman" w:hAnsi="Times New Roman"/>
          <w:sz w:val="19"/>
          <w:szCs w:val="19"/>
          <w:color w:val="auto"/>
        </w:rPr>
        <w:t>) as set forth below:</w:t>
      </w:r>
    </w:p>
    <w:p>
      <w:pPr>
        <w:spacing w:after="0" w:line="157" w:lineRule="exact"/>
        <w:rPr>
          <w:sz w:val="20"/>
          <w:szCs w:val="20"/>
          <w:color w:val="auto"/>
        </w:rPr>
      </w:pPr>
    </w:p>
    <w:p>
      <w:pPr>
        <w:jc w:val="both"/>
        <w:ind w:left="640" w:firstLine="636"/>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Eurocurrency Rate</w:t>
      </w:r>
      <w:r>
        <w:rPr>
          <w:rFonts w:ascii="Times New Roman" w:cs="Times New Roman" w:eastAsia="Times New Roman" w:hAnsi="Times New Roman"/>
          <w:sz w:val="19"/>
          <w:szCs w:val="19"/>
          <w:color w:val="auto"/>
        </w:rPr>
        <w:t xml:space="preserve">” means, as to any Loan denominated in any applicable Currency not bearing interest based on an RFR </w:t>
      </w:r>
      <w:r>
        <w:rPr>
          <w:rFonts w:ascii="Times New Roman" w:cs="Times New Roman" w:eastAsia="Times New Roman" w:hAnsi="Times New Roman"/>
          <w:sz w:val="19"/>
          <w:szCs w:val="19"/>
          <w:u w:val="single" w:color="auto"/>
          <w:color w:val="0000FF"/>
          <w:highlight w:val="lightGray"/>
        </w:rPr>
        <w:t>or the Base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white"/>
        </w:rPr>
        <w:t>(which, as of the date hereof, shall mean each of the Currencies identified in clause (a) of the definition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white"/>
        </w:rPr>
        <w:t>“Alternative Currency”, other than Sterling and Swiss Francs) for any Interest Period, a rate per annum determined by the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highlight w:val="white"/>
        </w:rPr>
        <w:t>Administrative Agent pursuant to the following formula</w:t>
      </w:r>
      <w:r>
        <w:rPr>
          <w:rFonts w:ascii="Times New Roman" w:cs="Times New Roman" w:eastAsia="Times New Roman" w:hAnsi="Times New Roman"/>
          <w:sz w:val="19"/>
          <w:szCs w:val="19"/>
          <w:color w:val="auto"/>
        </w:rPr>
        <w:t>:</w:t>
      </w:r>
    </w:p>
    <w:p>
      <w:pPr>
        <w:spacing w:after="0" w:line="223" w:lineRule="exact"/>
        <w:rPr>
          <w:sz w:val="20"/>
          <w:szCs w:val="20"/>
          <w:color w:val="auto"/>
        </w:rPr>
      </w:pPr>
    </w:p>
    <w:p>
      <w:pPr>
        <w:ind w:left="780"/>
        <w:spacing w:after="0"/>
        <w:tabs>
          <w:tab w:leader="none" w:pos="4320" w:val="left"/>
        </w:tabs>
        <w:rPr>
          <w:sz w:val="20"/>
          <w:szCs w:val="20"/>
          <w:color w:val="auto"/>
        </w:rPr>
      </w:pPr>
      <w:r>
        <w:rPr>
          <w:rFonts w:ascii="Times New Roman" w:cs="Times New Roman" w:eastAsia="Times New Roman" w:hAnsi="Times New Roman"/>
          <w:sz w:val="19"/>
          <w:szCs w:val="19"/>
          <w:color w:val="auto"/>
        </w:rPr>
        <w:t>Adjusted Eurocurrency Rate =</w:t>
      </w:r>
      <w:r>
        <w:rPr>
          <w:sz w:val="20"/>
          <w:szCs w:val="20"/>
          <w:color w:val="auto"/>
        </w:rPr>
        <w:tab/>
      </w:r>
      <w:r>
        <w:rPr>
          <w:rFonts w:ascii="Times New Roman" w:cs="Times New Roman" w:eastAsia="Times New Roman" w:hAnsi="Times New Roman"/>
          <w:sz w:val="19"/>
          <w:szCs w:val="19"/>
          <w:color w:val="auto"/>
        </w:rPr>
        <w:t>Eurocurrency Rate for such Currency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161925</wp:posOffset>
            </wp:positionV>
            <wp:extent cx="4189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4189730" cy="8255"/>
                    </a:xfrm>
                    <a:prstGeom prst="rect">
                      <a:avLst/>
                    </a:prstGeom>
                    <a:noFill/>
                  </pic:spPr>
                </pic:pic>
              </a:graphicData>
            </a:graphic>
          </wp:anchor>
        </w:drawing>
      </w:r>
    </w:p>
    <w:p>
      <w:pPr>
        <w:spacing w:after="0" w:line="2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1.00-Eurocurrency Reserve Percentage</w:t>
      </w:r>
    </w:p>
    <w:p>
      <w:pPr>
        <w:sectPr>
          <w:pgSz w:w="11900" w:h="16838" w:orient="portrait"/>
          <w:cols w:equalWidth="0" w:num="1">
            <w:col w:w="11240"/>
          </w:cols>
          <w:pgMar w:left="320" w:top="95" w:right="339" w:bottom="1440" w:gutter="0" w:footer="0" w:header="0"/>
        </w:sectPr>
      </w:pPr>
    </w:p>
    <w:bookmarkStart w:id="119" w:name="page120"/>
    <w:bookmarkEnd w:id="119"/>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w:t>
      </w:r>
      <w:r>
        <w:rPr>
          <w:rFonts w:ascii="Times New Roman" w:cs="Times New Roman" w:eastAsia="Times New Roman" w:hAnsi="Times New Roman"/>
          <w:sz w:val="19"/>
          <w:szCs w:val="19"/>
          <w:color w:val="auto"/>
        </w:rPr>
        <w:t>” means each of (a) Euros, Sterling, Swiss Francs, Yen, Australian Dollars and Canadian Dollars, and (b)</w:t>
      </w:r>
    </w:p>
    <w:p>
      <w:pPr>
        <w:spacing w:after="0" w:line="2" w:lineRule="exact"/>
        <w:rPr>
          <w:sz w:val="20"/>
          <w:szCs w:val="20"/>
          <w:color w:val="auto"/>
        </w:rPr>
      </w:pPr>
    </w:p>
    <w:p>
      <w:pPr>
        <w:jc w:val="both"/>
        <w:ind w:left="640"/>
        <w:spacing w:after="0" w:line="211" w:lineRule="auto"/>
        <w:rPr>
          <w:sz w:val="20"/>
          <w:szCs w:val="20"/>
          <w:color w:val="auto"/>
        </w:rPr>
      </w:pPr>
      <w:r>
        <w:rPr>
          <w:rFonts w:ascii="Times New Roman" w:cs="Times New Roman" w:eastAsia="Times New Roman" w:hAnsi="Times New Roman"/>
          <w:sz w:val="19"/>
          <w:szCs w:val="19"/>
          <w:color w:val="auto"/>
        </w:rPr>
        <w:t>one or more alternate currencies as requested by any Borrower and (i) to the extent relating to any Loan, agreed to by each of the Lenders, and (ii) to the extent related to any Letter of Credit, agreed to by the applicable Issuing Bank, in each case of clause (i) and (ii),</w:t>
      </w:r>
    </w:p>
    <w:p>
      <w:pPr>
        <w:ind w:left="640"/>
        <w:spacing w:after="0" w:line="218" w:lineRule="auto"/>
        <w:rPr>
          <w:sz w:val="20"/>
          <w:szCs w:val="20"/>
          <w:color w:val="auto"/>
        </w:rPr>
      </w:pPr>
      <w:r>
        <w:rPr>
          <w:rFonts w:ascii="Times New Roman" w:cs="Times New Roman" w:eastAsia="Times New Roman" w:hAnsi="Times New Roman"/>
          <w:sz w:val="19"/>
          <w:szCs w:val="19"/>
          <w:color w:val="auto"/>
        </w:rPr>
        <w:t>with prior written consent of the Administrative Agent (such approvals and consents under this clause (b) not to be unreasonably</w:t>
      </w:r>
    </w:p>
    <w:p>
      <w:pPr>
        <w:ind w:left="640"/>
        <w:spacing w:after="0" w:line="211" w:lineRule="auto"/>
        <w:rPr>
          <w:sz w:val="20"/>
          <w:szCs w:val="20"/>
          <w:color w:val="auto"/>
        </w:rPr>
      </w:pPr>
      <w:r>
        <w:rPr>
          <w:rFonts w:ascii="Times New Roman" w:cs="Times New Roman" w:eastAsia="Times New Roman" w:hAnsi="Times New Roman"/>
          <w:sz w:val="19"/>
          <w:szCs w:val="19"/>
          <w:color w:val="auto"/>
        </w:rPr>
        <w:t>withheld)</w:t>
      </w:r>
      <w:r>
        <w:rPr>
          <w:rFonts w:ascii="Times New Roman" w:cs="Times New Roman" w:eastAsia="Times New Roman" w:hAnsi="Times New Roman"/>
          <w:sz w:val="19"/>
          <w:szCs w:val="19"/>
          <w:color w:val="FF0000"/>
          <w:strike w:val="1"/>
        </w:rPr>
        <w:t>; 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highlight w:val="white"/>
          <w:strike w:val="1"/>
        </w:rPr>
        <w:t>however, that if no such rate is available, the “Alternative Currency Equivalent” shall be determined by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Administrative Agent or the applicable Issuing Bank (in either case, in consultation with the Borrowers), as the case may be, using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-125095</wp:posOffset>
            </wp:positionV>
            <wp:extent cx="6731000" cy="387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6731000" cy="387350"/>
                    </a:xfrm>
                    <a:prstGeom prst="rect">
                      <a:avLst/>
                    </a:prstGeom>
                    <a:noFill/>
                  </pic:spPr>
                </pic:pic>
              </a:graphicData>
            </a:graphic>
          </wp:anchor>
        </w:drawing>
      </w:r>
    </w:p>
    <w:p>
      <w:pPr>
        <w:ind w:left="640"/>
        <w:spacing w:after="0" w:line="218" w:lineRule="auto"/>
        <w:rPr>
          <w:sz w:val="20"/>
          <w:szCs w:val="20"/>
          <w:color w:val="auto"/>
        </w:rPr>
      </w:pPr>
      <w:r>
        <w:rPr>
          <w:rFonts w:ascii="Times New Roman" w:cs="Times New Roman" w:eastAsia="Times New Roman" w:hAnsi="Times New Roman"/>
          <w:sz w:val="19"/>
          <w:szCs w:val="19"/>
          <w:color w:val="FF0000"/>
          <w:strike w:val="1"/>
        </w:rPr>
        <w:t>reasonable method of determination it deems appropriate in its reasonable discretion (and such determination shall be conclusive absent</w:t>
      </w:r>
    </w:p>
    <w:p>
      <w:pPr>
        <w:ind w:left="640"/>
        <w:spacing w:after="0" w:line="228" w:lineRule="auto"/>
        <w:rPr>
          <w:sz w:val="20"/>
          <w:szCs w:val="20"/>
          <w:color w:val="auto"/>
        </w:rPr>
      </w:pPr>
      <w:r>
        <w:rPr>
          <w:rFonts w:ascii="Times New Roman" w:cs="Times New Roman" w:eastAsia="Times New Roman" w:hAnsi="Times New Roman"/>
          <w:sz w:val="19"/>
          <w:szCs w:val="19"/>
          <w:color w:val="FF0000"/>
          <w:highlight w:val="white"/>
          <w:strike w:val="1"/>
        </w:rPr>
        <w:t>manifest error); provided</w:t>
      </w:r>
      <w:r>
        <w:rPr>
          <w:rFonts w:ascii="Times New Roman" w:cs="Times New Roman" w:eastAsia="Times New Roman" w:hAnsi="Times New Roman"/>
          <w:sz w:val="19"/>
          <w:szCs w:val="19"/>
          <w:color w:val="FF0000"/>
          <w:highlight w:val="white"/>
        </w:rPr>
        <w:t xml:space="preserve"> </w:t>
      </w:r>
      <w:r>
        <w:rPr>
          <w:rFonts w:ascii="Times New Roman" w:cs="Times New Roman" w:eastAsia="Times New Roman" w:hAnsi="Times New Roman"/>
          <w:sz w:val="19"/>
          <w:szCs w:val="19"/>
          <w:color w:val="FF0000"/>
        </w:rPr>
        <w:t>that, upon the written request of any Borrower, the Administrative Agent or the Applicable Issuing Bank shall</w:t>
      </w:r>
      <w:r>
        <w:rPr>
          <w:rFonts w:ascii="Times New Roman" w:cs="Times New Roman" w:eastAsia="Times New Roman" w:hAnsi="Times New Roman"/>
          <w:sz w:val="19"/>
          <w:szCs w:val="19"/>
          <w:color w:val="FF0000"/>
          <w:highlight w:val="white"/>
        </w:rPr>
        <w:t xml:space="preserve"> </w:t>
      </w:r>
      <w:r>
        <w:rPr>
          <w:rFonts w:ascii="Times New Roman" w:cs="Times New Roman" w:eastAsia="Times New Roman" w:hAnsi="Times New Roman"/>
          <w:sz w:val="19"/>
          <w:szCs w:val="19"/>
          <w:color w:val="FF0000"/>
          <w:highlight w:val="white"/>
          <w:strike w:val="1"/>
        </w:rPr>
        <w:t>notify such Borrower of the sources used to make such determination</w:t>
      </w:r>
      <w:r>
        <w:rPr>
          <w:rFonts w:ascii="Times New Roman" w:cs="Times New Roman" w:eastAsia="Times New Roman" w:hAnsi="Times New Roman"/>
          <w:sz w:val="19"/>
          <w:szCs w:val="19"/>
          <w:color w:val="000000"/>
        </w:rPr>
        <w:t>.</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Equivalent</w:t>
      </w:r>
      <w:r>
        <w:rPr>
          <w:rFonts w:ascii="Times New Roman" w:cs="Times New Roman" w:eastAsia="Times New Roman" w:hAnsi="Times New Roman"/>
          <w:sz w:val="19"/>
          <w:szCs w:val="19"/>
          <w:color w:val="auto"/>
        </w:rPr>
        <w:t>” means, at any time, with respect to any amount denominated in Dollars, the equivalent</w:t>
      </w:r>
    </w:p>
    <w:p>
      <w:pPr>
        <w:spacing w:after="0" w:line="2"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amount thereof in the applicable Alternative Currency as determined by the Administrative Agent or the applicable Issuing Bank (with notice thereof to the Administrative Agent), as the case may be, in its sole discretion by reference to the most recent Spot Rate (as</w:t>
      </w:r>
    </w:p>
    <w:p>
      <w:pPr>
        <w:ind w:left="640"/>
        <w:spacing w:after="0" w:line="218" w:lineRule="auto"/>
        <w:rPr>
          <w:sz w:val="20"/>
          <w:szCs w:val="20"/>
          <w:color w:val="auto"/>
        </w:rPr>
      </w:pPr>
      <w:r>
        <w:rPr>
          <w:rFonts w:ascii="Times New Roman" w:cs="Times New Roman" w:eastAsia="Times New Roman" w:hAnsi="Times New Roman"/>
          <w:sz w:val="19"/>
          <w:szCs w:val="19"/>
          <w:color w:val="auto"/>
        </w:rPr>
        <w:t>determined in respect of the most recent Revaluation Date) for the purchase of such Alternative Currency with Dollars</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0000FF"/>
          <w:highlight w:val="lightGray"/>
        </w:rPr>
        <w:t>; provided,</w:t>
      </w:r>
    </w:p>
    <w:p>
      <w:pPr>
        <w:ind w:left="640"/>
        <w:spacing w:after="0" w:line="211" w:lineRule="auto"/>
        <w:rPr>
          <w:sz w:val="20"/>
          <w:szCs w:val="20"/>
          <w:color w:val="auto"/>
        </w:rPr>
      </w:pPr>
      <w:r>
        <w:rPr>
          <w:rFonts w:ascii="Times New Roman" w:cs="Times New Roman" w:eastAsia="Times New Roman" w:hAnsi="Times New Roman"/>
          <w:sz w:val="19"/>
          <w:szCs w:val="19"/>
          <w:color w:val="0000FF"/>
          <w:highlight w:val="lightGray"/>
        </w:rPr>
        <w:t xml:space="preserve">however, that if no such rate is available, the “Alternative Currency Equivalent” shall be determined by the Administrative Agent or the </w:t>
      </w:r>
      <w:r>
        <w:rPr>
          <w:rFonts w:ascii="Times New Roman" w:cs="Times New Roman" w:eastAsia="Times New Roman" w:hAnsi="Times New Roman"/>
          <w:sz w:val="19"/>
          <w:szCs w:val="19"/>
          <w:u w:val="single" w:color="auto"/>
          <w:color w:val="0000FF"/>
          <w:highlight w:val="lightGray"/>
        </w:rPr>
        <w:t>applicable Issuing Bank (in either case, in consultation with the Borrowers), as the case may be, using any reasonable method of</w:t>
      </w:r>
    </w:p>
    <w:p>
      <w:pPr>
        <w:ind w:left="640"/>
        <w:spacing w:after="0" w:line="218" w:lineRule="auto"/>
        <w:rPr>
          <w:sz w:val="20"/>
          <w:szCs w:val="20"/>
          <w:color w:val="auto"/>
        </w:rPr>
      </w:pPr>
      <w:r>
        <w:rPr>
          <w:rFonts w:ascii="Times New Roman" w:cs="Times New Roman" w:eastAsia="Times New Roman" w:hAnsi="Times New Roman"/>
          <w:sz w:val="19"/>
          <w:szCs w:val="19"/>
          <w:u w:val="single" w:color="auto"/>
          <w:color w:val="0000FF"/>
          <w:highlight w:val="lightGray"/>
        </w:rPr>
        <w:t>determination it deems appropriate in its reasonable discretion (and such determination shall be conclusive absent manifest error);</w:t>
      </w:r>
    </w:p>
    <w:p>
      <w:pPr>
        <w:ind w:left="640"/>
        <w:spacing w:after="0" w:line="228" w:lineRule="auto"/>
        <w:rPr>
          <w:sz w:val="20"/>
          <w:szCs w:val="20"/>
          <w:color w:val="auto"/>
        </w:rPr>
      </w:pPr>
      <w:r>
        <w:rPr>
          <w:rFonts w:ascii="Times New Roman" w:cs="Times New Roman" w:eastAsia="Times New Roman" w:hAnsi="Times New Roman"/>
          <w:sz w:val="19"/>
          <w:szCs w:val="19"/>
          <w:color w:val="0000FF"/>
          <w:highlight w:val="lightGray"/>
        </w:rPr>
        <w:t>provided that, upon the written request of any Borrower</w:t>
      </w:r>
      <w:r>
        <w:rPr>
          <w:rFonts w:ascii="Times New Roman" w:cs="Times New Roman" w:eastAsia="Times New Roman" w:hAnsi="Times New Roman"/>
          <w:sz w:val="19"/>
          <w:szCs w:val="19"/>
          <w:u w:val="single" w:color="auto"/>
          <w:color w:val="0000FF"/>
          <w:highlight w:val="lightGray"/>
        </w:rPr>
        <w:t>, the Administrative Agent or the Applicable Issuing Bank shall notify such</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u w:val="single" w:color="auto"/>
          <w:color w:val="0000FF"/>
          <w:highlight w:val="lightGray"/>
        </w:rPr>
        <w:t>Borrower of the sources used to make such determination.</w:t>
      </w:r>
    </w:p>
    <w:p>
      <w:pPr>
        <w:spacing w:after="0" w:line="159" w:lineRule="exact"/>
        <w:rPr>
          <w:sz w:val="20"/>
          <w:szCs w:val="20"/>
          <w:color w:val="auto"/>
        </w:rPr>
      </w:pPr>
    </w:p>
    <w:p>
      <w:pPr>
        <w:jc w:val="both"/>
        <w:ind w:left="640" w:firstLine="636"/>
        <w:spacing w:after="0" w:line="223" w:lineRule="auto"/>
        <w:rPr>
          <w:sz w:val="20"/>
          <w:szCs w:val="20"/>
          <w:color w:val="auto"/>
        </w:rPr>
      </w:pPr>
      <w:r>
        <w:rPr>
          <w:rFonts w:ascii="Times New Roman" w:cs="Times New Roman" w:eastAsia="Times New Roman" w:hAnsi="Times New Roman"/>
          <w:sz w:val="19"/>
          <w:szCs w:val="19"/>
          <w:color w:val="auto"/>
        </w:rPr>
        <w:t xml:space="preserve">“LC Participation Fee Rate” means, for any LC Fee Period, </w:t>
      </w:r>
      <w:r>
        <w:rPr>
          <w:rFonts w:ascii="Times New Roman" w:cs="Times New Roman" w:eastAsia="Times New Roman" w:hAnsi="Times New Roman"/>
          <w:sz w:val="19"/>
          <w:szCs w:val="19"/>
          <w:color w:val="0000FF"/>
          <w:highlight w:val="lightGray"/>
        </w:rPr>
        <w:t>(a</w:t>
      </w:r>
      <w:r>
        <w:rPr>
          <w:rFonts w:ascii="Times New Roman" w:cs="Times New Roman" w:eastAsia="Times New Roman" w:hAnsi="Times New Roman"/>
          <w:sz w:val="19"/>
          <w:szCs w:val="19"/>
          <w:u w:val="single" w:color="auto"/>
          <w:color w:val="0000FF"/>
          <w:highlight w:val="lightGray"/>
        </w:rPr>
        <w:t>) in the case of Letters of Credit denominated in Dollars, Euros,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highlight w:val="lightGray"/>
        </w:rPr>
        <w:t>Sterling, Swiss Francs, Yen, Australian Dollars or Canadian Dollars,</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color w:val="000000"/>
        </w:rPr>
        <w:t>the interest rate applicable to Loans (if applicable, for a one (1)</w:t>
      </w:r>
    </w:p>
    <w:p>
      <w:pPr>
        <w:ind w:left="640"/>
        <w:spacing w:after="0" w:line="218" w:lineRule="auto"/>
        <w:rPr>
          <w:sz w:val="20"/>
          <w:szCs w:val="20"/>
          <w:color w:val="auto"/>
        </w:rPr>
      </w:pPr>
      <w:r>
        <w:rPr>
          <w:rFonts w:ascii="Times New Roman" w:cs="Times New Roman" w:eastAsia="Times New Roman" w:hAnsi="Times New Roman"/>
          <w:sz w:val="19"/>
          <w:szCs w:val="19"/>
          <w:color w:val="auto"/>
        </w:rPr>
        <w:t xml:space="preserve">month Interest Period) denominated in the same Currency </w:t>
      </w:r>
      <w:r>
        <w:rPr>
          <w:rFonts w:ascii="Times New Roman" w:cs="Times New Roman" w:eastAsia="Times New Roman" w:hAnsi="Times New Roman"/>
          <w:sz w:val="19"/>
          <w:szCs w:val="19"/>
          <w:color w:val="FF0000"/>
        </w:rPr>
        <w:t>as</w:t>
      </w:r>
      <w:r>
        <w:rPr>
          <w:rFonts w:ascii="Times New Roman" w:cs="Times New Roman" w:eastAsia="Times New Roman" w:hAnsi="Times New Roman"/>
          <w:sz w:val="19"/>
          <w:szCs w:val="19"/>
          <w:u w:val="single" w:color="auto"/>
          <w:color w:val="0000FF"/>
          <w:highlight w:val="lightGray"/>
        </w:rPr>
        <w:t>, plus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u w:val="single" w:color="auto"/>
          <w:color w:val="0000FF"/>
          <w:highlight w:val="lightGray"/>
        </w:rPr>
        <w:t>A</w:t>
      </w:r>
      <w:r>
        <w:rPr>
          <w:rFonts w:ascii="Times New Roman" w:cs="Times New Roman" w:eastAsia="Times New Roman" w:hAnsi="Times New Roman"/>
          <w:sz w:val="19"/>
          <w:szCs w:val="19"/>
          <w:color w:val="auto"/>
        </w:rPr>
        <w:t xml:space="preserve">pplicable </w:t>
      </w:r>
      <w:r>
        <w:rPr>
          <w:rFonts w:ascii="Times New Roman" w:cs="Times New Roman" w:eastAsia="Times New Roman" w:hAnsi="Times New Roman"/>
          <w:sz w:val="19"/>
          <w:szCs w:val="19"/>
          <w:u w:val="single" w:color="auto"/>
          <w:color w:val="0000FF"/>
          <w:highlight w:val="lightGray"/>
        </w:rPr>
        <w:t>Margin and (b) in the case of</w:t>
      </w:r>
      <w:r>
        <w:rPr>
          <w:rFonts w:ascii="Times New Roman" w:cs="Times New Roman" w:eastAsia="Times New Roman" w:hAnsi="Times New Roman"/>
          <w:sz w:val="19"/>
          <w:szCs w:val="19"/>
          <w:color w:val="auto"/>
        </w:rPr>
        <w:t xml:space="preserve"> Letter</w:t>
      </w:r>
      <w:r>
        <w:rPr>
          <w:rFonts w:ascii="Times New Roman" w:cs="Times New Roman" w:eastAsia="Times New Roman" w:hAnsi="Times New Roman"/>
          <w:sz w:val="19"/>
          <w:szCs w:val="19"/>
          <w:u w:val="single" w:color="auto"/>
          <w:color w:val="0000FF"/>
          <w:highlight w:val="lightGray"/>
        </w:rPr>
        <w:t>s</w:t>
      </w:r>
      <w:r>
        <w:rPr>
          <w:rFonts w:ascii="Times New Roman" w:cs="Times New Roman" w:eastAsia="Times New Roman" w:hAnsi="Times New Roman"/>
          <w:sz w:val="19"/>
          <w:szCs w:val="19"/>
          <w:color w:val="auto"/>
        </w:rPr>
        <w:t xml:space="preserv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-57150</wp:posOffset>
            </wp:positionV>
            <wp:extent cx="1504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150495" cy="8255"/>
                    </a:xfrm>
                    <a:prstGeom prst="rect">
                      <a:avLst/>
                    </a:prstGeom>
                    <a:noFill/>
                  </pic:spPr>
                </pic:pic>
              </a:graphicData>
            </a:graphic>
          </wp:anchor>
        </w:drawing>
      </w:r>
    </w:p>
    <w:p>
      <w:pPr>
        <w:ind w:left="640"/>
        <w:spacing w:after="0" w:line="211" w:lineRule="auto"/>
        <w:rPr>
          <w:sz w:val="20"/>
          <w:szCs w:val="20"/>
          <w:color w:val="auto"/>
        </w:rPr>
      </w:pPr>
      <w:r>
        <w:rPr>
          <w:rFonts w:ascii="Times New Roman" w:cs="Times New Roman" w:eastAsia="Times New Roman" w:hAnsi="Times New Roman"/>
          <w:sz w:val="19"/>
          <w:szCs w:val="19"/>
          <w:u w:val="single" w:color="auto"/>
          <w:color w:val="0000FF"/>
        </w:rPr>
        <w:t>d</w:t>
      </w:r>
      <w:r>
        <w:rPr>
          <w:rFonts w:ascii="Times New Roman" w:cs="Times New Roman" w:eastAsia="Times New Roman" w:hAnsi="Times New Roman"/>
          <w:sz w:val="19"/>
          <w:szCs w:val="19"/>
          <w:color w:val="0000FF"/>
          <w:highlight w:val="lightGray"/>
        </w:rPr>
        <w:t>enominated in any other Alternative Currency, Adjusted Term SOFR for a one-month tenor,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plus the Applicable Margin; provided that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if</w:t>
      </w:r>
      <w:r>
        <w:rPr>
          <w:rFonts w:ascii="Times New Roman" w:cs="Times New Roman" w:eastAsia="Times New Roman" w:hAnsi="Times New Roman"/>
          <w:sz w:val="19"/>
          <w:szCs w:val="19"/>
          <w:u w:val="single" w:color="auto"/>
          <w:color w:val="0000FF"/>
          <w:highlight w:val="lightGray"/>
          <w:strike w:val="1"/>
        </w:rPr>
        <w:t>, for the avoidance of doubt, the interest rate applied to Letters of Credit denominated in Dollars or to any other Letter of Credit of the</w:t>
      </w:r>
    </w:p>
    <w:p>
      <w:pPr>
        <w:ind w:left="640"/>
        <w:spacing w:after="0" w:line="218" w:lineRule="auto"/>
        <w:rPr>
          <w:sz w:val="20"/>
          <w:szCs w:val="20"/>
          <w:color w:val="auto"/>
        </w:rPr>
      </w:pPr>
      <w:r>
        <w:rPr>
          <w:rFonts w:ascii="Times New Roman" w:cs="Times New Roman" w:eastAsia="Times New Roman" w:hAnsi="Times New Roman"/>
          <w:sz w:val="19"/>
          <w:szCs w:val="19"/>
          <w:u w:val="single" w:color="auto"/>
          <w:color w:val="0000FF"/>
          <w:highlight w:val="lightGray"/>
        </w:rPr>
        <w:t>type specified in clause (b) shall be Adjusted Term SOFR unless the circumstances described in Section 4.06(a) or 4.06(c)(v) have</w:t>
      </w:r>
    </w:p>
    <w:p>
      <w:pPr>
        <w:ind w:left="640"/>
        <w:spacing w:after="0" w:line="211" w:lineRule="auto"/>
        <w:rPr>
          <w:sz w:val="20"/>
          <w:szCs w:val="20"/>
          <w:color w:val="auto"/>
        </w:rPr>
      </w:pPr>
      <w:r>
        <w:rPr>
          <w:rFonts w:ascii="Times New Roman" w:cs="Times New Roman" w:eastAsia="Times New Roman" w:hAnsi="Times New Roman"/>
          <w:sz w:val="19"/>
          <w:szCs w:val="19"/>
          <w:u w:val="single" w:color="auto"/>
          <w:color w:val="0000FF"/>
          <w:highlight w:val="lightGray"/>
        </w:rPr>
        <w:t>occurred, in which case</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color w:val="000000"/>
        </w:rPr>
        <w:t>the LC Participation Fee Rate</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color w:val="FF0000"/>
          <w:strike w:val="1"/>
        </w:rPr>
        <w:t>is being</w:t>
      </w:r>
      <w:r>
        <w:rPr>
          <w:rFonts w:ascii="Times New Roman" w:cs="Times New Roman" w:eastAsia="Times New Roman" w:hAnsi="Times New Roman"/>
          <w:sz w:val="19"/>
          <w:szCs w:val="19"/>
          <w:u w:val="single" w:color="auto"/>
          <w:color w:val="0000FF"/>
        </w:rPr>
        <w:t>shal</w:t>
      </w:r>
      <w:r>
        <w:rPr>
          <w:rFonts w:ascii="Times New Roman" w:cs="Times New Roman" w:eastAsia="Times New Roman" w:hAnsi="Times New Roman"/>
          <w:sz w:val="19"/>
          <w:szCs w:val="19"/>
          <w:color w:val="0000FF"/>
        </w:rPr>
        <w:t>l be</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color w:val="000000"/>
        </w:rPr>
        <w:t>calculated by reference to the Base Rate,</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color w:val="FF0000"/>
          <w:strike w:val="1"/>
        </w:rPr>
        <w:t>the LC Participation</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color w:val="FF0000"/>
          <w:strike w:val="1"/>
        </w:rPr>
        <w:t>Fee Rate shall mean the Base Rate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plus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Applicable Margin</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0000FF"/>
          <w:highlight w:val="lightGray"/>
        </w:rPr>
        <w:t>, commencing on the first date of such LC Fee Period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-242570</wp:posOffset>
            </wp:positionV>
            <wp:extent cx="386715" cy="134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386715" cy="134620"/>
                    </a:xfrm>
                    <a:prstGeom prst="rect">
                      <a:avLst/>
                    </a:prstGeom>
                    <a:noFill/>
                  </pic:spPr>
                </pic:pic>
              </a:graphicData>
            </a:graphic>
          </wp:anchor>
        </w:drawing>
      </w:r>
    </w:p>
    <w:p>
      <w:pPr>
        <w:ind w:left="640"/>
        <w:spacing w:after="0" w:line="218" w:lineRule="auto"/>
        <w:rPr>
          <w:sz w:val="20"/>
          <w:szCs w:val="20"/>
          <w:color w:val="auto"/>
        </w:rPr>
      </w:pPr>
      <w:r>
        <w:rPr>
          <w:rFonts w:ascii="Times New Roman" w:cs="Times New Roman" w:eastAsia="Times New Roman" w:hAnsi="Times New Roman"/>
          <w:sz w:val="19"/>
          <w:szCs w:val="19"/>
          <w:u w:val="single" w:color="auto"/>
          <w:color w:val="0000FF"/>
          <w:highlight w:val="lightGray"/>
        </w:rPr>
        <w:t>circumstances arose prior to the start of the applicable LC Fee Period) or the first date of the next succeeding LC Fee Period (if such</w:t>
      </w:r>
    </w:p>
    <w:p>
      <w:pPr>
        <w:ind w:left="640"/>
        <w:spacing w:after="0" w:line="228" w:lineRule="auto"/>
        <w:rPr>
          <w:sz w:val="20"/>
          <w:szCs w:val="20"/>
          <w:color w:val="auto"/>
        </w:rPr>
      </w:pPr>
      <w:r>
        <w:rPr>
          <w:rFonts w:ascii="Times New Roman" w:cs="Times New Roman" w:eastAsia="Times New Roman" w:hAnsi="Times New Roman"/>
          <w:sz w:val="19"/>
          <w:szCs w:val="19"/>
          <w:color w:val="0000FF"/>
          <w:highlight w:val="lightGray"/>
        </w:rPr>
        <w:t>circumstances arose after the start of such LC Fee Period), until such time as such circumstances no longer exist and/or Adjusted T</w:t>
      </w:r>
      <w:r>
        <w:rPr>
          <w:rFonts w:ascii="Times New Roman" w:cs="Times New Roman" w:eastAsia="Times New Roman" w:hAnsi="Times New Roman"/>
          <w:sz w:val="19"/>
          <w:szCs w:val="19"/>
          <w:u w:val="single" w:color="auto"/>
          <w:color w:val="0000FF"/>
          <w:highlight w:val="lightGray"/>
        </w:rPr>
        <w:t>erm</w:t>
      </w:r>
      <w:r>
        <w:rPr>
          <w:rFonts w:ascii="Times New Roman" w:cs="Times New Roman" w:eastAsia="Times New Roman" w:hAnsi="Times New Roman"/>
          <w:sz w:val="19"/>
          <w:szCs w:val="19"/>
          <w:color w:val="0000FF"/>
          <w:highlight w:val="lightGray"/>
        </w:rPr>
        <w:t xml:space="preserve"> </w:t>
      </w:r>
      <w:r>
        <w:rPr>
          <w:rFonts w:ascii="Times New Roman" w:cs="Times New Roman" w:eastAsia="Times New Roman" w:hAnsi="Times New Roman"/>
          <w:sz w:val="19"/>
          <w:szCs w:val="19"/>
          <w:u w:val="single" w:color="auto"/>
          <w:color w:val="0000FF"/>
          <w:highlight w:val="lightGray"/>
        </w:rPr>
        <w:t>SOFR has been replaced as a Benchmark for Dollar-denominated extensions of credit, in each case in accordance with Section 4.06.</w:t>
      </w:r>
    </w:p>
    <w:p>
      <w:pPr>
        <w:spacing w:after="0" w:line="159"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19"/>
          <w:szCs w:val="19"/>
          <w:color w:val="auto"/>
        </w:rPr>
        <w:t>2.2 Section 1.03 of the Existing Credit Agreement is hereby amended by deleting “and” at the end of clause (a)(x) thereof, replacing the period at the end of clause (xi) thereof with “; and” and inserting the following new clause (a)(xii):</w:t>
      </w:r>
    </w:p>
    <w:p>
      <w:pPr>
        <w:spacing w:after="0" w:line="130" w:lineRule="exact"/>
        <w:rPr>
          <w:sz w:val="20"/>
          <w:szCs w:val="20"/>
          <w:color w:val="auto"/>
        </w:rPr>
      </w:pPr>
    </w:p>
    <w:p>
      <w:pPr>
        <w:jc w:val="both"/>
        <w:ind w:left="640" w:firstLine="638"/>
        <w:spacing w:after="0" w:line="229" w:lineRule="auto"/>
        <w:tabs>
          <w:tab w:leader="none" w:pos="1977"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“Loans” in any interest rate definition or other related definitions (including the definitions of “Eurocurrency”, “Term SOFR”, “Eurocurrency Rate Loan” and “Term SOFR Loan”) shall be deemed to include Letters of Credit for purposes of calculating the LC Participation Fee Rate and making any other determination with respect to the interest rate and/or Applicable Margin to be applied in respect of LC Participation Fees.</w:t>
      </w:r>
    </w:p>
    <w:p>
      <w:pPr>
        <w:spacing w:after="0" w:line="160"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19"/>
          <w:szCs w:val="19"/>
          <w:color w:val="auto"/>
        </w:rPr>
        <w:t xml:space="preserve">2.3 Section 7.07(b) of the Existing Credit Agreement is hereby amended to add the double-underlined text (indicated textually in the same manner as the following example: </w:t>
      </w:r>
      <w:r>
        <w:rPr>
          <w:rFonts w:ascii="Times New Roman" w:cs="Times New Roman" w:eastAsia="Times New Roman" w:hAnsi="Times New Roman"/>
          <w:sz w:val="19"/>
          <w:szCs w:val="19"/>
          <w:u w:val="single" w:color="auto"/>
          <w:color w:val="0070C0"/>
        </w:rPr>
        <w:t>double-underlined text</w:t>
      </w:r>
      <w:r>
        <w:rPr>
          <w:rFonts w:ascii="Times New Roman" w:cs="Times New Roman" w:eastAsia="Times New Roman" w:hAnsi="Times New Roman"/>
          <w:sz w:val="19"/>
          <w:szCs w:val="19"/>
          <w:color w:val="auto"/>
        </w:rPr>
        <w: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75" w:right="339" w:bottom="1440" w:gutter="0" w:footer="0" w:header="0"/>
        </w:sectPr>
      </w:pPr>
    </w:p>
    <w:bookmarkStart w:id="120" w:name="page121"/>
    <w:bookmarkEnd w:id="120"/>
    <w:p>
      <w:pPr>
        <w:jc w:val="both"/>
        <w:ind w:left="640" w:firstLine="638"/>
        <w:spacing w:after="0" w:line="227" w:lineRule="auto"/>
        <w:tabs>
          <w:tab w:leader="none" w:pos="1743"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any Obligor nor any of its Restricted Subsidiaries is engaged principally, or as one of its important activities, in the business of extending credit for the purpose of purchasing or carrying any “margin stock” as defined in Regulation U. No part of the proceeds of any </w:t>
      </w:r>
      <w:r>
        <w:rPr>
          <w:rFonts w:ascii="Times New Roman" w:cs="Times New Roman" w:eastAsia="Times New Roman" w:hAnsi="Times New Roman"/>
          <w:sz w:val="19"/>
          <w:szCs w:val="19"/>
          <w:u w:val="single" w:color="auto"/>
          <w:color w:val="0000FF"/>
          <w:highlight w:val="lightGray"/>
        </w:rPr>
        <w:t>Loans or</w:t>
      </w:r>
      <w:r>
        <w:rPr>
          <w:rFonts w:ascii="Times New Roman" w:cs="Times New Roman" w:eastAsia="Times New Roman" w:hAnsi="Times New Roman"/>
          <w:sz w:val="19"/>
          <w:szCs w:val="19"/>
          <w:color w:val="auto"/>
        </w:rPr>
        <w:t xml:space="preserve"> Letters of Credit issued hereunder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146" w:lineRule="exact"/>
        <w:rPr>
          <w:rFonts w:ascii="Times New Roman" w:cs="Times New Roman" w:eastAsia="Times New Roman" w:hAnsi="Times New Roman"/>
          <w:sz w:val="19"/>
          <w:szCs w:val="19"/>
          <w:color w:val="auto"/>
        </w:rPr>
      </w:pPr>
    </w:p>
    <w:p>
      <w:pPr>
        <w:jc w:val="both"/>
        <w:ind w:firstLine="642"/>
        <w:spacing w:after="0"/>
        <w:tabs>
          <w:tab w:leader="none" w:pos="1095"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Expenses</w:t>
      </w:r>
      <w:r>
        <w:rPr>
          <w:rFonts w:ascii="Times New Roman" w:cs="Times New Roman" w:eastAsia="Times New Roman" w:hAnsi="Times New Roman"/>
          <w:sz w:val="19"/>
          <w:szCs w:val="19"/>
          <w:color w:val="auto"/>
        </w:rPr>
        <w:t>. The Borrowers agree to reimburse Wells Fargo for all reasonable and documented out-of-pocket fees, charges and disbursements of Wells Fargo in connection with the preparation, execution and delivery of this Amendment, including all reasonable and documented or invoiced fees, charges and disbursements of counsel to Wells Fargo, in accordance with Section 12.03 of the Credit Agreement.</w:t>
      </w:r>
    </w:p>
    <w:p>
      <w:pPr>
        <w:spacing w:after="0" w:line="338" w:lineRule="exact"/>
        <w:rPr>
          <w:rFonts w:ascii="Times New Roman" w:cs="Times New Roman" w:eastAsia="Times New Roman" w:hAnsi="Times New Roman"/>
          <w:sz w:val="19"/>
          <w:szCs w:val="19"/>
          <w:color w:val="auto"/>
        </w:rPr>
      </w:pPr>
    </w:p>
    <w:p>
      <w:pPr>
        <w:jc w:val="both"/>
        <w:ind w:firstLine="642"/>
        <w:spacing w:after="0" w:line="229" w:lineRule="auto"/>
        <w:tabs>
          <w:tab w:leader="none" w:pos="1055"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Each of the Borrowers represents and warrants to Wells Fargo that, as of the date hereof, this Amendment constitutes the legal, valid and binding obligation of each of the Borrowers, enforceable against each such Borrower in accordance with its terms, except as enforceability may be limited by applicable bankruptcy, insolvency, rescue process or similar laws affecting the enforcement of creditors’ rights generally or by equitable principles of general applicability.</w:t>
      </w:r>
    </w:p>
    <w:p>
      <w:pPr>
        <w:spacing w:after="0" w:line="159" w:lineRule="exact"/>
        <w:rPr>
          <w:rFonts w:ascii="Times New Roman" w:cs="Times New Roman" w:eastAsia="Times New Roman" w:hAnsi="Times New Roman"/>
          <w:sz w:val="19"/>
          <w:szCs w:val="19"/>
          <w:color w:val="auto"/>
        </w:rPr>
      </w:pPr>
    </w:p>
    <w:p>
      <w:pPr>
        <w:ind w:left="1040" w:hanging="398"/>
        <w:spacing w:after="0"/>
        <w:tabs>
          <w:tab w:leader="none" w:pos="10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Reaffirmation; Reference to and Effect on the Loan Documents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jc w:val="both"/>
        <w:ind w:firstLine="1278"/>
        <w:spacing w:after="0" w:line="229" w:lineRule="auto"/>
        <w:tabs>
          <w:tab w:leader="none" w:pos="189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date hereof,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159" w:lineRule="exact"/>
        <w:rPr>
          <w:rFonts w:ascii="Times New Roman" w:cs="Times New Roman" w:eastAsia="Times New Roman" w:hAnsi="Times New Roman"/>
          <w:sz w:val="19"/>
          <w:szCs w:val="19"/>
          <w:color w:val="auto"/>
        </w:rPr>
      </w:pPr>
    </w:p>
    <w:p>
      <w:pPr>
        <w:ind w:firstLine="1278"/>
        <w:spacing w:after="0" w:line="241" w:lineRule="auto"/>
        <w:tabs>
          <w:tab w:leader="none" w:pos="1896"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Documents, and the obligations of the Borrowers and the Obligors under the Loan Documents, are hereby ratified and confirmed and shall remain in full force and effect according to their terms.</w:t>
      </w:r>
    </w:p>
    <w:p>
      <w:pPr>
        <w:spacing w:after="0" w:line="157" w:lineRule="exact"/>
        <w:rPr>
          <w:rFonts w:ascii="Times New Roman" w:cs="Times New Roman" w:eastAsia="Times New Roman" w:hAnsi="Times New Roman"/>
          <w:sz w:val="19"/>
          <w:szCs w:val="19"/>
          <w:color w:val="auto"/>
        </w:rPr>
      </w:pPr>
    </w:p>
    <w:p>
      <w:pPr>
        <w:jc w:val="both"/>
        <w:ind w:firstLine="1278"/>
        <w:spacing w:after="0" w:line="222" w:lineRule="auto"/>
        <w:tabs>
          <w:tab w:leader="none" w:pos="189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Borrowers, on their own behalf and on behalf of each other Obligor that is a Subsidiary thereof, (i) acknowledges and consents to all of the terms and conditions of this Amendment, (ii) affirms all of its obligations under the Loan Documents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w:t>
      </w:r>
    </w:p>
    <w:p>
      <w:pPr>
        <w:spacing w:after="0" w:line="162" w:lineRule="exact"/>
        <w:rPr>
          <w:rFonts w:ascii="Times New Roman" w:cs="Times New Roman" w:eastAsia="Times New Roman" w:hAnsi="Times New Roman"/>
          <w:sz w:val="19"/>
          <w:szCs w:val="19"/>
          <w:color w:val="auto"/>
        </w:rPr>
      </w:pPr>
    </w:p>
    <w:p>
      <w:pPr>
        <w:jc w:val="both"/>
        <w:ind w:firstLine="1278"/>
        <w:spacing w:after="0" w:line="233" w:lineRule="auto"/>
        <w:tabs>
          <w:tab w:leader="none" w:pos="1896"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effectiveness of this Amendment shall not, except as expressly provided herein, operate as a waiver of any right, power or remedy of any Lender or Wells Fargo under any of the Loan Documents, nor constitute a waiver of any provision of any of the Loan Documents.</w:t>
      </w:r>
    </w:p>
    <w:p>
      <w:pPr>
        <w:spacing w:after="0" w:line="158" w:lineRule="exact"/>
        <w:rPr>
          <w:rFonts w:ascii="Times New Roman" w:cs="Times New Roman" w:eastAsia="Times New Roman" w:hAnsi="Times New Roman"/>
          <w:sz w:val="19"/>
          <w:szCs w:val="19"/>
          <w:color w:val="auto"/>
        </w:rPr>
      </w:pPr>
    </w:p>
    <w:p>
      <w:pPr>
        <w:ind w:right="20" w:firstLine="1278"/>
        <w:spacing w:after="0" w:line="241" w:lineRule="auto"/>
        <w:tabs>
          <w:tab w:leader="none" w:pos="189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conflict between the terms of this Amendment and the terms of the Credit Agreement or the other Loan Documents, the terms hereof shall control.</w:t>
      </w:r>
    </w:p>
    <w:p>
      <w:pPr>
        <w:spacing w:after="0" w:line="157" w:lineRule="exact"/>
        <w:rPr>
          <w:rFonts w:ascii="Times New Roman" w:cs="Times New Roman" w:eastAsia="Times New Roman" w:hAnsi="Times New Roman"/>
          <w:sz w:val="19"/>
          <w:szCs w:val="19"/>
          <w:color w:val="auto"/>
        </w:rPr>
      </w:pPr>
    </w:p>
    <w:p>
      <w:pPr>
        <w:ind w:left="980" w:hanging="338"/>
        <w:spacing w:after="0"/>
        <w:tabs>
          <w:tab w:leader="none" w:pos="9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 Consent to Service of Process; Waiver of Jury Trial, Etc</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ind w:firstLine="1278"/>
        <w:spacing w:after="0" w:line="241" w:lineRule="auto"/>
        <w:tabs>
          <w:tab w:leader="none" w:pos="1687"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shall be construed in accordance with and governed by the law of the State of New York, without regard to conflict of laws principles thereof to the extent such principles would cause the application of the law of another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75" w:right="339" w:bottom="1440" w:gutter="0" w:footer="0" w:header="0"/>
        </w:sectPr>
      </w:pPr>
    </w:p>
    <w:bookmarkStart w:id="121" w:name="page122"/>
    <w:bookmarkEnd w:id="121"/>
    <w:p>
      <w:pPr>
        <w:ind w:firstLine="1278"/>
        <w:spacing w:after="0" w:line="260" w:lineRule="auto"/>
        <w:tabs>
          <w:tab w:leader="none" w:pos="1742" w:val="left"/>
        </w:tabs>
        <w:numPr>
          <w:ilvl w:val="1"/>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EACH PARTY HERETO HEREBY AGREES AS SET FORTH IN SECTION 12.16 WAIVER OF JURY TRIAL OF THE CREDIT AGREEMENT AS IF SUCH SECTION WAS SET FORTH IN FULL HEREIN</w:t>
      </w:r>
      <w:r>
        <w:rPr>
          <w:rFonts w:ascii="Times New Roman" w:cs="Times New Roman" w:eastAsia="Times New Roman" w:hAnsi="Times New Roman"/>
          <w:sz w:val="19"/>
          <w:szCs w:val="19"/>
          <w:color w:val="auto"/>
        </w:rPr>
        <w:t>.</w:t>
      </w:r>
    </w:p>
    <w:p>
      <w:pPr>
        <w:spacing w:after="0" w:line="126" w:lineRule="exact"/>
        <w:rPr>
          <w:rFonts w:ascii="Times New Roman" w:cs="Times New Roman" w:eastAsia="Times New Roman" w:hAnsi="Times New Roman"/>
          <w:sz w:val="19"/>
          <w:szCs w:val="19"/>
          <w:b w:val="1"/>
          <w:bCs w:val="1"/>
          <w:color w:val="auto"/>
        </w:rPr>
      </w:pPr>
    </w:p>
    <w:p>
      <w:pPr>
        <w:jc w:val="both"/>
        <w:ind w:firstLine="642"/>
        <w:spacing w:after="0" w:line="225" w:lineRule="auto"/>
        <w:tabs>
          <w:tab w:leader="none" w:pos="106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Headings; Severability</w:t>
      </w:r>
      <w:r>
        <w:rPr>
          <w:rFonts w:ascii="Times New Roman" w:cs="Times New Roman" w:eastAsia="Times New Roman" w:hAnsi="Times New Roman"/>
          <w:sz w:val="19"/>
          <w:szCs w:val="19"/>
          <w:color w:val="auto"/>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49" w:lineRule="exact"/>
        <w:rPr>
          <w:rFonts w:ascii="Times New Roman" w:cs="Times New Roman" w:eastAsia="Times New Roman" w:hAnsi="Times New Roman"/>
          <w:sz w:val="19"/>
          <w:szCs w:val="19"/>
          <w:color w:val="auto"/>
        </w:rPr>
      </w:pPr>
    </w:p>
    <w:p>
      <w:pPr>
        <w:jc w:val="both"/>
        <w:ind w:firstLine="642"/>
        <w:spacing w:after="0" w:line="218" w:lineRule="auto"/>
        <w:tabs>
          <w:tab w:leader="none" w:pos="1091"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Execution in Counterparts; Effectiveness</w:t>
      </w:r>
      <w:r>
        <w:rPr>
          <w:rFonts w:ascii="Times New Roman" w:cs="Times New Roman" w:eastAsia="Times New Roman" w:hAnsi="Times New Roman"/>
          <w:sz w:val="19"/>
          <w:szCs w:val="19"/>
          <w:color w:val="auto"/>
        </w:rPr>
        <w:t>. This Amendment may be executed in counterparts (and by different parties hereto on different counterparts), each of which shall constitute an original, but all of which when taken together shall constitute a single contract, and shall be effective upon receipt by Wells Fargo of counterparts hereof from each of the Borrowers. This Amendment, the Credit Agreement, the other Loan Documents and any separate letter agreements with respect to fees payable to Wells Fargo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71" w:right="339" w:bottom="1440" w:gutter="0" w:footer="0" w:header="0"/>
        </w:sectPr>
      </w:pPr>
    </w:p>
    <w:bookmarkStart w:id="122" w:name="page123"/>
    <w:bookmarkEnd w:id="122"/>
    <w:p>
      <w:pPr>
        <w:ind w:left="640"/>
        <w:spacing w:after="0"/>
        <w:rPr>
          <w:sz w:val="20"/>
          <w:szCs w:val="20"/>
          <w:color w:val="auto"/>
        </w:rPr>
      </w:pPr>
      <w:r>
        <w:rPr>
          <w:rFonts w:ascii="Times New Roman" w:cs="Times New Roman" w:eastAsia="Times New Roman" w:hAnsi="Times New Roman"/>
          <w:sz w:val="19"/>
          <w:szCs w:val="19"/>
          <w:color w:val="auto"/>
        </w:rPr>
        <w:t>Each of the parties hereto has caused a counterpart of this Amendment to be duly executed and delivered as of the date first above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written.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LTD.,</w:t>
      </w:r>
    </w:p>
    <w:p>
      <w:pPr>
        <w:spacing w:after="0"/>
        <w:rPr>
          <w:sz w:val="20"/>
          <w:szCs w:val="20"/>
          <w:color w:val="auto"/>
        </w:rPr>
      </w:pPr>
      <w:r>
        <w:rPr>
          <w:rFonts w:ascii="Times New Roman" w:cs="Times New Roman" w:eastAsia="Times New Roman" w:hAnsi="Times New Roman"/>
          <w:sz w:val="21"/>
          <w:szCs w:val="21"/>
          <w:color w:val="auto"/>
        </w:rPr>
        <w:t>a Bermuda exempted company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-5715</wp:posOffset>
            </wp:positionV>
            <wp:extent cx="15106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1510665" cy="8255"/>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21"/>
          <w:szCs w:val="21"/>
          <w:color w:val="auto"/>
        </w:rPr>
        <w:t>Name: Christine M. Morrison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Assistant Secretary</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LLC,</w:t>
      </w:r>
    </w:p>
    <w:p>
      <w:pPr>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-5715</wp:posOffset>
            </wp:positionV>
            <wp:extent cx="15106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1510665" cy="8255"/>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21"/>
          <w:szCs w:val="21"/>
          <w:color w:val="auto"/>
        </w:rPr>
        <w:t>Name: Christine M. Morrison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Secretary</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CANADA LTD,</w:t>
      </w:r>
    </w:p>
    <w:p>
      <w:pPr>
        <w:spacing w:after="0"/>
        <w:rPr>
          <w:sz w:val="20"/>
          <w:szCs w:val="20"/>
          <w:color w:val="auto"/>
        </w:rPr>
      </w:pPr>
      <w:r>
        <w:rPr>
          <w:rFonts w:ascii="Times New Roman" w:cs="Times New Roman" w:eastAsia="Times New Roman" w:hAnsi="Times New Roman"/>
          <w:sz w:val="21"/>
          <w:szCs w:val="21"/>
          <w:color w:val="auto"/>
        </w:rPr>
        <w:t>an Alberta corporation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-5715</wp:posOffset>
            </wp:positionV>
            <wp:extent cx="15106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1510665" cy="8255"/>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21"/>
          <w:szCs w:val="21"/>
          <w:color w:val="auto"/>
        </w:rPr>
        <w:t>Name: Christine M. Morrison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Second Amendment to Amended and Restated Credit Agreement]</w:t>
      </w:r>
    </w:p>
    <w:p>
      <w:pPr>
        <w:sectPr>
          <w:pgSz w:w="11900" w:h="16838" w:orient="portrait"/>
          <w:cols w:equalWidth="0" w:num="1">
            <w:col w:w="11240"/>
          </w:cols>
          <w:pgMar w:left="320" w:top="13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-5715</wp:posOffset>
            </wp:positionV>
            <wp:extent cx="10769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21"/>
          <w:szCs w:val="21"/>
          <w:color w:val="auto"/>
        </w:rPr>
        <w:t>Name: Michael Janak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color w:val="auto"/>
        </w:rPr>
        <w:t>[Signature Page – Second Amendment to Amended and Restated Credit Agreement]</w:t>
      </w:r>
    </w:p>
    <w:p>
      <w:pPr>
        <w:sectPr>
          <w:pgSz w:w="11900" w:h="16838" w:orient="portrait"/>
          <w:cols w:equalWidth="0" w:num="1">
            <w:col w:w="10139"/>
          </w:cols>
          <w:pgMar w:left="320" w:top="1371"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Exhibit 10.51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 AND RESTRICTIVE COVENANT AGREEMENT</w:t>
      </w:r>
    </w:p>
    <w:p>
      <w:pPr>
        <w:spacing w:after="0" w:line="187" w:lineRule="exact"/>
        <w:rPr>
          <w:sz w:val="20"/>
          <w:szCs w:val="20"/>
          <w:color w:val="auto"/>
        </w:rPr>
      </w:pPr>
    </w:p>
    <w:p>
      <w:pPr>
        <w:ind w:right="320" w:firstLine="1272"/>
        <w:spacing w:after="0" w:line="232" w:lineRule="auto"/>
        <w:rPr>
          <w:sz w:val="20"/>
          <w:szCs w:val="20"/>
          <w:color w:val="auto"/>
        </w:rPr>
      </w:pPr>
      <w:r>
        <w:rPr>
          <w:rFonts w:ascii="Times New Roman" w:cs="Times New Roman" w:eastAsia="Times New Roman" w:hAnsi="Times New Roman"/>
          <w:sz w:val="21"/>
          <w:szCs w:val="21"/>
          <w:color w:val="auto"/>
        </w:rPr>
        <w:t>THIS CONFIDENTIALITY AND RESTRICTIVE COVENANT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 by and among Weatherford International, PLC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Company and Employee may sometimes be referred to individually herein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WITNESSTH:</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WHEREAS, Employee desires to enter into this Agreement upon the terms and conditions hereafter set forth;</w:t>
      </w:r>
    </w:p>
    <w:p>
      <w:pPr>
        <w:spacing w:after="0" w:line="183" w:lineRule="exact"/>
        <w:rPr>
          <w:sz w:val="20"/>
          <w:szCs w:val="20"/>
          <w:color w:val="auto"/>
        </w:rPr>
      </w:pPr>
    </w:p>
    <w:p>
      <w:pPr>
        <w:jc w:val="both"/>
        <w:ind w:right="160" w:firstLine="1272"/>
        <w:spacing w:after="0" w:line="226" w:lineRule="auto"/>
        <w:rPr>
          <w:sz w:val="20"/>
          <w:szCs w:val="20"/>
          <w:color w:val="auto"/>
        </w:rPr>
      </w:pPr>
      <w:r>
        <w:rPr>
          <w:rFonts w:ascii="Times New Roman" w:cs="Times New Roman" w:eastAsia="Times New Roman" w:hAnsi="Times New Roman"/>
          <w:sz w:val="21"/>
          <w:szCs w:val="21"/>
          <w:color w:val="auto"/>
        </w:rPr>
        <w:t>WHEREAS, in the continued course of Employee’s employment, the Company will disclose to the Employee and the Employee will receive certain non-public, confidential and proprietary information pertaining to the business of the Company and the Company Parties (as defined below), and the disclosure of such information to third parties, and/or the disclosure or use of that information to benefit the business of a competitor of the Company Parties, would cause grave harm to the Company Parties;</w:t>
      </w:r>
    </w:p>
    <w:p>
      <w:pPr>
        <w:spacing w:after="0" w:line="150"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21"/>
          <w:szCs w:val="21"/>
          <w:color w:val="auto"/>
        </w:rPr>
        <w:t>WHEREAS, Employee acknowledges and agrees that, as a condition of Employee’s participation in the Company’s severance plans, Employee must execute this Agreement, which is ancillary to the Employee’s otherwise enforceable right to participate in the such plans (subject to the terms, conditions and limitations contained in the respective plan), and that Employee’s right to participate in and Employee’s right to receive amounts under the Company’s severance plans in accordance with their terms constitutes good and sufficient consideration for this Agreement;</w:t>
      </w:r>
    </w:p>
    <w:p>
      <w:pPr>
        <w:spacing w:after="0" w:line="150" w:lineRule="exact"/>
        <w:rPr>
          <w:sz w:val="20"/>
          <w:szCs w:val="20"/>
          <w:color w:val="auto"/>
        </w:rPr>
      </w:pPr>
    </w:p>
    <w:p>
      <w:pPr>
        <w:ind w:right="220" w:firstLine="1272"/>
        <w:spacing w:after="0" w:line="226" w:lineRule="auto"/>
        <w:rPr>
          <w:sz w:val="20"/>
          <w:szCs w:val="20"/>
          <w:color w:val="auto"/>
        </w:rPr>
      </w:pPr>
      <w:r>
        <w:rPr>
          <w:rFonts w:ascii="Times New Roman" w:cs="Times New Roman" w:eastAsia="Times New Roman" w:hAnsi="Times New Roman"/>
          <w:sz w:val="21"/>
          <w:szCs w:val="21"/>
          <w:color w:val="auto"/>
        </w:rPr>
        <w:t>NOW, THEREFORE, in consideration of Employee’s continued employment with the Company, access to the Company’s goodwill and Confidential Information (as defined below), and in order to assure the confidentiality and proper use of the Confidential Information and other Company Property (as defined below), and the mutual covenants and promises contained herein, the receipt and sufficiency of which are hereby acknowledged, the Parties agree as follows:</w:t>
      </w:r>
    </w:p>
    <w:p>
      <w:pPr>
        <w:spacing w:after="0" w:line="148"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right="60" w:firstLine="1272"/>
        <w:spacing w:after="0" w:line="235" w:lineRule="auto"/>
        <w:rPr>
          <w:sz w:val="20"/>
          <w:szCs w:val="20"/>
          <w:color w:val="auto"/>
        </w:rPr>
      </w:pPr>
      <w:r>
        <w:rPr>
          <w:rFonts w:ascii="Times New Roman" w:cs="Times New Roman" w:eastAsia="Times New Roman" w:hAnsi="Times New Roman"/>
          <w:sz w:val="21"/>
          <w:szCs w:val="21"/>
          <w:color w:val="auto"/>
        </w:rPr>
        <w:t>1.1 Except as authorized or directed by the Company in connection with the performance of Employee’s duties and obligations, Employee shall not, at any time during Employee’s employment with the Company or after Employee’s employment ends, directly or indirectly, (i) copy, disclose, utilize, exploit, or make available to any other person or entity any Confidential Information (as defined below) of any Company Party, that has come into Employee’s possession, custody, or control in the course of Employee’s employment with the Company, (ii) use any such Confidential Information for Employee’s own personal use or advantage or the use or advantage of any other person or entity other than the Company, or make any such Confidential Information available to others, or (iii) decompile, disassemble, or otherwise reverse engineer any Confidential Information or any portion thereof, or determine or attempt to determine any source code, algorithms, methods or techniques embodied in any Confidential Information (except to the extent expressly permitted by the Company in the course of Employment). Employee shall hold all Confidential Information in strict confidence and shall take the same degree of care it uses to protect its own confidential and proprietary information or material of similar nature and importance (but in no event less than reasonable care) to protect</w:t>
      </w:r>
    </w:p>
    <w:p>
      <w:pPr>
        <w:sectPr>
          <w:pgSz w:w="11900" w:h="16838" w:orient="portrait"/>
          <w:cols w:equalWidth="0" w:num="1">
            <w:col w:w="11240"/>
          </w:cols>
          <w:pgMar w:left="320" w:top="9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1"/>
          <w:szCs w:val="21"/>
          <w:color w:val="auto"/>
        </w:rPr>
        <w:t>the confidentiality and avoid the unauthorized use, disclosure, publication, or dissemination of the Confidential Information.</w:t>
      </w:r>
    </w:p>
    <w:p>
      <w:pPr>
        <w:spacing w:after="0" w:line="183" w:lineRule="exact"/>
        <w:rPr>
          <w:sz w:val="20"/>
          <w:szCs w:val="20"/>
          <w:color w:val="auto"/>
        </w:rPr>
      </w:pPr>
    </w:p>
    <w:p>
      <w:pPr>
        <w:ind w:firstLine="1272"/>
        <w:spacing w:after="0" w:line="212" w:lineRule="auto"/>
        <w:rPr>
          <w:sz w:val="20"/>
          <w:szCs w:val="20"/>
          <w:color w:val="auto"/>
        </w:rPr>
      </w:pPr>
      <w:r>
        <w:rPr>
          <w:rFonts w:ascii="Times New Roman" w:cs="Times New Roman" w:eastAsia="Times New Roman" w:hAnsi="Times New Roman"/>
          <w:sz w:val="21"/>
          <w:szCs w:val="21"/>
          <w:color w:val="auto"/>
        </w:rPr>
        <w:t>1.2 As used herein,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all confidential information, proprietary information or materials, trade secrets, or other non-public information (whether oral or written, whether maintained in hard copy, electronically, or otherwise) concerning, created by, or relating to any of the Company Parties, including any and all information relating to the business, assets, operations, budgets, strategies, studies, compilations, policies, procedures, organization, processes, personal information (including personal information about any current or former employees or members of the board of directors of the Company Parties or their respective family members), business developments, investment or business arrangements, negotiations, prospective or existing commercial agreements, forecasts, costs, revenues, performances, research, profiles, valuations, valuation models or analyses, profits, tax or financial structure, positions or products, financial models, financial results or analyses, other financial affairs, actual or proposed opportunities, acquisitions, transactions or investments, results, assets, current or prospective suppliers, customers, clients, investors, marketers, advertisers, vendors, current or prospective supplier, customer, or client lists (including their identity, addresses, contact persons, and/or status, preferences, strategies, or needs), internal controls, diligence or vetting process, security procedures, contingencies, marketing plans, databases, pricing, risk management, credit files, strategies, techniques, methods of operation, market consultants, computer programs, passwords, know-how, idea, process, technique, algorithm, program (whether in source code or object code form), hardware, device, schematic, drawing, formula, published or unpublished patent applications, data, information technology infrastructure, products, services, systems, designs, inventions, any information, documents, or materials related to oil and gas industry services and technology, to oil and gas industry exploration and production efforts, to oil and gas industry related contracts or agreements, to oil and gas industry drilling plans and potential drilling plans, or to areas of oil and gas field development interest, or any other information, documents, or materials that (i) may be identified as confidential or proprietary, (ii) is required to be maintained as confidential under governing law or regulation or under an agreement with any third parties, and/or (iii) would otherwise appear to a reasonable person to be confidential or proprietary. Confidential Information shall not include any information that is generally known to the public or is publicly available other than as a result of Employee’s breach of this Agreement. To the extent this Agreement is not publicly filed, this Agreement also shall be treated as Confidential Information; provided that Employee shall be permitted to disclose the terms of Paragraphs 3, 5, 6, and 7 of this Agreement to any future prospective employers, business partners, or any other person or entity to whom Employee provides (or is seeking to provide) services after the termination of Employee’s employment for the purpose of informing such person or entity of Employee’s various continuing obligations to the Company Parties. For purposes of this Agreement, (A)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Entities</w:t>
      </w:r>
      <w:r>
        <w:rPr>
          <w:rFonts w:ascii="Times New Roman" w:cs="Times New Roman" w:eastAsia="Times New Roman" w:hAnsi="Times New Roman"/>
          <w:sz w:val="21"/>
          <w:szCs w:val="21"/>
          <w:color w:val="auto"/>
        </w:rPr>
        <w:t>” means the Company and each and all of the Company’s present, former, and future subsidiaries, parents, branches, divisions, related companies, affiliates, partner entities, and any successor or any permitted transferee thereof; and (B)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means, collectively, each and all of the Company Entities and each and all of their respective present, former, and future officers, directors, partners, principals, members, owners, shareholders, managing directors, employees, investors, fiduciaries, advisees, representatives, and agents.</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color w:val="auto"/>
        </w:rPr>
        <w:t>Notwithstanding anything herein to the contrary, in accordance with the Defend Trade Secrets Act, 18 U.S.C.</w:t>
      </w:r>
    </w:p>
    <w:p>
      <w:pPr>
        <w:ind w:right="160" w:firstLine="6"/>
        <w:spacing w:after="0" w:line="218" w:lineRule="auto"/>
        <w:tabs>
          <w:tab w:leader="none" w:pos="15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1833(b), and other applicable law, nothing in this Agreement or any other agreement or policy shall prohibit Employee from, or expose Employee to criminal or civil liability under federal or state trade secret law for: (i) filing a charge or complaint with, communicating with, participating in any investigation or proceeding that may be conducted by, or otherwise directly or indirectly sharing any Company Entity’s trade secrets or other Confidential Information (except information protected by any Company Entity’s attorney-client or work product privilege) with an attorney or with any federal, state, or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371" w:right="359" w:bottom="1440" w:gutter="0" w:footer="0" w:header="0"/>
        </w:sectPr>
      </w:pPr>
    </w:p>
    <w:bookmarkStart w:id="126" w:name="page127"/>
    <w:bookmarkEnd w:id="126"/>
    <w:p>
      <w:pPr>
        <w:spacing w:after="0" w:line="217" w:lineRule="auto"/>
        <w:rPr>
          <w:sz w:val="20"/>
          <w:szCs w:val="20"/>
          <w:color w:val="auto"/>
        </w:rPr>
      </w:pPr>
      <w:r>
        <w:rPr>
          <w:rFonts w:ascii="Times New Roman" w:cs="Times New Roman" w:eastAsia="Times New Roman" w:hAnsi="Times New Roman"/>
          <w:sz w:val="21"/>
          <w:szCs w:val="21"/>
          <w:color w:val="auto"/>
        </w:rPr>
        <w:t>government agencies, regulators, or officials, for the purpose of investigating or reporting a suspected violation of law (including but not limited to a whistleblower retaliation claim), whether in response to a subpoena or otherwise, without notice to the Company Entities; (ii) disclosing trade secrets in a complaint or other document filed in connection with a legal claim (including but not limited to a whistleblower retaliation claim), provided that the filing is made under seal, and any trade secret information is only disclosed pursuant to court order; (iii) discussing or disclosing information related to Employee’s general job duties or responsibilities and/or regarding Employee wages, as defined by applicable law; and/or (iv) in any way participating in any action seeking to rectify or address sexual harassment or other illegal conduct, or from making such good faith based allegations relating to sexual harassment, harassment, discrimination, or any other conduct prohibited by law, in accordance with the terms of this Agreement.</w:t>
      </w:r>
    </w:p>
    <w:p>
      <w:pPr>
        <w:spacing w:after="0" w:line="153"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1"/>
          <w:szCs w:val="21"/>
          <w:i w:val="1"/>
          <w:iCs w:val="1"/>
          <w:color w:val="auto"/>
        </w:rPr>
        <w:t>Legal Process; Cooperation</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right="40" w:firstLine="1272"/>
        <w:spacing w:after="0" w:line="219" w:lineRule="auto"/>
        <w:rPr>
          <w:sz w:val="20"/>
          <w:szCs w:val="20"/>
          <w:color w:val="auto"/>
        </w:rPr>
      </w:pPr>
      <w:r>
        <w:rPr>
          <w:rFonts w:ascii="Times New Roman" w:cs="Times New Roman" w:eastAsia="Times New Roman" w:hAnsi="Times New Roman"/>
          <w:sz w:val="21"/>
          <w:szCs w:val="21"/>
          <w:color w:val="auto"/>
        </w:rPr>
        <w:t>2.1 Except as provided in Paragraph 1, Employee agrees that in the event he or she is served with a subpoena, document request, interrogatory, or any other legal process that will or may require Employee to disclose any Confidential Information, whether during Employee’s employment or thereafter, Employee will immediately notify the General Counsel of the Company of such fact, in writing, and provide a copy of such subpoena, document request, interrogatory, or other legal process, and shall thereafter cooperate with the Company in any lawful response to such subpoena, document request, interrogatory, or legal process as the Company may request, unless such subpoena, document request, interrogatory, or other legal process (a) is from a court or governmental agency, and (b) explicitly prohibits Employee from doing so.</w:t>
      </w:r>
    </w:p>
    <w:p>
      <w:pPr>
        <w:spacing w:after="0" w:line="154" w:lineRule="exact"/>
        <w:rPr>
          <w:sz w:val="20"/>
          <w:szCs w:val="20"/>
          <w:color w:val="auto"/>
        </w:rPr>
      </w:pPr>
    </w:p>
    <w:p>
      <w:pPr>
        <w:ind w:firstLine="1272"/>
        <w:spacing w:after="0" w:line="216" w:lineRule="auto"/>
        <w:rPr>
          <w:sz w:val="20"/>
          <w:szCs w:val="20"/>
          <w:color w:val="auto"/>
        </w:rPr>
      </w:pPr>
      <w:r>
        <w:rPr>
          <w:rFonts w:ascii="Times New Roman" w:cs="Times New Roman" w:eastAsia="Times New Roman" w:hAnsi="Times New Roman"/>
          <w:sz w:val="21"/>
          <w:szCs w:val="21"/>
          <w:color w:val="auto"/>
        </w:rPr>
        <w:t>2.2 Employee agrees that during Employee’s employment with the Company and thereafter (regardless of whether Employee resigns or is terminated, or the reason for such resignation or termination), Employee shall provide reasonable and timely cooperation, without additional compensation, in connection with (i) any actual or threatened litigation, inquiry, review, investigation, process, or other matter, action, or proceeding (whether conducted by or before any court, regulatory, or governmental entity, or by or on behalf of any Company Party), that relates to events occurring during Employee’s employment at the Company or about which the Company otherwise believes Employee may have relevant information; (ii) the transitioning of Employee’s role and responsibilities to other personnel; and (iii) the provision of information in response to the Company’s requests and inquiries in connection with Employee’s separation. Employee’s cooperation shall include being available to (x) meet with and provide information to the Company Parties and their counsel or other agents in connection with fact-finding, investigatory, discovery, and/or pre-litigation or other proceeding issues, and (y) provide testimony in connection with any such matter, all without the requirement of being subpoenaed. The Company shall try to schedule Employee’s cooperation pursuant to this Paragraph 2.2 so as not to unduly interfere with Employee’s other personal or professional pursuits.</w:t>
      </w:r>
    </w:p>
    <w:p>
      <w:pPr>
        <w:spacing w:after="0" w:line="146" w:lineRule="exact"/>
        <w:rPr>
          <w:sz w:val="20"/>
          <w:szCs w:val="20"/>
          <w:color w:val="auto"/>
        </w:rPr>
      </w:pPr>
    </w:p>
    <w:p>
      <w:pPr>
        <w:ind w:right="60" w:firstLine="1272"/>
        <w:spacing w:after="0"/>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color w:val="auto"/>
        </w:rPr>
        <w:t>Company Property</w:t>
      </w:r>
      <w:r>
        <w:rPr>
          <w:rFonts w:ascii="Times New Roman" w:cs="Times New Roman" w:eastAsia="Times New Roman" w:hAnsi="Times New Roman"/>
          <w:sz w:val="21"/>
          <w:szCs w:val="21"/>
          <w:color w:val="auto"/>
        </w:rPr>
        <w:t>. Employee agrees and acknowledges that “</w:t>
      </w: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 shall mean all property and resources of the Company Parties or any Company Party, including without limitation, Confidential Information, each Company Party’s products, each Company Party’s computer systems and all software, e-mail and databases, telephone and facsimile services and all other administrative and/or support services provided by the Company Parties. Employee further agrees that “Company Property” shall also include any information regarding processes, data, methods, information or other inventions, developments or improvements that Employee conceives, originates develops or creates, solely or jointly with others, during or as a result of Employee’s employment with the Company, and whether or not any of the foregoing also may be included within “Confidential Information” as defined under this Agreement. Upon termination of Employee’s employment (for any reason), or at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1" w:right="339" w:bottom="1440" w:gutter="0" w:footer="0" w:header="0"/>
        </w:sectPr>
      </w:pPr>
    </w:p>
    <w:bookmarkStart w:id="127" w:name="page128"/>
    <w:bookmarkEnd w:id="127"/>
    <w:p>
      <w:pPr>
        <w:spacing w:after="0" w:line="223" w:lineRule="auto"/>
        <w:rPr>
          <w:sz w:val="20"/>
          <w:szCs w:val="20"/>
          <w:color w:val="auto"/>
        </w:rPr>
      </w:pPr>
      <w:r>
        <w:rPr>
          <w:rFonts w:ascii="Times New Roman" w:cs="Times New Roman" w:eastAsia="Times New Roman" w:hAnsi="Times New Roman"/>
          <w:sz w:val="21"/>
          <w:szCs w:val="21"/>
          <w:color w:val="auto"/>
        </w:rPr>
        <w:t>time as the Company so requests, Employee agrees to deliver to the Company (and not retain any copies of) all property, proprietary materials, Confidential Information, documents, and computer media in any form (and all copies thereof) relating or belonging to any Company Party, including but not limited to all Company Property. Employee will permanently destroy and will not reproduce or appropriate for Employee’s own use, or for the use of others, any property (including but not limited to Work Product) of the Company or any Confidential Information or documents containing information related to Work Product.</w:t>
      </w:r>
    </w:p>
    <w:p>
      <w:pPr>
        <w:spacing w:after="0" w:line="148"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i w:val="1"/>
          <w:iCs w:val="1"/>
          <w:color w:val="auto"/>
        </w:rPr>
        <w:t>Work Product</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firstLine="1272"/>
        <w:spacing w:after="0" w:line="213" w:lineRule="auto"/>
        <w:rPr>
          <w:sz w:val="20"/>
          <w:szCs w:val="20"/>
          <w:color w:val="auto"/>
        </w:rPr>
      </w:pPr>
      <w:r>
        <w:rPr>
          <w:rFonts w:ascii="Times New Roman" w:cs="Times New Roman" w:eastAsia="Times New Roman" w:hAnsi="Times New Roman"/>
          <w:sz w:val="21"/>
          <w:szCs w:val="21"/>
          <w:color w:val="auto"/>
        </w:rPr>
        <w:t>1.1 Employee agrees that any and all trade secrets, mask works, ideas, developments, improvements, inventions, discoveries, creations, formulae, algorithms, source and object code, data, processes, systems, interfaces, protocols, concepts, programs, products, risk management tools, methods, designs, and works of authorship, and any and all documents, information (including Confidential Information), or things relating thereto, whether patentable or not, within the scope of or pertinent to any business, research, or development in which the Company or any other Company Entity has been or is engaged or (if such is known to or ascertainable by Employee) considering engaging, which Employee has or may conceive, make, author, create, invent, develop, or reduce to practice, in whole or in part, during Employee’s employment with the Company or affiliation with any of the Company Parties, whether alone or working with others, whether during or outside of normal working hours, whether inside or outside of the Company’s offices, and whether with or without the use of the Company’s computers, systems, materials, equipment, or other property, shall be and remain the sole and exclusive property of the Company (the foregoing, individually and collectively, “</w:t>
      </w:r>
      <w:r>
        <w:rPr>
          <w:rFonts w:ascii="Times New Roman" w:cs="Times New Roman" w:eastAsia="Times New Roman" w:hAnsi="Times New Roman"/>
          <w:sz w:val="21"/>
          <w:szCs w:val="21"/>
          <w:u w:val="single" w:color="auto"/>
          <w:color w:val="auto"/>
        </w:rPr>
        <w:t>Work Product</w:t>
      </w:r>
      <w:r>
        <w:rPr>
          <w:rFonts w:ascii="Times New Roman" w:cs="Times New Roman" w:eastAsia="Times New Roman" w:hAnsi="Times New Roman"/>
          <w:sz w:val="21"/>
          <w:szCs w:val="21"/>
          <w:color w:val="auto"/>
        </w:rPr>
        <w:t>”). To the maximum extent allowable by law, any Work Product subject to copyright protection shall be considered “works made for hire” for the Company under U.S. copyright law. To the extent that any Work Product that is subject to copyright protection is not considered a work made for hire, or to the extent that Employee otherwise has or retains any ownership or other rights in any Work Product (or any intellectual property rights therein) anywhere in the world, Employee hereby assigns and transfers (and agrees to assign in the future, when such inventions, Work Product, or proprietary rights are first reduced to practice or first fixed in a tangible medium, as applicable) to the Company all such rights, title, and interest in and to Work Product and other Confidential Information of the Company including the trade secret, patent, copyright mask work, and other intellectual property rights therein or “moral rights” throughout the world, together with all national, foreign and state registrations, applications for registration and all renewals and extensions thereof (including, without limitation, any provisionals, continuations, continuations-in-art, divisionals, reissues, substitutions, reexaminations), all goodwill associated therewith and all benefits, privileges, causes of action and remedies relating to any of the foregoing, whether before or hereafter accrued (including, without limitation, the exclusive rights to apply for and maintain all such registrations, renewals and extensions; to sue for all past, present and future infringements or other violations of any rights relating thereto; and to settle and retain proceeds from any such actions), effective automatically as and when such Work Product is conceived, made, authored, created, invented, developed, or reduced to practice. The Company shall have the full worldwide right to use, assign, license, and/or transfer all rights in, with, to, or relating to Work Product (and all intellectual property rights therein). To the extent any of Employee’s rights in Work Product are not assignable or waivable, Employee hereby grants the Company a perpetual, irrevocable, worldwide, fully-paid, exclusive license to use and exercise such rights in any manner whatsoever.</w:t>
      </w:r>
    </w:p>
    <w:p>
      <w:pPr>
        <w:spacing w:after="0" w:line="147" w:lineRule="exact"/>
        <w:rPr>
          <w:sz w:val="20"/>
          <w:szCs w:val="20"/>
          <w:color w:val="auto"/>
        </w:rPr>
      </w:pPr>
    </w:p>
    <w:p>
      <w:pPr>
        <w:ind w:right="400" w:firstLine="1272"/>
        <w:spacing w:after="0" w:line="226" w:lineRule="auto"/>
        <w:rPr>
          <w:sz w:val="20"/>
          <w:szCs w:val="20"/>
          <w:color w:val="auto"/>
        </w:rPr>
      </w:pPr>
      <w:r>
        <w:rPr>
          <w:rFonts w:ascii="Times New Roman" w:cs="Times New Roman" w:eastAsia="Times New Roman" w:hAnsi="Times New Roman"/>
          <w:sz w:val="21"/>
          <w:szCs w:val="21"/>
          <w:color w:val="auto"/>
        </w:rPr>
        <w:t>1.2 The laws of some states prohibit the assignment of certain invention rights (e.g., California Labor Code § 2870; Delaware Code Title 19 § 805; Illinois 765 ILCS 1060/1-3; Kansas Stat. Ann. § 44-130; Minnesota Stat. 13A, § 181.78; North Carolina Gen. Stat. Art. 10A, § 66-57.1; Utah Stat. § 34-39-1 through 34-39-3; Washington RCW 49.44.140). This Agreement shall be construed so that it complies with all such applicable laws. To that end,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1" w:right="339" w:bottom="1440" w:gutter="0" w:footer="0" w:header="0"/>
        </w:sectPr>
      </w:pPr>
    </w:p>
    <w:bookmarkStart w:id="128" w:name="page129"/>
    <w:bookmarkEnd w:id="128"/>
    <w:p>
      <w:pPr>
        <w:ind w:right="60"/>
        <w:spacing w:after="0" w:line="218" w:lineRule="auto"/>
        <w:rPr>
          <w:sz w:val="20"/>
          <w:szCs w:val="20"/>
          <w:color w:val="auto"/>
        </w:rPr>
      </w:pPr>
      <w:r>
        <w:rPr>
          <w:rFonts w:ascii="Times New Roman" w:cs="Times New Roman" w:eastAsia="Times New Roman" w:hAnsi="Times New Roman"/>
          <w:sz w:val="21"/>
          <w:szCs w:val="21"/>
          <w:color w:val="auto"/>
        </w:rPr>
        <w:t xml:space="preserve">applicable state law requires it, Company provides Employee with the following notice related to Work Product: </w:t>
      </w:r>
      <w:r>
        <w:rPr>
          <w:rFonts w:ascii="Times New Roman" w:cs="Times New Roman" w:eastAsia="Times New Roman" w:hAnsi="Times New Roman"/>
          <w:sz w:val="21"/>
          <w:szCs w:val="21"/>
          <w:b w:val="1"/>
          <w:bCs w:val="1"/>
          <w:color w:val="auto"/>
        </w:rPr>
        <w:t>NOTICE: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 does not apply to an invention for which no equipment, supplies, facility, or trade secret information of the Company was used and which was developed entirely on such employee’s own time, unless (a) the invention relates at the time of conception or reduction to practice (i) to the business of the Company, or (ii) to the Company's actual or demonstrably anticipated research or development, or (b) the invention results from any work that such employee performed for the Company</w:t>
      </w:r>
      <w:r>
        <w:rPr>
          <w:rFonts w:ascii="Times New Roman" w:cs="Times New Roman" w:eastAsia="Times New Roman" w:hAnsi="Times New Roman"/>
          <w:sz w:val="21"/>
          <w:szCs w:val="21"/>
          <w:color w:val="auto"/>
        </w:rPr>
        <w:t>. If the state law that applies provides greater invention rights to Employee than as described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notice, those greater rights will apply to Employee inventions. Employee agrees, understands and acknowledges that nothing in this Agreement is intended to expand the scope of protection regarding invention rights that is provided to Employee by applicable law.</w:t>
      </w:r>
    </w:p>
    <w:p>
      <w:pPr>
        <w:spacing w:after="0" w:line="150" w:lineRule="exact"/>
        <w:rPr>
          <w:sz w:val="20"/>
          <w:szCs w:val="20"/>
          <w:color w:val="auto"/>
        </w:rPr>
      </w:pPr>
    </w:p>
    <w:p>
      <w:pPr>
        <w:ind w:right="20" w:firstLine="1272"/>
        <w:spacing w:after="0" w:line="214" w:lineRule="auto"/>
        <w:rPr>
          <w:sz w:val="20"/>
          <w:szCs w:val="20"/>
          <w:color w:val="auto"/>
        </w:rPr>
      </w:pPr>
      <w:r>
        <w:rPr>
          <w:rFonts w:ascii="Times New Roman" w:cs="Times New Roman" w:eastAsia="Times New Roman" w:hAnsi="Times New Roman"/>
          <w:sz w:val="21"/>
          <w:szCs w:val="21"/>
          <w:color w:val="auto"/>
        </w:rPr>
        <w:t>1.3 Any inventions, if any, patented or unpatented, which Employee made prior to the commencement of employment with the Company are excluded from the scope of this Agreement and “Work Product”. To preclude any possible uncertainty, Employee has set forth on Appendix A (Prior Inventions) attached hereto a complete list of all inventions that Employee has, alone or jointly with others, conceived, developed or reduced to practice or caused to be conceived, developed or reduced to practice prior to the commencement of Employee’s employment with the Company, that Employee considers to be Employee property or the property of third parties and that Employee wishes to have excluded from the scope of this Agreement (collectively referred to as “Prior Inventions”). If disclosure of any such Prior Invention would cause Employee to violate any prior confidentiality agreement, Employee understands that Employee should not list such Prior Inventions in Appendix A but can disclose a cursory name for each such Prior Invention, a listing of the party or parties to which it belongs and the fact that full disclosure as to such Prior Inventions has not been made for that reason. A space is provided on Appendix A for such purpose. If no such disclosure is attached, Employee represents that there are no Prior Inventions. If, in the course of Employee’s employment with the Company, Employee incorporates a Prior Invention into a product, process or machine of the Company, the Company, as applicable, is hereby granted and will have a nonexclusive, royalty-free, irrevocable, perpetual, worldwide license (with rights to sublicense through multiple tiers of sublicensees) to reproduce, distribute, display, perform (whether publicly or otherwise), prepare derivative works of and otherwise modify, make, have made, sell, offer to sell, import and otherwise use and exploit such Prior Invention. Notwithstanding the foregoing, Employee agrees that they will not incorporate, or permit to be incorporated, Prior Inventions in any Company Inventions, except as authorized in writing by an officer of the Company (other than Employee, if Employee is an officer of the Company).</w:t>
      </w:r>
    </w:p>
    <w:p>
      <w:pPr>
        <w:spacing w:after="0" w:line="152" w:lineRule="exact"/>
        <w:rPr>
          <w:sz w:val="20"/>
          <w:szCs w:val="20"/>
          <w:color w:val="auto"/>
        </w:rPr>
      </w:pPr>
    </w:p>
    <w:p>
      <w:pPr>
        <w:ind w:firstLine="1272"/>
        <w:spacing w:after="0" w:line="217" w:lineRule="auto"/>
        <w:rPr>
          <w:sz w:val="20"/>
          <w:szCs w:val="20"/>
          <w:color w:val="auto"/>
        </w:rPr>
      </w:pPr>
      <w:r>
        <w:rPr>
          <w:rFonts w:ascii="Times New Roman" w:cs="Times New Roman" w:eastAsia="Times New Roman" w:hAnsi="Times New Roman"/>
          <w:sz w:val="21"/>
          <w:szCs w:val="21"/>
          <w:color w:val="auto"/>
        </w:rPr>
        <w:t>1.4 Employee shall, whenever requested to do so by the Company (whether during Employee’s employment or thereafter), execute any and all applications, assignments, and/or other instruments, and do all other things (including cooperating in any matter or giving testimony in any legal proceeding) which the Company may deem necessary or appropriate in order to (i) apply for, obtain, maintain, enforce, or defend patent, trademark, copyright, or similar registrations of the United States or any other country for any Work Product; (ii) assign, transfer, convey, or otherwise make available to the Company any right, title, or interest which Employee might otherwise have in any Work Product; and/or (iii) confirm the Company’s right, title, and interest in any Work Product. Employee shall promptly communicate and disclose all Work Product to the Company and, upon request, report upon and deliver all such Work Product to the Company. Employee shall not use or permit any Work Product to be used for any purpose other than on behalf of the Company Entities, whether during Employee’s employment or thereafter.</w:t>
      </w:r>
    </w:p>
    <w:p>
      <w:pPr>
        <w:spacing w:after="0" w:line="155" w:lineRule="exact"/>
        <w:rPr>
          <w:sz w:val="20"/>
          <w:szCs w:val="20"/>
          <w:color w:val="auto"/>
        </w:rPr>
      </w:pPr>
    </w:p>
    <w:p>
      <w:pPr>
        <w:ind w:right="40" w:firstLine="1272"/>
        <w:spacing w:after="0" w:line="232" w:lineRule="auto"/>
        <w:rPr>
          <w:sz w:val="20"/>
          <w:szCs w:val="20"/>
          <w:color w:val="auto"/>
        </w:rPr>
      </w:pPr>
      <w:r>
        <w:rPr>
          <w:rFonts w:ascii="Times New Roman" w:cs="Times New Roman" w:eastAsia="Times New Roman" w:hAnsi="Times New Roman"/>
          <w:sz w:val="21"/>
          <w:szCs w:val="21"/>
          <w:color w:val="auto"/>
        </w:rPr>
        <w:t>4.1 In the event the Company is unable for any reason, after reasonable effort, to secure Employee’s signature on any document needed in connection with the actions specified in this Paragraph 4, Employee hereby irrevocably designates and appoints the Company and its duly authorized officers and agents as Employee’s agent and attorney in fact, which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367" w:right="359" w:bottom="1440" w:gutter="0" w:footer="0" w:header="0"/>
        </w:sectPr>
      </w:pPr>
    </w:p>
    <w:bookmarkStart w:id="129" w:name="page130"/>
    <w:bookmarkEnd w:id="129"/>
    <w:p>
      <w:pPr>
        <w:spacing w:after="0" w:line="221" w:lineRule="auto"/>
        <w:rPr>
          <w:sz w:val="20"/>
          <w:szCs w:val="20"/>
          <w:color w:val="auto"/>
        </w:rPr>
      </w:pPr>
      <w:r>
        <w:rPr>
          <w:rFonts w:ascii="Times New Roman" w:cs="Times New Roman" w:eastAsia="Times New Roman" w:hAnsi="Times New Roman"/>
          <w:sz w:val="21"/>
          <w:szCs w:val="21"/>
          <w:color w:val="auto"/>
        </w:rPr>
        <w:t>is coupled with an interest, to act for and in Employee’s behalf to execute, verify and file any such documents and to do all other lawfully permitted acts to further the purposes of this Paragraph 4 with the same legal force and effect as if executed, verified or filed by Employee. Employee hereby waives and quitclaims to the Company all of Employee’s individual rights under patent and/or copyright legislation arising in connection with all Work Product and any and all claims, of any nature whatsoever, which Employee now or may hereafter have for infringement or misappropriation of any proprietary rights assigned under this Agreement to the Company.</w:t>
      </w:r>
    </w:p>
    <w:p>
      <w:pPr>
        <w:spacing w:after="0" w:line="148" w:lineRule="exact"/>
        <w:rPr>
          <w:sz w:val="20"/>
          <w:szCs w:val="20"/>
          <w:color w:val="auto"/>
        </w:rPr>
      </w:pPr>
    </w:p>
    <w:p>
      <w:pPr>
        <w:ind w:firstLine="1272"/>
        <w:spacing w:after="0" w:line="214"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color w:val="auto"/>
        </w:rPr>
        <w:t>Non-Solicitation</w:t>
      </w:r>
      <w:r>
        <w:rPr>
          <w:rFonts w:ascii="Times New Roman" w:cs="Times New Roman" w:eastAsia="Times New Roman" w:hAnsi="Times New Roman"/>
          <w:sz w:val="21"/>
          <w:szCs w:val="21"/>
          <w:color w:val="auto"/>
        </w:rPr>
        <w:t>. Employee agrees that during Employee’s employment with the Company and for the twelve (12) month period following the termination of Employee’s employment (regardless of whether Employee resigns or is terminated, or the reason for any such resignation or termination) (the “</w:t>
      </w:r>
      <w:r>
        <w:rPr>
          <w:rFonts w:ascii="Times New Roman" w:cs="Times New Roman" w:eastAsia="Times New Roman" w:hAnsi="Times New Roman"/>
          <w:sz w:val="21"/>
          <w:szCs w:val="21"/>
          <w:u w:val="single" w:color="auto"/>
          <w:color w:val="auto"/>
        </w:rPr>
        <w:t>Non-Solicit Restricted Period</w:t>
      </w:r>
      <w:r>
        <w:rPr>
          <w:rFonts w:ascii="Times New Roman" w:cs="Times New Roman" w:eastAsia="Times New Roman" w:hAnsi="Times New Roman"/>
          <w:sz w:val="21"/>
          <w:szCs w:val="21"/>
          <w:color w:val="auto"/>
        </w:rPr>
        <w:t>”), Employee shall not, without the express written approval of an officer of the Company (which consent may be granted or withheld in the Company’s sole and absolute discretion), whether on behalf of or for the benefit of Employee or any other person or entity, whether as a principal, partner, owner, officer, director, individual, member, consultant, contractor, volunteer, representative, agent, or in any other capacity whatsoever, and whether or not for compensation, directly or indirectly: (i) solicit, induce, or encourage the resignation or termination of, or attempt to solicit, induce, or encourage the resignation or termination of, any employee of any of the Company Parties; (ii) interfere, or attempt to interfere, in any way with the relationship between any of the Company Parties, on the one hand, and any of their respective members, partners, principals, owners, officers, directors, employees, customers, clients, distributors, vendors or suppliers</w:t>
      </w:r>
      <w:r>
        <w:rPr>
          <w:rFonts w:ascii="Times New Roman" w:cs="Times New Roman" w:eastAsia="Times New Roman" w:hAnsi="Times New Roman"/>
          <w:sz w:val="21"/>
          <w:szCs w:val="21"/>
          <w:color w:val="8496B0"/>
        </w:rPr>
        <w:t>,</w:t>
      </w:r>
      <w:r>
        <w:rPr>
          <w:rFonts w:ascii="Times New Roman" w:cs="Times New Roman" w:eastAsia="Times New Roman" w:hAnsi="Times New Roman"/>
          <w:sz w:val="21"/>
          <w:szCs w:val="21"/>
          <w:color w:val="auto"/>
        </w:rPr>
        <w:t xml:space="preserve"> on the other hand; or (iii) solicit, hire, recruit, employ, engage, or retain or allow Employee’s name to be used in connection with the solicitation, hiring, recruiting, employing, engaging, or retention of, any person who as of such date, or at some time during the three (3) months preceding such date, is or was an employee of any of the Company Parties. Notwithstanding the foregoing, nothing contained in this Paragraph 5 or otherwise contained in this Agreement shall be deemed to prohibit Employee from (i) conducting, participating in, or otherwise being aware of any general solicitation not specifically targeted at any employee(s) of the Company Parties and hiring any such employee(s) who responds to such general solicitation, and the same shall not constitute a breach of this Paragraph 5, or (ii) soliciting for employment or hiring any employee of the Company who has been terminated by the Company.</w:t>
      </w:r>
    </w:p>
    <w:p>
      <w:pPr>
        <w:spacing w:after="0" w:line="152" w:lineRule="exact"/>
        <w:rPr>
          <w:sz w:val="20"/>
          <w:szCs w:val="20"/>
          <w:color w:val="auto"/>
        </w:rPr>
      </w:pPr>
    </w:p>
    <w:p>
      <w:pPr>
        <w:ind w:right="40" w:firstLine="1272"/>
        <w:spacing w:after="0" w:line="215"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i w:val="1"/>
          <w:iCs w:val="1"/>
          <w:color w:val="auto"/>
        </w:rPr>
        <w:t>Non-Competition</w:t>
      </w:r>
      <w:r>
        <w:rPr>
          <w:rFonts w:ascii="Times New Roman" w:cs="Times New Roman" w:eastAsia="Times New Roman" w:hAnsi="Times New Roman"/>
          <w:sz w:val="21"/>
          <w:szCs w:val="21"/>
          <w:color w:val="auto"/>
        </w:rPr>
        <w:t>. Employee acknowledges that during the course of Employee’s employment with the Company, its subsidiaries, and affiliates, Employee will become familiar with the Company’s trade secrets and Confidential Information, that Employee will represent, embody, and benefit from the goodwill of the Company in Employee’s dealings with others, and that Employee’s services will be of special, unique, and extraordinary value to the Company, and, therefore, and as a further material inducement for the Company to continue to employ Employee, Employee agrees that during Employee’s employment with the Company and for the six (6) month period following the end of Employee’s employment (regardless of whether Employee resigns or is terminated, or the reason for any such resignation or termination) (the “</w:t>
      </w:r>
      <w:r>
        <w:rPr>
          <w:rFonts w:ascii="Times New Roman" w:cs="Times New Roman" w:eastAsia="Times New Roman" w:hAnsi="Times New Roman"/>
          <w:sz w:val="21"/>
          <w:szCs w:val="21"/>
          <w:u w:val="single" w:color="auto"/>
          <w:color w:val="auto"/>
        </w:rPr>
        <w:t>Non-Competition 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Employee shall not, without the express written approval from the board of directors of the Company in the case of the CEO, or the CEO in the case of any other officer of the Company, directly or indirectly: (i) own any equity or other ownership interest in any Competing Business (as defined below), (ii) manage, operate, finance, or control a Competing Business, (iii) serve in a similar role or function as that which Employee performed for the Company for the twenty-four (24) months immediately preceding Employee’s resignation or termination from the Company (whether prior to the execution of this Agreement or after the execution of this Agreement) for a Competing Business or (iv) engage in duties for, consult with, advise, or provide services or products to a Competing Business; provided, however, that nothing in this Agreement shall preclude Employee from investing Employee’s personal assets in the securities of any Competing Business if such securities are traded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1" w:right="339" w:bottom="1440" w:gutter="0" w:footer="0" w:header="0"/>
        </w:sectPr>
      </w:pPr>
    </w:p>
    <w:bookmarkStart w:id="130" w:name="page131"/>
    <w:bookmarkEnd w:id="130"/>
    <w:p>
      <w:pPr>
        <w:spacing w:after="0" w:line="219" w:lineRule="auto"/>
        <w:rPr>
          <w:sz w:val="20"/>
          <w:szCs w:val="20"/>
          <w:color w:val="auto"/>
        </w:rPr>
      </w:pPr>
      <w:r>
        <w:rPr>
          <w:rFonts w:ascii="Times New Roman" w:cs="Times New Roman" w:eastAsia="Times New Roman" w:hAnsi="Times New Roman"/>
          <w:sz w:val="21"/>
          <w:szCs w:val="21"/>
          <w:color w:val="auto"/>
        </w:rPr>
        <w:t>national stock exchange or in the over-the-counter market and if such investment does not result in Employee beneficially owning, at any time, more than two percent (2%) of such Competing Business. As used in this Agreement, “</w:t>
      </w:r>
      <w:r>
        <w:rPr>
          <w:rFonts w:ascii="Times New Roman" w:cs="Times New Roman" w:eastAsia="Times New Roman" w:hAnsi="Times New Roman"/>
          <w:sz w:val="21"/>
          <w:szCs w:val="21"/>
          <w:u w:val="single" w:color="auto"/>
          <w:color w:val="auto"/>
        </w:rPr>
        <w:t>Competing Business</w:t>
      </w:r>
      <w:r>
        <w:rPr>
          <w:rFonts w:ascii="Times New Roman" w:cs="Times New Roman" w:eastAsia="Times New Roman" w:hAnsi="Times New Roman"/>
          <w:sz w:val="21"/>
          <w:szCs w:val="21"/>
          <w:color w:val="auto"/>
        </w:rPr>
        <w:t>” means any business that is engaged in direct competition with the Company for the provision of services, technology, and solutions to the oil and gas industry that are the same or substantially similar to those then being provided by the Company; provided that Employee shall be restricted from engaging in any of the foregoing activities only to the extent reasonably necessary to protect the legitimate business interests of the Company Entities, including customer goodwill, trade secrets, other Confidential Information, and the Company Entities’ relationship with customers, clients, and investors.</w:t>
      </w:r>
    </w:p>
    <w:p>
      <w:pPr>
        <w:spacing w:after="0" w:line="152" w:lineRule="exact"/>
        <w:rPr>
          <w:sz w:val="20"/>
          <w:szCs w:val="20"/>
          <w:color w:val="auto"/>
        </w:rPr>
      </w:pPr>
    </w:p>
    <w:p>
      <w:pPr>
        <w:ind w:firstLine="1272"/>
        <w:spacing w:after="0" w:line="212"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i w:val="1"/>
          <w:iCs w:val="1"/>
          <w:color w:val="auto"/>
        </w:rPr>
        <w:t>Non-Disparagement; Non-Publicity</w:t>
      </w:r>
      <w:r>
        <w:rPr>
          <w:rFonts w:ascii="Times New Roman" w:cs="Times New Roman" w:eastAsia="Times New Roman" w:hAnsi="Times New Roman"/>
          <w:sz w:val="21"/>
          <w:szCs w:val="21"/>
          <w:color w:val="auto"/>
        </w:rPr>
        <w:t>. Except as provided in Paragraph 1 above, Employee agrees that, both during and after Employees’ employment, (a) Employee will not directly or indirectly, make, publish, encourage, ratify, or authorize, or aid, assist, or direct any other person or entity in making or publishing, any statements that in any way defame, criticize, malign, impugn, reflect negatively on, or disparage any Company Party, or place any Company Party in a negative light, in any manner whatsoever; and (b) absent the explicit written approval of an officer of the Company, Employee will not (i) comment upon or discuss any of the Company Parties (whether disparagingly or otherwise) on any Media (as defined below); (ii) make any statement, posting, or other communication in, on, to or through any media (whether print, television, radio, the internet, social media, or with or through any reporter, blogger, “app” (such as Instagram, Snapchat, or the like), or otherwise, collectively “</w:t>
      </w:r>
      <w:r>
        <w:rPr>
          <w:rFonts w:ascii="Times New Roman" w:cs="Times New Roman" w:eastAsia="Times New Roman" w:hAnsi="Times New Roman"/>
          <w:sz w:val="21"/>
          <w:szCs w:val="21"/>
          <w:u w:val="single" w:color="auto"/>
          <w:color w:val="auto"/>
        </w:rPr>
        <w:t>Media</w:t>
      </w:r>
      <w:r>
        <w:rPr>
          <w:rFonts w:ascii="Times New Roman" w:cs="Times New Roman" w:eastAsia="Times New Roman" w:hAnsi="Times New Roman"/>
          <w:sz w:val="21"/>
          <w:szCs w:val="21"/>
          <w:color w:val="auto"/>
        </w:rPr>
        <w:t>”) that purports to be on behalf of any Company Party, or which a third party may perceive (A) has been authorized, approved, or endorsed by a Company Party or (B) reflects the views of any Company Party; (iii) share, post, transmit, or upload any material related to any of the Company Parties (regardless of whether such comments, statements, or material are disparaging) with, to, through, or on any Media; (iv) utilize Employee’s Company email account on any Media or for any other non-work purpose, (v) utilize any Company Party’s logo, graphics, trade names, or trademarks on any Media or for any other purpose; (vi) provide any Company Party’s promotional material to any Media outlet; or (vii) aid, assist, or direct any other person or entity to do any of the foregoing. Nothing contained in this Paragraph 7 shall (i) preclude Employee from enforcing his/her rights under this Agreement,</w:t>
      </w:r>
    </w:p>
    <w:p>
      <w:pPr>
        <w:spacing w:after="0" w:line="6" w:lineRule="exact"/>
        <w:rPr>
          <w:sz w:val="20"/>
          <w:szCs w:val="20"/>
          <w:color w:val="auto"/>
        </w:rPr>
      </w:pPr>
    </w:p>
    <w:p>
      <w:pPr>
        <w:ind w:right="120" w:firstLine="6"/>
        <w:spacing w:after="0" w:line="218" w:lineRule="auto"/>
        <w:tabs>
          <w:tab w:leader="none" w:pos="31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 or impede Employee from exercising protected rights to the extent that such rights cannot be waived by agreement, (iii) restrict or impede Employee from complying with any applicable law or regulation or a valid order of a court of competent jurisdiction or an authorized government agency, provided that such compliance does not exceed that required by the law, regulation, or order, or (iv) restrict or impede Employee from truthfully testifying in response to a legal process or governmental inquiry.</w:t>
      </w:r>
    </w:p>
    <w:p>
      <w:pPr>
        <w:spacing w:after="0" w:line="149" w:lineRule="exact"/>
        <w:rPr>
          <w:sz w:val="20"/>
          <w:szCs w:val="20"/>
          <w:color w:val="auto"/>
        </w:rPr>
      </w:pPr>
    </w:p>
    <w:p>
      <w:pPr>
        <w:ind w:right="120" w:firstLine="1272"/>
        <w:spacing w:after="0" w:line="218"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i w:val="1"/>
          <w:iCs w:val="1"/>
          <w:color w:val="auto"/>
        </w:rPr>
        <w:t>Reasonableness/Tolling</w:t>
      </w:r>
      <w:r>
        <w:rPr>
          <w:rFonts w:ascii="Times New Roman" w:cs="Times New Roman" w:eastAsia="Times New Roman" w:hAnsi="Times New Roman"/>
          <w:sz w:val="21"/>
          <w:szCs w:val="21"/>
          <w:color w:val="auto"/>
        </w:rPr>
        <w:t>. Employee acknowledges that the restrictions set forth in Paragraphs 1 through 7 of this Agreement are fair and reasonable, and will not prevent Employee from earning a livelihood after leaving the Company’s employ. Employee recognizes that these restrictions are appropriate based on the nature of the services Employee will render, the access to the Company’s Confidential Information that Employee will enjoy, the access to the Company’s investors that Employee will have as a result of Employee’s employment and position with the Company, and the risk of unfair competition that the Company will face absent such restrictions. Employee agrees that should Employee breach any of the provisions of Paragraphs 5 and/or 6, above, the running of the Non-Solicit Restricted Period and/or the Non-Competition Restricted Period shall be tolled during the period of such breach; provided that the tolling of the Non-Competition Restricted Period shall not exceed twelve (12) months.</w:t>
      </w:r>
    </w:p>
    <w:p>
      <w:pPr>
        <w:spacing w:after="0" w:line="146" w:lineRule="exact"/>
        <w:rPr>
          <w:sz w:val="20"/>
          <w:szCs w:val="20"/>
          <w:color w:val="auto"/>
        </w:rPr>
      </w:pPr>
    </w:p>
    <w:p>
      <w:pPr>
        <w:ind w:right="160" w:firstLine="1272"/>
        <w:spacing w:after="0" w:line="232"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i w:val="1"/>
          <w:iCs w:val="1"/>
          <w:color w:val="auto"/>
        </w:rPr>
        <w:t>Remedy for Breach</w:t>
      </w:r>
      <w:r>
        <w:rPr>
          <w:rFonts w:ascii="Times New Roman" w:cs="Times New Roman" w:eastAsia="Times New Roman" w:hAnsi="Times New Roman"/>
          <w:sz w:val="21"/>
          <w:szCs w:val="21"/>
          <w:color w:val="auto"/>
        </w:rPr>
        <w:t>. Employee agrees that Employee’s breach or threatened breach of any of the restrictions set forth in Paragraphs 1 through 7 of this Agreement will result in irreparable and continuing damage to the Company for which there is no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371" w:right="359" w:bottom="1440" w:gutter="0" w:footer="0" w:header="0"/>
        </w:sectPr>
      </w:pPr>
    </w:p>
    <w:bookmarkStart w:id="131" w:name="page132"/>
    <w:bookmarkEnd w:id="131"/>
    <w:p>
      <w:pPr>
        <w:spacing w:after="0" w:line="216" w:lineRule="auto"/>
        <w:rPr>
          <w:sz w:val="20"/>
          <w:szCs w:val="20"/>
          <w:color w:val="auto"/>
        </w:rPr>
      </w:pPr>
      <w:r>
        <w:rPr>
          <w:rFonts w:ascii="Times New Roman" w:cs="Times New Roman" w:eastAsia="Times New Roman" w:hAnsi="Times New Roman"/>
          <w:sz w:val="21"/>
          <w:szCs w:val="21"/>
          <w:color w:val="auto"/>
        </w:rPr>
        <w:t>remedy at law. Thus, in addition to the Company’s right to arbitrate disputes hereunder (as set forth in Paragraph 10, below), the Company and the Company Parties shall be entitled to obtain emergency equitable relief, including a temporary restraining order and/or preliminary injunction from any state or federal court of competent jurisdiction, without first posting a bond, to restrain any such breach or threatened breach. Employee agrees such suit for equitable relief may be brought in U.S. state and federal courts located in Harris County, Texas for any and all such claims. Employee agrees that venue and personal jurisdiction in such location is proper. Employee specifically consents to the jurisdiction and venue of such courts for the purpose of any proceeding brought to enforce this Agreement. Employee expressly waives any claim that such jurisdiction is an inconvenient or inappropriate forum. Upon the issuance (or denial) of an injunction, the underlying merits of any dispute will be resolved in accordance with the arbitration provisions of Paragraph 10 of this Agreement. The relief described in this Paragraph 9 shall be in addition to any and all other remedies, including damages, available to the Company and the Company Parties against Employee for such breaches or threatened breaches.</w:t>
      </w:r>
    </w:p>
    <w:p>
      <w:pPr>
        <w:spacing w:after="0" w:line="151"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10.</w:t>
      </w:r>
      <w:r>
        <w:rPr>
          <w:sz w:val="20"/>
          <w:szCs w:val="20"/>
          <w:color w:val="auto"/>
        </w:rPr>
        <w:tab/>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right="20" w:firstLine="1272"/>
        <w:spacing w:after="0" w:line="213" w:lineRule="auto"/>
        <w:rPr>
          <w:sz w:val="20"/>
          <w:szCs w:val="20"/>
          <w:color w:val="auto"/>
        </w:rPr>
      </w:pPr>
      <w:r>
        <w:rPr>
          <w:rFonts w:ascii="Times New Roman" w:cs="Times New Roman" w:eastAsia="Times New Roman" w:hAnsi="Times New Roman"/>
          <w:sz w:val="21"/>
          <w:szCs w:val="21"/>
          <w:color w:val="auto"/>
        </w:rPr>
        <w:t>10.1 Except as provided in Paragraph 9 of this Agreement, the Parties irrevocably and unconditionally agree that any past, present, or future dispute, controversy, or claim arising under or relating to (i) Employees’ employment or the termination thereof, (ii) this Agreement, (iii) any employment or other agreement between Employee and any Company Party, (iv) any federal, state, local, or foreign statute, regulation, law, ordinance, or the common law (including but not limited to any law prohibiting discrimination); involving Employee, on the one hand, and any of the Company Parties, on the other hand, including both claims brought by Employee and claims brought against Employee, shall be governed by the Federal Arbitration Act (“</w:t>
      </w:r>
      <w:r>
        <w:rPr>
          <w:rFonts w:ascii="Times New Roman" w:cs="Times New Roman" w:eastAsia="Times New Roman" w:hAnsi="Times New Roman"/>
          <w:sz w:val="21"/>
          <w:szCs w:val="21"/>
          <w:u w:val="single" w:color="auto"/>
          <w:color w:val="auto"/>
        </w:rPr>
        <w:t>FAA</w:t>
      </w:r>
      <w:r>
        <w:rPr>
          <w:rFonts w:ascii="Times New Roman" w:cs="Times New Roman" w:eastAsia="Times New Roman" w:hAnsi="Times New Roman"/>
          <w:sz w:val="21"/>
          <w:szCs w:val="21"/>
          <w:color w:val="auto"/>
        </w:rPr>
        <w:t>”) and submitted to binding arbitration before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for resolution. The Parties further agree that any claims will be adjudicated on an individual basis, and each waives the right to participate in a class, collective, representative, Private Attorney General Act, or other joint action with respect to the claims. The Parties further agree that the arbitrator may not consolidate more than one person’s claims and may not otherwise preside over any form of a representative or class proceeding, and that claims pertaining to different employees shall be heard in separate proceedings. Such arbitration shall be conducted in accordance with AAA’s Employment Arbitration Rules and Procedures.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Employment Arbitrators. Such arbitration shall be conducted in Houston, Texas, and the arbitrators shall apply Texas law, including federal statutory law as applied in Texas courts. Except as set forth in Paragraph 9 above,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Paragraph 10.1 is void or voidable. The arbitrators shall issue their written decision (including a statement of finding of facts and the reasons for the award) within 30 days from the date of the close of the arbitration hearing, or as soon as reasonably practicable. Except as otherwise provided herein, the Parties shall treat any arbitration as strictly confidential, and shall not disclose the existence or nature of any claim or defense, unless required by applicable law (including public disclosures under applicable securities laws); any documents, correspondence, pleadings, briefing, exhibits, or information exchanged or presented in connection with any claim or defense; or any rulings, decisions, or results of any claim, defense, or argument (collectively, “</w:t>
      </w:r>
      <w:r>
        <w:rPr>
          <w:rFonts w:ascii="Times New Roman" w:cs="Times New Roman" w:eastAsia="Times New Roman" w:hAnsi="Times New Roman"/>
          <w:sz w:val="21"/>
          <w:szCs w:val="21"/>
          <w:u w:val="single" w:color="auto"/>
          <w:color w:val="auto"/>
        </w:rPr>
        <w:t>Arbitration Materials</w:t>
      </w:r>
      <w:r>
        <w:rPr>
          <w:rFonts w:ascii="Times New Roman" w:cs="Times New Roman" w:eastAsia="Times New Roman" w:hAnsi="Times New Roman"/>
          <w:sz w:val="21"/>
          <w:szCs w:val="21"/>
          <w:color w:val="auto"/>
        </w:rPr>
        <w:t>”) to any third party, with the exception of the Parties’ legal counsel, spouses and/or tax advisors or such other similar consultants (who the applicable Party shall ensure complies with these confidentiality terms). Except as provided in Paragraph 10.3 below, the arbitrators shall not have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1" w:right="339" w:bottom="1440" w:gutter="0" w:footer="0" w:header="0"/>
        </w:sectPr>
      </w:pPr>
    </w:p>
    <w:bookmarkStart w:id="132" w:name="page133"/>
    <w:bookmarkEnd w:id="132"/>
    <w:p>
      <w:pPr>
        <w:ind w:right="120"/>
        <w:spacing w:after="0" w:line="218" w:lineRule="auto"/>
        <w:rPr>
          <w:sz w:val="20"/>
          <w:szCs w:val="20"/>
          <w:color w:val="auto"/>
        </w:rPr>
      </w:pPr>
      <w:r>
        <w:rPr>
          <w:rFonts w:ascii="Times New Roman" w:cs="Times New Roman" w:eastAsia="Times New Roman" w:hAnsi="Times New Roman"/>
          <w:sz w:val="21"/>
          <w:szCs w:val="21"/>
          <w:color w:val="auto"/>
        </w:rPr>
        <w:t xml:space="preserve">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w:t>
      </w:r>
      <w:r>
        <w:rPr>
          <w:rFonts w:ascii="Times New Roman" w:cs="Times New Roman" w:eastAsia="Times New Roman" w:hAnsi="Times New Roman"/>
          <w:sz w:val="21"/>
          <w:szCs w:val="21"/>
          <w:b w:val="1"/>
          <w:bCs w:val="1"/>
          <w:color w:val="auto"/>
        </w:rPr>
        <w:t>IN AGREEING TO ARBITRATE THEIR CLAIMS</w:t>
      </w:r>
    </w:p>
    <w:p>
      <w:pPr>
        <w:spacing w:after="0" w:line="2"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1"/>
          <w:szCs w:val="21"/>
          <w:b w:val="1"/>
          <w:bCs w:val="1"/>
          <w:color w:val="auto"/>
        </w:rPr>
        <w:t>HEREUNDER, THE PARTIES HEREBY RECOGNIZE AND AGREE THAT THEY ARE WAIVING THEIR RIGHT TO A TRIAL IN COURT AND/OR BY A JURY.</w:t>
      </w:r>
    </w:p>
    <w:p>
      <w:pPr>
        <w:spacing w:after="0" w:line="147" w:lineRule="exact"/>
        <w:rPr>
          <w:sz w:val="20"/>
          <w:szCs w:val="20"/>
          <w:color w:val="auto"/>
        </w:rPr>
      </w:pPr>
    </w:p>
    <w:p>
      <w:pPr>
        <w:ind w:firstLine="1272"/>
        <w:spacing w:after="0" w:line="218" w:lineRule="auto"/>
        <w:rPr>
          <w:sz w:val="20"/>
          <w:szCs w:val="20"/>
          <w:color w:val="auto"/>
        </w:rPr>
      </w:pPr>
      <w:r>
        <w:rPr>
          <w:rFonts w:ascii="Times New Roman" w:cs="Times New Roman" w:eastAsia="Times New Roman" w:hAnsi="Times New Roman"/>
          <w:sz w:val="21"/>
          <w:szCs w:val="21"/>
          <w:color w:val="auto"/>
        </w:rPr>
        <w:t>10.2 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(and/or any proceeding under Paragraph 9, above),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53" w:lineRule="exact"/>
        <w:rPr>
          <w:sz w:val="20"/>
          <w:szCs w:val="20"/>
          <w:color w:val="auto"/>
        </w:rPr>
      </w:pPr>
    </w:p>
    <w:p>
      <w:pPr>
        <w:ind w:right="120" w:firstLine="1272"/>
        <w:spacing w:after="0" w:line="226" w:lineRule="auto"/>
        <w:rPr>
          <w:sz w:val="20"/>
          <w:szCs w:val="20"/>
          <w:color w:val="auto"/>
        </w:rPr>
      </w:pPr>
      <w:r>
        <w:rPr>
          <w:rFonts w:ascii="Times New Roman" w:cs="Times New Roman" w:eastAsia="Times New Roman" w:hAnsi="Times New Roman"/>
          <w:sz w:val="21"/>
          <w:szCs w:val="21"/>
          <w:color w:val="auto"/>
        </w:rPr>
        <w:t>10.3 Employee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48" w:lineRule="exact"/>
        <w:rPr>
          <w:sz w:val="20"/>
          <w:szCs w:val="20"/>
          <w:color w:val="auto"/>
        </w:rPr>
      </w:pPr>
    </w:p>
    <w:p>
      <w:pPr>
        <w:ind w:firstLine="1272"/>
        <w:spacing w:after="0" w:line="216"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i w:val="1"/>
          <w:iCs w:val="1"/>
          <w:color w:val="auto"/>
        </w:rPr>
        <w:t>Entire Agreement; No Waiver</w:t>
      </w:r>
      <w:r>
        <w:rPr>
          <w:rFonts w:ascii="Times New Roman" w:cs="Times New Roman" w:eastAsia="Times New Roman" w:hAnsi="Times New Roman"/>
          <w:sz w:val="21"/>
          <w:szCs w:val="21"/>
          <w:color w:val="auto"/>
        </w:rPr>
        <w:t>. This Agreement replaces and supersedes any and all previous or existing agreements, arrangements, or understandings, whether oral or written, between Employee and any Company Entity with respect to the subject matters set forth herein. Employee specifically acknowledges and agrees that notwithstanding any discussions or negotiations Employee may have had with any of the Company Parties prior to the execution of this Agreement, Employee is not relying on any promises or assurances other than those explicitly contained in this Agreement with respect to the matters set forth herein. This Agreement contains the entire agreement and understanding of the Parties with respect to the matters set forth herein, and the terms and conditions of Employee’s employment can be modified only in an agreement signed by Employee and a duly authorized officer of the Company. No provision of this Agreement may be amended modified, waived, or discharged except as agreed to in a writing signed by both Employee and a duly authorized officer of the Company.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53" w:lineRule="exact"/>
        <w:rPr>
          <w:sz w:val="20"/>
          <w:szCs w:val="20"/>
          <w:color w:val="auto"/>
        </w:rPr>
      </w:pPr>
    </w:p>
    <w:p>
      <w:pPr>
        <w:ind w:right="80" w:firstLine="1272"/>
        <w:spacing w:after="0" w:line="218"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i w:val="1"/>
          <w:iCs w:val="1"/>
          <w:color w:val="auto"/>
        </w:rPr>
        <w:t>Construction/Severability</w:t>
      </w:r>
      <w:r>
        <w:rPr>
          <w:rFonts w:ascii="Times New Roman" w:cs="Times New Roman" w:eastAsia="Times New Roman" w:hAnsi="Times New Roman"/>
          <w:sz w:val="21"/>
          <w:szCs w:val="21"/>
          <w:color w:val="auto"/>
        </w:rPr>
        <w:t>. The headings in this Agreement are included for convenience of reference only and shall not affect the interpretation of this Agreement. This Agreement shall be interpreted strictly in accordance with its terms, to the maximum extent permissible under governing law, and shall not be construed against or in favor of any Party, regardless of which Party drafted this Agreement or any provision hereof. If any provision of this Agreement is determined to be unenforceable as a matter of governing law, an arbitrator or reviewing court shall have the authority to “blue pencil” or otherwise modify such provision so as to render it enforceable while maintaining the parties’ original intent to the maximum extent possible. In the event that the applicable court or arbitrator does not exercise the power granted to it in the prior sentence, Employee and the Company Entities agree to replace such invalid or unenforceable term or provision with a valid and enforceable term or provision that will achieve, to the extent possible, the economic, business and other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00"/>
          </w:cols>
          <w:pgMar w:left="320" w:top="1371" w:right="379" w:bottom="1440" w:gutter="0" w:footer="0" w:header="0"/>
        </w:sectPr>
      </w:pPr>
    </w:p>
    <w:bookmarkStart w:id="133" w:name="page134"/>
    <w:bookmarkEnd w:id="133"/>
    <w:p>
      <w:pPr>
        <w:spacing w:after="0" w:line="226" w:lineRule="auto"/>
        <w:rPr>
          <w:sz w:val="20"/>
          <w:szCs w:val="20"/>
          <w:color w:val="auto"/>
        </w:rPr>
      </w:pPr>
      <w:r>
        <w:rPr>
          <w:rFonts w:ascii="Times New Roman" w:cs="Times New Roman" w:eastAsia="Times New Roman" w:hAnsi="Times New Roman"/>
          <w:sz w:val="21"/>
          <w:szCs w:val="21"/>
          <w:color w:val="auto"/>
        </w:rPr>
        <w:t>such invalid or unenforceable term. Each provision of this Agreement is severable from the other provisions hereof, and if one or more provisions hereof are declared invalid, the remaining provisions shall nevertheless remain in full force and effect. The terms of this Agreement shall survive the termination of Employee’s employment with the Company, regardless of whether Employee resigns or is terminated or the reason for any such resignation or termination.</w:t>
      </w:r>
    </w:p>
    <w:p>
      <w:pPr>
        <w:spacing w:after="0" w:line="148" w:lineRule="exact"/>
        <w:rPr>
          <w:sz w:val="20"/>
          <w:szCs w:val="20"/>
          <w:color w:val="auto"/>
        </w:rPr>
      </w:pPr>
    </w:p>
    <w:p>
      <w:pPr>
        <w:jc w:val="both"/>
        <w:ind w:right="160" w:firstLine="1272"/>
        <w:spacing w:after="0" w:line="232"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Texas applicable to agreements made and/or to be performed in that State, without regard to any principles of conflicts of law.</w:t>
      </w:r>
    </w:p>
    <w:p>
      <w:pPr>
        <w:spacing w:after="0" w:line="148" w:lineRule="exact"/>
        <w:rPr>
          <w:sz w:val="20"/>
          <w:szCs w:val="20"/>
          <w:color w:val="auto"/>
        </w:rPr>
      </w:pPr>
    </w:p>
    <w:p>
      <w:pPr>
        <w:ind w:right="660" w:firstLine="1272"/>
        <w:spacing w:after="0" w:line="247"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i w:val="1"/>
          <w:iCs w:val="1"/>
          <w:color w:val="auto"/>
        </w:rPr>
        <w:t>Third Party Beneficiaries</w:t>
      </w:r>
      <w:r>
        <w:rPr>
          <w:rFonts w:ascii="Times New Roman" w:cs="Times New Roman" w:eastAsia="Times New Roman" w:hAnsi="Times New Roman"/>
          <w:sz w:val="21"/>
          <w:szCs w:val="21"/>
          <w:color w:val="auto"/>
        </w:rPr>
        <w:t>. Each of the Company Parties are intended to be, and are, third party beneficiaries of this Agreement and shall be entitled to enforce this Agreement in accordance with its terms.</w:t>
      </w:r>
    </w:p>
    <w:p>
      <w:pPr>
        <w:spacing w:after="0" w:line="139" w:lineRule="exact"/>
        <w:rPr>
          <w:sz w:val="20"/>
          <w:szCs w:val="20"/>
          <w:color w:val="auto"/>
        </w:rPr>
      </w:pPr>
    </w:p>
    <w:p>
      <w:pPr>
        <w:ind w:right="80" w:firstLine="1272"/>
        <w:spacing w:after="0" w:line="227"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i w:val="1"/>
          <w:iCs w:val="1"/>
          <w:color w:val="auto"/>
        </w:rPr>
        <w:t>Successors and Assigns</w:t>
      </w:r>
      <w:r>
        <w:rPr>
          <w:rFonts w:ascii="Times New Roman" w:cs="Times New Roman" w:eastAsia="Times New Roman" w:hAnsi="Times New Roman"/>
          <w:sz w:val="21"/>
          <w:szCs w:val="21"/>
          <w:color w:val="auto"/>
        </w:rPr>
        <w:t>. This Agreement may be assigned by the Company. Upon such assignment, the rights and obligations of the Company hereunder shall become the rights and obligations of such assigned party. Employee may not assign or delegate Employee’s rights and/or obligations under this Agreement. Any purported assignment or delegation by Employee in violation of the foregoing shall be null and void ab initio and of no force or effect.</w:t>
      </w:r>
    </w:p>
    <w:p>
      <w:pPr>
        <w:spacing w:after="0" w:line="146" w:lineRule="exact"/>
        <w:rPr>
          <w:sz w:val="20"/>
          <w:szCs w:val="20"/>
          <w:color w:val="auto"/>
        </w:rPr>
      </w:pPr>
    </w:p>
    <w:p>
      <w:pPr>
        <w:ind w:right="340" w:firstLine="1272"/>
        <w:spacing w:after="0" w:line="232"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i w:val="1"/>
          <w:iCs w:val="1"/>
          <w:color w:val="auto"/>
        </w:rPr>
        <w:t>Counterparts</w:t>
      </w:r>
      <w:r>
        <w:rPr>
          <w:rFonts w:ascii="Times New Roman" w:cs="Times New Roman" w:eastAsia="Times New Roman" w:hAnsi="Times New Roman"/>
          <w:sz w:val="21"/>
          <w:szCs w:val="21"/>
          <w:color w:val="auto"/>
        </w:rPr>
        <w:t>. This Agreement may be executed in multiple counterparts, which together shall constitute one and the same agreement. Facsimile, pdf, and other true and accurate copies of this Agreement shall have the same force and effect as originals hereof.</w:t>
      </w:r>
    </w:p>
    <w:p>
      <w:pPr>
        <w:spacing w:after="0" w:line="148" w:lineRule="exact"/>
        <w:rPr>
          <w:sz w:val="20"/>
          <w:szCs w:val="20"/>
          <w:color w:val="auto"/>
        </w:rPr>
      </w:pPr>
    </w:p>
    <w:p>
      <w:pPr>
        <w:ind w:right="20" w:firstLine="1272"/>
        <w:spacing w:after="0" w:line="232"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i w:val="1"/>
          <w:iCs w:val="1"/>
          <w:color w:val="auto"/>
        </w:rPr>
        <w:t>Continuation of At-Will Relationship</w:t>
      </w:r>
      <w:r>
        <w:rPr>
          <w:rFonts w:ascii="Times New Roman" w:cs="Times New Roman" w:eastAsia="Times New Roman" w:hAnsi="Times New Roman"/>
          <w:sz w:val="21"/>
          <w:szCs w:val="21"/>
          <w:color w:val="auto"/>
        </w:rPr>
        <w:t>. Employee acknowledges and agrees that Employee’s employment is at-will and nothing in this Agreement alters the at-will status of the Employee’s employment with the Company. The Company also reserves the right to modify the terms, benefits, and conditions of Employee’s employment at any time.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1" w:right="339" w:bottom="1440" w:gutter="0" w:footer="0" w:header="0"/>
        </w:sectPr>
      </w:pPr>
    </w:p>
    <w:bookmarkStart w:id="134" w:name="page135"/>
    <w:bookmarkEnd w:id="13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34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-5715</wp:posOffset>
            </wp:positionV>
            <wp:extent cx="1346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21"/>
          <w:szCs w:val="21"/>
          <w:color w:val="auto"/>
        </w:rPr>
        <w:t>Name:</w:t>
      </w:r>
    </w:p>
    <w:p>
      <w:pPr>
        <w:spacing w:after="0" w:line="211" w:lineRule="auto"/>
        <w:rPr>
          <w:sz w:val="20"/>
          <w:szCs w:val="20"/>
          <w:color w:val="auto"/>
        </w:rPr>
      </w:pPr>
      <w:r>
        <w:rPr>
          <w:rFonts w:ascii="Times New Roman" w:cs="Times New Roman" w:eastAsia="Times New Roman" w:hAnsi="Times New Roman"/>
          <w:sz w:val="21"/>
          <w:szCs w:val="21"/>
          <w:color w:val="auto"/>
        </w:rPr>
        <w:t>Title:</w:t>
      </w:r>
    </w:p>
    <w:p>
      <w:pPr>
        <w:spacing w:after="0"/>
        <w:rPr>
          <w:sz w:val="20"/>
          <w:szCs w:val="20"/>
          <w:color w:val="auto"/>
        </w:rPr>
      </w:pPr>
      <w:r>
        <w:rPr>
          <w:rFonts w:ascii="Times New Roman" w:cs="Times New Roman" w:eastAsia="Times New Roman" w:hAnsi="Times New Roman"/>
          <w:sz w:val="21"/>
          <w:szCs w:val="21"/>
          <w:color w:val="auto"/>
        </w:rPr>
        <w:t>Date:</w:t>
      </w:r>
    </w:p>
    <w:p>
      <w:pPr>
        <w:sectPr>
          <w:pgSz w:w="11900" w:h="16838" w:orient="portrait"/>
          <w:cols w:equalWidth="0" w:num="1">
            <w:col w:w="10139"/>
          </w:cols>
          <w:pgMar w:left="320" w:top="1440" w:right="1440" w:bottom="1440" w:gutter="0" w:footer="0" w:header="0"/>
        </w:sectPr>
      </w:pPr>
    </w:p>
    <w:bookmarkStart w:id="135" w:name="page136"/>
    <w:bookmarkEnd w:id="135"/>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Exhibits intentionally omitted</w:t>
      </w:r>
    </w:p>
    <w:p>
      <w:pPr>
        <w:sectPr>
          <w:pgSz w:w="11900" w:h="16838" w:orient="portrait"/>
          <w:cols w:equalWidth="0" w:num="1">
            <w:col w:w="9019"/>
          </w:cols>
          <w:pgMar w:left="1440" w:top="1440"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Significant Subsidiaries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Listed below are the significant subsidiaries of the Registrant as of December 31, 2022, and the states or jurisdictions in which they are incorporated or organized. The names of other subsidiaries have been omitted from the list below, since they would not constitute, in the aggregate, a significant subsidiary as of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 of Company</w:t>
            </w:r>
          </w:p>
        </w:tc>
        <w:tc>
          <w:tcPr>
            <w:tcW w:w="4760" w:type="dxa"/>
            <w:vAlign w:val="bottom"/>
          </w:tcPr>
          <w:p>
            <w:pPr>
              <w:spacing w:after="0"/>
              <w:rPr>
                <w:sz w:val="17"/>
                <w:szCs w:val="17"/>
                <w:color w:val="auto"/>
              </w:rPr>
            </w:pPr>
          </w:p>
        </w:tc>
        <w:tc>
          <w:tcPr>
            <w:tcW w:w="5020" w:type="dxa"/>
            <w:vAlign w:val="bottom"/>
            <w:gridSpan w:val="3"/>
          </w:tcPr>
          <w:p>
            <w:pPr>
              <w:jc w:val="center"/>
              <w:ind w:left="2752"/>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4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International Ltd.</w:t>
            </w:r>
          </w:p>
        </w:tc>
        <w:tc>
          <w:tcPr>
            <w:tcW w:w="34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5"/>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Oil Tool Middle East Limited</w:t>
            </w:r>
          </w:p>
        </w:tc>
        <w:tc>
          <w:tcPr>
            <w:tcW w:w="5020" w:type="dxa"/>
            <w:vAlign w:val="bottom"/>
            <w:gridSpan w:val="3"/>
          </w:tcPr>
          <w:p>
            <w:pPr>
              <w:jc w:val="center"/>
              <w:ind w:left="2752"/>
              <w:spacing w:after="0"/>
              <w:rPr>
                <w:sz w:val="20"/>
                <w:szCs w:val="20"/>
                <w:color w:val="auto"/>
              </w:rPr>
            </w:pPr>
            <w:r>
              <w:rPr>
                <w:rFonts w:ascii="Times New Roman" w:cs="Times New Roman" w:eastAsia="Times New Roman" w:hAnsi="Times New Roman"/>
                <w:sz w:val="18"/>
                <w:szCs w:val="18"/>
                <w:color w:val="auto"/>
                <w:w w:val="96"/>
              </w:rPr>
              <w:t>British Virgin Islands</w:t>
            </w:r>
          </w:p>
        </w:tc>
      </w:tr>
      <w:tr>
        <w:trPr>
          <w:trHeight w:val="225"/>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U.S., L.P.</w:t>
            </w:r>
          </w:p>
        </w:tc>
        <w:tc>
          <w:tcPr>
            <w:tcW w:w="34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8"/>
              </w:rPr>
              <w:t>Louisiana</w:t>
            </w:r>
          </w:p>
        </w:tc>
      </w:tr>
    </w:tbl>
    <w:p>
      <w:pPr>
        <w:sectPr>
          <w:pgSz w:w="11900" w:h="16838" w:orient="portrait"/>
          <w:cols w:equalWidth="0" w:num="1">
            <w:col w:w="11240"/>
          </w:cols>
          <w:pgMar w:left="320" w:top="874"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333-256809) on Form S-8 and (No. 333-265636) on Form S-3 of our reports dated February 8, 2023, with respect to the consolidated financial statements of Weatherford International plc and subsidiaries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2023</w:t>
      </w:r>
    </w:p>
    <w:p>
      <w:pPr>
        <w:sectPr>
          <w:pgSz w:w="11900" w:h="16838" w:orient="portrait"/>
          <w:cols w:equalWidth="0" w:num="1">
            <w:col w:w="11240"/>
          </w:cols>
          <w:pgMar w:left="320" w:top="139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February 8, 2023</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48260</wp:posOffset>
            </wp:positionV>
            <wp:extent cx="35166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Arunava Mitra, certify that:</w:t>
      </w:r>
    </w:p>
    <w:p>
      <w:pPr>
        <w:spacing w:after="0" w:line="111" w:lineRule="exact"/>
        <w:rPr>
          <w:sz w:val="20"/>
          <w:szCs w:val="20"/>
          <w:color w:val="auto"/>
        </w:rPr>
      </w:pPr>
    </w:p>
    <w:p>
      <w:pPr>
        <w:ind w:left="320" w:hanging="314"/>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February 8, 2023</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48260</wp:posOffset>
            </wp:positionV>
            <wp:extent cx="28943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Arunava Mitra</w:t>
      </w:r>
    </w:p>
    <w:p>
      <w:pPr>
        <w:spacing w:after="0" w:line="2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Weatherford International plc (the "Company") for the period ended December 31, 2022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14605</wp:posOffset>
            </wp:positionV>
            <wp:extent cx="2607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February 8, 2023</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Weatherford International plc (the "Company") for the period ended December 31, 2022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68" w:lineRule="auto"/>
        <w:tabs>
          <w:tab w:leader="none" w:pos="127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48260</wp:posOffset>
            </wp:positionV>
            <wp:extent cx="3458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Arunava Mitra</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February 8, 2023</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amp;"/>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endash "/>
      <w:numFmt w:val="bullet"/>
      <w:start w:val="1"/>
    </w:lvl>
  </w:abstractNum>
  <w:abstractNum w:abstractNumId="17">
    <w:nsid w:val="57E4CCAF"/>
    <w:multiLevelType w:val="hybridMultilevel"/>
    <w:lvl w:ilvl="0">
      <w:lvlJc w:val="left"/>
      <w:lvlText w:val="(%1)"/>
      <w:numFmt w:val="decimal"/>
      <w:start w:val="22"/>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
      <w:numFmt w:val="bullet"/>
      <w:start w:val="1"/>
    </w:lvl>
    <w:lvl w:ilvl="1">
      <w:lvlJc w:val="left"/>
      <w:lvlText w:val="%2"/>
      <w:numFmt w:val="decimal"/>
      <w:start w:val="104"/>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lowerRoman"/>
      <w:start w:val="1"/>
    </w:lvl>
  </w:abstractNum>
  <w:abstractNum w:abstractNumId="35">
    <w:nsid w:val="374A3FE6"/>
    <w:multiLevelType w:val="hybridMultilevel"/>
    <w:lvl w:ilvl="0">
      <w:lvlJc w:val="left"/>
      <w:lvlText w:val="(%1)"/>
      <w:numFmt w:val="lowerRoman"/>
      <w:start w:val="1"/>
    </w:lvl>
  </w:abstractNum>
  <w:abstractNum w:abstractNumId="36">
    <w:nsid w:val="4F4EF005"/>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37">
    <w:nsid w:val="23F9C13C"/>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38">
    <w:nsid w:val="649BB77C"/>
    <w:multiLevelType w:val="hybridMultilevel"/>
    <w:lvl w:ilvl="0">
      <w:lvlJc w:val="left"/>
      <w:lvlText w:val="(%1)"/>
      <w:numFmt w:val="upperLetter"/>
      <w:start w:val="3"/>
    </w:lvl>
  </w:abstractNum>
  <w:abstractNum w:abstractNumId="39">
    <w:nsid w:val="275AC794"/>
    <w:multiLevelType w:val="hybridMultilevel"/>
    <w:lvl w:ilvl="0">
      <w:lvlJc w:val="left"/>
      <w:lvlText w:val="(%1)"/>
      <w:numFmt w:val="lowerRoman"/>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decimal"/>
      <w:start w:val="5"/>
    </w:lvl>
  </w:abstractNum>
  <w:abstractNum w:abstractNumId="43">
    <w:nsid w:val="235BA861"/>
    <w:multiLevelType w:val="hybridMultilevel"/>
    <w:lvl w:ilvl="0">
      <w:lvlJc w:val="left"/>
      <w:lvlText w:val="%1."/>
      <w:numFmt w:val="decimal"/>
      <w:start w:val="6"/>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decimal"/>
      <w:start w:val="7"/>
    </w:lvl>
  </w:abstractNum>
  <w:abstractNum w:abstractNumId="46">
    <w:nsid w:val="15B5AF5C"/>
    <w:multiLevelType w:val="hybridMultilevel"/>
    <w:lvl w:ilvl="0">
      <w:lvlJc w:val="left"/>
      <w:lvlText w:val="%1."/>
      <w:numFmt w:val="decimal"/>
      <w:start w:val="8"/>
    </w:lvl>
  </w:abstractNum>
  <w:abstractNum w:abstractNumId="47">
    <w:nsid w:val="741226BB"/>
    <w:multiLevelType w:val="hybridMultilevel"/>
    <w:lvl w:ilvl="0">
      <w:lvlJc w:val="left"/>
      <w:lvlText w:val="%1."/>
      <w:numFmt w:val="decimal"/>
      <w:start w:val="9"/>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decimal"/>
      <w:start w:val="10"/>
    </w:lvl>
  </w:abstractNum>
  <w:abstractNum w:abstractNumId="50">
    <w:nsid w:val="3F6AB60F"/>
    <w:multiLevelType w:val="hybridMultilevel"/>
    <w:lvl w:ilvl="0">
      <w:lvlJc w:val="left"/>
      <w:lvlText w:val="%1."/>
      <w:numFmt w:val="decimal"/>
      <w:start w:val="11"/>
    </w:lvl>
  </w:abstractNum>
  <w:abstractNum w:abstractNumId="51">
    <w:nsid w:val="61574095"/>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52">
    <w:nsid w:val="7E0C57B1"/>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3"/>
    </w:lvl>
  </w:abstractNum>
  <w:abstractNum w:abstractNumId="53">
    <w:nsid w:val="77AE35EB"/>
    <w:multiLevelType w:val="hybridMultilevel"/>
    <w:lvl w:ilvl="0">
      <w:lvlJc w:val="left"/>
      <w:lvlText w:val="%1."/>
      <w:numFmt w:val="decimal"/>
      <w:start w:val="12"/>
    </w:lvl>
    <w:lvl w:ilvl="1">
      <w:lvlJc w:val="left"/>
      <w:lvlText w:val="%2"/>
      <w:numFmt w:val="upperLetter"/>
      <w:start w:val="1"/>
    </w:lvl>
    <w:lvl w:ilvl="2">
      <w:lvlJc w:val="left"/>
      <w:lvlText w:val="%3"/>
      <w:numFmt w:val="lowerLetter"/>
      <w:start w:val="1"/>
    </w:lvl>
  </w:abstractNum>
  <w:abstractNum w:abstractNumId="54">
    <w:nsid w:val="579BE4F1"/>
    <w:multiLevelType w:val="hybridMultilevel"/>
    <w:lvl w:ilvl="0">
      <w:lvlJc w:val="left"/>
      <w:lvlText w:val="%1."/>
      <w:numFmt w:val="decimal"/>
      <w:start w:val="13"/>
    </w:lvl>
  </w:abstractNum>
  <w:abstractNum w:abstractNumId="55">
    <w:nsid w:val="310C50B3"/>
    <w:multiLevelType w:val="hybridMultilevel"/>
    <w:lvl w:ilvl="0">
      <w:lvlJc w:val="left"/>
      <w:lvlText w:val="%1."/>
      <w:numFmt w:val="decimal"/>
      <w:start w:val="1"/>
    </w:lvl>
    <w:lvl w:ilvl="1">
      <w:lvlJc w:val="left"/>
      <w:lvlText w:val="(%2)"/>
      <w:numFmt w:val="lowerLetter"/>
      <w:start w:val="1"/>
    </w:lvl>
  </w:abstractNum>
  <w:abstractNum w:abstractNumId="56">
    <w:nsid w:val="5FF87E05"/>
    <w:multiLevelType w:val="hybridMultilevel"/>
    <w:lvl w:ilvl="0">
      <w:lvlJc w:val="left"/>
      <w:lvlText w:val="%1"/>
      <w:numFmt w:val="decimal"/>
      <w:start w:val="1"/>
    </w:lvl>
    <w:lvl w:ilvl="1">
      <w:lvlJc w:val="left"/>
      <w:lvlText w:val="(%2)"/>
      <w:numFmt w:val="lowerLetter"/>
      <w:start w:val="9"/>
    </w:lvl>
  </w:abstractNum>
  <w:abstractNum w:abstractNumId="57">
    <w:nsid w:val="2F305DEF"/>
    <w:multiLevelType w:val="hybridMultilevel"/>
    <w:lvl w:ilvl="0">
      <w:lvlJc w:val="left"/>
      <w:lvlText w:val="%1."/>
      <w:numFmt w:val="decimal"/>
      <w:start w:val="5"/>
    </w:lvl>
    <w:lvl w:ilvl="1">
      <w:lvlJc w:val="left"/>
      <w:lvlText w:val="(%2)"/>
      <w:numFmt w:val="lowerLetter"/>
      <w:start w:val="1"/>
    </w:lvl>
  </w:abstractNum>
  <w:abstractNum w:abstractNumId="58">
    <w:nsid w:val="25A70BF7"/>
    <w:multiLevelType w:val="hybridMultilevel"/>
    <w:lvl w:ilvl="0">
      <w:lvlJc w:val="left"/>
      <w:lvlText w:val="%1."/>
      <w:numFmt w:val="decimal"/>
      <w:start w:val="9"/>
    </w:lvl>
    <w:lvl w:ilvl="1">
      <w:lvlJc w:val="left"/>
      <w:lvlText w:val="(%2)"/>
      <w:numFmt w:val="lowerLetter"/>
      <w:start w:val="1"/>
    </w:lvl>
  </w:abstractNum>
  <w:abstractNum w:abstractNumId="59">
    <w:nsid w:val="1DBABF00"/>
    <w:multiLevelType w:val="hybridMultilevel"/>
    <w:lvl w:ilvl="0">
      <w:lvlJc w:val="left"/>
      <w:lvlText w:val="(%1)"/>
      <w:numFmt w:val="lowerLetter"/>
      <w:start w:val="2"/>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lowerRoman"/>
      <w:start w:val="12"/>
    </w:lvl>
  </w:abstractNum>
  <w:abstractNum w:abstractNumId="62">
    <w:nsid w:val="1381823A"/>
    <w:multiLevelType w:val="hybridMultilevel"/>
    <w:lvl w:ilvl="0">
      <w:lvlJc w:val="left"/>
      <w:lvlText w:val="%1"/>
      <w:numFmt w:val="decimal"/>
      <w:start w:val="1"/>
    </w:lvl>
    <w:lvl w:ilvl="1">
      <w:lvlJc w:val="left"/>
      <w:lvlText w:val="(%2)"/>
      <w:numFmt w:val="lowerLetter"/>
      <w:start w:val="2"/>
    </w:lvl>
  </w:abstractNum>
  <w:abstractNum w:abstractNumId="63">
    <w:nsid w:val="5DB70AE5"/>
    <w:multiLevelType w:val="hybridMultilevel"/>
    <w:lvl w:ilvl="0">
      <w:lvlJc w:val="left"/>
      <w:lvlText w:val="%1."/>
      <w:numFmt w:val="decimal"/>
      <w:start w:val="3"/>
    </w:lvl>
    <w:lvl w:ilvl="1">
      <w:lvlJc w:val="left"/>
      <w:lvlText w:val="(%2)"/>
      <w:numFmt w:val="lowerLetter"/>
      <w:start w:val="1"/>
    </w:lvl>
  </w:abstractNum>
  <w:abstractNum w:abstractNumId="64">
    <w:nsid w:val="100F8FCA"/>
    <w:multiLevelType w:val="hybridMultilevel"/>
    <w:lvl w:ilvl="0">
      <w:lvlJc w:val="left"/>
      <w:lvlText w:val="%1"/>
      <w:numFmt w:val="decimal"/>
      <w:start w:val="1"/>
    </w:lvl>
    <w:lvl w:ilvl="1">
      <w:lvlJc w:val="left"/>
      <w:lvlText w:val="(%2)"/>
      <w:numFmt w:val="lowerLetter"/>
      <w:start w:val="2"/>
    </w:lvl>
  </w:abstractNum>
  <w:abstractNum w:abstractNumId="65">
    <w:nsid w:val="6590700B"/>
    <w:multiLevelType w:val="hybridMultilevel"/>
    <w:lvl w:ilvl="0">
      <w:lvlJc w:val="left"/>
      <w:lvlText w:val="%1."/>
      <w:numFmt w:val="decimal"/>
      <w:start w:val="7"/>
    </w:lvl>
    <w:lvl w:ilvl="1">
      <w:lvlJc w:val="left"/>
      <w:lvlText w:val="%2"/>
      <w:numFmt w:val="lowerLetter"/>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lowerRoman"/>
      <w:start w:val="2"/>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4"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5" Type="http://schemas.openxmlformats.org/officeDocument/2006/relationships/image" Target="media/image100.png"/><Relationship Id="rId143" Type="http://schemas.openxmlformats.org/officeDocument/2006/relationships/image" Target="media/image101.png"/><Relationship Id="rId147" Type="http://schemas.openxmlformats.org/officeDocument/2006/relationships/image" Target="media/image102.png"/><Relationship Id="rId150" Type="http://schemas.openxmlformats.org/officeDocument/2006/relationships/image" Target="media/image103.png"/><Relationship Id="rId154" Type="http://schemas.openxmlformats.org/officeDocument/2006/relationships/image" Target="media/image104.png"/><Relationship Id="rId162"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jpeg"/><Relationship Id="rId167" Type="http://schemas.openxmlformats.org/officeDocument/2006/relationships/image" Target="media/image108.jpeg"/><Relationship Id="rId168" Type="http://schemas.openxmlformats.org/officeDocument/2006/relationships/image" Target="media/image109.jpeg"/><Relationship Id="rId169" Type="http://schemas.openxmlformats.org/officeDocument/2006/relationships/image" Target="media/image110.jpeg"/><Relationship Id="rId170" Type="http://schemas.openxmlformats.org/officeDocument/2006/relationships/image" Target="media/image111.jpeg"/><Relationship Id="rId171" Type="http://schemas.openxmlformats.org/officeDocument/2006/relationships/image" Target="media/image112.jpeg"/><Relationship Id="rId172" Type="http://schemas.openxmlformats.org/officeDocument/2006/relationships/image" Target="media/image113.jpeg"/><Relationship Id="rId173" Type="http://schemas.openxmlformats.org/officeDocument/2006/relationships/image" Target="media/image114.jpeg"/><Relationship Id="rId174" Type="http://schemas.openxmlformats.org/officeDocument/2006/relationships/image" Target="media/image115.jpeg"/><Relationship Id="rId175" Type="http://schemas.openxmlformats.org/officeDocument/2006/relationships/image" Target="media/image116.jpeg"/><Relationship Id="rId176" Type="http://schemas.openxmlformats.org/officeDocument/2006/relationships/image" Target="media/image117.jpeg"/><Relationship Id="rId177" Type="http://schemas.openxmlformats.org/officeDocument/2006/relationships/image" Target="media/image118.jpeg"/><Relationship Id="rId178" Type="http://schemas.openxmlformats.org/officeDocument/2006/relationships/image" Target="media/image119.jpeg"/><Relationship Id="rId179" Type="http://schemas.openxmlformats.org/officeDocument/2006/relationships/image" Target="media/image120.jpe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91" Type="http://schemas.openxmlformats.org/officeDocument/2006/relationships/hyperlink" Target="http://www.sec.gov/Archives/edgar/data/1603923/000110465919073841/tm1925198d1_ex3-1.htm" TargetMode="External"/><Relationship Id="rId92" Type="http://schemas.openxmlformats.org/officeDocument/2006/relationships/hyperlink" Target="https://www.sec.gov/Archives/edgar/data/1603923/000160392322000051/exhibit41descriptionofsecu.htm" TargetMode="External"/><Relationship Id="rId93" Type="http://schemas.openxmlformats.org/officeDocument/2006/relationships/hyperlink" Target="http://www.sec.gov/Archives/edgar/data/1603923/000110465919073841/tm1925198d1_ex4-1.htm" TargetMode="External"/><Relationship Id="rId95" Type="http://schemas.openxmlformats.org/officeDocument/2006/relationships/hyperlink" Target="https://www.sec.gov/Archives/edgar/data/1603923/000110465919073841/tm1925198d1_ex10-4.htm" TargetMode="External"/><Relationship Id="rId96" Type="http://schemas.openxmlformats.org/officeDocument/2006/relationships/hyperlink" Target="https://www.sec.gov/Archives/edgar/data/1603923/000095014220002112/eh2001109_ex0401.htm" TargetMode="External"/><Relationship Id="rId99" Type="http://schemas.openxmlformats.org/officeDocument/2006/relationships/hyperlink" Target="http://www.sec.gov/Archives/edgar/data/1603923/000095014221003023/eh210187783_ex0401.htm" TargetMode="External"/><Relationship Id="rId100" Type="http://schemas.openxmlformats.org/officeDocument/2006/relationships/hyperlink" Target="http://www.sec.gov/Archives/edgar/data/1603923/000095014221003357/eh210195929_ex0401.htm" TargetMode="External"/><Relationship Id="rId101" Type="http://schemas.openxmlformats.org/officeDocument/2006/relationships/hyperlink" Target="https://www.sec.gov/Archives/edgar/data/1603923/000110465922124561/tm2232001d1_ex4-2.htm" TargetMode="External"/><Relationship Id="rId102" Type="http://schemas.openxmlformats.org/officeDocument/2006/relationships/hyperlink" Target="https://www.sec.gov/Archives/edgar/data/1603923/000160392320000075/ex105offerlettertogiri.htm" TargetMode="External"/><Relationship Id="rId103" Type="http://schemas.openxmlformats.org/officeDocument/2006/relationships/hyperlink" Target="http://www.sec.gov/Archives/edgar/data/1603923/000160392321000018/exhibit1036offerlettertosc.htm" TargetMode="External"/><Relationship Id="rId104" Type="http://schemas.openxmlformats.org/officeDocument/2006/relationships/hyperlink" Target="http://www.sec.gov/Archives/edgar/data/1603923/000160392321000036/ex107caoofferletter.htm" TargetMode="External"/><Relationship Id="rId111" Type="http://schemas.openxmlformats.org/officeDocument/2006/relationships/hyperlink" Target="http://www.sec.gov/Archives/edgar/data/1603923/000160392321000084/ex101chroofferletter.htm" TargetMode="External"/><Relationship Id="rId112" Type="http://schemas.openxmlformats.org/officeDocument/2006/relationships/hyperlink" Target="http://www.sec.gov/Archives/edgar/data/1603923/000160392314000013/exhibit1011deedofindemnifi.htm" TargetMode="External"/><Relationship Id="rId113" Type="http://schemas.openxmlformats.org/officeDocument/2006/relationships/hyperlink" Target="http://www.sec.gov/Archives/edgar/data/1603923/000160392314000013/exhibit1012deedofindemnifi.htm" TargetMode="External"/><Relationship Id="rId114" Type="http://schemas.openxmlformats.org/officeDocument/2006/relationships/hyperlink" Target="https://www.sec.gov/Archives/edgar/data/1603923/000160392323000058/exhibit1013rdamendedandres.htm" TargetMode="External"/><Relationship Id="rId115" Type="http://schemas.openxmlformats.org/officeDocument/2006/relationships/hyperlink" Target="http://www.sec.gov/Archives/edgar/data/1603923/000110465920046579/tm2015956d1_ex10-2.htm" TargetMode="External"/><Relationship Id="rId116" Type="http://schemas.openxmlformats.org/officeDocument/2006/relationships/hyperlink" Target="https://www.sec.gov/Archives/edgar/data/1603923/000110465919073841/tm1925198d1_ex10-8.htm" TargetMode="External"/><Relationship Id="rId119" Type="http://schemas.openxmlformats.org/officeDocument/2006/relationships/hyperlink" Target="http://www.sec.gov/Archives/edgar/data/1603923/000110465920046579/tm2015956d1_ex10-1.htm" TargetMode="External"/><Relationship Id="rId120" Type="http://schemas.openxmlformats.org/officeDocument/2006/relationships/hyperlink" Target="https://www.sec.gov/Archives/edgar/data/1603923/000160392320000075/ex106secondamendmentto.htm" TargetMode="External"/><Relationship Id="rId121" Type="http://schemas.openxmlformats.org/officeDocument/2006/relationships/hyperlink" Target="https://www.sec.gov/Archives/edgar/data/1603923/000160392323000058/exhibit102weatherford-thir.htm" TargetMode="External"/><Relationship Id="rId122" Type="http://schemas.openxmlformats.org/officeDocument/2006/relationships/hyperlink" Target="https://www.sec.gov/Archives/edgar/data/1603923/000160392320000079/ex103-formofrestricted.htm" TargetMode="External"/><Relationship Id="rId123" Type="http://schemas.openxmlformats.org/officeDocument/2006/relationships/hyperlink" Target="https://www.sec.gov/Archives/edgar/data/1603923/000160392320000079/ex104-formofperformanc.htm" TargetMode="External"/><Relationship Id="rId124" Type="http://schemas.openxmlformats.org/officeDocument/2006/relationships/hyperlink" Target="https://www.sec.gov/Archives/edgar/data/1603923/000095014221000038/eh210124017_ex1002.htm" TargetMode="External"/><Relationship Id="rId125" Type="http://schemas.openxmlformats.org/officeDocument/2006/relationships/hyperlink" Target="https://www.sec.gov/Archives/edgar/data/1603923/000095014221000038/eh210124017_ex1003.htm" TargetMode="External"/><Relationship Id="rId126" Type="http://schemas.openxmlformats.org/officeDocument/2006/relationships/hyperlink" Target="https://www.sec.gov/Archives/edgar/data/1603923/000095014221000038/eh210124017_ex1004.htm" TargetMode="External"/><Relationship Id="rId127" Type="http://schemas.openxmlformats.org/officeDocument/2006/relationships/hyperlink" Target="http://www.sec.gov/Archives/edgar/data/1603923/000160392321000013/exhibit1024amendedandresta.htm" TargetMode="External"/><Relationship Id="rId133" Type="http://schemas.openxmlformats.org/officeDocument/2006/relationships/hyperlink" Target="http://www.sec.gov/Archives/edgar/data/1603923/000160392321000102/ex107modelform-rsuawardagr.htm" TargetMode="External"/><Relationship Id="rId134" Type="http://schemas.openxmlformats.org/officeDocument/2006/relationships/hyperlink" Target="http://www.sec.gov/Archives/edgar/data/1603923/000160392321000102/ex108modelform-wagepsuawar.htm" TargetMode="External"/><Relationship Id="rId136" Type="http://schemas.openxmlformats.org/officeDocument/2006/relationships/hyperlink" Target="https://www.sec.gov/Archives/edgar/data/0001603923/000095014221000038/eh210124017_ex1001.htm" TargetMode="External"/><Relationship Id="rId137" Type="http://schemas.openxmlformats.org/officeDocument/2006/relationships/hyperlink" Target="http://www.sec.gov/Archives/edgar/data/1603923/000160392322000034/ex10_1-formofrestrictedsha.htm" TargetMode="External"/><Relationship Id="rId138" Type="http://schemas.openxmlformats.org/officeDocument/2006/relationships/hyperlink" Target="http://www.sec.gov/Archives/edgar/data/1603923/000160392322000034/ex10_2-formofperformancesh.htm" TargetMode="External"/><Relationship Id="rId139" Type="http://schemas.openxmlformats.org/officeDocument/2006/relationships/hyperlink" Target="http://www.sec.gov/Archives/edgar/data/1603923/000160392322000034/ex10_3-formofrestrictedsha.htm" TargetMode="External"/><Relationship Id="rId140" Type="http://schemas.openxmlformats.org/officeDocument/2006/relationships/hyperlink" Target="https://www.sec.gov/Archives/edgar/data/1603923/000160392323000058/exhibit103-formawardagreem.htm" TargetMode="External"/><Relationship Id="rId141" Type="http://schemas.openxmlformats.org/officeDocument/2006/relationships/hyperlink" Target="https://www.sec.gov/Archives/edgar/data/1603923/000160392323000058/exhibit104-formawardagreem.htm" TargetMode="External"/><Relationship Id="rId142" Type="http://schemas.openxmlformats.org/officeDocument/2006/relationships/hyperlink" Target="https://www.sec.gov/Archives/edgar/data/1603923/000160392323000058/exhibit105-weatherfordxfor.htm" TargetMode="External"/><Relationship Id="rId144" Type="http://schemas.openxmlformats.org/officeDocument/2006/relationships/hyperlink" Target="http://www.sec.gov/Archives/edgar/data/1603923/000160392320000025/exhibit101-weatherford.htm" TargetMode="External"/><Relationship Id="rId145" Type="http://schemas.openxmlformats.org/officeDocument/2006/relationships/hyperlink" Target="https://www.sec.gov/Archives/edgar/data/1603923/000160392320000025/exhibit102-awardagreem.htm" TargetMode="External"/><Relationship Id="rId146" Type="http://schemas.openxmlformats.org/officeDocument/2006/relationships/hyperlink" Target="http://www.sec.gov/Archives/edgar/data/1603923/000160392320000079/ex102-formoflongxtermc.htm" TargetMode="External"/><Relationship Id="rId148" Type="http://schemas.openxmlformats.org/officeDocument/2006/relationships/hyperlink" Target="http://www.sec.gov/Archives/edgar/data/1603923/000160392321000018/exhibit1037ltcipamendedawa.htm" TargetMode="External"/><Relationship Id="rId149" Type="http://schemas.openxmlformats.org/officeDocument/2006/relationships/hyperlink" Target="https://www.sec.gov/Archives/edgar/data/1603923/000110465919073841/tm1925198d1_ex10-2.htm" TargetMode="External"/><Relationship Id="rId151" Type="http://schemas.openxmlformats.org/officeDocument/2006/relationships/hyperlink" Target="https://www.sec.gov/Archives/edgar/data/1603923/000095014220002112/eh2001109_ex1001.htm" TargetMode="External"/><Relationship Id="rId152" Type="http://schemas.openxmlformats.org/officeDocument/2006/relationships/hyperlink" Target="http://www.sec.gov/Archives/edgar/data/1603923/000095014221002926/eh210185235_ex1001.htm" TargetMode="External"/><Relationship Id="rId153" Type="http://schemas.openxmlformats.org/officeDocument/2006/relationships/hyperlink" Target="https://www.sec.gov/Archives/edgar/data/1603923/000110465922109505/tm2228400d1_ex10-1.htm" TargetMode="External"/><Relationship Id="rId155" Type="http://schemas.openxmlformats.org/officeDocument/2006/relationships/hyperlink" Target="https://www.sec.gov/Archives/edgar/data/1603923/000110465922122402/tm2231410d1_ex10-1.htm" TargetMode="External"/><Relationship Id="rId156" Type="http://schemas.openxmlformats.org/officeDocument/2006/relationships/hyperlink" Target="https://www.sec.gov/Archives/edgar/data/1603923/000110465922122402/tm2231410d1_ex10-2.htm" TargetMode="External"/><Relationship Id="rId157" Type="http://schemas.openxmlformats.org/officeDocument/2006/relationships/hyperlink" Target="https://www.sec.gov/Archives/edgar/data/1603923/000110465922122402/tm2231410d1_ex10-3.htm" TargetMode="External"/><Relationship Id="rId158" Type="http://schemas.openxmlformats.org/officeDocument/2006/relationships/hyperlink" Target="http://www.sec.gov/Archives/edgar/data/1603923/000110465919073841/tm1925198d1_ex10-3.htm" TargetMode="External"/><Relationship Id="rId159" Type="http://schemas.openxmlformats.org/officeDocument/2006/relationships/hyperlink" Target="https://www.sec.gov/Archives/edgar/data/1603923/000095014220002112/eh2001109_ex1003.htm" TargetMode="External"/><Relationship Id="rId160" Type="http://schemas.openxmlformats.org/officeDocument/2006/relationships/hyperlink" Target="http://www.sec.gov/Archives/edgar/data/1603923/000110465919073841/tm1925198d1_ex10-4.htm" TargetMode="External"/><Relationship Id="rId161" Type="http://schemas.openxmlformats.org/officeDocument/2006/relationships/hyperlink" Target="http://www.sec.gov/Archives/edgar/data/1603923/000160392321000102/ex102wfrd-purchaseagreement.htm" TargetMode="External"/><Relationship Id="rId163" Type="http://schemas.openxmlformats.org/officeDocument/2006/relationships/hyperlink" Target="http://www.sec.gov/Archives/edgar/data/1603923/000160392321000102/ex103wfrd-backstopcommitme.htm" TargetMode="External"/><Relationship Id="rId164" Type="http://schemas.openxmlformats.org/officeDocument/2006/relationships/hyperlink" Target="http://www.sec.gov/Archives/edgar/data/1603923/000110465919073841/tm1925198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2023-02-08T16:42:08Z</dcterms:created>
  <dcterms:modified xsi:type="dcterms:W3CDTF">2023-02-08T16:42:08Z</dcterms:modified>
</cp:coreProperties>
</file>