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-613410</wp:posOffset>
            </wp:positionV>
            <wp:extent cx="57785" cy="62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726440</wp:posOffset>
            </wp:positionV>
            <wp:extent cx="7047865" cy="5239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5239385"/>
                    </a:xfrm>
                    <a:prstGeom prst="rect">
                      <a:avLst/>
                    </a:prstGeom>
                    <a:noFill/>
                  </pic:spPr>
                </pic:pic>
              </a:graphicData>
            </a:graphic>
          </wp:anchor>
        </w:drawing>
      </w:r>
    </w:p>
    <w:p>
      <w:pPr>
        <w:spacing w:after="0" w:line="1195"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Saligram Girish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2000 ST. JAMES PLACE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01/02/2025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948"/>
        <w:spacing w:after="0"/>
        <w:rPr>
          <w:sz w:val="20"/>
          <w:szCs w:val="20"/>
          <w:color w:val="auto"/>
        </w:rPr>
      </w:pPr>
      <w:r>
        <w:rPr>
          <w:rFonts w:ascii="Times New Roman" w:cs="Times New Roman" w:eastAsia="Times New Roman" w:hAnsi="Times New Roman"/>
          <w:sz w:val="16"/>
          <w:szCs w:val="16"/>
          <w:color w:val="0000FF"/>
        </w:rPr>
        <w:t>President and CEO</w:t>
      </w:r>
    </w:p>
    <w:p>
      <w:pPr>
        <w:spacing w:after="0" w:line="275" w:lineRule="exact"/>
        <w:rPr>
          <w:sz w:val="24"/>
          <w:szCs w:val="24"/>
          <w:color w:val="auto"/>
        </w:rPr>
      </w:pPr>
    </w:p>
    <w:p>
      <w:pPr>
        <w:sectPr>
          <w:pgSz w:w="11900" w:h="16838" w:orient="portrait"/>
          <w:cols w:equalWidth="0" w:num="3">
            <w:col w:w="3180" w:space="720"/>
            <w:col w:w="3160" w:space="672"/>
            <w:col w:w="3348"/>
          </w:cols>
          <w:pgMar w:left="460" w:top="215" w:right="35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shd w:val="clear" w:color="auto" w:fill="9A9A9A"/>
          </w:tcPr>
          <w:p>
            <w:pPr>
              <w:spacing w:after="0"/>
              <w:rPr>
                <w:sz w:val="3"/>
                <w:szCs w:val="3"/>
                <w:color w:val="auto"/>
              </w:rPr>
            </w:pPr>
          </w:p>
        </w:tc>
        <w:tc>
          <w:tcPr>
            <w:tcW w:w="520" w:type="dxa"/>
            <w:vAlign w:val="bottom"/>
            <w:shd w:val="clear" w:color="auto" w:fill="9A9A9A"/>
          </w:tcPr>
          <w:p>
            <w:pPr>
              <w:spacing w:after="0"/>
              <w:rPr>
                <w:sz w:val="3"/>
                <w:szCs w:val="3"/>
                <w:color w:val="auto"/>
              </w:rPr>
            </w:pPr>
          </w:p>
        </w:tc>
        <w:tc>
          <w:tcPr>
            <w:tcW w:w="260" w:type="dxa"/>
            <w:vAlign w:val="bottom"/>
            <w:shd w:val="clear" w:color="auto" w:fill="9A9A9A"/>
          </w:tcPr>
          <w:p>
            <w:pPr>
              <w:spacing w:after="0"/>
              <w:rPr>
                <w:sz w:val="3"/>
                <w:szCs w:val="3"/>
                <w:color w:val="auto"/>
              </w:rPr>
            </w:pPr>
          </w:p>
        </w:tc>
        <w:tc>
          <w:tcPr>
            <w:tcW w:w="980" w:type="dxa"/>
            <w:vAlign w:val="bottom"/>
            <w:shd w:val="clear" w:color="auto" w:fill="9A9A9A"/>
          </w:tcPr>
          <w:p>
            <w:pPr>
              <w:spacing w:after="0"/>
              <w:rPr>
                <w:sz w:val="3"/>
                <w:szCs w:val="3"/>
                <w:color w:val="auto"/>
              </w:rPr>
            </w:pPr>
          </w:p>
        </w:tc>
        <w:tc>
          <w:tcPr>
            <w:tcW w:w="1120" w:type="dxa"/>
            <w:vAlign w:val="bottom"/>
            <w:shd w:val="clear" w:color="auto" w:fill="9A9A9A"/>
          </w:tcPr>
          <w:p>
            <w:pPr>
              <w:spacing w:after="0"/>
              <w:rPr>
                <w:sz w:val="3"/>
                <w:szCs w:val="3"/>
                <w:color w:val="auto"/>
              </w:rPr>
            </w:pPr>
          </w:p>
        </w:tc>
        <w:tc>
          <w:tcPr>
            <w:tcW w:w="80" w:type="dxa"/>
            <w:vAlign w:val="bottom"/>
            <w:shd w:val="clear" w:color="auto" w:fill="9A9A9A"/>
          </w:tcPr>
          <w:p>
            <w:pPr>
              <w:spacing w:after="0"/>
              <w:rPr>
                <w:sz w:val="3"/>
                <w:szCs w:val="3"/>
                <w:color w:val="auto"/>
              </w:rPr>
            </w:pPr>
          </w:p>
        </w:tc>
        <w:tc>
          <w:tcPr>
            <w:tcW w:w="3660" w:type="dxa"/>
            <w:vAlign w:val="bottom"/>
            <w:gridSpan w:val="6"/>
            <w:vMerge w:val="restart"/>
          </w:tcPr>
          <w:p>
            <w:pPr>
              <w:jc w:val="center"/>
              <w:ind w:right="115"/>
              <w:spacing w:after="0"/>
              <w:rPr>
                <w:sz w:val="20"/>
                <w:szCs w:val="20"/>
                <w:color w:val="auto"/>
              </w:rPr>
            </w:pPr>
            <w:r>
              <w:rPr>
                <w:rFonts w:ascii="Arial" w:cs="Arial" w:eastAsia="Arial" w:hAnsi="Arial"/>
                <w:sz w:val="13"/>
                <w:szCs w:val="13"/>
                <w:color w:val="auto"/>
                <w:w w:val="96"/>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6"/>
            <w:vMerge w:val="continue"/>
          </w:tcPr>
          <w:p>
            <w:pPr>
              <w:spacing w:after="0"/>
              <w:rPr>
                <w:sz w:val="9"/>
                <w:szCs w:val="9"/>
                <w:color w:val="auto"/>
              </w:rPr>
            </w:pPr>
          </w:p>
        </w:tc>
        <w:tc>
          <w:tcPr>
            <w:tcW w:w="36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98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0000FF"/>
              </w:rPr>
              <w:t>77056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Borders>
              <w:top w:val="single" w:sz="8" w:color="EEEEEE"/>
            </w:tcBorders>
          </w:tcPr>
          <w:p>
            <w:pPr>
              <w:spacing w:after="0"/>
              <w:rPr>
                <w:sz w:val="15"/>
                <w:szCs w:val="15"/>
                <w:color w:val="auto"/>
              </w:rPr>
            </w:pPr>
          </w:p>
        </w:tc>
        <w:tc>
          <w:tcPr>
            <w:tcW w:w="124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(Zip)</w:t>
            </w:r>
          </w:p>
        </w:tc>
        <w:tc>
          <w:tcPr>
            <w:tcW w:w="80" w:type="dxa"/>
            <w:vAlign w:val="bottom"/>
            <w:tcBorders>
              <w:top w:val="single" w:sz="8" w:color="EEEEEE"/>
            </w:tcBorders>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360" w:type="dxa"/>
            <w:vAlign w:val="bottom"/>
            <w:tcBorders>
              <w:bottom w:val="single" w:sz="8" w:color="2C2C2C"/>
            </w:tcBorders>
            <w:gridSpan w:val="8"/>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2"/>
          </w:tcPr>
          <w:p>
            <w:pPr>
              <w:jc w:val="center"/>
              <w:ind w:left="59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5"/>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0" w:type="dxa"/>
            <w:vAlign w:val="bottom"/>
            <w:gridSpan w:val="3"/>
          </w:tcPr>
          <w:p>
            <w:pPr>
              <w:ind w:left="76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58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jc w:val="right"/>
              <w:ind w:right="174"/>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6"/>
                <w:szCs w:val="16"/>
                <w:color w:val="0000FF"/>
              </w:rPr>
              <w:t>01/02/2025</w:t>
            </w:r>
          </w:p>
        </w:tc>
        <w:tc>
          <w:tcPr>
            <w:tcW w:w="10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237,529</w:t>
            </w: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jc w:val="center"/>
              <w:ind w:right="7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238,335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6"/>
                <w:szCs w:val="16"/>
                <w:color w:val="0000FF"/>
              </w:rPr>
              <w:t>01/02/2025</w:t>
            </w:r>
          </w:p>
        </w:tc>
        <w:tc>
          <w:tcPr>
            <w:tcW w:w="10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93,594</w:t>
            </w:r>
            <w:r>
              <w:rPr>
                <w:rFonts w:ascii="Times New Roman" w:cs="Times New Roman" w:eastAsia="Times New Roman" w:hAnsi="Times New Roman"/>
                <w:sz w:val="21"/>
                <w:szCs w:val="21"/>
                <w:color w:val="008000"/>
                <w:vertAlign w:val="superscript"/>
              </w:rPr>
              <w:t>(2)</w:t>
            </w:r>
          </w:p>
        </w:tc>
        <w:tc>
          <w:tcPr>
            <w:tcW w:w="5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72.29</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144,741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804,820</w:t>
            </w:r>
            <w:r>
              <w:rPr>
                <w:rFonts w:ascii="Times New Roman" w:cs="Times New Roman" w:eastAsia="Times New Roman" w:hAnsi="Times New Roman"/>
                <w:sz w:val="21"/>
                <w:szCs w:val="21"/>
                <w:color w:val="008000"/>
                <w:w w:val="96"/>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1"/>
                <w:szCs w:val="21"/>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52,105</w:t>
            </w:r>
          </w:p>
        </w:tc>
        <w:tc>
          <w:tcPr>
            <w:tcW w:w="30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Spousal</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180" w:type="dxa"/>
            <w:vAlign w:val="bottom"/>
            <w:gridSpan w:val="11"/>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80" w:type="dxa"/>
            <w:vAlign w:val="bottom"/>
            <w:gridSpan w:val="9"/>
          </w:tcPr>
          <w:p>
            <w:pPr>
              <w:jc w:val="right"/>
              <w:ind w:right="17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1000" w:type="dxa"/>
            <w:vAlign w:val="bottom"/>
          </w:tcPr>
          <w:p>
            <w:pPr>
              <w:ind w:left="1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w w:val="97"/>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8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ind w:left="18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ind w:left="18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ind w:left="18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8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2021</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Program</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7"/>
                <w:szCs w:val="17"/>
                <w:color w:val="auto"/>
              </w:rPr>
            </w:pP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0000FF"/>
              </w:rPr>
              <w:t>01/02/2025</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100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237,529</w:t>
            </w:r>
          </w:p>
        </w:tc>
        <w:tc>
          <w:tcPr>
            <w:tcW w:w="74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237,529</w:t>
            </w: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9"/>
                <w:szCs w:val="9"/>
                <w:color w:val="0000FF"/>
              </w:rPr>
              <w:t>Performance</w:t>
            </w: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ind w:left="60"/>
              <w:spacing w:after="0" w:line="90" w:lineRule="exact"/>
              <w:rPr>
                <w:sz w:val="20"/>
                <w:szCs w:val="20"/>
                <w:color w:val="auto"/>
              </w:rPr>
            </w:pPr>
            <w:r>
              <w:rPr>
                <w:rFonts w:ascii="Times New Roman" w:cs="Times New Roman" w:eastAsia="Times New Roman" w:hAnsi="Times New Roman"/>
                <w:sz w:val="9"/>
                <w:szCs w:val="9"/>
                <w:color w:val="0000FF"/>
              </w:rPr>
              <w:t>Shares</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Share Units</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5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performance share units ("PSUs") granted on November 1, 2021 under the 2021 Weatherford Accelerating Growth &amp; Efficiency ("WAGE") Program under the Issuer's 2019 Equity Incentive Plan, as amended (the "Plan"). The award vested at 100% based on achievement of performance metrics during the three-year performance period which ended on December 31, 2024.</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PSUs to satisfy the reporting person's tax obligations upon vesting, pursuant to the Plan and the relevant award agreement.</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679,925 ordinary shares previously reported as directly owned by the reporting person.</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 a trust, of which the reporting person and his spouse are the grantors, trustees and beneficiaries.</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 a spousal lifetime access trust, of which the reporting person's spouse is the trustee and beneficiary.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Kathy Medford by Power of</w:t>
            </w:r>
          </w:p>
        </w:tc>
        <w:tc>
          <w:tcPr>
            <w:tcW w:w="160" w:type="dxa"/>
            <w:vAlign w:val="bottom"/>
          </w:tcPr>
          <w:p>
            <w:pPr>
              <w:spacing w:after="0"/>
              <w:rPr>
                <w:sz w:val="16"/>
                <w:szCs w:val="16"/>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w w:val="98"/>
              </w:rPr>
              <w:t>01/03/2025</w:t>
            </w:r>
          </w:p>
        </w:tc>
        <w:tc>
          <w:tcPr>
            <w:tcW w:w="0" w:type="dxa"/>
            <w:vAlign w:val="bottom"/>
          </w:tcPr>
          <w:p>
            <w:pPr>
              <w:spacing w:after="0"/>
              <w:rPr>
                <w:sz w:val="1"/>
                <w:szCs w:val="1"/>
                <w:color w:val="auto"/>
              </w:rPr>
            </w:pPr>
          </w:p>
        </w:tc>
      </w:tr>
      <w:tr>
        <w:trPr>
          <w:trHeight w:val="81"/>
        </w:trPr>
        <w:tc>
          <w:tcPr>
            <w:tcW w:w="58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8"/>
              </w:rPr>
              <w:t>Attorney</w:t>
            </w:r>
          </w:p>
        </w:tc>
        <w:tc>
          <w:tcPr>
            <w:tcW w:w="14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580" w:type="dxa"/>
            <w:vAlign w:val="bottom"/>
            <w:tcBorders>
              <w:bottom w:val="single" w:sz="8" w:color="auto"/>
            </w:tcBorders>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5" w:right="359" w:bottom="1440" w:gutter="0" w:footer="0" w:header="0"/>
          <w:type w:val="continuous"/>
        </w:sectPr>
      </w:pPr>
    </w:p>
    <w:bookmarkStart w:id="1" w:name="page2"/>
    <w:bookmarkEnd w:id="1"/>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152" w:lineRule="exact"/>
        <w:rPr>
          <w:sz w:val="20"/>
          <w:szCs w:val="20"/>
          <w:color w:val="auto"/>
        </w:rPr>
      </w:pPr>
    </w:p>
    <w:p>
      <w:pPr>
        <w:ind w:firstLine="291"/>
        <w:spacing w:after="0" w:line="274"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Scott C. Weatherholt, Christine M. Morrison and Kathy Medford, or any of them signing singly, and with full power of substitution, as the undersigned's true and lawful attorney in fact to:</w:t>
      </w:r>
    </w:p>
    <w:p>
      <w:pPr>
        <w:spacing w:after="0" w:line="95" w:lineRule="exact"/>
        <w:rPr>
          <w:sz w:val="20"/>
          <w:szCs w:val="20"/>
          <w:color w:val="auto"/>
        </w:rPr>
      </w:pPr>
    </w:p>
    <w:p>
      <w:pPr>
        <w:jc w:val="both"/>
        <w:ind w:left="600" w:hanging="308"/>
        <w:spacing w:after="0" w:line="257"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jc w:val="both"/>
        <w:ind w:left="600" w:hanging="308"/>
        <w:spacing w:after="0" w:line="253"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for and on behalf of the undersigned, in the undersigned's capacity as an officer or director of Weatherford International plc (the "Company”), and file with the SEC Forms 3, 4, and 5 (including any successor forms thereto) in accordance with Section 16(a) of the Exchange Act and the rules thereunder, as well as any Forms 144 (including any successor forms thereto), and any amendments to any of the foregoing;</w:t>
      </w:r>
    </w:p>
    <w:p>
      <w:pPr>
        <w:jc w:val="both"/>
        <w:ind w:left="600" w:hanging="308"/>
        <w:spacing w:after="0" w:line="254"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spacing w:after="0" w:line="1" w:lineRule="exact"/>
        <w:rPr>
          <w:rFonts w:ascii="Times New Roman" w:cs="Times New Roman" w:eastAsia="Times New Roman" w:hAnsi="Times New Roman"/>
          <w:sz w:val="19"/>
          <w:szCs w:val="19"/>
          <w:color w:val="auto"/>
        </w:rPr>
      </w:pPr>
    </w:p>
    <w:p>
      <w:pPr>
        <w:jc w:val="both"/>
        <w:ind w:left="600" w:hanging="308"/>
        <w:spacing w:after="0" w:line="262"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106" w:lineRule="exact"/>
        <w:rPr>
          <w:sz w:val="20"/>
          <w:szCs w:val="20"/>
          <w:color w:val="auto"/>
        </w:rPr>
      </w:pPr>
    </w:p>
    <w:p>
      <w:pPr>
        <w:jc w:val="both"/>
        <w:ind w:firstLine="291"/>
        <w:spacing w:after="0" w:line="258" w:lineRule="auto"/>
        <w:rPr>
          <w:sz w:val="20"/>
          <w:szCs w:val="20"/>
          <w:color w:val="auto"/>
        </w:rPr>
      </w:pPr>
      <w:r>
        <w:rPr>
          <w:rFonts w:ascii="Times New Roman" w:cs="Times New Roman" w:eastAsia="Times New Roman" w:hAnsi="Times New Roman"/>
          <w:sz w:val="19"/>
          <w:szCs w:val="19"/>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Exchange Act.</w:t>
      </w:r>
    </w:p>
    <w:p>
      <w:pPr>
        <w:spacing w:after="0" w:line="99" w:lineRule="exact"/>
        <w:rPr>
          <w:sz w:val="20"/>
          <w:szCs w:val="20"/>
          <w:color w:val="auto"/>
        </w:rPr>
      </w:pPr>
    </w:p>
    <w:p>
      <w:pPr>
        <w:jc w:val="both"/>
        <w:ind w:firstLine="291"/>
        <w:spacing w:after="0" w:line="269"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April, 2024.</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1638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389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Girishchandra K. Saligram</w:t>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2885"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2025-01-03T15:43:08Z</dcterms:created>
  <dcterms:modified xsi:type="dcterms:W3CDTF">2025-01-03T15:43:08Z</dcterms:modified>
</cp:coreProperties>
</file>