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2, 2022</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Weatherford International plc</w:t>
      </w:r>
    </w:p>
    <w:p>
      <w:pPr>
        <w:spacing w:after="0" w:line="63" w:lineRule="exact"/>
        <w:rPr>
          <w:sz w:val="24"/>
          <w:szCs w:val="24"/>
          <w:color w:val="auto"/>
        </w:rPr>
      </w:pPr>
    </w:p>
    <w:tbl>
      <w:tblPr>
        <w:tblLayout w:type="fixed"/>
        <w:tblInd w:w="16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7"/>
        </w:trPr>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7"/>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w w:val="98"/>
              </w:rPr>
              <w:t>(Zip Code)</w:t>
            </w:r>
          </w:p>
        </w:tc>
        <w:tc>
          <w:tcPr>
            <w:tcW w:w="820" w:type="dxa"/>
            <w:vAlign w:val="bottom"/>
          </w:tcPr>
          <w:p>
            <w:pPr>
              <w:spacing w:after="0"/>
              <w:rPr>
                <w:sz w:val="19"/>
                <w:szCs w:val="19"/>
                <w:color w:val="auto"/>
              </w:rPr>
            </w:pPr>
          </w:p>
        </w:tc>
      </w:tr>
    </w:tbl>
    <w:p>
      <w:pPr>
        <w:spacing w:after="0" w:line="6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29"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19050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2"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4"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9"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9"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9"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335"/>
        </w:trPr>
        <w:tc>
          <w:tcPr>
            <w:tcW w:w="80" w:type="dxa"/>
            <w:vAlign w:val="bottom"/>
          </w:tcPr>
          <w:p>
            <w:pPr>
              <w:spacing w:after="0"/>
              <w:rPr>
                <w:sz w:val="24"/>
                <w:szCs w:val="24"/>
                <w:color w:val="auto"/>
              </w:rPr>
            </w:pPr>
          </w:p>
        </w:tc>
        <w:tc>
          <w:tcPr>
            <w:tcW w:w="43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7"/>
        </w:trPr>
        <w:tc>
          <w:tcPr>
            <w:tcW w:w="80" w:type="dxa"/>
            <w:vAlign w:val="bottom"/>
          </w:tcPr>
          <w:p>
            <w:pPr>
              <w:spacing w:after="0"/>
              <w:rPr>
                <w:sz w:val="19"/>
                <w:szCs w:val="19"/>
                <w:color w:val="auto"/>
              </w:rPr>
            </w:pPr>
          </w:p>
        </w:tc>
        <w:tc>
          <w:tcPr>
            <w:tcW w:w="43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Ordinary shares, $0.001 par value per share</w:t>
            </w:r>
          </w:p>
        </w:tc>
        <w:tc>
          <w:tcPr>
            <w:tcW w:w="226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WFRD</w:t>
            </w:r>
          </w:p>
        </w:tc>
        <w:tc>
          <w:tcPr>
            <w:tcW w:w="45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0" w:lineRule="exact"/>
        <w:rPr>
          <w:sz w:val="24"/>
          <w:szCs w:val="24"/>
          <w:color w:val="auto"/>
        </w:rPr>
      </w:pPr>
    </w:p>
    <w:p>
      <w:pPr>
        <w:ind w:right="56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06" w:right="359" w:bottom="1440" w:gutter="0" w:footer="0" w:header="0"/>
        </w:sectPr>
      </w:pPr>
    </w:p>
    <w:bookmarkStart w:id="1" w:name="page2"/>
    <w:bookmarkEnd w:id="1"/>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3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2022 Annual General Meeting of Shareholders (the “Annual Meeting”) of Weatherford International plc (the “Company”) was held on June 2,</w:t>
      </w:r>
    </w:p>
    <w:p>
      <w:pPr>
        <w:spacing w:after="0" w:line="48" w:lineRule="exact"/>
        <w:rPr>
          <w:sz w:val="20"/>
          <w:szCs w:val="20"/>
          <w:color w:val="auto"/>
        </w:rPr>
      </w:pPr>
    </w:p>
    <w:p>
      <w:pPr>
        <w:ind w:right="740"/>
        <w:spacing w:after="0" w:line="279" w:lineRule="auto"/>
        <w:rPr>
          <w:sz w:val="20"/>
          <w:szCs w:val="20"/>
          <w:color w:val="auto"/>
        </w:rPr>
      </w:pPr>
      <w:r>
        <w:rPr>
          <w:rFonts w:ascii="Times New Roman" w:cs="Times New Roman" w:eastAsia="Times New Roman" w:hAnsi="Times New Roman"/>
          <w:sz w:val="18"/>
          <w:szCs w:val="18"/>
          <w:color w:val="auto"/>
        </w:rPr>
        <w:t>2022. At the Annual Meeting 63,008,165 ordinary shares, nominal value $0.001 per share, or approximately 89.39%, of the 70,493,949 issued and outstanding ordinary shares entitled to vote at the Annual Meeting were present in person or by proxies.</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Set forth below are the results of the matters voted upon by the shareholders at Annual Meeting.</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Agenda Item</w:t>
            </w:r>
          </w:p>
        </w:tc>
        <w:tc>
          <w:tcPr>
            <w:tcW w:w="14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Votes For</w:t>
            </w:r>
          </w:p>
        </w:tc>
        <w:tc>
          <w:tcPr>
            <w:tcW w:w="16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7"/>
              </w:rPr>
              <w:t>Votes Against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Abstaining</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28"/>
        </w:trPr>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Election of the following directors:</w:t>
            </w:r>
          </w:p>
        </w:tc>
        <w:tc>
          <w:tcPr>
            <w:tcW w:w="14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8"/>
        </w:trPr>
        <w:tc>
          <w:tcPr>
            <w:tcW w:w="74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Benjamin C. Duster IV</w:t>
            </w:r>
          </w:p>
        </w:tc>
        <w:tc>
          <w:tcPr>
            <w:tcW w:w="14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56,945,065</w:t>
            </w:r>
          </w:p>
        </w:tc>
        <w:tc>
          <w:tcPr>
            <w:tcW w:w="16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1,093,500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314,751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4,654,849</w:t>
            </w:r>
          </w:p>
        </w:tc>
      </w:tr>
      <w:tr>
        <w:trPr>
          <w:trHeight w:val="228"/>
        </w:trPr>
        <w:tc>
          <w:tcPr>
            <w:tcW w:w="740" w:type="dxa"/>
            <w:vAlign w:val="bottom"/>
            <w:shd w:val="clear" w:color="auto" w:fill="CCEEFF"/>
          </w:tcPr>
          <w:p>
            <w:pPr>
              <w:spacing w:after="0"/>
              <w:rPr>
                <w:sz w:val="19"/>
                <w:szCs w:val="19"/>
                <w:color w:val="auto"/>
              </w:rPr>
            </w:pPr>
          </w:p>
        </w:tc>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Neal P. Goldman</w:t>
            </w:r>
          </w:p>
        </w:tc>
        <w:tc>
          <w:tcPr>
            <w:tcW w:w="14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w w:val="98"/>
              </w:rPr>
              <w:t>53,857,540</w:t>
            </w:r>
          </w:p>
        </w:tc>
        <w:tc>
          <w:tcPr>
            <w:tcW w:w="16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4,181,902</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313,874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4,654,849</w:t>
            </w:r>
          </w:p>
        </w:tc>
      </w:tr>
      <w:tr>
        <w:trPr>
          <w:trHeight w:val="228"/>
        </w:trPr>
        <w:tc>
          <w:tcPr>
            <w:tcW w:w="74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Jacqueline C. Mutschler</w:t>
            </w:r>
          </w:p>
        </w:tc>
        <w:tc>
          <w:tcPr>
            <w:tcW w:w="14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56,954,971</w:t>
            </w:r>
          </w:p>
        </w:tc>
        <w:tc>
          <w:tcPr>
            <w:tcW w:w="16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1,083,801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314,544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4,654,849</w:t>
            </w:r>
          </w:p>
        </w:tc>
      </w:tr>
      <w:tr>
        <w:trPr>
          <w:trHeight w:val="228"/>
        </w:trPr>
        <w:tc>
          <w:tcPr>
            <w:tcW w:w="740" w:type="dxa"/>
            <w:vAlign w:val="bottom"/>
            <w:shd w:val="clear" w:color="auto" w:fill="CCEEFF"/>
          </w:tcPr>
          <w:p>
            <w:pPr>
              <w:spacing w:after="0"/>
              <w:rPr>
                <w:sz w:val="19"/>
                <w:szCs w:val="19"/>
                <w:color w:val="auto"/>
              </w:rPr>
            </w:pPr>
          </w:p>
        </w:tc>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Girishchandra K. Saligram</w:t>
            </w:r>
          </w:p>
        </w:tc>
        <w:tc>
          <w:tcPr>
            <w:tcW w:w="14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w w:val="98"/>
              </w:rPr>
              <w:t>58,028,052</w:t>
            </w:r>
          </w:p>
        </w:tc>
        <w:tc>
          <w:tcPr>
            <w:tcW w:w="16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11,364</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313,900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4,654,849</w:t>
            </w:r>
          </w:p>
        </w:tc>
      </w:tr>
      <w:tr>
        <w:trPr>
          <w:trHeight w:val="233"/>
        </w:trPr>
        <w:tc>
          <w:tcPr>
            <w:tcW w:w="74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Charles M. Sledge</w:t>
            </w:r>
          </w:p>
        </w:tc>
        <w:tc>
          <w:tcPr>
            <w:tcW w:w="14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57,980,419</w:t>
            </w:r>
          </w:p>
        </w:tc>
        <w:tc>
          <w:tcPr>
            <w:tcW w:w="1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59,007</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313,890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4,654,849</w:t>
            </w:r>
          </w:p>
        </w:tc>
      </w:tr>
      <w:tr>
        <w:trPr>
          <w:trHeight w:val="491"/>
        </w:trPr>
        <w:tc>
          <w:tcPr>
            <w:tcW w:w="7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Votes For</w:t>
            </w:r>
          </w:p>
        </w:tc>
        <w:tc>
          <w:tcPr>
            <w:tcW w:w="16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7"/>
              </w:rPr>
              <w:t>Votes Against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Abstaining</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174"/>
        </w:trPr>
        <w:tc>
          <w:tcPr>
            <w:tcW w:w="7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Item 2.</w:t>
            </w:r>
          </w:p>
        </w:tc>
        <w:tc>
          <w:tcPr>
            <w:tcW w:w="406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8"/>
                <w:szCs w:val="18"/>
                <w:color w:val="auto"/>
              </w:rPr>
              <w:t>Ratify the appointment of KPMG LLP as the</w:t>
            </w:r>
          </w:p>
        </w:tc>
        <w:tc>
          <w:tcPr>
            <w:tcW w:w="1440" w:type="dxa"/>
            <w:vAlign w:val="bottom"/>
            <w:shd w:val="clear" w:color="auto" w:fill="CCEEFF"/>
          </w:tcPr>
          <w:p>
            <w:pPr>
              <w:jc w:val="center"/>
              <w:ind w:right="31"/>
              <w:spacing w:after="0" w:line="175" w:lineRule="exact"/>
              <w:rPr>
                <w:sz w:val="20"/>
                <w:szCs w:val="20"/>
                <w:color w:val="auto"/>
              </w:rPr>
            </w:pPr>
            <w:r>
              <w:rPr>
                <w:rFonts w:ascii="Times New Roman" w:cs="Times New Roman" w:eastAsia="Times New Roman" w:hAnsi="Times New Roman"/>
                <w:sz w:val="18"/>
                <w:szCs w:val="18"/>
                <w:color w:val="auto"/>
                <w:w w:val="98"/>
              </w:rPr>
              <w:t>62,374,064</w:t>
            </w:r>
          </w:p>
        </w:tc>
        <w:tc>
          <w:tcPr>
            <w:tcW w:w="1640" w:type="dxa"/>
            <w:vAlign w:val="bottom"/>
            <w:shd w:val="clear" w:color="auto" w:fill="CCEEFF"/>
          </w:tcPr>
          <w:p>
            <w:pPr>
              <w:jc w:val="center"/>
              <w:ind w:left="11"/>
              <w:spacing w:after="0" w:line="175" w:lineRule="exact"/>
              <w:rPr>
                <w:sz w:val="20"/>
                <w:szCs w:val="20"/>
                <w:color w:val="auto"/>
              </w:rPr>
            </w:pPr>
            <w:r>
              <w:rPr>
                <w:rFonts w:ascii="Times New Roman" w:cs="Times New Roman" w:eastAsia="Times New Roman" w:hAnsi="Times New Roman"/>
                <w:sz w:val="18"/>
                <w:szCs w:val="18"/>
                <w:color w:val="auto"/>
                <w:w w:val="99"/>
              </w:rPr>
              <w:t>204,161</w:t>
            </w:r>
          </w:p>
        </w:tc>
        <w:tc>
          <w:tcPr>
            <w:tcW w:w="17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429,940</w:t>
            </w:r>
          </w:p>
        </w:tc>
        <w:tc>
          <w:tcPr>
            <w:tcW w:w="1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w:t>
            </w:r>
          </w:p>
        </w:tc>
      </w:tr>
      <w:tr>
        <w:trPr>
          <w:trHeight w:val="183"/>
        </w:trPr>
        <w:tc>
          <w:tcPr>
            <w:tcW w:w="740" w:type="dxa"/>
            <w:vAlign w:val="bottom"/>
            <w:shd w:val="clear" w:color="auto" w:fill="CCEEFF"/>
          </w:tcPr>
          <w:p>
            <w:pPr>
              <w:spacing w:after="0"/>
              <w:rPr>
                <w:sz w:val="15"/>
                <w:szCs w:val="15"/>
                <w:color w:val="auto"/>
              </w:rPr>
            </w:pPr>
          </w:p>
        </w:tc>
        <w:tc>
          <w:tcPr>
            <w:tcW w:w="4060" w:type="dxa"/>
            <w:vAlign w:val="bottom"/>
            <w:shd w:val="clear" w:color="auto" w:fill="CCEEFF"/>
          </w:tcPr>
          <w:p>
            <w:pPr>
              <w:ind w:left="200"/>
              <w:spacing w:after="0" w:line="183" w:lineRule="exact"/>
              <w:rPr>
                <w:sz w:val="20"/>
                <w:szCs w:val="20"/>
                <w:color w:val="auto"/>
              </w:rPr>
            </w:pPr>
            <w:r>
              <w:rPr>
                <w:rFonts w:ascii="Times New Roman" w:cs="Times New Roman" w:eastAsia="Times New Roman" w:hAnsi="Times New Roman"/>
                <w:sz w:val="18"/>
                <w:szCs w:val="18"/>
                <w:color w:val="auto"/>
              </w:rPr>
              <w:t>Company’s independent registered public</w:t>
            </w:r>
          </w:p>
        </w:tc>
        <w:tc>
          <w:tcPr>
            <w:tcW w:w="14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79"/>
        </w:trPr>
        <w:tc>
          <w:tcPr>
            <w:tcW w:w="740" w:type="dxa"/>
            <w:vAlign w:val="bottom"/>
            <w:shd w:val="clear" w:color="auto" w:fill="CCEEFF"/>
          </w:tcPr>
          <w:p>
            <w:pPr>
              <w:spacing w:after="0"/>
              <w:rPr>
                <w:sz w:val="15"/>
                <w:szCs w:val="15"/>
                <w:color w:val="auto"/>
              </w:rPr>
            </w:pPr>
          </w:p>
        </w:tc>
        <w:tc>
          <w:tcPr>
            <w:tcW w:w="406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accounting firm and auditor for the financial year</w:t>
            </w:r>
          </w:p>
        </w:tc>
        <w:tc>
          <w:tcPr>
            <w:tcW w:w="14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74"/>
        </w:trPr>
        <w:tc>
          <w:tcPr>
            <w:tcW w:w="740" w:type="dxa"/>
            <w:vAlign w:val="bottom"/>
            <w:shd w:val="clear" w:color="auto" w:fill="CCEEFF"/>
          </w:tcPr>
          <w:p>
            <w:pPr>
              <w:spacing w:after="0"/>
              <w:rPr>
                <w:sz w:val="15"/>
                <w:szCs w:val="15"/>
                <w:color w:val="auto"/>
              </w:rPr>
            </w:pPr>
          </w:p>
        </w:tc>
        <w:tc>
          <w:tcPr>
            <w:tcW w:w="406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8"/>
                <w:szCs w:val="18"/>
                <w:color w:val="auto"/>
              </w:rPr>
              <w:t>ending December 31, 2021 and to authorize the</w:t>
            </w:r>
          </w:p>
        </w:tc>
        <w:tc>
          <w:tcPr>
            <w:tcW w:w="14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74"/>
        </w:trPr>
        <w:tc>
          <w:tcPr>
            <w:tcW w:w="740" w:type="dxa"/>
            <w:vAlign w:val="bottom"/>
            <w:shd w:val="clear" w:color="auto" w:fill="CCEEFF"/>
          </w:tcPr>
          <w:p>
            <w:pPr>
              <w:spacing w:after="0"/>
              <w:rPr>
                <w:sz w:val="15"/>
                <w:szCs w:val="15"/>
                <w:color w:val="auto"/>
              </w:rPr>
            </w:pPr>
          </w:p>
        </w:tc>
        <w:tc>
          <w:tcPr>
            <w:tcW w:w="406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8"/>
                <w:szCs w:val="18"/>
                <w:color w:val="auto"/>
              </w:rPr>
              <w:t>board of directors of the Company, acting through</w:t>
            </w:r>
          </w:p>
        </w:tc>
        <w:tc>
          <w:tcPr>
            <w:tcW w:w="14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83"/>
        </w:trPr>
        <w:tc>
          <w:tcPr>
            <w:tcW w:w="740" w:type="dxa"/>
            <w:vAlign w:val="bottom"/>
            <w:shd w:val="clear" w:color="auto" w:fill="CCEEFF"/>
          </w:tcPr>
          <w:p>
            <w:pPr>
              <w:spacing w:after="0"/>
              <w:rPr>
                <w:sz w:val="15"/>
                <w:szCs w:val="15"/>
                <w:color w:val="auto"/>
              </w:rPr>
            </w:pPr>
          </w:p>
        </w:tc>
        <w:tc>
          <w:tcPr>
            <w:tcW w:w="4060" w:type="dxa"/>
            <w:vAlign w:val="bottom"/>
            <w:shd w:val="clear" w:color="auto" w:fill="CCEEFF"/>
          </w:tcPr>
          <w:p>
            <w:pPr>
              <w:ind w:left="200"/>
              <w:spacing w:after="0" w:line="183" w:lineRule="exact"/>
              <w:rPr>
                <w:sz w:val="20"/>
                <w:szCs w:val="20"/>
                <w:color w:val="auto"/>
              </w:rPr>
            </w:pPr>
            <w:r>
              <w:rPr>
                <w:rFonts w:ascii="Times New Roman" w:cs="Times New Roman" w:eastAsia="Times New Roman" w:hAnsi="Times New Roman"/>
                <w:sz w:val="18"/>
                <w:szCs w:val="18"/>
                <w:color w:val="auto"/>
              </w:rPr>
              <w:t>the Audit Committee, to determine auditor’s</w:t>
            </w:r>
          </w:p>
        </w:tc>
        <w:tc>
          <w:tcPr>
            <w:tcW w:w="14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33"/>
        </w:trPr>
        <w:tc>
          <w:tcPr>
            <w:tcW w:w="740" w:type="dxa"/>
            <w:vAlign w:val="bottom"/>
            <w:shd w:val="clear" w:color="auto" w:fill="CCEEFF"/>
          </w:tcPr>
          <w:p>
            <w:pPr>
              <w:spacing w:after="0"/>
              <w:rPr>
                <w:sz w:val="20"/>
                <w:szCs w:val="20"/>
                <w:color w:val="auto"/>
              </w:rPr>
            </w:pPr>
          </w:p>
        </w:tc>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remuneration.</w:t>
            </w:r>
          </w:p>
        </w:tc>
        <w:tc>
          <w:tcPr>
            <w:tcW w:w="14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497"/>
        </w:trPr>
        <w:tc>
          <w:tcPr>
            <w:tcW w:w="7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Votes For</w:t>
            </w:r>
          </w:p>
        </w:tc>
        <w:tc>
          <w:tcPr>
            <w:tcW w:w="16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7"/>
              </w:rPr>
              <w:t>Votes Against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Abstaining</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174"/>
        </w:trPr>
        <w:tc>
          <w:tcPr>
            <w:tcW w:w="7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Item 3.</w:t>
            </w:r>
          </w:p>
        </w:tc>
        <w:tc>
          <w:tcPr>
            <w:tcW w:w="406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8"/>
                <w:szCs w:val="18"/>
                <w:color w:val="auto"/>
              </w:rPr>
              <w:t>Approve, in an advisory vote, the compensation of</w:t>
            </w:r>
          </w:p>
        </w:tc>
        <w:tc>
          <w:tcPr>
            <w:tcW w:w="1440" w:type="dxa"/>
            <w:vAlign w:val="bottom"/>
            <w:shd w:val="clear" w:color="auto" w:fill="CCEEFF"/>
          </w:tcPr>
          <w:p>
            <w:pPr>
              <w:jc w:val="center"/>
              <w:ind w:right="31"/>
              <w:spacing w:after="0" w:line="175" w:lineRule="exact"/>
              <w:rPr>
                <w:sz w:val="20"/>
                <w:szCs w:val="20"/>
                <w:color w:val="auto"/>
              </w:rPr>
            </w:pPr>
            <w:r>
              <w:rPr>
                <w:rFonts w:ascii="Times New Roman" w:cs="Times New Roman" w:eastAsia="Times New Roman" w:hAnsi="Times New Roman"/>
                <w:sz w:val="18"/>
                <w:szCs w:val="18"/>
                <w:color w:val="auto"/>
                <w:w w:val="98"/>
              </w:rPr>
              <w:t>50,304,372</w:t>
            </w:r>
          </w:p>
        </w:tc>
        <w:tc>
          <w:tcPr>
            <w:tcW w:w="1640" w:type="dxa"/>
            <w:vAlign w:val="bottom"/>
            <w:shd w:val="clear" w:color="auto" w:fill="CCEEFF"/>
          </w:tcPr>
          <w:p>
            <w:pPr>
              <w:jc w:val="center"/>
              <w:ind w:left="31"/>
              <w:spacing w:after="0" w:line="175" w:lineRule="exact"/>
              <w:rPr>
                <w:sz w:val="20"/>
                <w:szCs w:val="20"/>
                <w:color w:val="auto"/>
              </w:rPr>
            </w:pPr>
            <w:r>
              <w:rPr>
                <w:rFonts w:ascii="Times New Roman" w:cs="Times New Roman" w:eastAsia="Times New Roman" w:hAnsi="Times New Roman"/>
                <w:sz w:val="18"/>
                <w:szCs w:val="18"/>
                <w:color w:val="auto"/>
                <w:w w:val="99"/>
              </w:rPr>
              <w:t>7,526,423</w:t>
            </w:r>
          </w:p>
        </w:tc>
        <w:tc>
          <w:tcPr>
            <w:tcW w:w="17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522,521</w:t>
            </w:r>
          </w:p>
        </w:tc>
        <w:tc>
          <w:tcPr>
            <w:tcW w:w="1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4,654,849</w:t>
            </w:r>
          </w:p>
        </w:tc>
      </w:tr>
      <w:tr>
        <w:trPr>
          <w:trHeight w:val="242"/>
        </w:trPr>
        <w:tc>
          <w:tcPr>
            <w:tcW w:w="740" w:type="dxa"/>
            <w:vAlign w:val="bottom"/>
            <w:shd w:val="clear" w:color="auto" w:fill="CCEEFF"/>
          </w:tcPr>
          <w:p>
            <w:pPr>
              <w:spacing w:after="0"/>
              <w:rPr>
                <w:sz w:val="21"/>
                <w:szCs w:val="21"/>
                <w:color w:val="auto"/>
              </w:rPr>
            </w:pPr>
          </w:p>
        </w:tc>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Company’s names executive officers.</w:t>
            </w:r>
          </w:p>
        </w:tc>
        <w:tc>
          <w:tcPr>
            <w:tcW w:w="14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492"/>
        </w:trPr>
        <w:tc>
          <w:tcPr>
            <w:tcW w:w="7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4"/>
              </w:rPr>
              <w:t>1 Year</w:t>
            </w:r>
          </w:p>
        </w:tc>
        <w:tc>
          <w:tcPr>
            <w:tcW w:w="1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2 Years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Abstaining</w:t>
            </w:r>
          </w:p>
        </w:tc>
      </w:tr>
      <w:tr>
        <w:trPr>
          <w:trHeight w:val="179"/>
        </w:trPr>
        <w:tc>
          <w:tcPr>
            <w:tcW w:w="7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Item 4.</w:t>
            </w:r>
          </w:p>
        </w:tc>
        <w:tc>
          <w:tcPr>
            <w:tcW w:w="4060" w:type="dxa"/>
            <w:vAlign w:val="bottom"/>
          </w:tcPr>
          <w:p>
            <w:pPr>
              <w:ind w:left="200"/>
              <w:spacing w:after="0" w:line="180" w:lineRule="exact"/>
              <w:rPr>
                <w:sz w:val="20"/>
                <w:szCs w:val="20"/>
                <w:color w:val="auto"/>
              </w:rPr>
            </w:pPr>
            <w:r>
              <w:rPr>
                <w:rFonts w:ascii="Times New Roman" w:cs="Times New Roman" w:eastAsia="Times New Roman" w:hAnsi="Times New Roman"/>
                <w:sz w:val="18"/>
                <w:szCs w:val="18"/>
                <w:color w:val="auto"/>
              </w:rPr>
              <w:t>Recommend, in an advisory vote, whether a</w:t>
            </w:r>
          </w:p>
        </w:tc>
        <w:tc>
          <w:tcPr>
            <w:tcW w:w="1440" w:type="dxa"/>
            <w:vAlign w:val="bottom"/>
          </w:tcPr>
          <w:p>
            <w:pPr>
              <w:jc w:val="center"/>
              <w:ind w:right="31"/>
              <w:spacing w:after="0" w:line="180" w:lineRule="exact"/>
              <w:rPr>
                <w:sz w:val="20"/>
                <w:szCs w:val="20"/>
                <w:color w:val="auto"/>
              </w:rPr>
            </w:pPr>
            <w:r>
              <w:rPr>
                <w:rFonts w:ascii="Times New Roman" w:cs="Times New Roman" w:eastAsia="Times New Roman" w:hAnsi="Times New Roman"/>
                <w:sz w:val="18"/>
                <w:szCs w:val="18"/>
                <w:color w:val="auto"/>
                <w:w w:val="98"/>
              </w:rPr>
              <w:t>57,559,709</w:t>
            </w:r>
          </w:p>
        </w:tc>
        <w:tc>
          <w:tcPr>
            <w:tcW w:w="1640" w:type="dxa"/>
            <w:vAlign w:val="bottom"/>
          </w:tcPr>
          <w:p>
            <w:pPr>
              <w:jc w:val="center"/>
              <w:ind w:left="31"/>
              <w:spacing w:after="0" w:line="180" w:lineRule="exact"/>
              <w:rPr>
                <w:sz w:val="20"/>
                <w:szCs w:val="20"/>
                <w:color w:val="auto"/>
              </w:rPr>
            </w:pPr>
            <w:r>
              <w:rPr>
                <w:rFonts w:ascii="Times New Roman" w:cs="Times New Roman" w:eastAsia="Times New Roman" w:hAnsi="Times New Roman"/>
                <w:sz w:val="18"/>
                <w:szCs w:val="18"/>
                <w:color w:val="auto"/>
                <w:w w:val="98"/>
              </w:rPr>
              <w:t>6,101</w:t>
            </w: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459,248</w:t>
            </w:r>
          </w:p>
        </w:tc>
        <w:tc>
          <w:tcPr>
            <w:tcW w:w="16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328,258</w:t>
            </w:r>
          </w:p>
        </w:tc>
      </w:tr>
      <w:tr>
        <w:trPr>
          <w:trHeight w:val="203"/>
        </w:trPr>
        <w:tc>
          <w:tcPr>
            <w:tcW w:w="740" w:type="dxa"/>
            <w:vAlign w:val="bottom"/>
          </w:tcPr>
          <w:p>
            <w:pPr>
              <w:spacing w:after="0"/>
              <w:rPr>
                <w:sz w:val="17"/>
                <w:szCs w:val="17"/>
                <w:color w:val="auto"/>
              </w:rPr>
            </w:pPr>
          </w:p>
        </w:tc>
        <w:tc>
          <w:tcPr>
            <w:tcW w:w="406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shareholder vote to approve the compensation of</w:t>
            </w:r>
          </w:p>
        </w:tc>
        <w:tc>
          <w:tcPr>
            <w:tcW w:w="14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-238760</wp:posOffset>
            </wp:positionV>
            <wp:extent cx="7132955" cy="485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485775"/>
                    </a:xfrm>
                    <a:prstGeom prst="rect">
                      <a:avLst/>
                    </a:prstGeom>
                    <a:noFill/>
                  </pic:spPr>
                </pic:pic>
              </a:graphicData>
            </a:graphic>
          </wp:anchor>
        </w:drawing>
      </w:r>
    </w:p>
    <w:p>
      <w:pPr>
        <w:ind w:left="940"/>
        <w:spacing w:after="0" w:line="202" w:lineRule="auto"/>
        <w:rPr>
          <w:sz w:val="20"/>
          <w:szCs w:val="20"/>
          <w:color w:val="auto"/>
        </w:rPr>
      </w:pPr>
      <w:r>
        <w:rPr>
          <w:rFonts w:ascii="Times New Roman" w:cs="Times New Roman" w:eastAsia="Times New Roman" w:hAnsi="Times New Roman"/>
          <w:sz w:val="18"/>
          <w:szCs w:val="18"/>
          <w:color w:val="auto"/>
        </w:rPr>
        <w:t>the Company’s named executive Officers should</w:t>
      </w:r>
    </w:p>
    <w:p>
      <w:pPr>
        <w:ind w:left="940"/>
        <w:spacing w:after="0"/>
        <w:rPr>
          <w:sz w:val="20"/>
          <w:szCs w:val="20"/>
          <w:color w:val="auto"/>
        </w:rPr>
      </w:pPr>
      <w:r>
        <w:rPr>
          <w:rFonts w:ascii="Times New Roman" w:cs="Times New Roman" w:eastAsia="Times New Roman" w:hAnsi="Times New Roman"/>
          <w:sz w:val="18"/>
          <w:szCs w:val="18"/>
          <w:color w:val="auto"/>
        </w:rPr>
        <w:t>occur every one, two or three years.</w:t>
      </w:r>
    </w:p>
    <w:p>
      <w:pPr>
        <w:spacing w:after="0" w:line="323" w:lineRule="exact"/>
        <w:rPr>
          <w:sz w:val="20"/>
          <w:szCs w:val="20"/>
          <w:color w:val="auto"/>
        </w:rPr>
      </w:pPr>
    </w:p>
    <w:p>
      <w:pPr>
        <w:ind w:right="40" w:firstLine="403"/>
        <w:spacing w:after="0" w:line="259" w:lineRule="auto"/>
        <w:rPr>
          <w:sz w:val="20"/>
          <w:szCs w:val="20"/>
          <w:color w:val="auto"/>
        </w:rPr>
      </w:pPr>
      <w:r>
        <w:rPr>
          <w:rFonts w:ascii="Times New Roman" w:cs="Times New Roman" w:eastAsia="Times New Roman" w:hAnsi="Times New Roman"/>
          <w:sz w:val="18"/>
          <w:szCs w:val="18"/>
          <w:color w:val="auto"/>
        </w:rPr>
        <w:t>The Board considered the outcome of the vote on Item 4 above and, consistent with its recommendation to shareholders, determined that the Company will hold future non-binding advisory votes to approve the compensation of the Company’s named executive officers every year until the Board otherwise determines that a different frequency for such non-binding advisory votes is in the best interest of the Company or until the next required vote on the frequency of such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530860</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3" w:lineRule="exact"/>
        <w:rPr>
          <w:sz w:val="20"/>
          <w:szCs w:val="20"/>
          <w:color w:val="auto"/>
        </w:rPr>
      </w:pPr>
    </w:p>
    <w:p>
      <w:pPr>
        <w:ind w:right="360" w:firstLine="443"/>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June 3, 2022</w:t>
      </w:r>
    </w:p>
    <w:p>
      <w:pPr>
        <w:spacing w:after="0" w:line="2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Scott C. Weatherholt</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General Counsel and Chief Compliance Officer</w:t>
      </w:r>
    </w:p>
    <w:sectPr>
      <w:pgSz w:w="11900" w:h="16838" w:orient="portrait"/>
      <w:cols w:equalWidth="0" w:num="1">
        <w:col w:w="11020"/>
      </w:cols>
      <w:pgMar w:left="320" w:top="88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2022-06-03T07:12:18Z</dcterms:created>
  <dcterms:modified xsi:type="dcterms:W3CDTF">2022-06-03T07:12:18Z</dcterms:modified>
</cp:coreProperties>
</file>