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tbl>
      <w:tblPr>
        <w:tblW w:w="4928" w:type="dxa"/>
        <w:jc w:val="center"/>
        <w:tblInd w:w="0" w:type="dxa"/>
        <w:tblLayout w:type="fixed"/>
        <w:tblCellMar>
          <w:top w:w="28" w:type="dxa"/>
          <w:left w:w="28" w:type="dxa"/>
          <w:bottom w:w="28" w:type="dxa"/>
          <w:right w:w="28" w:type="dxa"/>
        </w:tblCellMar>
      </w:tblPr>
      <w:tblGrid>
        <w:gridCol w:w="124"/>
        <w:gridCol w:w="109"/>
        <w:gridCol w:w="109"/>
        <w:gridCol w:w="1403"/>
        <w:gridCol w:w="1403"/>
        <w:gridCol w:w="14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center"/>
        <w:tblInd w:w="0" w:type="dxa"/>
        <w:tblLayout w:type="fixed"/>
        <w:tblCellMar>
          <w:top w:w="28" w:type="dxa"/>
          <w:left w:w="28" w:type="dxa"/>
          <w:bottom w:w="28" w:type="dxa"/>
          <w:right w:w="28" w:type="dxa"/>
        </w:tblCellMar>
      </w:tblPr>
      <w:tblGrid>
        <w:gridCol w:w="380"/>
        <w:gridCol w:w="334"/>
        <w:gridCol w:w="336"/>
        <w:gridCol w:w="109"/>
        <w:gridCol w:w="109"/>
        <w:gridCol w:w="109"/>
        <w:gridCol w:w="195"/>
        <w:gridCol w:w="195"/>
        <w:gridCol w:w="196"/>
        <w:gridCol w:w="174"/>
        <w:gridCol w:w="174"/>
        <w:gridCol w:w="17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Form</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103"/>
        <w:gridCol w:w="1103"/>
        <w:gridCol w:w="1047"/>
        <w:gridCol w:w="1058"/>
        <w:gridCol w:w="1030"/>
        <w:gridCol w:w="1030"/>
        <w:gridCol w:w="1030"/>
        <w:gridCol w:w="1030"/>
        <w:gridCol w:w="1058"/>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__________________________________to __________________________________</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001-36504</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9242" w:type="dxa"/>
        <w:jc w:val="center"/>
        <w:tblInd w:w="0" w:type="dxa"/>
        <w:tblLayout w:type="fixed"/>
        <w:tblCellMar>
          <w:top w:w="28" w:type="dxa"/>
          <w:left w:w="28" w:type="dxa"/>
          <w:bottom w:w="28" w:type="dxa"/>
          <w:right w:w="28" w:type="dxa"/>
        </w:tblCellMar>
      </w:tblPr>
      <w:tblGrid>
        <w:gridCol w:w="684"/>
        <w:gridCol w:w="603"/>
        <w:gridCol w:w="603"/>
        <w:gridCol w:w="333"/>
        <w:gridCol w:w="333"/>
        <w:gridCol w:w="333"/>
        <w:gridCol w:w="333"/>
        <w:gridCol w:w="333"/>
        <w:gridCol w:w="333"/>
        <w:gridCol w:w="333"/>
        <w:gridCol w:w="333"/>
        <w:gridCol w:w="333"/>
        <w:gridCol w:w="333"/>
        <w:gridCol w:w="333"/>
        <w:gridCol w:w="333"/>
        <w:gridCol w:w="109"/>
        <w:gridCol w:w="109"/>
        <w:gridCol w:w="109"/>
        <w:gridCol w:w="884"/>
        <w:gridCol w:w="884"/>
        <w:gridCol w:w="1261"/>
      </w:tblGrid>
      <w:tr>
        <w:trPr/>
        <w:tc>
          <w:tcPr>
            <w:tcW w:w="68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8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58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ind w:left="0" w:right="0" w:firstLine="36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713.836.4000 </w:t>
      </w:r>
    </w:p>
    <w:tbl>
      <w:tblPr>
        <w:tblW w:w="7743" w:type="dxa"/>
        <w:jc w:val="center"/>
        <w:tblInd w:w="0" w:type="dxa"/>
        <w:tblLayout w:type="fixed"/>
        <w:tblCellMar>
          <w:top w:w="28" w:type="dxa"/>
          <w:left w:w="28" w:type="dxa"/>
          <w:bottom w:w="28" w:type="dxa"/>
          <w:right w:w="28" w:type="dxa"/>
        </w:tblCellMar>
      </w:tblPr>
      <w:tblGrid>
        <w:gridCol w:w="124"/>
        <w:gridCol w:w="109"/>
        <w:gridCol w:w="109"/>
        <w:gridCol w:w="781"/>
        <w:gridCol w:w="781"/>
        <w:gridCol w:w="781"/>
        <w:gridCol w:w="781"/>
        <w:gridCol w:w="781"/>
        <w:gridCol w:w="781"/>
        <w:gridCol w:w="781"/>
        <w:gridCol w:w="781"/>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ind w:left="0" w:right="0" w:firstLine="450"/>
        <w:jc w:val="both"/>
        <w:rPr/>
      </w:pPr>
      <w:r>
        <w:rPr/>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582"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60" w:after="1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17, 2025, there were 72,556,148 Weatherford ordinary shares, $0.001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both"/>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public limited company</w:t>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Form 10-Q for the First Quarter Ended March 31, 2025 </w:t>
      </w:r>
    </w:p>
    <w:tbl>
      <w:tblPr>
        <w:tblW w:w="8810" w:type="dxa"/>
        <w:jc w:val="left"/>
        <w:tblInd w:w="0" w:type="dxa"/>
        <w:tblLayout w:type="fixed"/>
        <w:tblCellMar>
          <w:top w:w="28" w:type="dxa"/>
          <w:left w:w="28" w:type="dxa"/>
          <w:bottom w:w="28" w:type="dxa"/>
          <w:right w:w="28" w:type="dxa"/>
        </w:tblCellMar>
      </w:tblPr>
      <w:tblGrid>
        <w:gridCol w:w="1483"/>
        <w:gridCol w:w="1298"/>
        <w:gridCol w:w="1298"/>
        <w:gridCol w:w="1298"/>
        <w:gridCol w:w="1298"/>
        <w:gridCol w:w="1318"/>
        <w:gridCol w:w="235"/>
        <w:gridCol w:w="235"/>
        <w:gridCol w:w="347"/>
      </w:tblGrid>
      <w:tr>
        <w:trPr/>
        <w:tc>
          <w:tcPr>
            <w:tcW w:w="148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8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0">
              <w:r>
                <w:rPr>
                  <w:rStyle w:val="InternetLink"/>
                  <w:rFonts w:ascii="Times New Roman;sans-serif" w:hAnsi="Times New Roman;sans-serif"/>
                  <w:b/>
                  <w:color w:val="0000FF"/>
                  <w:sz w:val="20"/>
                  <w:u w:val="single"/>
                </w:rPr>
                <w:t>PART I – FINANCIAL INFORMATION</w:t>
              </w:r>
            </w:hyperlink>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3">
              <w:r>
                <w:rPr>
                  <w:rStyle w:val="InternetLink"/>
                  <w:rFonts w:ascii="Times New Roman;sans-serif" w:hAnsi="Times New Roman;sans-serif"/>
                  <w:b w:val="false"/>
                  <w:color w:val="0000FF"/>
                  <w:sz w:val="20"/>
                  <w:u w:val="single"/>
                </w:rPr>
                <w:t>Item 1. Financial Statements.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13">
              <w:r>
                <w:rPr>
                  <w:rStyle w:val="InternetLink"/>
                  <w:rFonts w:ascii="Times New Roman;sans-serif" w:hAnsi="Times New Roman;sans-serif"/>
                  <w:b w:val="false"/>
                  <w:color w:val="0000FF"/>
                  <w:sz w:val="20"/>
                  <w:u w:val="single"/>
                </w:rPr>
                <w:t>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0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106">
              <w:r>
                <w:rPr>
                  <w:rStyle w:val="InternetLink"/>
                  <w:rFonts w:ascii="Times New Roman;sans-serif" w:hAnsi="Times New Roman;sans-serif"/>
                  <w:b w:val="false"/>
                  <w:color w:val="0000FF"/>
                  <w:sz w:val="20"/>
                  <w:u w:val="single"/>
                </w:rPr>
                <w:t>18</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96">
              <w:r>
                <w:rPr>
                  <w:rStyle w:val="InternetLink"/>
                  <w:rFonts w:ascii="Times New Roman;sans-serif" w:hAnsi="Times New Roman;sans-serif"/>
                  <w:b w:val="false"/>
                  <w:color w:val="0000FF"/>
                  <w:sz w:val="20"/>
                  <w:u w:val="single"/>
                </w:rPr>
                <w:t>Item 3. Quantitative and Qualitative Disclosures About Market Risk.</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196">
              <w:r>
                <w:rPr>
                  <w:rStyle w:val="InternetLink"/>
                  <w:rFonts w:ascii="Times New Roman;sans-serif" w:hAnsi="Times New Roman;sans-serif"/>
                  <w:b w:val="false"/>
                  <w:color w:val="0000FF"/>
                  <w:sz w:val="20"/>
                  <w:u w:val="single"/>
                </w:rPr>
                <w:t>29</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99">
              <w:r>
                <w:rPr>
                  <w:rStyle w:val="InternetLink"/>
                  <w:rFonts w:ascii="Times New Roman;sans-serif" w:hAnsi="Times New Roman;sans-serif"/>
                  <w:b w:val="false"/>
                  <w:color w:val="0000FF"/>
                  <w:sz w:val="20"/>
                  <w:u w:val="single"/>
                </w:rPr>
                <w:t>Item 4. Controls and Procedures.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199">
              <w:r>
                <w:rPr>
                  <w:rStyle w:val="InternetLink"/>
                  <w:rFonts w:ascii="Times New Roman;sans-serif" w:hAnsi="Times New Roman;sans-serif"/>
                  <w:b w:val="false"/>
                  <w:color w:val="0000FF"/>
                  <w:sz w:val="20"/>
                  <w:u w:val="single"/>
                </w:rPr>
                <w:t>30</w:t>
              </w:r>
            </w:hyperlink>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199">
              <w:r>
                <w:rPr>
                  <w:rStyle w:val="InternetLink"/>
                  <w:rFonts w:ascii="Times New Roman;sans-serif" w:hAnsi="Times New Roman;sans-serif"/>
                  <w:b/>
                  <w:color w:val="0000FF"/>
                  <w:sz w:val="20"/>
                  <w:u w:val="single"/>
                </w:rPr>
                <w:t>PART II –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05">
              <w:r>
                <w:rPr>
                  <w:rStyle w:val="InternetLink"/>
                  <w:rFonts w:ascii="Times New Roman;sans-serif" w:hAnsi="Times New Roman;sans-serif"/>
                  <w:b w:val="false"/>
                  <w:color w:val="0000FF"/>
                  <w:sz w:val="20"/>
                  <w:u w:val="single"/>
                </w:rPr>
                <w:t>Item 1. Legal Proceedings.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05">
              <w:r>
                <w:rPr>
                  <w:rStyle w:val="InternetLink"/>
                  <w:rFonts w:ascii="Times New Roman;sans-serif" w:hAnsi="Times New Roman;sans-serif"/>
                  <w:b w:val="false"/>
                  <w:color w:val="0000FF"/>
                  <w:sz w:val="20"/>
                  <w:u w:val="single"/>
                </w:rPr>
                <w:t>30</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08">
              <w:r>
                <w:rPr>
                  <w:rStyle w:val="InternetLink"/>
                  <w:rFonts w:ascii="Times New Roman;sans-serif" w:hAnsi="Times New Roman;sans-serif"/>
                  <w:b w:val="false"/>
                  <w:color w:val="0000FF"/>
                  <w:sz w:val="20"/>
                  <w:u w:val="single"/>
                </w:rPr>
                <w:t>Item 1A. Risk Factors.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08">
              <w:r>
                <w:rPr>
                  <w:rStyle w:val="InternetLink"/>
                  <w:rFonts w:ascii="Times New Roman;sans-serif" w:hAnsi="Times New Roman;sans-serif"/>
                  <w:b w:val="false"/>
                  <w:color w:val="0000FF"/>
                  <w:sz w:val="20"/>
                  <w:u w:val="single"/>
                </w:rPr>
                <w:t>30</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11">
              <w:r>
                <w:rPr>
                  <w:rStyle w:val="InternetLink"/>
                  <w:rFonts w:ascii="Times New Roman;sans-serif" w:hAnsi="Times New Roman;sans-serif"/>
                  <w:b w:val="false"/>
                  <w:color w:val="0000FF"/>
                  <w:sz w:val="20"/>
                  <w:u w:val="single"/>
                </w:rPr>
                <w:t>Item 2. Unregistered Sales of Equity Securities and Use of Proceeds.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11">
              <w:r>
                <w:rPr>
                  <w:rStyle w:val="InternetLink"/>
                  <w:rFonts w:ascii="Times New Roman;sans-serif" w:hAnsi="Times New Roman;sans-serif"/>
                  <w:b w:val="false"/>
                  <w:color w:val="0000FF"/>
                  <w:sz w:val="20"/>
                  <w:u w:val="single"/>
                </w:rPr>
                <w:t>30</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14">
              <w:r>
                <w:rPr>
                  <w:rStyle w:val="InternetLink"/>
                  <w:rFonts w:ascii="Times New Roman;sans-serif" w:hAnsi="Times New Roman;sans-serif"/>
                  <w:b w:val="false"/>
                  <w:color w:val="0000FF"/>
                  <w:sz w:val="20"/>
                  <w:u w:val="single"/>
                </w:rPr>
                <w:t>Item 3. Defaults Upon Senior Securities.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14">
              <w:r>
                <w:rPr>
                  <w:rStyle w:val="InternetLink"/>
                  <w:rFonts w:ascii="Times New Roman;sans-serif" w:hAnsi="Times New Roman;sans-serif"/>
                  <w:b w:val="false"/>
                  <w:color w:val="0000FF"/>
                  <w:sz w:val="20"/>
                  <w:u w:val="single"/>
                </w:rPr>
                <w:t>30</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17">
              <w:r>
                <w:rPr>
                  <w:rStyle w:val="InternetLink"/>
                  <w:rFonts w:ascii="Times New Roman;sans-serif" w:hAnsi="Times New Roman;sans-serif"/>
                  <w:b w:val="false"/>
                  <w:color w:val="0000FF"/>
                  <w:sz w:val="20"/>
                  <w:u w:val="single"/>
                </w:rPr>
                <w:t>Item 4. Mine Safety Disclosures</w:t>
              </w:r>
            </w:hyperlink>
            <w:r>
              <w:rPr>
                <w:rFonts w:ascii="Times New Roman;sans-serif" w:hAnsi="Times New Roman;sans-serif"/>
                <w:b w:val="false"/>
                <w:color w:val="000000"/>
                <w:sz w:val="20"/>
              </w:rPr>
              <w:t>.</w:t>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17">
              <w:r>
                <w:rPr>
                  <w:rStyle w:val="InternetLink"/>
                  <w:rFonts w:ascii="Times New Roman;sans-serif" w:hAnsi="Times New Roman;sans-serif"/>
                  <w:b w:val="false"/>
                  <w:color w:val="0000FF"/>
                  <w:sz w:val="20"/>
                  <w:u w:val="single"/>
                </w:rPr>
                <w:t>31</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20">
              <w:r>
                <w:rPr>
                  <w:rStyle w:val="InternetLink"/>
                  <w:rFonts w:ascii="Times New Roman;sans-serif" w:hAnsi="Times New Roman;sans-serif"/>
                  <w:b w:val="false"/>
                  <w:color w:val="0000FF"/>
                  <w:sz w:val="20"/>
                  <w:u w:val="single"/>
                </w:rPr>
                <w:t>Item 5. Other Information.</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20">
              <w:r>
                <w:rPr>
                  <w:rStyle w:val="InternetLink"/>
                  <w:rFonts w:ascii="Times New Roman;sans-serif" w:hAnsi="Times New Roman;sans-serif"/>
                  <w:b w:val="false"/>
                  <w:color w:val="0000FF"/>
                  <w:sz w:val="20"/>
                  <w:u w:val="single"/>
                </w:rPr>
                <w:t>31</w:t>
              </w:r>
            </w:hyperlink>
          </w:p>
        </w:tc>
      </w:tr>
      <w:tr>
        <w:trPr/>
        <w:tc>
          <w:tcPr>
            <w:tcW w:w="79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23">
              <w:r>
                <w:rPr>
                  <w:rStyle w:val="InternetLink"/>
                  <w:rFonts w:ascii="Times New Roman;sans-serif" w:hAnsi="Times New Roman;sans-serif"/>
                  <w:b w:val="false"/>
                  <w:color w:val="0000FF"/>
                  <w:sz w:val="20"/>
                  <w:u w:val="single"/>
                </w:rPr>
                <w:t>Item 6. Exhibits.</w:t>
              </w:r>
            </w:hyperlink>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23">
              <w:r>
                <w:rPr>
                  <w:rStyle w:val="InternetLink"/>
                  <w:rFonts w:ascii="Times New Roman;sans-serif" w:hAnsi="Times New Roman;sans-serif"/>
                  <w:b w:val="false"/>
                  <w:color w:val="0000FF"/>
                  <w:sz w:val="20"/>
                  <w:u w:val="single"/>
                </w:rPr>
                <w:t>32</w:t>
              </w:r>
            </w:hyperlink>
          </w:p>
        </w:tc>
      </w:tr>
      <w:tr>
        <w:trPr/>
        <w:tc>
          <w:tcPr>
            <w:tcW w:w="799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00bffc6fdd1400ca39529fe3bea0fd7_226">
              <w:r>
                <w:rPr>
                  <w:rStyle w:val="InternetLink"/>
                  <w:rFonts w:ascii="Times New Roman;sans-serif" w:hAnsi="Times New Roman;sans-serif"/>
                  <w:b w:val="false"/>
                  <w:color w:val="0000FF"/>
                  <w:sz w:val="20"/>
                  <w:u w:val="single"/>
                </w:rPr>
                <w:t>SIGNATURES</w:t>
              </w:r>
            </w:hyperlink>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00bffc6fdd1400ca39529fe3bea0fd7_226">
              <w:r>
                <w:rPr>
                  <w:rStyle w:val="InternetLink"/>
                  <w:rFonts w:ascii="Times New Roman;sans-serif" w:hAnsi="Times New Roman;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
        <w:ind w:left="0" w:right="0" w:firstLine="360"/>
        <w:jc w:val="center"/>
        <w:rPr/>
      </w:pPr>
      <w:r>
        <w:rPr>
          <w:rFonts w:ascii="Times New Roman;sans-serif" w:hAnsi="Times New Roman;sans-serif"/>
          <w:b/>
          <w:color w:val="000000"/>
          <w:sz w:val="20"/>
        </w:rPr>
        <w:t xml:space="preserve">PART I </w:t>
      </w:r>
      <w:r>
        <w:rPr>
          <w:color w:val="000000"/>
        </w:rPr>
        <w:t xml:space="preserve">– </w:t>
      </w: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7105" w:type="dxa"/>
        <w:jc w:val="center"/>
        <w:tblInd w:w="0" w:type="dxa"/>
        <w:tblLayout w:type="fixed"/>
        <w:tblCellMar>
          <w:top w:w="28" w:type="dxa"/>
          <w:left w:w="28" w:type="dxa"/>
          <w:bottom w:w="28" w:type="dxa"/>
          <w:right w:w="28" w:type="dxa"/>
        </w:tblCellMar>
      </w:tblPr>
      <w:tblGrid>
        <w:gridCol w:w="1759"/>
        <w:gridCol w:w="1547"/>
        <w:gridCol w:w="1553"/>
        <w:gridCol w:w="238"/>
        <w:gridCol w:w="576"/>
        <w:gridCol w:w="123"/>
        <w:gridCol w:w="238"/>
        <w:gridCol w:w="576"/>
        <w:gridCol w:w="123"/>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Revenue: </w:t>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$11 and $14</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C2C2C"/>
                <w:sz w:val="20"/>
              </w:rPr>
            </w:pPr>
            <w:r>
              <w:rPr>
                <w:rFonts w:ascii="Times New Roman;sans-serif" w:hAnsi="Times New Roman;sans-serif"/>
                <w:b w:val="false"/>
                <w:color w:val="2C2C2C"/>
                <w:sz w:val="20"/>
              </w:rPr>
              <w:t>(29)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Taxes </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Weatherford</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per Share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98780"/>
                <wp:effectExtent l="0" t="0" r="0" b="0"/>
                <wp:wrapNone/>
                <wp:docPr id="3" name="Frame3"/>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6791" w:type="dxa"/>
        <w:jc w:val="center"/>
        <w:tblInd w:w="0" w:type="dxa"/>
        <w:tblLayout w:type="fixed"/>
        <w:tblCellMar>
          <w:top w:w="28" w:type="dxa"/>
          <w:left w:w="28" w:type="dxa"/>
          <w:bottom w:w="28" w:type="dxa"/>
          <w:right w:w="28" w:type="dxa"/>
        </w:tblCellMar>
      </w:tblPr>
      <w:tblGrid>
        <w:gridCol w:w="1645"/>
        <w:gridCol w:w="1444"/>
        <w:gridCol w:w="1456"/>
        <w:gridCol w:w="251"/>
        <w:gridCol w:w="556"/>
        <w:gridCol w:w="130"/>
        <w:gridCol w:w="251"/>
        <w:gridCol w:w="556"/>
        <w:gridCol w:w="130"/>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Attributable to Weatherford</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98780"/>
                <wp:effectExtent l="0" t="0" r="0" b="0"/>
                <wp:wrapNone/>
                <wp:docPr id="4" name="Frame4"/>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58"/>
        <w:gridCol w:w="2298"/>
        <w:gridCol w:w="2307"/>
        <w:gridCol w:w="326"/>
        <w:gridCol w:w="827"/>
        <w:gridCol w:w="145"/>
        <w:gridCol w:w="309"/>
        <w:gridCol w:w="903"/>
        <w:gridCol w:w="232"/>
      </w:tblGrid>
      <w:tr>
        <w:trPr/>
        <w:tc>
          <w:tcPr>
            <w:tcW w:w="285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7463"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par value)</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March 31, 2025</w:t>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$8 at March 31, 2025 and $8 at December 31, 2024</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$1,011 at March 31, 2025 and $940 at December 31, 2024</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 of Accumulated Amortization of $809 at March 31, 2025 and $793 at December 31, 2024</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Taxes Payable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Par Value $0.001; Authorized 1,356 shares, Issued and Outstanding 72.6 shares at March 31, 2025 and 72.1 at December 31, 2024</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98780"/>
                <wp:effectExtent l="0" t="0" r="0" b="0"/>
                <wp:wrapNone/>
                <wp:docPr id="5" name="Frame5"/>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9943" w:type="dxa"/>
        <w:jc w:val="center"/>
        <w:tblInd w:w="0" w:type="dxa"/>
        <w:tblLayout w:type="fixed"/>
        <w:tblCellMar>
          <w:top w:w="28" w:type="dxa"/>
          <w:left w:w="28" w:type="dxa"/>
          <w:bottom w:w="28" w:type="dxa"/>
          <w:right w:w="28" w:type="dxa"/>
        </w:tblCellMar>
      </w:tblPr>
      <w:tblGrid>
        <w:gridCol w:w="2570"/>
        <w:gridCol w:w="2259"/>
        <w:gridCol w:w="2281"/>
        <w:gridCol w:w="371"/>
        <w:gridCol w:w="797"/>
        <w:gridCol w:w="206"/>
        <w:gridCol w:w="371"/>
        <w:gridCol w:w="797"/>
        <w:gridCol w:w="291"/>
      </w:tblGrid>
      <w:tr>
        <w:trPr/>
        <w:tc>
          <w:tcPr>
            <w:tcW w:w="257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Foreign Exchange Losses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Disposition of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Accounts Receivable, Inventory, Accounts Payable and Accrued Salaries and Benefits:</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Accounts Receivable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Inventories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ans-serif" w:hAnsi="Times New Roman;sans-serif"/>
                <w:b w:val="false"/>
                <w:color w:val="000000"/>
                <w:sz w:val="18"/>
              </w:rPr>
              <w:t>Accounts Payable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Accrued Salaries and Benefits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Changes,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for Property, Plant and Equipment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Acquisitions, Net of Cash Acquired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Investments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Remittance on Equity Awards Vested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0" w:name="if5469b5c874b490e86817999d8e0a08d_57-0-1"/>
            <w:bookmarkEnd w:id="0"/>
            <w:r>
              <w:rPr>
                <w:rFonts w:ascii="Times New Roman;sans-serif" w:hAnsi="Times New Roman;sans-serif"/>
                <w:b w:val="false"/>
                <w:color w:val="000000"/>
                <w:sz w:val="18"/>
              </w:rPr>
              <w:t>Income Taxes Paid, Net of Refunds</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844,702 Ordinary Shares Issued for Acquisitions as of March 31, 2024</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8780"/>
                <wp:effectExtent l="0" t="0" r="0" b="0"/>
                <wp:wrapNone/>
                <wp:docPr id="6" name="Frame6"/>
                <a:graphic xmlns:a="http://schemas.openxmlformats.org/drawingml/2006/main">
                  <a:graphicData uri="http://schemas.microsoft.com/office/word/2010/wordprocessingShape">
                    <wps:wsp>
                      <wps:cNvSpPr txBox="1"/>
                      <wps:spPr>
                        <a:xfrm>
                          <a:off x="0" y="0"/>
                          <a:ext cx="6480175" cy="398780"/>
                        </a:xfrm>
                        <a:prstGeom prst="rect"/>
                        <a:solidFill>
                          <a:srgbClr val="FFFFFF"/>
                        </a:solidFill>
                      </wps:spPr>
                      <wps:txb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6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360"/>
        <w:jc w:val="center"/>
        <w:rPr/>
      </w:pPr>
      <w:r>
        <w:rPr/>
      </w:r>
    </w:p>
    <w:p>
      <w:pPr>
        <w:pStyle w:val="TextBody"/>
        <w:bidi w:val="0"/>
        <w:spacing w:lineRule="auto" w:line="288" w:before="60" w:after="283"/>
        <w:ind w:left="0" w:right="0" w:firstLine="360"/>
        <w:jc w:val="both"/>
        <w:rPr/>
      </w:pPr>
      <w:hyperlink w:anchor="ib00bffc6fdd1400ca39529fe3bea0fd7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 – Basis of Presentation and Summary of Significant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of Weatherford International plc (the “Company,” “Weatherford,” “we,” “us,” or “our”) have been prepared in accordance with generally accepted accounting principles in the United States of America (“U.S. GAAP”) and pursuant to the rules and regulations of the Securities and Exchange Commission (“SEC”) for interim financial information. Accordingly, certain information and disclosures normally included in our annual consolidated financial statements have been condensed or omitted. Therefore, these unaudited Condensed Consolidated Financial Statements should be read in conjunction with our audited Consolidated Financial Statements included in our Form 10-K for the year ended December 31, 2024 (“2024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us to make estimates and assumptions that affect the reported amounts of assets and liabilities at the date of the Condensed Consolidated Financial Statements and the reported amounts of revenue and expenses during the reporting period. Ultimate results could differ from our estimates.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Condensed Consolidated Financial Statements reflect all adjustments considered necessary by management to fairly state the results of operations, financial position and cash flows of Weatherford and its subsidiaries for the periods presented and are not necessarily indicative of the results that may be expected for a full year. Our financial statements have been prepared on a consolidated basis. Under this basis, our financial statements consolidate all wholly owned subsidiaries and controlled joint ventures. All intercompany accounts and transactions have been eliminated.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2024 Form 10-K for the discussion on our significant accounting policies. Certain reclassifications have been made to these Condensed Consolidated Financial Statements and accompanying footnotes for the three months ended March 31, 2024 to conform to the presentation for the three months ended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Accounting Standards Issued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1 – Summary of Significant Accounting Policies” of our Consolidated Financial Statements from our 2024 Form 10-K for the discussion on accounting pronouncements that have been issued but not yet effective for the interim periods presented that are not expected to have a material impact on our financial position or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Evaluations of all other new accounting pronouncements that have been issued, but not yet effective are on-going, and at this time are not expected to have a material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 – Segment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information by segment is summarized below. The accounting policies of the segments are the same as those described in the summary of significant accounting policies as presented in our 2024 Form 10-K. We have three reportable segments: (1) Drilling and Evaluation “DRE”, (2) Well Construction and Completions “WCC”, and (3) Production and Intervention “PRI”.</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our chief executive officer, uses segment adjusted EBITDA to measure the profitability of each segment. The regularly reviewed historical, current and forecasted segment adjusted EBITDA data is utilized by the CODM to allocate Company resources. The CODM also uses segment adjusted EBITDA to drive efficiencies and develop competitive strategies. Segment adjusted EBITDA is based on segment earnings before interest, taxes, depreciation, amortization, share-based compensation expense and other adjustments.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360"/>
        <w:jc w:val="both"/>
        <w:rPr/>
      </w:pPr>
      <w:r>
        <w:rPr/>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6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DRE</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WCC</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 Costs</w:t>
            </w:r>
            <w:r>
              <w:rPr>
                <w:rFonts w:ascii="Times New Roman;sans-serif" w:hAnsi="Times New Roman;sans-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ans-serif" w:hAnsi="Times New Roman;sans-serif"/>
          <w:b w:val="false"/>
          <w:color w:val="000000"/>
          <w:sz w:val="18"/>
        </w:rPr>
        <w:t>(b)Segment selling, general and administrative and research and development costs</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DRE</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WCC</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 Costs</w:t>
            </w:r>
            <w:r>
              <w:rPr>
                <w:rFonts w:ascii="Times New Roman;sans-serif" w:hAnsi="Times New Roman;sans-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(a)Segment cost of sales and direct operating costs.</w:t>
      </w:r>
    </w:p>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(b)Segment selling, general and administrative and research and development costs.</w:t>
      </w:r>
    </w:p>
    <w:p>
      <w:pPr>
        <w:pStyle w:val="TextBody"/>
        <w:bidi w:val="0"/>
        <w:spacing w:before="0" w:after="0"/>
        <w:jc w:val="left"/>
        <w:rPr/>
      </w:pPr>
      <w:r>
        <w:rPr/>
      </w:r>
    </w:p>
    <w:tbl>
      <w:tblPr>
        <w:tblW w:w="5952" w:type="dxa"/>
        <w:jc w:val="left"/>
        <w:tblInd w:w="0" w:type="dxa"/>
        <w:tblLayout w:type="fixed"/>
        <w:tblCellMar>
          <w:top w:w="28" w:type="dxa"/>
          <w:left w:w="28" w:type="dxa"/>
          <w:bottom w:w="28" w:type="dxa"/>
          <w:right w:w="28" w:type="dxa"/>
        </w:tblCellMar>
      </w:tblPr>
      <w:tblGrid>
        <w:gridCol w:w="1129"/>
        <w:gridCol w:w="991"/>
        <w:gridCol w:w="999"/>
        <w:gridCol w:w="425"/>
        <w:gridCol w:w="727"/>
        <w:gridCol w:w="219"/>
        <w:gridCol w:w="425"/>
        <w:gridCol w:w="727"/>
        <w:gridCol w:w="310"/>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4"/>
        <w:gridCol w:w="1098"/>
        <w:gridCol w:w="1108"/>
        <w:gridCol w:w="589"/>
        <w:gridCol w:w="1725"/>
        <w:gridCol w:w="303"/>
        <w:gridCol w:w="207"/>
        <w:gridCol w:w="207"/>
        <w:gridCol w:w="207"/>
        <w:gridCol w:w="695"/>
        <w:gridCol w:w="2040"/>
        <w:gridCol w:w="362"/>
        <w:gridCol w:w="109"/>
        <w:gridCol w:w="109"/>
        <w:gridCol w:w="162"/>
      </w:tblGrid>
      <w:tr>
        <w:trPr/>
        <w:tc>
          <w:tcPr>
            <w:tcW w:w="128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2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vAlign w:val="center"/>
          </w:tcPr>
          <w:p>
            <w:pPr>
              <w:pStyle w:val="TableContents"/>
              <w:bidi w:val="0"/>
              <w:spacing w:before="0" w:after="283"/>
              <w:jc w:val="left"/>
              <w:rPr>
                <w:sz w:val="4"/>
                <w:szCs w:val="4"/>
              </w:rPr>
            </w:pPr>
            <w:r>
              <w:rPr>
                <w:sz w:val="4"/>
                <w:szCs w:val="4"/>
              </w:rPr>
            </w:r>
          </w:p>
        </w:tc>
        <w:tc>
          <w:tcPr>
            <w:tcW w:w="261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0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color w:val="000000"/>
                <w:sz w:val="13"/>
              </w:rPr>
              <w:t>(a)</w:t>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Corporate and other total assets primarily include cash and cash equivalents, certain intangible assets, and centrally managed or shared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PP&amp;E, Net and Operating Lease Assets by Geographic Area</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U.S. accounted for 23% and 22%, respectively, and the Kingdom of Saudi Arabia accounted for 12% and 11%, respectively, of our PP&amp;E, Net and operating lease assets identifiable by geography. No other country accounted for more than 10% of our PP&amp;E, Net and operating lease assets identifiable by geography as of March 31, 2025 and December 31, 2024. We had no PP&amp;E, Net and operating lease assets in our country of domicile (Ireland) as of March 31, 2025, and December 31, 2024.</w:t>
      </w:r>
    </w:p>
    <w:p>
      <w:pPr>
        <w:pStyle w:val="TextBody"/>
        <w:bidi w:val="0"/>
        <w:spacing w:before="0" w:after="0"/>
        <w:ind w:left="0" w:right="0" w:firstLine="270"/>
        <w:jc w:val="both"/>
        <w:rPr/>
      </w:pPr>
      <w:r>
        <w:rPr/>
      </w:r>
    </w:p>
    <w:tbl>
      <w:tblPr>
        <w:tblW w:w="8512"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324"/>
        <w:gridCol w:w="948"/>
        <w:gridCol w:w="167"/>
        <w:gridCol w:w="109"/>
        <w:gridCol w:w="109"/>
        <w:gridCol w:w="109"/>
        <w:gridCol w:w="380"/>
        <w:gridCol w:w="1110"/>
        <w:gridCol w:w="279"/>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North America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PP&amp;E, Net and Operating Lease Assets by Geography </w:t>
            </w:r>
            <w:r>
              <w:rPr>
                <w:rFonts w:ascii="Times New Roman;sans-serif" w:hAnsi="Times New Roman;sans-serif"/>
                <w:b w:val="false"/>
                <w:color w:val="000000"/>
                <w:sz w:val="13"/>
              </w:rPr>
              <w:t>(b)</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12" w:type="dxa"/>
            <w:gridSpan w:val="15"/>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North America consists of the U.S. and Canada.</w:t>
            </w:r>
          </w:p>
        </w:tc>
      </w:tr>
      <w:tr>
        <w:trPr/>
        <w:tc>
          <w:tcPr>
            <w:tcW w:w="8512"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Corporate assets not allocated by geography are excluded from this total.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our revenue from contracts with customers by geographic area and includes equipment rental revenue. Equipment rental revenues were $35 million in the three months ended March 31, 2025 and $34 million for the three months ended March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U.S. and the Kingdom of Saudi Arabia accounted for 16% and 11% of total revenue, respectively. During the three months ended March 31, 2024, the U.S. and the Kingdom of Saudi Arabia accounted for 15% and 10% of total revenue, respectively. In addition during the three months ended March 31, 2024, Mexico accounted for 14% of total revenue, driven by our largest customer, which accounted for 12% of our total revenue. No other country accounted for more than 10% of our revenue in the periods presented.</w:t>
      </w:r>
    </w:p>
    <w:tbl>
      <w:tblPr>
        <w:tblW w:w="7299" w:type="dxa"/>
        <w:jc w:val="center"/>
        <w:tblInd w:w="0" w:type="dxa"/>
        <w:tblLayout w:type="fixed"/>
        <w:tblCellMar>
          <w:top w:w="28" w:type="dxa"/>
          <w:left w:w="28" w:type="dxa"/>
          <w:bottom w:w="28" w:type="dxa"/>
          <w:right w:w="28" w:type="dxa"/>
        </w:tblCellMar>
      </w:tblPr>
      <w:tblGrid>
        <w:gridCol w:w="1497"/>
        <w:gridCol w:w="1315"/>
        <w:gridCol w:w="1327"/>
        <w:gridCol w:w="314"/>
        <w:gridCol w:w="918"/>
        <w:gridCol w:w="162"/>
        <w:gridCol w:w="314"/>
        <w:gridCol w:w="918"/>
        <w:gridCol w:w="162"/>
        <w:gridCol w:w="109"/>
        <w:gridCol w:w="109"/>
        <w:gridCol w:w="154"/>
      </w:tblGrid>
      <w:tr>
        <w:trPr/>
        <w:tc>
          <w:tcPr>
            <w:tcW w:w="14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 by Geographic Areas: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North America </w:t>
            </w:r>
            <w:r>
              <w:rPr>
                <w:rFonts w:ascii="Times New Roman;sans-serif" w:hAnsi="Times New Roman;sans-serif"/>
                <w:b w:val="false"/>
                <w:color w:val="000000"/>
                <w:sz w:val="13"/>
              </w:rPr>
              <w:t>(a)</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East/North Africa/Asia</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Europe/Sub-Sahara Africa/Russia</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100" w:after="283"/>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North America consists of the U.S. and Canada.</w:t>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revenue recognition, billings, and cash collections results in the recording of accounts receivable, contract assets, and contract liabilities. The following table summarizes these balances as of March 31, 2025 and December 31, 2024:</w:t>
      </w:r>
    </w:p>
    <w:tbl>
      <w:tblPr>
        <w:tblW w:w="8683" w:type="dxa"/>
        <w:jc w:val="left"/>
        <w:tblInd w:w="0" w:type="dxa"/>
        <w:tblLayout w:type="fixed"/>
        <w:tblCellMar>
          <w:top w:w="28" w:type="dxa"/>
          <w:left w:w="28" w:type="dxa"/>
          <w:bottom w:w="28" w:type="dxa"/>
          <w:right w:w="28" w:type="dxa"/>
        </w:tblCellMar>
      </w:tblPr>
      <w:tblGrid>
        <w:gridCol w:w="1981"/>
        <w:gridCol w:w="1739"/>
        <w:gridCol w:w="1755"/>
        <w:gridCol w:w="324"/>
        <w:gridCol w:w="948"/>
        <w:gridCol w:w="167"/>
        <w:gridCol w:w="380"/>
        <w:gridCol w:w="1110"/>
        <w:gridCol w:w="279"/>
      </w:tblGrid>
      <w:tr>
        <w:trPr/>
        <w:tc>
          <w:tcPr>
            <w:tcW w:w="198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Product and Services in 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Equipment Rentals in Account Receivable, Net</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Current Assets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Non-Current Assets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Current Liabilities</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Non-Current Liabilities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4 – Restructuring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were $29 million and $3 million in the three months ended March 31, 2025 and March 31, 2024, respectively, and presented as “Restructuring Charges” on the accompanying Condensed Consolidated Statements of Operations. These charges were related to optimization and efficiency initiatives throughout the organization and primarily relates to severance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liabilities were $47 million as of March 31, 2025 and $35 million as of December 31, 2024. Of the restructuring liabilities $42 million and $31 million are recorded in “Other Current Liabilities” on the accompanying Consolidated Balance Sheets as of March 31, 2025 and December 31, 2024, respectively. The remaining $5 million and $4 million are recorded in “Other Non-Current Liabilities” on the accompanying Consolidated Balance Sheets as of March 31, 2025 and December 31, 2024, respectively. Changes in the liability are primarily driven by restructuring charges and cash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restructuring charges by segment and All Other in the three months ended March 31, 2025 and 2024:</w:t>
      </w:r>
    </w:p>
    <w:p>
      <w:pPr>
        <w:pStyle w:val="TextBody"/>
        <w:bidi w:val="0"/>
        <w:spacing w:before="0" w:after="0"/>
        <w:ind w:left="0" w:right="0" w:firstLine="360"/>
        <w:jc w:val="both"/>
        <w:rPr/>
      </w:pPr>
      <w:r>
        <w:rPr/>
      </w:r>
    </w:p>
    <w:tbl>
      <w:tblPr>
        <w:tblW w:w="5576" w:type="dxa"/>
        <w:jc w:val="left"/>
        <w:tblInd w:w="0" w:type="dxa"/>
        <w:tblLayout w:type="fixed"/>
        <w:tblCellMar>
          <w:top w:w="28" w:type="dxa"/>
          <w:left w:w="28" w:type="dxa"/>
          <w:bottom w:w="28" w:type="dxa"/>
          <w:right w:w="28" w:type="dxa"/>
        </w:tblCellMar>
      </w:tblPr>
      <w:tblGrid>
        <w:gridCol w:w="874"/>
        <w:gridCol w:w="767"/>
        <w:gridCol w:w="774"/>
        <w:gridCol w:w="418"/>
        <w:gridCol w:w="716"/>
        <w:gridCol w:w="216"/>
        <w:gridCol w:w="418"/>
        <w:gridCol w:w="805"/>
        <w:gridCol w:w="216"/>
        <w:gridCol w:w="109"/>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Charges</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5 – Inventories, Net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net of reserves of $119 million and $115 million as of March 31, 2025 and December 31, 2024, respectively, are presented by category in the table below: </w:t>
      </w:r>
    </w:p>
    <w:tbl>
      <w:tblPr>
        <w:tblW w:w="8412" w:type="dxa"/>
        <w:jc w:val="center"/>
        <w:tblInd w:w="0" w:type="dxa"/>
        <w:tblLayout w:type="fixed"/>
        <w:tblCellMar>
          <w:top w:w="28" w:type="dxa"/>
          <w:left w:w="28" w:type="dxa"/>
          <w:bottom w:w="28" w:type="dxa"/>
          <w:right w:w="28" w:type="dxa"/>
        </w:tblCellMar>
      </w:tblPr>
      <w:tblGrid>
        <w:gridCol w:w="1883"/>
        <w:gridCol w:w="1653"/>
        <w:gridCol w:w="1668"/>
        <w:gridCol w:w="386"/>
        <w:gridCol w:w="854"/>
        <w:gridCol w:w="199"/>
        <w:gridCol w:w="448"/>
        <w:gridCol w:w="992"/>
        <w:gridCol w:w="329"/>
      </w:tblGrid>
      <w:tr>
        <w:trPr/>
        <w:tc>
          <w:tcPr>
            <w:tcW w:w="18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 Components and Supplies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inventory reserves includes inventory charges primarily offset by the disposal of inventory previously reserved. The charges are recorded in “Cost of Products” on our Condensed Consolidated Statements of Operations in the amount of $5 million and $6 million during the three months ended March 31, 2025 and March 31, 2024, respectively.</w:t>
      </w:r>
    </w:p>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6 – Intangibles,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10205" w:type="dxa"/>
        <w:jc w:val="center"/>
        <w:tblInd w:w="0" w:type="dxa"/>
        <w:tblLayout w:type="fixed"/>
        <w:tblCellMar>
          <w:top w:w="28" w:type="dxa"/>
          <w:left w:w="28" w:type="dxa"/>
          <w:bottom w:w="28" w:type="dxa"/>
          <w:right w:w="28" w:type="dxa"/>
        </w:tblCellMar>
      </w:tblPr>
      <w:tblGrid>
        <w:gridCol w:w="2780"/>
        <w:gridCol w:w="2353"/>
        <w:gridCol w:w="2355"/>
        <w:gridCol w:w="325"/>
        <w:gridCol w:w="719"/>
        <w:gridCol w:w="167"/>
        <w:gridCol w:w="380"/>
        <w:gridCol w:w="843"/>
        <w:gridCol w:w="283"/>
      </w:tblGrid>
      <w:tr>
        <w:trPr/>
        <w:tc>
          <w:tcPr>
            <w:tcW w:w="278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7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4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 Net of Accumulated Amortization of $598 at March 31, 2025 and $592 at December 31, 2024</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Net of Accumulated Amortization of $211 at March 31, 2025 and $201 at December 31, 2024</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Net of Accumulated Amortization of $809 at March 31, 2025 and $793 at December 31, 2024</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$14 million and $41 million for the three months ended March 31, 2025 and March 31, 2024, respectively, and is reported in “Selling, General and Administrative” on our Condensed Consolidated Statements of Operations. The decrease in amortization expense was primarily due to full amortization of certain intangible assets as of December 31, 2024.</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7 – Borrowings and Other Debt Obligations</w:t>
      </w:r>
    </w:p>
    <w:tbl>
      <w:tblPr>
        <w:tblW w:w="7900" w:type="dxa"/>
        <w:jc w:val="center"/>
        <w:tblInd w:w="0" w:type="dxa"/>
        <w:tblLayout w:type="fixed"/>
        <w:tblCellMar>
          <w:top w:w="28" w:type="dxa"/>
          <w:left w:w="28" w:type="dxa"/>
          <w:bottom w:w="28" w:type="dxa"/>
          <w:right w:w="28" w:type="dxa"/>
        </w:tblCellMar>
      </w:tblPr>
      <w:tblGrid>
        <w:gridCol w:w="1579"/>
        <w:gridCol w:w="1387"/>
        <w:gridCol w:w="1399"/>
        <w:gridCol w:w="324"/>
        <w:gridCol w:w="948"/>
        <w:gridCol w:w="167"/>
        <w:gridCol w:w="109"/>
        <w:gridCol w:w="109"/>
        <w:gridCol w:w="109"/>
        <w:gridCol w:w="380"/>
        <w:gridCol w:w="1110"/>
        <w:gridCol w:w="279"/>
      </w:tblGrid>
      <w:tr>
        <w:trPr/>
        <w:tc>
          <w:tcPr>
            <w:tcW w:w="15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Finance Leases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 “2030 Senior Notes”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Leases </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2028 Senior Secured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Weatherford International Ltd. (“Weatherford Bermuda”) issued 6.50% senior secured notes in aggregate principal amount of $500 million maturing September 15, 2028. Interest was payable semiannually on September 15 and March 15 of each year, and commenced on March 15, 2022. Proceeds from the issuance were reduced by debt issuance costs. During the three months ended March 31, 2024 we redeemed $167 million of the then outstanding $248 million of principal. During the three months ended June 30, 2024 we fully redeemed the remaining principal amount.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2021, Weatherford Bermuda issued 8.625% senior notes in aggregate principal amount of $1.6 billion maturing April 30, 2030 (the “2030 Senior Notes”). Interest is payable semiannually on June 1 and December 1 of each year, and commenced on June 1, 2022. On December 1, 2022, the indenture related to our 2030 Senior Notes was amended and supplemented to add Weatherford International, LLC (“Weatherford Delaware”) as co-issuer and co-obligor, and concurrently release the guarantee of Weatherford Delaware. In the first quarter of 2025, we repurchased $34 million in principal of our 2030 Senior Notes. At March 31, 2025, the carrying value represents the remaining unpaid principal of $1.56 billion, offset by unamortized deferred issuance cost of $11 million. At December 31, 2024, the carrying value represented the remaining principal of $1.6 billion, offset by unamortized deferred issuance cost of $11 million.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March 31, 2025 and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zero borrowings outstanding under the Credit Agreement and $397 million of letters of credit outstanding. The letters of credit consisted of $277 million for performance letters of credit, $6 million for financial letters of credit under the Credit Agreement and $114 million letters of credit under various uncommitted bi-lateral facilities ($48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zero borrowings outstanding under the Credit Agreement and $382 million of letters of credit outstanding. The letters of credit consisted of $279 million for performance letters of credit, $12 million for financial letters of credit under the Credit Agreement and $91 million letters of credit under various uncommitted bi-lateral facilities ($49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Fair Value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 The table below presents the fair value and carrying value of our long-term debt (excluding finance leases).</w:t>
      </w:r>
    </w:p>
    <w:tbl>
      <w:tblPr>
        <w:tblW w:w="9024" w:type="dxa"/>
        <w:jc w:val="center"/>
        <w:tblInd w:w="0" w:type="dxa"/>
        <w:tblLayout w:type="fixed"/>
        <w:tblCellMar>
          <w:top w:w="28" w:type="dxa"/>
          <w:left w:w="28" w:type="dxa"/>
          <w:bottom w:w="28" w:type="dxa"/>
          <w:right w:w="28" w:type="dxa"/>
        </w:tblCellMar>
      </w:tblPr>
      <w:tblGrid>
        <w:gridCol w:w="1351"/>
        <w:gridCol w:w="1187"/>
        <w:gridCol w:w="1197"/>
        <w:gridCol w:w="324"/>
        <w:gridCol w:w="948"/>
        <w:gridCol w:w="167"/>
        <w:gridCol w:w="230"/>
        <w:gridCol w:w="671"/>
        <w:gridCol w:w="118"/>
        <w:gridCol w:w="109"/>
        <w:gridCol w:w="109"/>
        <w:gridCol w:w="109"/>
        <w:gridCol w:w="324"/>
        <w:gridCol w:w="948"/>
        <w:gridCol w:w="167"/>
        <w:gridCol w:w="229"/>
        <w:gridCol w:w="669"/>
        <w:gridCol w:w="167"/>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 xml:space="preserve">8 – Disputes, Litigation and Legal Contingencies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9 – Shareholders’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Shares issued and outstanding on our Condensed Consolidated Balance Sheets increased from 72.1 million as of December 31, 2024 to 72.6 million as of March 31, 2025. The increase was due to the issuance of 1.3 million of our ordinary shares for equity awards vested and delivered, net of shares withheld for taxes, partially offset by the cancellation of 0.8 million of our ordinary shares repurchased for $53 million under our $500 million share repurchase program.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declared and paid $18 million in dividends and accrued an immaterial amount of dividend equivalent rights on share-based awards.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our shareholders’ equity activity for the three months ended March 31, 2025 and 2024: </w:t>
      </w:r>
    </w:p>
    <w:tbl>
      <w:tblPr>
        <w:tblW w:w="10205" w:type="dxa"/>
        <w:jc w:val="left"/>
        <w:tblInd w:w="0" w:type="dxa"/>
        <w:tblLayout w:type="fixed"/>
        <w:tblCellMar>
          <w:top w:w="28" w:type="dxa"/>
          <w:left w:w="28" w:type="dxa"/>
          <w:bottom w:w="28" w:type="dxa"/>
          <w:right w:w="28" w:type="dxa"/>
        </w:tblCellMar>
      </w:tblPr>
      <w:tblGrid>
        <w:gridCol w:w="773"/>
        <w:gridCol w:w="250"/>
        <w:gridCol w:w="252"/>
        <w:gridCol w:w="277"/>
        <w:gridCol w:w="277"/>
        <w:gridCol w:w="278"/>
        <w:gridCol w:w="109"/>
        <w:gridCol w:w="109"/>
        <w:gridCol w:w="109"/>
        <w:gridCol w:w="196"/>
        <w:gridCol w:w="407"/>
        <w:gridCol w:w="109"/>
        <w:gridCol w:w="200"/>
        <w:gridCol w:w="567"/>
        <w:gridCol w:w="111"/>
        <w:gridCol w:w="109"/>
        <w:gridCol w:w="109"/>
        <w:gridCol w:w="109"/>
        <w:gridCol w:w="196"/>
        <w:gridCol w:w="571"/>
        <w:gridCol w:w="109"/>
        <w:gridCol w:w="109"/>
        <w:gridCol w:w="109"/>
        <w:gridCol w:w="109"/>
        <w:gridCol w:w="346"/>
        <w:gridCol w:w="770"/>
        <w:gridCol w:w="193"/>
        <w:gridCol w:w="109"/>
        <w:gridCol w:w="109"/>
        <w:gridCol w:w="109"/>
        <w:gridCol w:w="463"/>
        <w:gridCol w:w="605"/>
        <w:gridCol w:w="259"/>
        <w:gridCol w:w="109"/>
        <w:gridCol w:w="109"/>
        <w:gridCol w:w="109"/>
        <w:gridCol w:w="271"/>
        <w:gridCol w:w="772"/>
        <w:gridCol w:w="153"/>
        <w:gridCol w:w="165"/>
      </w:tblGrid>
      <w:tr>
        <w:trPr/>
        <w:tc>
          <w:tcPr>
            <w:tcW w:w="7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(Dollars in millions)</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Retained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and Vested, Net of Shares Withheld for Taxes</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Repurchases</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Dividends Declared ($0.25 per share)</w:t>
            </w:r>
            <w:r>
              <w:rPr>
                <w:color w:val="000000"/>
              </w:rPr>
              <w:t xml:space="preserve"> </w:t>
            </w:r>
            <w:r>
              <w:rPr>
                <w:rFonts w:ascii="Times New Roman;sans-serif" w:hAnsi="Times New Roman;sans-serif"/>
                <w:b w:val="false"/>
                <w:color w:val="000000"/>
                <w:sz w:val="12"/>
              </w:rPr>
              <w:t>(1)</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2025</w:t>
            </w:r>
          </w:p>
        </w:tc>
        <w:tc>
          <w:tcPr>
            <w:tcW w:w="5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40" w:type="dxa"/>
            <w:gridSpan w:val="3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dividend equivalents on share-based awards.</w:t>
            </w:r>
          </w:p>
        </w:tc>
        <w:tc>
          <w:tcPr>
            <w:tcW w:w="165" w:type="dxa"/>
            <w:tcBorders/>
            <w:vAlign w:val="center"/>
          </w:tcPr>
          <w:p>
            <w:pPr>
              <w:pStyle w:val="TableContents"/>
              <w:bidi w:val="0"/>
              <w:spacing w:before="0" w:after="283"/>
              <w:jc w:val="left"/>
              <w:rPr>
                <w:sz w:val="4"/>
                <w:szCs w:val="4"/>
              </w:rPr>
            </w:pPr>
            <w:r>
              <w:rPr>
                <w:sz w:val="4"/>
                <w:szCs w:val="4"/>
              </w:rPr>
            </w:r>
          </w:p>
        </w:tc>
      </w:tr>
    </w:tbl>
    <w:tbl>
      <w:tblPr>
        <w:tblW w:w="10979" w:type="dxa"/>
        <w:jc w:val="left"/>
        <w:tblInd w:w="0" w:type="dxa"/>
        <w:tblLayout w:type="fixed"/>
        <w:tblCellMar>
          <w:top w:w="28" w:type="dxa"/>
          <w:left w:w="28" w:type="dxa"/>
          <w:bottom w:w="28" w:type="dxa"/>
          <w:right w:w="28" w:type="dxa"/>
        </w:tblCellMar>
      </w:tblPr>
      <w:tblGrid>
        <w:gridCol w:w="723"/>
        <w:gridCol w:w="253"/>
        <w:gridCol w:w="255"/>
        <w:gridCol w:w="275"/>
        <w:gridCol w:w="275"/>
        <w:gridCol w:w="276"/>
        <w:gridCol w:w="109"/>
        <w:gridCol w:w="109"/>
        <w:gridCol w:w="109"/>
        <w:gridCol w:w="196"/>
        <w:gridCol w:w="406"/>
        <w:gridCol w:w="109"/>
        <w:gridCol w:w="109"/>
        <w:gridCol w:w="109"/>
        <w:gridCol w:w="109"/>
        <w:gridCol w:w="196"/>
        <w:gridCol w:w="556"/>
        <w:gridCol w:w="109"/>
        <w:gridCol w:w="109"/>
        <w:gridCol w:w="109"/>
        <w:gridCol w:w="109"/>
        <w:gridCol w:w="196"/>
        <w:gridCol w:w="571"/>
        <w:gridCol w:w="109"/>
        <w:gridCol w:w="109"/>
        <w:gridCol w:w="109"/>
        <w:gridCol w:w="109"/>
        <w:gridCol w:w="393"/>
        <w:gridCol w:w="694"/>
        <w:gridCol w:w="219"/>
        <w:gridCol w:w="109"/>
        <w:gridCol w:w="109"/>
        <w:gridCol w:w="109"/>
        <w:gridCol w:w="461"/>
        <w:gridCol w:w="602"/>
        <w:gridCol w:w="258"/>
        <w:gridCol w:w="109"/>
        <w:gridCol w:w="109"/>
        <w:gridCol w:w="109"/>
        <w:gridCol w:w="269"/>
        <w:gridCol w:w="765"/>
        <w:gridCol w:w="152"/>
        <w:gridCol w:w="109"/>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Ordinary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Par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Retained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and Vested, Net of Shares Withheld for Taxes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Issued for Acquisitions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accumulated other comprehensive income (loss) by component for the three months ended March 31, 2025 and 2024:</w:t>
      </w:r>
    </w:p>
    <w:tbl>
      <w:tblPr>
        <w:tblW w:w="8876" w:type="dxa"/>
        <w:jc w:val="center"/>
        <w:tblInd w:w="0" w:type="dxa"/>
        <w:tblLayout w:type="fixed"/>
        <w:tblCellMar>
          <w:top w:w="28" w:type="dxa"/>
          <w:left w:w="28" w:type="dxa"/>
          <w:bottom w:w="28" w:type="dxa"/>
          <w:right w:w="28" w:type="dxa"/>
        </w:tblCellMar>
      </w:tblPr>
      <w:tblGrid>
        <w:gridCol w:w="971"/>
        <w:gridCol w:w="853"/>
        <w:gridCol w:w="860"/>
        <w:gridCol w:w="780"/>
        <w:gridCol w:w="1783"/>
        <w:gridCol w:w="406"/>
        <w:gridCol w:w="636"/>
        <w:gridCol w:w="1132"/>
        <w:gridCol w:w="331"/>
        <w:gridCol w:w="109"/>
        <w:gridCol w:w="109"/>
        <w:gridCol w:w="211"/>
        <w:gridCol w:w="54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Adjustment</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 Benefit 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2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(67)</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10 – Income per Share</w:t>
      </w:r>
    </w:p>
    <w:p>
      <w:pPr>
        <w:pStyle w:val="TextBody"/>
        <w:bidi w:val="0"/>
        <w:spacing w:lineRule="auto" w:line="288" w:before="1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number of shares used for the basic and diluted income per share calculation was as follows:</w:t>
      </w:r>
    </w:p>
    <w:tbl>
      <w:tblPr>
        <w:tblW w:w="8021" w:type="dxa"/>
        <w:jc w:val="left"/>
        <w:tblInd w:w="0" w:type="dxa"/>
        <w:tblLayout w:type="fixed"/>
        <w:tblCellMar>
          <w:top w:w="28" w:type="dxa"/>
          <w:left w:w="28" w:type="dxa"/>
          <w:bottom w:w="28" w:type="dxa"/>
          <w:right w:w="28" w:type="dxa"/>
        </w:tblCellMar>
      </w:tblPr>
      <w:tblGrid>
        <w:gridCol w:w="1759"/>
        <w:gridCol w:w="1547"/>
        <w:gridCol w:w="1553"/>
        <w:gridCol w:w="354"/>
        <w:gridCol w:w="858"/>
        <w:gridCol w:w="183"/>
        <w:gridCol w:w="354"/>
        <w:gridCol w:w="858"/>
        <w:gridCol w:w="183"/>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and shares in millions, except per share amounts)</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Weatherford</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Granted in Stock Incentive Plan</w:t>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per Share</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Income per Share</w:t>
            </w:r>
            <w:r>
              <w:rPr>
                <w:color w:val="000000"/>
              </w:rPr>
              <w:t xml:space="preserve"> </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Weighted Average Shares: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Equity Awards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Weighted Average Shares</w:t>
            </w:r>
          </w:p>
        </w:tc>
        <w:tc>
          <w:tcPr>
            <w:tcW w:w="12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per share for all periods presented equals net income divided by our weighted average shares outstanding during the period. Diluted income per share is computed by dividing net income available to shareholders by our weighted average shares outstanding during the period including potential dilutive ordinary shares. Anti-dilutive weighted average shares represent securities that could potentially dilute income per share in the future, and are excluded from the computation of income per share.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11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recognized a tax expense of $10 million for the three months ended March 31, 2025, compared to three months ended March 31, 2024 where we recognized a tax expense of $59 million.</w:t>
      </w:r>
      <w:r>
        <w:rPr>
          <w:color w:val="000000"/>
          <w:shd w:fill="FFFFFF" w:val="clear"/>
        </w:rPr>
        <w:t xml:space="preserve"> </w:t>
      </w:r>
      <w:r>
        <w:rPr>
          <w:rFonts w:ascii="Times New Roman;sans-serif" w:hAnsi="Times New Roman;sans-serif"/>
          <w:b w:val="false"/>
          <w:color w:val="000000"/>
          <w:sz w:val="20"/>
          <w:shd w:fill="FFFFFF" w:val="clear"/>
        </w:rPr>
        <w:t>Income tax expense was lower in the three months ended March 31, 2025 compared to the same period in 2024 primarily due to decreased earnings before taxes and the recognition of a benefit from previously uncertain tax positions of $26 million. We calculate income tax provision using the estimated annual effective tax rate method in accordance with Accounting Standards Codification “ASC” 740 - 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relationship between our pre-tax income or loss and our income tax provision or benefit varies from period to period due to various factors which include changes in total pre-tax income or loss, the jurisdictions in which our income is earned, the tax laws in those jurisdictions and in our operating structure. We provide for income taxes based on the laws and rates in effect in the countries in which operations are conducted, or in which we or our subsidiaries are considered residents for income tax purposes. Our income tax provisions are primarily driven by income in certain jurisdictions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This is partially offset by the utilization of previously unbenefited deferred tax assets, such as net operating loss carryforwards.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routinely undergo tax examination in various jurisdictions. We cannot predict the timing or outcome regarding resolution of these tax examinations or if they will have a material impact on our financial statements. As of March 31, 2025, we anticipate that it is reasonably possible that our uncertain tax positions of $255 million, including interest and penalties offset by net operating losses and other tax attributes if settled, may decrease by up to $87 million in the next twelve months due to expiration of statutes of limitations, settlements and/or conclusions of tax examinations.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12 – Credit Default Swap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2024, we entered into a credit default swap (“CDS”) with a third-party financial institution terminating in September of 2026 related to a secured loan between that third-party financial institution and our largest customer in Mexico. The secured loan was utilized by this customer to pay certain of our outstanding receivables and accordingly, in the fourth quarter of 2024, we received $25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CDS terms, within five business days upon notification of a default by the customer, we could be required to pay the then outstanding notional balance net of recoveries. As of March 31, 2025, we had a notional balance of $23 million outstanding under the CDS and as of December 31, 2024, we had a notional balance of $25 million outstanding. The fair value of the derivative was not material as of March 31, 2025 and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CDS was entered into during the fourth quarter of 2023 with the same parties for similar reasons as in the fourth quarter of 2024, and accordingly, in the first quarter of 2024, we received $142 million. The agreement was terminated in the third quarter of 2024, extinguishing the remaining notional balance.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13 – Subsequent Events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2025 the Company completed the sale of our Pressure Pumping business in Argentina for approximately $104 million in cash. The Company expects to record a gain in the second quarter of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17, 2025, our Board of Directors declared a cash dividend of $0.25 per share of the Company’s ordinary shares, payable on June 5, 2025 to shareholders of record as of May 6, 2025.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item, “Weatherford”, “the Company,” “we,” “us” and “our” refer to Weatherford International plc,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include assumptions, certain risks and uncertainties. For information about these assumptions, risks and uncertainties, refer to the section “Forward-Looking Statements” and the section “PART II - OTHER INFORMATION - Item 1A. Risk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approximately 75 countries, answering the challenges of the energy industry with 320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Drilling and Evaluation</w:t>
      </w:r>
      <w:r>
        <w:rPr>
          <w:color w:val="000000"/>
        </w:rPr>
        <w:t xml:space="preserve"> </w:t>
      </w:r>
      <w:r>
        <w:rPr>
          <w:rFonts w:ascii="Times New Roman;sans-serif" w:hAnsi="Times New Roman;sans-serif"/>
          <w:b/>
          <w:i/>
          <w:color w:val="000000"/>
          <w:sz w:val="20"/>
        </w:rPr>
        <w:t>(“DRE”)</w:t>
      </w:r>
      <w:r>
        <w:rPr>
          <w:color w:val="000000"/>
        </w:rPr>
        <w:t xml:space="preserv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Well Construction and Completions (“WCC”)</w:t>
      </w:r>
      <w:r>
        <w:rPr>
          <w:color w:val="000000"/>
        </w:rPr>
        <w:t xml:space="preserve">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Production and Intervention (“PRI”)</w:t>
      </w:r>
      <w:r>
        <w:rPr>
          <w:color w:val="000000"/>
        </w:rPr>
        <w:t xml:space="preserve"> </w:t>
      </w:r>
      <w:r>
        <w:rPr>
          <w:rFonts w:ascii="Times New Roman;sans-serif" w:hAnsi="Times New Roman;sans-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sub-sea intervention and pressure pumping services in select markets.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can be significantly affected by oil and natural gas prices as well as rig counts. As shown in the following tables, as of March 31, 2025 oil prices and rig counts were notably lower than at March 31, 2024. The drop in oil prices and rig counts since the quarter ended March 31, 2024 has coincided with reduced activity levels across our industry. Oil prices and rig counts may continue to trend lower throughout the remainder of 2025, resulting in flat to lower activity levels.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impact of lower commodity prices and reduced rig counts there may be future impacts and effects on our industry or us relating to the new U.S. Presidential administration and Congress in areas relating to trade policy and tariffs, global conflicts and sanctions, environmental regulations and others. For example, on April 2, 2025, the U.S. announced sweeping new tariffs, prompting retaliatory actions by affected countries, followed by a 90-day pause in the effectiveness of some tariffs. We have seen significant volatility in the energy markets subsequent to the tariff announcements, including a continued decline in oil prices, and anticipate increased supply chain challenges, as well as increased economic pressures on our customers. The Company continues to monitor these developments, but the impact and timing of these changes on our business is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average oil and natural gas prices for West Texas Intermediate (“WTI”), Brent North Sea (“Brent”) crude oil and Henry Hub natural gas. </w:t>
      </w:r>
    </w:p>
    <w:tbl>
      <w:tblPr>
        <w:tblW w:w="9600" w:type="dxa"/>
        <w:jc w:val="center"/>
        <w:tblInd w:w="0" w:type="dxa"/>
        <w:tblLayout w:type="fixed"/>
        <w:tblCellMar>
          <w:top w:w="28" w:type="dxa"/>
          <w:left w:w="28" w:type="dxa"/>
          <w:bottom w:w="28" w:type="dxa"/>
          <w:right w:w="28" w:type="dxa"/>
        </w:tblCellMar>
      </w:tblPr>
      <w:tblGrid>
        <w:gridCol w:w="124"/>
        <w:gridCol w:w="109"/>
        <w:gridCol w:w="1362"/>
        <w:gridCol w:w="1362"/>
        <w:gridCol w:w="1370"/>
        <w:gridCol w:w="163"/>
        <w:gridCol w:w="163"/>
        <w:gridCol w:w="163"/>
        <w:gridCol w:w="569"/>
        <w:gridCol w:w="1667"/>
        <w:gridCol w:w="293"/>
        <w:gridCol w:w="293"/>
        <w:gridCol w:w="211"/>
        <w:gridCol w:w="616"/>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WTI </w:t>
            </w:r>
            <w:r>
              <w:rPr>
                <w:rFonts w:ascii="Times New Roman;sans-serif" w:hAnsi="Times New Roman;sans-serif"/>
                <w:b w:val="false"/>
                <w:color w:val="000000"/>
                <w:sz w:val="13"/>
              </w:rPr>
              <w:t>(1)</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Brent </w:t>
            </w:r>
            <w:r>
              <w:rPr>
                <w:rFonts w:ascii="Times New Roman;sans-serif" w:hAnsi="Times New Roman;sans-serif"/>
                <w:b w:val="false"/>
                <w:color w:val="000000"/>
                <w:sz w:val="13"/>
              </w:rPr>
              <w:t>(1)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price - Henry Hub </w:t>
            </w:r>
            <w:r>
              <w:rPr>
                <w:rFonts w:ascii="Times New Roman;sans-serif" w:hAnsi="Times New Roman;sans-serif"/>
                <w:b w:val="false"/>
                <w:color w:val="000000"/>
                <w:sz w:val="13"/>
              </w:rPr>
              <w:t>(2)</w:t>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9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5"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Oil price measured in dollars per barrel (rounded to the nearest $0.01)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5" w:type="dxa"/>
            <w:gridSpan w:val="10"/>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Natural gas price measured in dollars per million British thermal units (rounded to the nearest $0.01)</w:t>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2529" w:type="dxa"/>
            <w:gridSpan w:val="3"/>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historical average rig counts based on the weekly Baker Hughes Company rig count information. </w:t>
      </w:r>
    </w:p>
    <w:tbl>
      <w:tblPr>
        <w:tblW w:w="6103" w:type="dxa"/>
        <w:jc w:val="center"/>
        <w:tblInd w:w="0" w:type="dxa"/>
        <w:tblLayout w:type="fixed"/>
        <w:tblCellMar>
          <w:top w:w="28" w:type="dxa"/>
          <w:left w:w="28" w:type="dxa"/>
          <w:bottom w:w="28" w:type="dxa"/>
          <w:right w:w="28" w:type="dxa"/>
        </w:tblCellMar>
      </w:tblPr>
      <w:tblGrid>
        <w:gridCol w:w="472"/>
        <w:gridCol w:w="415"/>
        <w:gridCol w:w="418"/>
        <w:gridCol w:w="109"/>
        <w:gridCol w:w="109"/>
        <w:gridCol w:w="109"/>
        <w:gridCol w:w="938"/>
        <w:gridCol w:w="938"/>
        <w:gridCol w:w="322"/>
        <w:gridCol w:w="294"/>
        <w:gridCol w:w="244"/>
        <w:gridCol w:w="244"/>
        <w:gridCol w:w="308"/>
        <w:gridCol w:w="308"/>
        <w:gridCol w:w="176"/>
        <w:gridCol w:w="109"/>
        <w:gridCol w:w="109"/>
        <w:gridCol w:w="109"/>
        <w:gridCol w:w="109"/>
        <w:gridCol w:w="109"/>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0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Russia Ukraine Conflict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 Russia were approximately 6% of our total revenues for the three months ended March 31, 2025, compared to 5% of our total revenue for the three months ended March 31, 2024. As of March 31, 2025, our Russia operations included $113 million in cash, $131 million in other current assets, $72 million in property, plant and equipment and other non-current assets, and $53 million in liabilities. As of December 31, 2024, our Russia operations included $82 million in cash, $95 million in other current assets, $56 million in property, plant and equipment and other non-current assets, and $45 million in liabilities.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continuing the business in compliance with applicable laws and sanctions; </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evaluating the continued use or change in products, equipment and service offerings we currently provide in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Russia; </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 xml:space="preserve">curtailing or winding down our activities over time;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288" w:before="0" w:after="0"/>
        <w:ind w:left="0" w:right="0" w:firstLine="360"/>
        <w:jc w:val="both"/>
        <w:rPr/>
      </w:pPr>
      <w:r>
        <w:rPr>
          <w:color w:val="000000"/>
        </w:rPr>
        <w:t>•</w:t>
      </w:r>
      <w:r>
        <w:rPr>
          <w:rFonts w:ascii="Times New Roman;sans-serif" w:hAnsi="Times New Roman;sans-serif"/>
          <w:b w:val="false"/>
          <w:color w:val="000000"/>
          <w:sz w:val="20"/>
        </w:rPr>
        <w:t>potential nationalization of the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of $1.2 billion in the three months ended March 31, 2025, decreased 12% compared to $1.4 billion in the three months ended March 31, 2024. Year-over-year in the first quarter, product revenues decreased 8% and service revenues decreased 14%. Revenues declined in all segments with DRE, WCC and PRI impacting 44%, 10%, and 8% of the decrease, respectively, with the remaining decrease from lower activity in integrated services and projects. Geographically, the year-over-year first quarter revenue decrease was led by a decline in the Latin America, Europe/Sub-Sahara Africa/Russia and North America regions, which impacted 78%, 15% and 10% of the decrease, respectively, partly offset by a revenue increase in Middle East/North Africa/Asia. Year-over-year revenue decreases were primarily driven by a decline in activity across segments and geographies.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of $142 million in the three months ended March 31, 2025, decreased 39% compared to $233 million in the three months ended March 31, 2024, due to the decline in revenue, with a partial offset from lower cost of products and services and selling general, administrative and research and development costs. Cost of products and services of $819 million in the three months ended March 31, 2025, decreased 7% compared to $884 million in the three months ended March 31, 2024. Our cost of products and services as a percentage of revenues was 69% in the three months ended March 31, 2025 compared to 65% in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administrative and research and development costs of $190 million in the three months ended March 31, 2025, decreased 20% compared to $236 million in the three months ended March 31, 2024. The year-over-year decrease was primarily due to a decline in amortization expense and the cost of employee incentive programs. Selling, general, administrative and research and development costs as a percentage of revenues was 16% in the three months ended March 31, 2025, and 17% in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Restructuring charges were $29 million in the three months ended March 31, 2025 and $3 million in the three months ended March 31, 2024. See “Note 4 – Restructuring Charges”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Charges, Net in the three months ended March 31, 2025 were $13 million in net charges, and primarily include fees to third-party financial institutions related to collections of certain receivables from our largest customer in Mexico. Other Charges, Net in the three months ended March 31, 2024 were $2 million in net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Non-Operating Summary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$26 million and $29 million in the three months ended March 31, 2025 and 2024, respectively. Interest Expense, Net is interest expense net of interest income.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$37 million in the three months ended March 31, 2025 and $43 million in the three months ended March 31, 2024. The decrease was primarily due to the reduction in our outstanding long-term debt. Interest income was $11 million in the three months ended March 31, 2025 and $14 million in the three months ended March 31,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Net was $20 million in the three months ended March 31, 2025 and $22 million in the three months ended March 31, 2024. Other Expense, Net primarily represents foreign exchange losses in countries with no or limited markets to hedge, letter of credit fees and other financing charges, including bond redemption premiums partially offset by certain investment gains and losses. When economically advantageous, we enter into foreign currency forward contracts to mitigate the risk of future cash flows denominated in a foreign currency.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operations are conducted, or in which we or our subsidiaries are considered residents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certain charges do not result in significant tax benefit as a result of being attributed to a non-income tax jurisdiction or our inability to forecast realization of the tax benefit of such losses. Charges can be partially offset by the utilization of previously unbenefited deferred tax assets, such as net operating loss carryforwards. Please see “Note 11 – Income Taxes” to our Condensed Consolidated Financial Statements for additional details.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Results of Operations by Segment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information by segment is summarized below. </w:t>
      </w:r>
    </w:p>
    <w:tbl>
      <w:tblPr>
        <w:tblW w:w="7598"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376"/>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6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DRE</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WCC</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w:t>
            </w:r>
          </w:p>
        </w:tc>
        <w:tc>
          <w:tcPr>
            <w:tcW w:w="69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 Costs</w:t>
            </w:r>
            <w:r>
              <w:rPr>
                <w:rFonts w:ascii="Times New Roman;sans-serif" w:hAnsi="Times New Roman;sans-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ans-serif" w:hAnsi="Times New Roman;sans-serif"/>
          <w:b w:val="false"/>
          <w:color w:val="000000"/>
          <w:sz w:val="18"/>
        </w:rPr>
        <w:t>(b)Segment selling, general and administrative and research and development costs</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tbl>
      <w:tblPr>
        <w:tblW w:w="7703" w:type="dxa"/>
        <w:jc w:val="left"/>
        <w:tblInd w:w="0" w:type="dxa"/>
        <w:tblLayout w:type="fixed"/>
        <w:tblCellMar>
          <w:top w:w="28" w:type="dxa"/>
          <w:left w:w="28" w:type="dxa"/>
          <w:bottom w:w="28" w:type="dxa"/>
          <w:right w:w="28" w:type="dxa"/>
        </w:tblCellMar>
      </w:tblPr>
      <w:tblGrid>
        <w:gridCol w:w="1031"/>
        <w:gridCol w:w="905"/>
        <w:gridCol w:w="913"/>
        <w:gridCol w:w="109"/>
        <w:gridCol w:w="109"/>
        <w:gridCol w:w="109"/>
        <w:gridCol w:w="211"/>
        <w:gridCol w:w="481"/>
        <w:gridCol w:w="109"/>
        <w:gridCol w:w="211"/>
        <w:gridCol w:w="481"/>
        <w:gridCol w:w="109"/>
        <w:gridCol w:w="211"/>
        <w:gridCol w:w="481"/>
        <w:gridCol w:w="109"/>
        <w:gridCol w:w="211"/>
        <w:gridCol w:w="481"/>
        <w:gridCol w:w="109"/>
        <w:gridCol w:w="211"/>
        <w:gridCol w:w="631"/>
        <w:gridCol w:w="109"/>
        <w:gridCol w:w="109"/>
        <w:gridCol w:w="109"/>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DRE</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WCC</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w:t>
            </w:r>
          </w:p>
        </w:tc>
        <w:tc>
          <w:tcPr>
            <w:tcW w:w="8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Direct Costs</w:t>
            </w:r>
            <w:r>
              <w:rPr>
                <w:rFonts w:ascii="Times New Roman;sans-serif" w:hAnsi="Times New Roman;sans-serif"/>
                <w:b w:val="false"/>
                <w:color w:val="000000"/>
                <w:sz w:val="13"/>
              </w:rPr>
              <w:t>(a)</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Expense</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ans-serif" w:hAnsi="Times New Roman;sans-serif"/>
          <w:b w:val="false"/>
          <w:color w:val="000000"/>
          <w:sz w:val="18"/>
        </w:rPr>
      </w:pPr>
      <w:r>
        <w:rPr>
          <w:rFonts w:ascii="Times New Roman;sans-serif" w:hAnsi="Times New Roman;sans-serif"/>
          <w:b w:val="false"/>
          <w:color w:val="000000"/>
          <w:sz w:val="18"/>
        </w:rPr>
        <w:t>(a)Segment cost of sales and direct operating costs.</w:t>
      </w:r>
    </w:p>
    <w:p>
      <w:pPr>
        <w:pStyle w:val="TextBody"/>
        <w:bidi w:val="0"/>
        <w:spacing w:lineRule="auto" w:line="288" w:before="0" w:after="0"/>
        <w:ind w:left="0" w:right="0" w:hanging="270"/>
        <w:jc w:val="both"/>
        <w:rPr/>
      </w:pPr>
      <w:r>
        <w:rPr>
          <w:rFonts w:ascii="Times New Roman;sans-serif" w:hAnsi="Times New Roman;sans-serif"/>
          <w:b w:val="false"/>
          <w:color w:val="000000"/>
          <w:sz w:val="18"/>
        </w:rPr>
        <w:t>(b)Segment selling, general and administrative and research and development costs</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100" w:after="283"/>
        <w:ind w:left="0" w:right="0" w:firstLine="360"/>
        <w:jc w:val="center"/>
        <w:rPr/>
      </w:pPr>
      <w:r>
        <w:rPr/>
      </w:r>
    </w:p>
    <w:p>
      <w:pPr>
        <w:pStyle w:val="TextBody"/>
        <w:bidi w:val="0"/>
        <w:spacing w:before="100" w:after="283"/>
        <w:ind w:left="0" w:right="0" w:firstLine="360"/>
        <w:jc w:val="center"/>
        <w:rPr/>
      </w:pPr>
      <w:r>
        <w:rPr/>
      </w:r>
    </w:p>
    <w:p>
      <w:pPr>
        <w:pStyle w:val="TextBody"/>
        <w:bidi w:val="0"/>
        <w:spacing w:before="10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DRE Results</w:t>
      </w:r>
    </w:p>
    <w:p>
      <w:pPr>
        <w:pStyle w:val="TextBody"/>
        <w:bidi w:val="0"/>
        <w:spacing w:before="0" w:after="0"/>
        <w:ind w:left="0" w:right="0" w:firstLine="360"/>
        <w:jc w:val="both"/>
        <w:rPr/>
      </w:pPr>
      <w:r>
        <w:rPr/>
      </w:r>
    </w:p>
    <w:tbl>
      <w:tblPr>
        <w:tblW w:w="8682"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20"/>
        <w:gridCol w:w="708"/>
        <w:gridCol w:w="411"/>
        <w:gridCol w:w="109"/>
        <w:gridCol w:w="109"/>
        <w:gridCol w:w="109"/>
        <w:gridCol w:w="320"/>
        <w:gridCol w:w="708"/>
        <w:gridCol w:w="411"/>
        <w:gridCol w:w="109"/>
        <w:gridCol w:w="109"/>
        <w:gridCol w:w="109"/>
        <w:gridCol w:w="211"/>
        <w:gridCol w:w="436"/>
        <w:gridCol w:w="109"/>
        <w:gridCol w:w="109"/>
        <w:gridCol w:w="109"/>
        <w:gridCol w:w="109"/>
        <w:gridCol w:w="269"/>
        <w:gridCol w:w="271"/>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6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revenues of $350 million in the three months ended March 31, 2025, decreased $72 million or 17%, compared to $422 million in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the first quarter year-over-year revenue decrease, approximately 85% of the decrease was from lower activity in drilling-related services. Geographically, approximately 90% of the revenue decrease was from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of $74 million in the three months ended March 31, 2025, decreased $56 million or 43%, compared to $130 million in the three months ended March 31, 2024. DRE segment adjusted EBITDA margin was 21.1% in the three months ended March 31, 2025 compared to 30.8% in the three months ended March 31, 2024. The first quarter segment adjusted EBITDA decreased primarily due to a decline in drilling-related services activity. Both direct costs and other expense generally decreased in line with the decrease in activity. However, the rate of decrease in direct costs and other expense was lower than the rate of decrease in revenue, contributing to the decrease in margin.</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WCC Results</w:t>
      </w:r>
    </w:p>
    <w:p>
      <w:pPr>
        <w:pStyle w:val="TextBody"/>
        <w:bidi w:val="0"/>
        <w:spacing w:before="0" w:after="0"/>
        <w:ind w:left="0" w:right="0" w:firstLine="360"/>
        <w:jc w:val="both"/>
        <w:rPr/>
      </w:pPr>
      <w:r>
        <w:rPr/>
      </w:r>
    </w:p>
    <w:tbl>
      <w:tblPr>
        <w:tblW w:w="8608"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20"/>
        <w:gridCol w:w="708"/>
        <w:gridCol w:w="411"/>
        <w:gridCol w:w="109"/>
        <w:gridCol w:w="109"/>
        <w:gridCol w:w="109"/>
        <w:gridCol w:w="320"/>
        <w:gridCol w:w="708"/>
        <w:gridCol w:w="411"/>
        <w:gridCol w:w="109"/>
        <w:gridCol w:w="109"/>
        <w:gridCol w:w="109"/>
        <w:gridCol w:w="211"/>
        <w:gridCol w:w="436"/>
        <w:gridCol w:w="109"/>
        <w:gridCol w:w="109"/>
        <w:gridCol w:w="109"/>
        <w:gridCol w:w="109"/>
        <w:gridCol w:w="238"/>
        <w:gridCol w:w="228"/>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6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revenues of $441 million in the three months ended March 31, 2025, decreased $17 million or 4%, compared to $458 million in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quarter year-over-year revenue decrease was primarily due to a decline in activity for cementation products which impacted 65% of the decrease for product lines which decreased year-over-year. This was partly offset by revenue increases from well services and completions activity. Geographically, of the regions with revenue decreases, approximately 50% of the decrease was from North America and approximately 30% was from the Latin America region. This was partly offset by a revenue increase in the Middle East/North Africa/Asia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segment adjusted EBITDA of $128 million in the three months ended March 31, 2025, increased $8 million or 7%, compared to $120 million in the three months ended March 31, 2024. WCC segment adjusted EBITDA margin was 29.0% in the three months ended March 31, 2025, compared to 26.2% in the three months ended March 31, 2024. The increase in segment adjusted EBITDA was primarily due to higher margin activity in the Middle East/North Africa/Asia region and lower selling, general and administrative costs. Both direct costs and other expense generally decreased in line with the decrease in activity. However, the rate of decrease in direct costs and other expense was higher than the rate of decrease in revenue, contributing to increase in margin.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 Results</w:t>
      </w:r>
    </w:p>
    <w:p>
      <w:pPr>
        <w:pStyle w:val="TextBody"/>
        <w:bidi w:val="0"/>
        <w:spacing w:before="0" w:after="0"/>
        <w:ind w:left="0" w:right="0" w:firstLine="360"/>
        <w:jc w:val="both"/>
        <w:rPr/>
      </w:pPr>
      <w:r>
        <w:rPr/>
      </w:r>
    </w:p>
    <w:tbl>
      <w:tblPr>
        <w:tblW w:w="8682" w:type="dxa"/>
        <w:jc w:val="left"/>
        <w:tblInd w:w="0" w:type="dxa"/>
        <w:tblLayout w:type="fixed"/>
        <w:tblCellMar>
          <w:top w:w="28" w:type="dxa"/>
          <w:left w:w="28" w:type="dxa"/>
          <w:bottom w:w="28" w:type="dxa"/>
          <w:right w:w="28" w:type="dxa"/>
        </w:tblCellMar>
      </w:tblPr>
      <w:tblGrid>
        <w:gridCol w:w="929"/>
        <w:gridCol w:w="816"/>
        <w:gridCol w:w="819"/>
        <w:gridCol w:w="109"/>
        <w:gridCol w:w="109"/>
        <w:gridCol w:w="109"/>
        <w:gridCol w:w="320"/>
        <w:gridCol w:w="708"/>
        <w:gridCol w:w="411"/>
        <w:gridCol w:w="109"/>
        <w:gridCol w:w="109"/>
        <w:gridCol w:w="109"/>
        <w:gridCol w:w="320"/>
        <w:gridCol w:w="708"/>
        <w:gridCol w:w="411"/>
        <w:gridCol w:w="109"/>
        <w:gridCol w:w="109"/>
        <w:gridCol w:w="109"/>
        <w:gridCol w:w="211"/>
        <w:gridCol w:w="436"/>
        <w:gridCol w:w="109"/>
        <w:gridCol w:w="109"/>
        <w:gridCol w:w="109"/>
        <w:gridCol w:w="109"/>
        <w:gridCol w:w="276"/>
        <w:gridCol w:w="264"/>
        <w:gridCol w:w="636"/>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or bps</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6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 EBITDA Margin</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6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bps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revenues of $334 million in the three months ended March 31, 2025, decreased $14 million or 4% compared to $348 million in the three months ended March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first quarter year-over-year revenue decrease was primarily due to decline in activity for intervention services and drilling tools and artificial lift which impacted 60% and 30% of the decrease, respectively, for product lines which decreased year-over-year. This was partly offset by revenue increase from pressure pumping activity. Geographically, approximately 90% of the revenue decrease was from the Latin America region.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of $62 million in the three months ended March 31, 2025, decreased $11 million or 15% compared to $73 million in the three months ended March 31, 2024. PRI segment adjusted EBITDA margin was 18.6% in the three months ended March 31, 2025, compared to 21.0% in the three months ended March 31, 2024. The first quarter year-over-year decrease in segment adjusted EBITDA was primarily due to a decline in activity and cost inflation on products sold. Direct costs slightly decreased year-over-year, while other expense decreased in line with decrease in activity. However, the decrease in direct costs and other expense was lower than decrease in revenue, contributing to the decrease in margin.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All Other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results were from non-core business activities that do not individually meet the criteria for segment reporting, including integrated services and projects, which includes pass through and project management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revenues were $68 million in the three months ended March 31, 2025, compared to $130 million in the three months ended March 31, 2024. The first quarter year-over-year decrease was due to a decline in international activity for integrated services and projects.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was a net expense of $15 million in the three months ended March 31, 2025 compared to $14 million in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was $62 million in the three months ended March 31, 2025 compared to $85 million in the three months ended March 31, 2024. The year-over-year decrease was primarily due to certain intangible assets reaching full amortization in the fourth quarter of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$7 million of share-based compensation in the three months ended March 31, 2025 compared to $13 million in the three months ended March 31, 2024. The year-over-year decrease in share-based compensation expense was primarily due to the vesting of equity awards, resulting in a lower number of non-vested awards.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Growth and spending in the energy services industry is highly dependent on many external factors. These include but are not limited to; the impact from geopolitical conflicts; our customers’ capital expenditures; environmental, social and governance and other sustainability policies and initiatives; world economic, political, trade, and weather conditions; the price of oil, natural gas, and alternatives; member-country quota compliance within the Organization of Petroleum Exporting Countries and the expanded alliance (OPEC+); and, non-OPEC+ investments and project timing. Imbalance across geographies driven by geopolitical conflicts, investment variances and supply disruptions are driving a greater focus on energy security and resiliency, which in turn is creating a shift towards national oil companies and diversification across multiple energy sources (oil, gas, coal, renewables, etc.) to meet domestic and global demand.</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overall international market has softened over the past nine months, and the industry has witnessed substantial drops in Mexico along with continued reduction in certain portions of our North America business. We expect a continued focus on capital discipline and efficiencies, particularly in our Latin American and North American regions, which we expect to negatively impact demand for our services and products in 2025, as our customers regulate activity timing and services spending, relative to macro-driven factors. Particularly, in the near term we expect lower demand from our largest customer in Mexico. Additionally, trade concerns such as recent U.S. tariff actions and potential retaliatory responses has increased uncertainty in our industry and in relation to global economic outlook, which may contribute to an economic slowdown and negatively impact both domestic and international crude demand and increase cost pressure on the sector.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mid to long-term, we expect demand for oil and natural gas exploration and production as well as new energy platforms to continue to require more advanced technology from the energy service industry. While we remain cautious on our activity profile as we calibrate macroeconomic conditions with customer demand, we are confident that adoption of our differentiated technologies and market penetration will provide a pathway to long-cycle growth. We continue to closely monitor and adapt to macroeconomic and trade conditions, potential supply chain disruptions, inflationary factors, and other labor and logistical constraints that could impact our operations and results.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we had cash and cash equivalents of $873 million and $57 million in restricted cash, compared to $916 million of cash and cash equivalents and $59 million in restricted cash at December 31, 2024.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cash flows provided by (used in) each type of business activity in the periods presented:</w:t>
      </w:r>
    </w:p>
    <w:tbl>
      <w:tblPr>
        <w:tblW w:w="6418" w:type="dxa"/>
        <w:jc w:val="center"/>
        <w:tblInd w:w="0" w:type="dxa"/>
        <w:tblLayout w:type="fixed"/>
        <w:tblCellMar>
          <w:top w:w="28" w:type="dxa"/>
          <w:left w:w="28" w:type="dxa"/>
          <w:bottom w:w="28" w:type="dxa"/>
          <w:right w:w="28" w:type="dxa"/>
        </w:tblCellMar>
      </w:tblPr>
      <w:tblGrid>
        <w:gridCol w:w="1297"/>
        <w:gridCol w:w="1139"/>
        <w:gridCol w:w="1149"/>
        <w:gridCol w:w="338"/>
        <w:gridCol w:w="868"/>
        <w:gridCol w:w="174"/>
        <w:gridCol w:w="338"/>
        <w:gridCol w:w="868"/>
        <w:gridCol w:w="247"/>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millions)</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was $142 million for the three months ended March 31, 2025 compared to cash provided by operating activities of $131 million for the three months ended March 31, 2024. The increase in cash provided by operating activities in 2025 over 2024 was primarily due to lower employee costs, partially offset by decreased collections as a result of decreased revenue. During both the three months ended March 31, 2025 and March 31, 2024, we entered into arrangements with third-party financial institutions related to collections of certain receivables from our largest customer in Mexico. Pursuant to such arrangements, we received $93 million and $142 million during the three months ended March 31, 2025 and March 31, 2024, respectively. Factoring arrangements related to certain receivables during both the three months ended March 31, 2025 and March 31, 2024 resulted in cash proceeds at the time of factoring of $55 million and $8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$79 million for the three months ended March 31, 2025. The primary investing use of cash was for capital expenditures of $77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$54 million for the three months ended March 31, 2024. The primary investing activities were from cash used for capital expenditures of $59 million and cash used for acquisitions net of cash acquired, of $36 million. The uses of cash were primarily offset by proceeds from sale of investments of $41 million from our marketable securities in Argentina and other outflows of $10 million.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was $133 million for the three months ended March 31, 2025. The primary financing uses of cash were for share repurchases of $53 million (see “Note 9 – Shareholders’ Equity”), repayments and repurchases of long-term debt of $39 million (including $34 million in repurchases of our 2030 Senior Notes, see “Note 7 – Borrowings and Other Debt Obligations”), tax remittances on equity awards vested of $20 million and cash dividends of $18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$187 million for the three months ended March 31, 2024. The primary financing uses of cash were for repayments and repurchases of long-term debt of $172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Sources of Liquidity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collections, we expect to have sufficient cash from operations and cash on hand to fund our cash requirements (discussed below), both in the short-term and long-term.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requirements will continue to include payments for principal and interest on our long-term debt, capital expenditures, payments on our finance and operating leases, payments for short-term working capital needs, operating costs and restructuring payments. We expect to utilize cash in our capital allocation framework, which includes investments in technology and infrastructure upgrades, and in strategic mergers and acquisitions.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in our Consolidated Financial Statements included in our Form 10-K for the year ended December 31, 2024 (“2024 Form 10-K”) and “Note 12 – Credit Default Swap”. Our cash requirements also include payments for our shareholder returns programs described in “Note 9 – Shareholders’ Equity.”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aggregate principal amount of our primary debt outstanding was $1.56 billion of our 2030 Senior Notes. We expect to pay $135 million in interest payments in 2025 specific to these notes. See “Note 7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spend is expected to be 3-5% of revenue over a 12 to 18 month rolling period and our 2025 capital spend is projected to be within the same framework. Our payments on our operating and finance leases in 2025 are expected to be approximately $59 million and $28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are held by subsidiaries outside of Ireland. At March 31, 2025 and December 31, 2024, we had approximately $140 million and $127 million, respectively, of our cash and cash equivalents that cannot be immediately repatriated from various countries due to country central bank controls or other regulations. As we continue to conduct business in certain countries with cash that cannot be immediately repatriated, we may consider infrequent transactions to safeguard our cash from exposure to the effects of inflation and currency devaluation. Repatriation of those cash balances might result in incremental taxes or losses.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Ratings Services’ Credit Ratings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credit ratings at December 31, 2024 have been maintained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Standard and Poor (“S&amp;P) and Fitch Ratings (“Fitch”) maintain issuer credit ratings of ‘BB-;’ S&amp;P maintained a positive outlook and Fitch maintained a stable outlook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Moody's Investors Service (Moody's) maintained a Corporate Family Rating of Ba3 and a positive outlook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delays or defaults in customer payments due to, among other reasons, a weaker economic environment, reductions in our customers’ cash flow from operations, our customers’ inability to access credit markets or reach acceptable financing terms, as well as unsettled political and/or social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In addition, our customers are primarily in fossil fuel-related industries and broad declines in demand for or pricing of oil or natural gas might impact the collections of our customer receivables.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accounts receivables in Mexico were 28% and 31% of our total net accounts receivables, as of March 31, 2025 and December 31, 2024, respectively, of which our largest customer in the country accounted for 25% and 26% of our total net outstanding accounts receivables, respectively. Mexico continues to account for a large percentage of our receivables despite dropping below 10% of total revenues for the three months ended March 31, 2025. Our largest customer in Mexico has a history of making late payments and, in more recent periods, has utilized third-party financial institutions to pay certain of our receivables. The balances due are not in dispute, however, additional or continued delays in customer payments in the future could differ from historical practice and management’s current expectations; and delays or failures to pay or defaults, if any, could negatively impact the future results of the Company.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paid an immaterial amount of fees to third-party financial institutions related to collections of certain receivables from our largest customer in Mexico. Pursuant to such arrangements, we received $93 million during the three months ended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above, no other country accounted for more than 10% of our net accounts receivables balance.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Accounts Receivable Factoring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participate in factoring arrangements to sell accounts receivable to third-party financial institutions for cash proceeds net of discounts and hold-back. During the three months ended March 31, 2025 and March 31, 2024, we sold accounts receivable balances of $55 million and $8 million, and received cash proceeds of $55 million and $8 million, respectively, at the time of factoring.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factoring proceeds were included in Net Cash Provided by Operating Activities in the Condensed Consolidated Statements of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Our 2030 Senior Notes were issued by Weatherford International Ltd. (“Weatherford Bermuda”) and guaranteed by the Company and other subsidiary guarantors party thereto. </w:t>
      </w:r>
      <w:r>
        <w:rPr>
          <w:rFonts w:ascii="Times New Roman;sans-serif" w:hAnsi="Times New Roman;sans-serif"/>
          <w:b w:val="false"/>
          <w:color w:val="000000"/>
          <w:sz w:val="20"/>
          <w:shd w:fill="FFFFFF" w:val="clear"/>
        </w:rPr>
        <w:t xml:space="preserve">On December 1, 2022, the indenture related to our 2030 Senior Notes was amended and supplemented to add </w:t>
      </w:r>
      <w:r>
        <w:rPr>
          <w:rFonts w:ascii="Times New Roman;sans-serif" w:hAnsi="Times New Roman;sans-serif"/>
          <w:b w:val="false"/>
          <w:color w:val="000000"/>
          <w:sz w:val="20"/>
        </w:rPr>
        <w:t xml:space="preserve">Weatherford International, LLC (“Weatherford Delaware”) </w:t>
      </w:r>
      <w:r>
        <w:rPr>
          <w:rFonts w:ascii="Times New Roman;sans-serif" w:hAnsi="Times New Roman;sans-serif"/>
          <w:b w:val="false"/>
          <w:color w:val="000000"/>
          <w:sz w:val="20"/>
          <w:shd w:fill="FFFFFF" w:val="clear"/>
        </w:rPr>
        <w:t>as co-issuer and co-obligor, and concurrently released the guarantee of Weatherford Delaware.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Credit Agreement, Letters of Credit and Surety Bonds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March 31, 2025 and December 31, 2024, the Credit Agreement allowed for a total commitment amount of $720 million, maturing on October 24, 2028.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zero borrowings outstanding under the Credit Agreement and $397 million of letters of credit outstanding. The letters of credit consisted of $277 million for performance letters of credit, $6 million for financial letters of credit under the Credit Agreement and $114 million letters of credit under various uncommitted bi-lateral facilities ($48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zero borrowings outstanding under the Credit Agreement and $382 million of letters of credit. The letters of credit consisted of $279 million for performance letters of credit and $12 million for financial letters of credit under the Credit Agreement and $91 million of letters of credit under various uncommitted bi-lateral facilities ($49 million of which was cash collateral held and recorded in “Restricted Cash” on the Condensed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surety bonds as part of our customary business practice in certain regions, primarily Latin America. As of March 31, 2025 and December 31, 2024, we had surety bonds outstanding of $501 million and $520 million, respectively. Any of our outstanding letters of credit or surety bonds could be called by the beneficiaries should we breach certain contractual or performance obligations and could reduce our available liquidity if we are unable to mitigate the issue.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These forward-looking statements generally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update or revise any forward-looking statement, whether as a result of new information, future events, or otherwise, except to the extent required under federal securities laws. The following, together with disclosures under the heading “Item 1A. Risk Factors” in our 2024 Form 10-K, Part I, and “Part II – Other Information – Item 1A. Risk Factors” of this Form 10-Q, sets forth certain risks and uncertainties relating to our forward-looking statements that may cause actual results to be materially different from our present expectations or projections: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and conflicts in the Middle East);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generate cash flow from operations to fund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increases in the prices and lead times; and the lack of availability of our procured products and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timely collect from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realize cost savings and business enhancements from our revenue and cost improvement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execute our capital allocation framework;</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motivate and retain employees, including key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the capital markets on terms that are commercially acceptable to the Company;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return capital to shareholders, including those related to the timing and amounts (including any plans or commitments in respect thereof) of any dividends and share repurchases;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service our debt obligations;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non-cash asset impairment charges for long-lived assets, intangible assets or other assets;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weather conditions in certain regions of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has not changed materially since December 31, 2024. For additional information, see “Note 7 – Borrowings and Other Debt Obligations” and “Note 12 – Credit Default Swap” in the Notes to Condensed Consolidated Financial Statements, as well as “Other Expense, Net” and “Liquidity and Capital Resources” under Item 2. Management’s Discussion and Analysis of Financial Condition and Results of Operations.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 xml:space="preserve">Evaluation of Disclosure Controls and Procedures. </w:t>
      </w:r>
      <w:r>
        <w:rPr>
          <w:rFonts w:ascii="Times New Roman;sans-serif" w:hAnsi="Times New Roman;sans-serif"/>
          <w:b w:val="false"/>
          <w:color w:val="000000"/>
          <w:sz w:val="20"/>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and with the participation of our CEO and CFO, evaluated the effectiveness of the design and operation of our disclosure controls and procedures at March 31, 2025. Based on that evaluation, our CEO and CFO concluded that our disclosure controls and procedures were effective as of March 31,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identified no change in our internal control over financial reporting that occurred during the three months ended March 31, 2025 that has materially affected, or is reasonably likely to materially affect, our internal control over financial reporting.</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8 – Disputes, Litigation and Legal Contingencies” in our Notes to Condensed Consolidated Financial Statements for details regarding our ongoing disputes and litigation.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You should consider carefully all of the risk factors described in our 2024 Form 10-K, Part I, under the heading “Item 1A. Risk Factors” and other information included and incorporated by reference in this report. As of March 31, 2025, there have been no material changes in our assessment of our risk factors from the aforementioned.</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Unregistered Sales of Equity Securities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Issuer Repurchases of Equity Securities</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our repurchases of our ordinary shares during the three months ended March 31, 2025.</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04"/>
        <w:gridCol w:w="302"/>
        <w:gridCol w:w="305"/>
        <w:gridCol w:w="665"/>
        <w:gridCol w:w="528"/>
        <w:gridCol w:w="530"/>
        <w:gridCol w:w="445"/>
        <w:gridCol w:w="445"/>
        <w:gridCol w:w="446"/>
        <w:gridCol w:w="1046"/>
        <w:gridCol w:w="962"/>
        <w:gridCol w:w="965"/>
        <w:gridCol w:w="1064"/>
        <w:gridCol w:w="865"/>
        <w:gridCol w:w="1233"/>
      </w:tblGrid>
      <w:tr>
        <w:trPr/>
        <w:tc>
          <w:tcPr>
            <w:tcW w:w="4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Total Number of Shares Purchased as Part of a Publicly Announced Program</w:t>
            </w:r>
            <w:r>
              <w:rPr>
                <w:color w:val="000000"/>
              </w:rPr>
              <w:t xml:space="preserve"> </w:t>
            </w:r>
            <w:r>
              <w:rPr>
                <w:rFonts w:ascii="Times New Roman;sans-serif" w:hAnsi="Times New Roman;sans-serif"/>
                <w:b w:val="false"/>
                <w:color w:val="000000"/>
                <w:sz w:val="16"/>
              </w:rPr>
              <w:t>(1)</w:t>
            </w:r>
          </w:p>
        </w:tc>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Maximum Dollar Value of Shares that may yet be Purchased Under the Program </w:t>
            </w:r>
            <w:r>
              <w:rPr>
                <w:rFonts w:ascii="Times New Roman;sans-serif" w:hAnsi="Times New Roman;sans-serif"/>
                <w:b w:val="false"/>
                <w:color w:val="000000"/>
                <w:sz w:val="16"/>
              </w:rPr>
              <w:t>(1)</w:t>
            </w:r>
          </w:p>
        </w:tc>
      </w:tr>
      <w:tr>
        <w:trPr/>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1 - 31</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250,328 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250,328 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$383,211,423</w:t>
            </w:r>
          </w:p>
        </w:tc>
      </w:tr>
      <w:tr>
        <w:trPr/>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1 - 28</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249,603 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$366,491,722</w:t>
            </w:r>
          </w:p>
        </w:tc>
      </w:tr>
      <w:tr>
        <w:trPr/>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1 - 31</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347,031 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347,031 </w:t>
            </w:r>
          </w:p>
        </w:tc>
        <w:tc>
          <w:tcPr>
            <w:tcW w:w="9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$347,572,375</w:t>
            </w:r>
          </w:p>
        </w:tc>
      </w:tr>
      <w:tr>
        <w:trPr/>
        <w:tc>
          <w:tcPr>
            <w:tcW w:w="10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846,962 </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w:t>
            </w:r>
          </w:p>
        </w:tc>
        <w:tc>
          <w:tcPr>
            <w:tcW w:w="20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846,962 </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1"/>
        <w:gridCol w:w="599"/>
        <w:gridCol w:w="599"/>
        <w:gridCol w:w="599"/>
        <w:gridCol w:w="599"/>
        <w:gridCol w:w="599"/>
        <w:gridCol w:w="599"/>
        <w:gridCol w:w="599"/>
        <w:gridCol w:w="599"/>
        <w:gridCol w:w="599"/>
        <w:gridCol w:w="599"/>
        <w:gridCol w:w="599"/>
        <w:gridCol w:w="599"/>
        <w:gridCol w:w="599"/>
        <w:gridCol w:w="599"/>
        <w:gridCol w:w="109"/>
        <w:gridCol w:w="109"/>
        <w:gridCol w:w="109"/>
        <w:gridCol w:w="109"/>
        <w:gridCol w:w="109"/>
        <w:gridCol w:w="109"/>
        <w:gridCol w:w="109"/>
        <w:gridCol w:w="109"/>
        <w:gridCol w:w="109"/>
        <w:gridCol w:w="157"/>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67"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On July 23, 2024, we announced a program under which we may repurchase our ordinary shares from time to time, up to $500 million through June 2027. Approximately $348 million remained authorized for repurchases as of March 31, 2025. From the inception of this program in July of 2024 through March 31, 2025, we have repurchased approximately 1.9 million ordinary shares for $152 million.</w:t>
            </w:r>
          </w:p>
        </w:tc>
        <w:tc>
          <w:tcPr>
            <w:tcW w:w="1138" w:type="dxa"/>
            <w:gridSpan w:val="10"/>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executive officer of the Company adopted or terminated a “Rule 10b5-1 trading arrangement” or “non-Rule 10b5-1 trading arrangement,” as each term is defined in Item 408(a) of Regulation S-K.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0" w:after="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exhibits designated with a dagger (†) are filed herewith or double dagger (††) are furnished herewith.</w:t>
      </w:r>
    </w:p>
    <w:tbl>
      <w:tblPr>
        <w:tblW w:w="10205" w:type="dxa"/>
        <w:jc w:val="left"/>
        <w:tblInd w:w="0" w:type="dxa"/>
        <w:tblLayout w:type="fixed"/>
        <w:tblCellMar>
          <w:top w:w="28" w:type="dxa"/>
          <w:left w:w="28" w:type="dxa"/>
          <w:bottom w:w="28" w:type="dxa"/>
          <w:right w:w="28" w:type="dxa"/>
        </w:tblCellMar>
      </w:tblPr>
      <w:tblGrid>
        <w:gridCol w:w="424"/>
        <w:gridCol w:w="372"/>
        <w:gridCol w:w="373"/>
        <w:gridCol w:w="109"/>
        <w:gridCol w:w="109"/>
        <w:gridCol w:w="109"/>
        <w:gridCol w:w="2002"/>
        <w:gridCol w:w="1862"/>
        <w:gridCol w:w="1866"/>
        <w:gridCol w:w="543"/>
        <w:gridCol w:w="543"/>
        <w:gridCol w:w="545"/>
        <w:gridCol w:w="392"/>
        <w:gridCol w:w="392"/>
        <w:gridCol w:w="56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0"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12025formawardagr.htm">
              <w:r>
                <w:rPr>
                  <w:rStyle w:val="InternetLink"/>
                  <w:rFonts w:ascii="Times New Roman;sans-serif" w:hAnsi="Times New Roman;sans-serif"/>
                  <w:b w:val="false"/>
                  <w:color w:val="000080"/>
                  <w:sz w:val="20"/>
                  <w:u w:val="single"/>
                </w:rPr>
                <w:t xml:space="preserve">Form of Executive Officer Restricted Share Unit Award Agreement adopted </w:t>
              </w:r>
            </w:hyperlink>
            <w:hyperlink w:anchor="exhibit1012025formawardagr.htm">
              <w:r>
                <w:rPr>
                  <w:rStyle w:val="InternetLink"/>
                  <w:rFonts w:ascii="Times New Roman;sans-serif" w:hAnsi="Times New Roman;sans-serif"/>
                  <w:b w:val="false"/>
                  <w:color w:val="000080"/>
                  <w:sz w:val="20"/>
                  <w:u w:val="single"/>
                </w:rPr>
                <w:t>March 7, 2025</w:t>
              </w:r>
            </w:hyperlink>
            <w:hyperlink w:anchor="exhibit1012025formawardagr.htm">
              <w:r>
                <w:rPr>
                  <w:rStyle w:val="InternetLink"/>
                  <w:rFonts w:ascii="Times New Roman;sans-serif" w:hAnsi="Times New Roman;sans-serif"/>
                  <w:b w:val="false"/>
                  <w:color w:val="000080"/>
                  <w:sz w:val="20"/>
                  <w:u w:val="single"/>
                </w:rPr>
                <w:t>.</w:t>
              </w:r>
            </w:hyperlink>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1ex311ceo302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1ex312cfo302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5-q1ex321ceo906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5-q1ex322cfo906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left"/>
        <w:rPr/>
      </w:pPr>
      <w:hyperlink w:anchor="ib00bffc6fdd1400ca39529fe3bea0fd7_7">
        <w:r>
          <w:rPr>
            <w:rStyle w:val="InternetLink"/>
            <w:rFonts w:ascii="Times New Roman;sans-serif" w:hAnsi="Times New Roman;sans-serif"/>
            <w:b w:val="false"/>
            <w:color w:val="000080"/>
            <w:sz w:val="20"/>
            <w:u w:val="single"/>
          </w:rPr>
          <w:t xml:space="preserve">Table </w:t>
        </w:r>
      </w:hyperlink>
      <w:hyperlink w:anchor="ib00bffc6fdd1400ca39529fe3bea0fd7_7">
        <w:r>
          <w:rPr>
            <w:rStyle w:val="InternetLink"/>
            <w:rFonts w:ascii="Times New Roman;sans-serif" w:hAnsi="Times New Roman;sans-serif"/>
            <w:b w:val="false"/>
            <w:color w:val="000080"/>
            <w:sz w:val="20"/>
            <w:u w:val="single"/>
          </w:rPr>
          <w:t>of</w:t>
        </w:r>
      </w:hyperlink>
      <w:hyperlink w:anchor="ib00bffc6fdd1400ca39529fe3bea0fd7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6687"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Anuj Dhruv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i/>
          <w:color w:val="000000"/>
          <w:sz w:val="24"/>
        </w:rPr>
      </w:pPr>
      <w:r>
        <w:rPr>
          <w:rFonts w:ascii="Times New Roman;sans-serif" w:hAnsi="Times New Roman;sans-serif"/>
          <w:b w:val="false"/>
          <w:i/>
          <w:color w:val="000000"/>
          <w:sz w:val="24"/>
        </w:rPr>
        <w:t>Exhibit 10.1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2pt;mso-position-horizontal:left;mso-position-horizontal-relative:text">
                <v:textbox>
                  <w:txbxContent>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RESTRICTED SHARE UNIT AWARD AGREEMENT</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PURSUANT TO THE</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 2019 EQUITY INCENTIVE PLAN</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(TIME VESTING)</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88" w:before="0" w:after="240"/>
        <w:jc w:val="both"/>
        <w:rPr/>
      </w:pPr>
      <w:r>
        <w:rPr>
          <w:rFonts w:ascii="Times New Roman;sans-serif" w:hAnsi="Times New Roman;sans-serif"/>
          <w:b/>
          <w:color w:val="000000"/>
          <w:sz w:val="24"/>
        </w:rPr>
        <w:t>Participant:</w:t>
      </w:r>
      <w:r>
        <w:rPr>
          <w:rFonts w:ascii="Times New Roman;sans-serif" w:hAnsi="Times New Roman;sans-serif"/>
          <w:b w:val="false"/>
          <w:color w:val="000000"/>
          <w:sz w:val="24"/>
        </w:rPr>
        <w:t>________________</w:t>
      </w:r>
    </w:p>
    <w:p>
      <w:pPr>
        <w:pStyle w:val="TextBody"/>
        <w:bidi w:val="0"/>
        <w:spacing w:lineRule="auto" w:line="288" w:before="0" w:after="240"/>
        <w:jc w:val="both"/>
        <w:rPr/>
      </w:pPr>
      <w:r>
        <w:rPr>
          <w:rFonts w:ascii="Times New Roman;sans-serif" w:hAnsi="Times New Roman;sans-serif"/>
          <w:b/>
          <w:color w:val="000000"/>
          <w:sz w:val="24"/>
        </w:rPr>
        <w:t>Grant Date:</w:t>
      </w:r>
      <w:r>
        <w:rPr>
          <w:color w:val="000000"/>
          <w:u w:val="single"/>
        </w:rPr>
        <w:t>    </w:t>
      </w:r>
    </w:p>
    <w:p>
      <w:pPr>
        <w:pStyle w:val="TextBody"/>
        <w:bidi w:val="0"/>
        <w:spacing w:lineRule="auto" w:line="288" w:before="0" w:after="240"/>
        <w:jc w:val="both"/>
        <w:rPr/>
      </w:pPr>
      <w:r>
        <w:rPr>
          <w:rFonts w:ascii="Times New Roman;sans-serif" w:hAnsi="Times New Roman;sans-serif"/>
          <w:b/>
          <w:color w:val="000000"/>
          <w:sz w:val="24"/>
        </w:rPr>
        <w:t>Number of Restricted Share Units Granted:</w:t>
      </w:r>
      <w:r>
        <w:rPr>
          <w:color w:val="000000"/>
        </w:rPr>
        <w:t xml:space="preserve"> </w:t>
      </w:r>
      <w:r>
        <w:rPr>
          <w:rFonts w:ascii="Times New Roman;sans-serif" w:hAnsi="Times New Roman;sans-serif"/>
          <w:b w:val="false"/>
          <w:color w:val="000000"/>
          <w:sz w:val="24"/>
        </w:rPr>
        <w:t>__________</w:t>
      </w:r>
    </w:p>
    <w:p>
      <w:pPr>
        <w:pStyle w:val="TextBody"/>
        <w:bidi w:val="0"/>
        <w:spacing w:before="0" w:after="240"/>
        <w:jc w:val="both"/>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THIS RESTRICTED SHARE UNIT AWARD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the Grant Date specified above, is entered into by and between WEATHERFORD INTERNATIONAL PLC, a public limited company organized under the laws of Ireland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you as the Participant specified below, pursuant to the Weatherford International plc Third Amended and Restated 2019 Equity Incentive Plan, as in effect and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which is administered by the Committee (as defined in the Plan); and</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it has been determined under the Plan that it would be in the best interests of the Company to grant the Restricted Share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provided herein to the Participant.</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mutual covenants and promises hereinafter set forth and for other good and valuable consideration, the receipt and sufficiency of which is hereby acknowledged, the parties hereto hereby mutually covenant and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Incorporation By Reference; Plan Document Receipt</w:t>
      </w:r>
      <w:r>
        <w:rPr>
          <w:rFonts w:ascii="Times New Roman;sans-serif" w:hAnsi="Times New Roman;sans-serif"/>
          <w:b w:val="false"/>
          <w:color w:val="000000"/>
          <w:sz w:val="24"/>
        </w:rPr>
        <w:t xml:space="preserve">. This Agreement is subject in all respects to the 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 of Restricted Share Unit Award</w:t>
      </w:r>
      <w:r>
        <w:rPr>
          <w:rFonts w:ascii="Times New Roman;sans-serif" w:hAnsi="Times New Roman;sans-serif"/>
          <w:b w:val="false"/>
          <w:color w:val="000000"/>
          <w:sz w:val="24"/>
        </w:rPr>
        <w:t xml:space="preserve">. The Company hereby grants the number of RSUs specified above,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w:t>
      </w:r>
      <w:r>
        <w:rPr>
          <w:rFonts w:ascii="Times New Roman;sans-serif" w:hAnsi="Times New Roman;sans-serif"/>
          <w:b/>
          <w:color w:val="000000"/>
          <w:sz w:val="24"/>
        </w:rPr>
        <w:t>.</w:t>
      </w:r>
      <w:r>
        <w:rPr>
          <w:rFonts w:ascii="Times New Roman;sans-serif" w:hAnsi="Times New Roman;sans-serif"/>
          <w:b/>
          <w:color w:val="000000"/>
          <w:sz w:val="12"/>
        </w:rPr>
        <w:t>1</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provisions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RSUs subject to this Award shall become vested as follows, provided that the Participant has not incurred a termination of Service prior to each such vesting date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tbl>
      <w:tblPr>
        <w:tblW w:w="6359" w:type="dxa"/>
        <w:jc w:val="left"/>
        <w:tblInd w:w="0" w:type="dxa"/>
        <w:tblLayout w:type="fixed"/>
        <w:tblCellMar>
          <w:top w:w="28" w:type="dxa"/>
          <w:left w:w="28" w:type="dxa"/>
          <w:bottom w:w="28" w:type="dxa"/>
          <w:right w:w="28" w:type="dxa"/>
        </w:tblCellMar>
      </w:tblPr>
      <w:tblGrid>
        <w:gridCol w:w="1516"/>
        <w:gridCol w:w="1331"/>
        <w:gridCol w:w="1337"/>
        <w:gridCol w:w="636"/>
        <w:gridCol w:w="636"/>
        <w:gridCol w:w="903"/>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Percentage of RSUs</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[First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w:t>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[Second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[Third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w:t>
            </w:r>
          </w:p>
        </w:tc>
      </w:tr>
    </w:tbl>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Without Cause; Resignation for Good Reason; Due to Death</w:t>
      </w:r>
      <w:r>
        <w:rPr>
          <w:color w:val="000000"/>
        </w:rPr>
        <w:t xml:space="preserve"> </w:t>
      </w:r>
      <w:r>
        <w:rPr>
          <w:rFonts w:ascii="Times New Roman;sans-serif" w:hAnsi="Times New Roman;sans-serif"/>
          <w:b w:val="false"/>
          <w:color w:val="000000"/>
          <w:sz w:val="24"/>
          <w:u w:val="single"/>
        </w:rPr>
        <w:t>or Disability</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in the event the Participant’s Service is terminated by the Company without Cause more than six (6) months following the Grant Date or by the Participant for Good Reason at any time (each, as defined in the Company’s Change in Control Severance Plan), all unvested RSUs shall become vested on each Vesting Date as if the Participant had not incurred a termination of Service prior to the applicable Vesting Date. For the avoidance of </w:t>
      </w:r>
    </w:p>
    <w:p>
      <w:pPr>
        <w:pStyle w:val="TextBody"/>
        <w:bidi w:val="0"/>
        <w:spacing w:lineRule="auto" w:line="288"/>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u w:val="single"/>
        </w:rPr>
        <w:t>Note to Draft</w:t>
      </w:r>
      <w:r>
        <w:rPr>
          <w:rFonts w:ascii="Times New Roman;sans-serif" w:hAnsi="Times New Roman;sans-serif"/>
          <w:b w:val="false"/>
          <w:color w:val="000000"/>
          <w:sz w:val="18"/>
        </w:rPr>
        <w:t>: Insert applicable vesting schedule. Schedule can be used for cliff or ratable vesting.</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6"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doubt, in the event the Participant’s Service is terminated by the Company without Cause less than six (6) months after the Grant Date, the RSUs shall be immediately forfeited.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due to Retirement</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by the Participant due to Retirement and the Participant’s date of termination due to Retirement occurs on or after the 11</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month anniversary of the Grant Date, all unvested RSUs shall continue to vest pursuant to </w:t>
      </w:r>
      <w:r>
        <w:rPr>
          <w:rFonts w:ascii="Times New Roman;sans-serif" w:hAnsi="Times New Roman;sans-serif"/>
          <w:b w:val="false"/>
          <w:color w:val="000000"/>
          <w:sz w:val="24"/>
          <w:u w:val="single"/>
        </w:rPr>
        <w:t>Section 3(a)</w:t>
      </w:r>
      <w:r>
        <w:rPr>
          <w:color w:val="000000"/>
        </w:rPr>
        <w:t xml:space="preserve"> </w:t>
      </w:r>
      <w:r>
        <w:rPr>
          <w:rFonts w:ascii="Times New Roman;sans-serif" w:hAnsi="Times New Roman;sans-serif"/>
          <w:b w:val="false"/>
          <w:color w:val="000000"/>
          <w:sz w:val="24"/>
        </w:rPr>
        <w:t xml:space="preserve">as though the Participant was fully employed through each Vesting Date. For purposes of this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the Participant’s voluntary termination of Service after attainment of age 60, with at least ten years of Service and at least six months’ prior written notice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Committee Discretion to Accelerate Vesting</w:t>
      </w:r>
      <w:r>
        <w:rPr>
          <w:rFonts w:ascii="Times New Roman;sans-serif" w:hAnsi="Times New Roman;sans-serif"/>
          <w:b w:val="false"/>
          <w:color w:val="000000"/>
          <w:sz w:val="24"/>
        </w:rPr>
        <w:t>. In addition to the foregoing, the Committee may, in its sole discretion, accelerate vesting of the RSUs at any time and for any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Subject to the terms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all unvested RSUs (taking into account any vesting that may occur upon the Participant’s termination of Service in accordance with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or (c) hereof) shall be immediately forfeited upon the Participant’s termination of Service for any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Subject to the requirements of Section 409A of the Code, within ten days following the applicable Vesting Date of the RSUs the Participant shall receive the number of Shares that correspond to the number of RSUs that have become vested on the applicable Vesting Date,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xml:space="preserve">, shall have settlement under this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delayed to the date that is the first day of the seventh month following Participant’s separation from service, to the extent required by Section 409A.</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The receipt of Shares subject to the RSUs that are eligible to vest pursuant to </w:t>
      </w:r>
      <w:r>
        <w:rPr>
          <w:rFonts w:ascii="Times New Roman;sans-serif" w:hAnsi="Times New Roman;sans-serif"/>
          <w:b w:val="false"/>
          <w:color w:val="000000"/>
          <w:sz w:val="24"/>
          <w:u w:val="single"/>
        </w:rPr>
        <w:t>Section 3(b)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shall be subject to the execution and nonrevocation of a general release of claims in favor of the Company, in a form reasonably satisfactory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color w:val="000000"/>
          <w:sz w:val="24"/>
          <w:u w:val="single"/>
        </w:rPr>
        <w:t>Dividend Equivalent Rights; Rights as Shareholder</w:t>
      </w:r>
      <w:r>
        <w:rPr>
          <w:rFonts w:ascii="Times New Roman;sans-serif" w:hAnsi="Times New Roman;sans-serif"/>
          <w:b w:val="false"/>
          <w:color w:val="000000"/>
          <w:sz w:val="24"/>
        </w:rPr>
        <w:t>. Cash Dividend Equivalent Rights on the number of Shares issuable hereunder shall be credited to a dividend book entry account on behalf of the Participant with respect to each RSU granted to the Participant and shall be subject to the same vesting requirements as each RSU; provided that such cash Dividend Equivalent Rights shall not be deemed to be reinvested in Shares and shall be held uninvested and without interest and paid in cash at the same time that the Shares underlying the RSUs are delivered to the Participant in accordance with the provisions hereof. Stock Dividend Equivalent Rights on Shares shall be credited to a dividend book entry account on behalf of the Participant with respect to each RSU granted to the Participant and shall be subject to the same vesting requirements as each RSU; provided that such stock Dividend Equivalent Rights shall be paid in Shares at the same time that the Shares underlying the RSUs are delivered to the Participant in accordance with the provisions hereof. Except as otherwise provided herein, the Participant shall have no rights as a shareholder with respect to any Shares covered by any RSU unless and until the RSUs vest and Participant has become the holder of record of such Shares.</w:t>
      </w:r>
    </w:p>
    <w:p>
      <w:pPr>
        <w:pStyle w:val="TextBody"/>
        <w:bidi w:val="0"/>
        <w:spacing w:lineRule="auto" w:line="288"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8"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Participant hereby acknowledges receipt of the RSUs issued on the Grant Date indicated above, which have been issued under the terms and conditions of the Plan and this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INTERNATIONAL PLC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Name:</w:t>
      </w:r>
      <w:r>
        <w:rPr>
          <w:color w:val="000000"/>
          <w:u w:val="single"/>
        </w:rPr>
        <w:t>    </w:t>
      </w:r>
    </w:p>
    <w:p>
      <w:pPr>
        <w:pStyle w:val="TextBody"/>
        <w:bidi w:val="0"/>
        <w:spacing w:lineRule="auto" w:line="288"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Accepted by:</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[Name of the Participant]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9"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6"/>
                        </w:rPr>
                        <w:t>#</w:t>
                      </w:r>
                      <w:r>
                        <w:rPr>
                          <w:rFonts w:ascii="Times New Roman;sans-serif" w:hAnsi="Times New Roman;sans-serif"/>
                          <w:b w:val="false"/>
                          <w:color w:val="000000"/>
                          <w:sz w:val="24"/>
                        </w:rPr>
                        <w:t>1435875v1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Girishchandra K. Saligram,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50" w:type="dxa"/>
        <w:jc w:val="left"/>
        <w:tblInd w:w="0" w:type="dxa"/>
        <w:tblLayout w:type="fixed"/>
        <w:tblCellMar>
          <w:top w:w="28" w:type="dxa"/>
          <w:left w:w="28" w:type="dxa"/>
          <w:bottom w:w="28" w:type="dxa"/>
          <w:right w:w="28" w:type="dxa"/>
        </w:tblCellMar>
      </w:tblPr>
      <w:tblGrid>
        <w:gridCol w:w="124"/>
        <w:gridCol w:w="109"/>
        <w:gridCol w:w="109"/>
        <w:gridCol w:w="306"/>
        <w:gridCol w:w="306"/>
        <w:gridCol w:w="310"/>
        <w:gridCol w:w="668"/>
        <w:gridCol w:w="668"/>
        <w:gridCol w:w="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Anuj Dhruv,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424"/>
        <w:gridCol w:w="424"/>
        <w:gridCol w:w="429"/>
        <w:gridCol w:w="924"/>
        <w:gridCol w:w="924"/>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Anuj Dhruv</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2025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Weatherford International plc (the "Company") for the period ended March 31, 2025 as filed with the Securities and Exchange Commission on the date hereof (the "Report"), I, Anuj Dhruv,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3"/>
        <w:gridCol w:w="1463"/>
        <w:gridCol w:w="1469"/>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Anuj Dhruv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15766</Words>
  <Characters>85751</Characters>
  <CharactersWithSpaces>100428</CharactersWithSpaces>
  <Paragraphs>1808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