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5515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1561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GOLDMAN NEAL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200" w:space="622"/>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4,566</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4,566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03/07/2026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1,690</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2,876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25,311</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4,566</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4,566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2026</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03/07/2026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2,497</w:t>
            </w:r>
          </w:p>
        </w:tc>
        <w:tc>
          <w:tcPr>
            <w:tcW w:w="480" w:type="dxa"/>
            <w:vAlign w:val="bottom"/>
          </w:tcPr>
          <w:p>
            <w:pPr>
              <w:spacing w:after="0"/>
              <w:rPr>
                <w:sz w:val="12"/>
                <w:szCs w:val="12"/>
                <w:color w:val="auto"/>
              </w:rPr>
            </w:pP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2,497</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2,497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in full of restricted share units ("RSUs") granted on March 7, 2025 pursuant to the Issuer's 2019 Equity Incentive Plan, as amended and restated (the "2019 EIP").</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March 7, 2026 pursuant to the 2019 EIP. The RSUs vest in full on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6"/>
              </w:rPr>
              <w:t>Kathy Medford by Power of</w:t>
            </w: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w w:val="95"/>
              </w:rPr>
              <w:t>03/10/2026</w:t>
            </w:r>
          </w:p>
        </w:tc>
        <w:tc>
          <w:tcPr>
            <w:tcW w:w="0" w:type="dxa"/>
            <w:vAlign w:val="bottom"/>
          </w:tcPr>
          <w:p>
            <w:pPr>
              <w:spacing w:after="0"/>
              <w:rPr>
                <w:sz w:val="1"/>
                <w:szCs w:val="1"/>
                <w:color w:val="auto"/>
              </w:rPr>
            </w:pPr>
          </w:p>
        </w:tc>
      </w:tr>
      <w:tr>
        <w:trPr>
          <w:trHeight w:val="83"/>
        </w:trPr>
        <w:tc>
          <w:tcPr>
            <w:tcW w:w="1900" w:type="dxa"/>
            <w:vAlign w:val="bottom"/>
            <w:gridSpan w:val="2"/>
            <w:vMerge w:val="restart"/>
          </w:tcPr>
          <w:p>
            <w:pPr>
              <w:ind w:left="20"/>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900" w:type="dxa"/>
            <w:vAlign w:val="bottom"/>
            <w:gridSpan w:val="2"/>
          </w:tcPr>
          <w:p>
            <w:pPr>
              <w:ind w:left="20"/>
              <w:spacing w:after="0"/>
              <w:rPr>
                <w:sz w:val="20"/>
                <w:szCs w:val="20"/>
                <w:color w:val="auto"/>
              </w:rPr>
            </w:pPr>
            <w:r>
              <w:rPr>
                <w:rFonts w:ascii="Arial" w:cs="Arial" w:eastAsia="Arial" w:hAnsi="Arial"/>
                <w:sz w:val="13"/>
                <w:szCs w:val="13"/>
                <w:color w:val="auto"/>
                <w:w w:val="98"/>
              </w:rPr>
              <w:t>** Signature of Reporting Person</w:t>
            </w:r>
          </w:p>
        </w:tc>
        <w:tc>
          <w:tcPr>
            <w:tcW w:w="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49" w:lineRule="exact"/>
        <w:rPr>
          <w:sz w:val="20"/>
          <w:szCs w:val="20"/>
          <w:color w:val="auto"/>
        </w:rPr>
      </w:pPr>
    </w:p>
    <w:p>
      <w:pPr>
        <w:jc w:val="both"/>
        <w:ind w:firstLine="296"/>
        <w:spacing w:after="0" w:line="261"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Beth Ann Dranguet and Katherine Witty Medford, and if such person ceases to serve in such capacity, his or her successor, or any of them signing singly, and with full power of substitution, as the undersigned’s true and lawful attorney in fact to:</w:t>
      </w:r>
    </w:p>
    <w:p>
      <w:pPr>
        <w:spacing w:after="0" w:line="201" w:lineRule="exact"/>
        <w:rPr>
          <w:sz w:val="20"/>
          <w:szCs w:val="20"/>
          <w:color w:val="auto"/>
        </w:rPr>
      </w:pPr>
    </w:p>
    <w:p>
      <w:pPr>
        <w:jc w:val="both"/>
        <w:ind w:left="600" w:hanging="301"/>
        <w:spacing w:after="0" w:line="260"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credentials (including codes or passwords) to enable the undersigned to submit and file documents, forms and information required by Section 16(a) of the Securities Exchange Act of 1934, as amended (the “Exchange Act”) or any rule or regulation thereunder or by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purposes of the Form ID or such other documents; and (ii) enrolling the undersigned in EDGAR Next or any successor filing system;</w:t>
      </w:r>
    </w:p>
    <w:p>
      <w:pPr>
        <w:spacing w:after="0" w:line="2" w:lineRule="exact"/>
        <w:rPr>
          <w:rFonts w:ascii="Times New Roman" w:cs="Times New Roman" w:eastAsia="Times New Roman" w:hAnsi="Times New Roman"/>
          <w:sz w:val="19"/>
          <w:szCs w:val="19"/>
          <w:color w:val="auto"/>
        </w:rPr>
      </w:pPr>
    </w:p>
    <w:p>
      <w:pPr>
        <w:jc w:val="both"/>
        <w:ind w:left="600" w:hanging="301"/>
        <w:spacing w:after="0" w:line="261"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 w:lineRule="exact"/>
        <w:rPr>
          <w:rFonts w:ascii="Times New Roman" w:cs="Times New Roman" w:eastAsia="Times New Roman" w:hAnsi="Times New Roman"/>
          <w:sz w:val="19"/>
          <w:szCs w:val="19"/>
          <w:color w:val="auto"/>
        </w:rPr>
      </w:pP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Weatherford International plc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jc w:val="both"/>
        <w:ind w:left="60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or director of the Company, Forms 3, 4, and 5 (including any successor forms thereto) in accordance with Section 16(a) of the Exchange Act and the rules thereunder, as well as any Forms 144 (including any successor forms thereto), and any amendments to any of the foregoing;</w:t>
      </w:r>
    </w:p>
    <w:p>
      <w:pPr>
        <w:jc w:val="both"/>
        <w:ind w:left="600" w:right="20" w:hanging="301"/>
        <w:spacing w:after="0" w:line="259"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00" w:hanging="301"/>
        <w:spacing w:after="0" w:line="263" w:lineRule="auto"/>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w:t>
      </w:r>
    </w:p>
    <w:p>
      <w:pPr>
        <w:sectPr>
          <w:pgSz w:w="11900" w:h="16838" w:orient="portrait"/>
          <w:cols w:equalWidth="0" w:num="1">
            <w:col w:w="10980"/>
          </w:cols>
          <w:pgMar w:left="460" w:top="1350" w:right="45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9"/>
          <w:szCs w:val="19"/>
          <w:color w:val="auto"/>
        </w:rPr>
        <w:t>of the undersigned, are not assuming, nor is the Company assuming, any of the undersigned's responsibilities to comply with Section 16 of the Exchange Act.</w:t>
      </w:r>
    </w:p>
    <w:p>
      <w:pPr>
        <w:spacing w:after="0" w:line="168" w:lineRule="exact"/>
        <w:rPr>
          <w:sz w:val="20"/>
          <w:szCs w:val="20"/>
          <w:color w:val="auto"/>
        </w:rPr>
      </w:pPr>
    </w:p>
    <w:p>
      <w:pPr>
        <w:jc w:val="both"/>
        <w:ind w:firstLine="296"/>
        <w:spacing w:after="0" w:line="25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Neal P.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556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5638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Neal P. Goldman</w:t>
      </w:r>
    </w:p>
    <w:p>
      <w:pPr>
        <w:spacing w:after="0" w:line="200" w:lineRule="exact"/>
        <w:rPr>
          <w:sz w:val="20"/>
          <w:szCs w:val="20"/>
          <w:color w:val="auto"/>
        </w:rPr>
      </w:pPr>
    </w:p>
    <w:p>
      <w:pPr>
        <w:spacing w:after="0" w:line="24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1"/>
          <w:szCs w:val="21"/>
          <w:color w:val="auto"/>
        </w:rPr>
        <w:t>Name of Notary:</w:t>
      </w:r>
      <w:r>
        <w:rPr>
          <w:sz w:val="20"/>
          <w:szCs w:val="20"/>
          <w:color w:val="auto"/>
        </w:rPr>
        <w:tab/>
      </w:r>
      <w:r>
        <w:rPr>
          <w:rFonts w:ascii="Times New Roman" w:cs="Times New Roman" w:eastAsia="Times New Roman" w:hAnsi="Times New Roman"/>
          <w:sz w:val="20"/>
          <w:szCs w:val="20"/>
          <w:color w:val="auto"/>
        </w:rPr>
        <w:t>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-13970</wp:posOffset>
            </wp:positionV>
            <wp:extent cx="1480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color w:val="auto"/>
        </w:rPr>
        <w:t>Date:</w:t>
        <w:tab/>
        <w:t>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-20320</wp:posOffset>
            </wp:positionV>
            <wp:extent cx="1513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Signature and Seal:</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 Lauren Thai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767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205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sectPr>
      <w:pgSz w:w="11900" w:h="16838" w:orient="portrait"/>
      <w:cols w:equalWidth="0" w:num="1">
        <w:col w:w="10960"/>
      </w:cols>
      <w:pgMar w:left="460" w:top="1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2774"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2026-03-10T16:12:00Z</dcterms:created>
  <dcterms:modified xsi:type="dcterms:W3CDTF">2026-03-10T16:12:00Z</dcterms:modified>
</cp:coreProperties>
</file>