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184150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217170</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Weatherford International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G48833118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Opps Xb Holdco Ltd.</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right w:val="single" w:sz="8" w:color="auto"/>
            </w:tcBorders>
            <w:vMerge w:val="continue"/>
          </w:tcPr>
          <w:p>
            <w:pPr>
              <w:spacing w:after="0"/>
              <w:rPr>
                <w:sz w:val="22"/>
                <w:szCs w:val="22"/>
                <w:color w:val="auto"/>
              </w:rPr>
            </w:pPr>
          </w:p>
        </w:tc>
        <w:tc>
          <w:tcPr>
            <w:tcW w:w="82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tc>
        <w:tc>
          <w:tcPr>
            <w:tcW w:w="5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60" w:type="dxa"/>
            <w:vAlign w:val="bottom"/>
            <w:tcBorders>
              <w:left w:val="single" w:sz="8" w:color="auto"/>
              <w:bottom w:val="single" w:sz="8" w:color="auto"/>
              <w:right w:val="single" w:sz="8" w:color="auto"/>
            </w:tcBorders>
          </w:tcPr>
          <w:p>
            <w:pPr>
              <w:spacing w:after="0"/>
              <w:rPr>
                <w:sz w:val="23"/>
                <w:szCs w:val="23"/>
                <w:color w:val="auto"/>
              </w:rPr>
            </w:pPr>
          </w:p>
        </w:tc>
        <w:tc>
          <w:tcPr>
            <w:tcW w:w="820" w:type="dxa"/>
            <w:vAlign w:val="bottom"/>
            <w:tcBorders>
              <w:bottom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tc>
        <w:tc>
          <w:tcPr>
            <w:tcW w:w="520" w:type="dxa"/>
            <w:vAlign w:val="bottom"/>
            <w:tcBorders>
              <w:bottom w:val="single" w:sz="8" w:color="auto"/>
            </w:tcBorders>
          </w:tcPr>
          <w:p>
            <w:pPr>
              <w:spacing w:after="0"/>
              <w:rPr>
                <w:sz w:val="23"/>
                <w:szCs w:val="23"/>
                <w:color w:val="auto"/>
              </w:rPr>
            </w:pPr>
          </w:p>
        </w:tc>
        <w:tc>
          <w:tcPr>
            <w:tcW w:w="8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920" w:type="dxa"/>
            <w:vAlign w:val="bottom"/>
            <w:tcBorders>
              <w:left w:val="single" w:sz="8" w:color="auto"/>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8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26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Cascade Investment Fund I, L.P.</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right w:val="single" w:sz="8" w:color="auto"/>
            </w:tcBorders>
            <w:vMerge w:val="continue"/>
          </w:tcPr>
          <w:p>
            <w:pPr>
              <w:spacing w:after="0"/>
              <w:rPr>
                <w:sz w:val="22"/>
                <w:szCs w:val="22"/>
                <w:color w:val="auto"/>
              </w:rPr>
            </w:pPr>
          </w:p>
        </w:tc>
        <w:tc>
          <w:tcPr>
            <w:tcW w:w="82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6"/>
                <w:szCs w:val="16"/>
                <w:color w:val="auto"/>
              </w:rPr>
              <w:t>(a)</w:t>
            </w:r>
            <w:r>
              <w:rPr>
                <w:rFonts w:ascii="MS PGothic" w:cs="MS PGothic" w:eastAsia="MS PGothic" w:hAnsi="MS PGothic"/>
                <w:sz w:val="16"/>
                <w:szCs w:val="16"/>
                <w:color w:val="auto"/>
              </w:rPr>
              <w:t>☐</w:t>
            </w:r>
          </w:p>
        </w:tc>
        <w:tc>
          <w:tcPr>
            <w:tcW w:w="52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260" w:type="dxa"/>
            <w:vAlign w:val="bottom"/>
            <w:tcBorders>
              <w:left w:val="single" w:sz="8" w:color="auto"/>
              <w:bottom w:val="single" w:sz="8" w:color="auto"/>
              <w:right w:val="single" w:sz="8" w:color="auto"/>
            </w:tcBorders>
          </w:tcPr>
          <w:p>
            <w:pPr>
              <w:spacing w:after="0"/>
              <w:rPr>
                <w:sz w:val="23"/>
                <w:szCs w:val="23"/>
                <w:color w:val="auto"/>
              </w:rPr>
            </w:pPr>
          </w:p>
        </w:tc>
        <w:tc>
          <w:tcPr>
            <w:tcW w:w="820" w:type="dxa"/>
            <w:vAlign w:val="bottom"/>
            <w:tcBorders>
              <w:bottom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6"/>
                <w:szCs w:val="16"/>
                <w:color w:val="auto"/>
              </w:rPr>
              <w:t>(b)</w:t>
            </w:r>
            <w:r>
              <w:rPr>
                <w:rFonts w:ascii="MS PGothic" w:cs="MS PGothic" w:eastAsia="MS PGothic" w:hAnsi="MS PGothic"/>
                <w:sz w:val="16"/>
                <w:szCs w:val="16"/>
                <w:color w:val="auto"/>
              </w:rPr>
              <w:t>☐</w:t>
            </w:r>
          </w:p>
        </w:tc>
        <w:tc>
          <w:tcPr>
            <w:tcW w:w="520" w:type="dxa"/>
            <w:vAlign w:val="bottom"/>
            <w:tcBorders>
              <w:bottom w:val="single" w:sz="8" w:color="auto"/>
            </w:tcBorders>
          </w:tcPr>
          <w:p>
            <w:pPr>
              <w:spacing w:after="0"/>
              <w:rPr>
                <w:sz w:val="23"/>
                <w:szCs w:val="23"/>
                <w:color w:val="auto"/>
              </w:rPr>
            </w:pPr>
          </w:p>
        </w:tc>
        <w:tc>
          <w:tcPr>
            <w:tcW w:w="8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Opportunities Fund Xb Holdings (Delaware), L.P.</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Fund GP,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Fund GP I, L.P.</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PN</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Capital I, L.P.</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PN</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OCM Holdings I,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Holdings,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Capital Management, L.P.</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Capital Management GP,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Atlas OCM Holdings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Capital Group,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Oaktree Capital Group Holdings GP, LLC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4"/>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1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160" w:type="dxa"/>
            <w:vAlign w:val="bottom"/>
          </w:tcPr>
          <w:p>
            <w:pPr>
              <w:spacing w:after="0"/>
              <w:rPr>
                <w:sz w:val="17"/>
                <w:szCs w:val="17"/>
                <w:color w:val="auto"/>
              </w:rPr>
            </w:pPr>
          </w:p>
        </w:tc>
        <w:tc>
          <w:tcPr>
            <w:tcW w:w="52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1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Brookfield Corporation</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66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8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8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68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OO</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Brookfield Asset Management ULC</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66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8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8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68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8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BAM Partners Trust</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gridSpan w:val="3"/>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continue"/>
          </w:tcPr>
          <w:p>
            <w:pPr>
              <w:spacing w:after="0"/>
              <w:rPr>
                <w:sz w:val="23"/>
                <w:szCs w:val="23"/>
                <w:color w:val="auto"/>
              </w:rPr>
            </w:pPr>
          </w:p>
        </w:tc>
        <w:tc>
          <w:tcPr>
            <w:tcW w:w="660" w:type="dxa"/>
            <w:vAlign w:val="bottom"/>
          </w:tcPr>
          <w:p>
            <w:pPr>
              <w:ind w:left="4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80" w:type="dxa"/>
            <w:vAlign w:val="bottom"/>
          </w:tcPr>
          <w:p>
            <w:pPr>
              <w:spacing w:after="0"/>
              <w:rPr>
                <w:sz w:val="23"/>
                <w:szCs w:val="23"/>
                <w:color w:val="auto"/>
              </w:rPr>
            </w:pPr>
          </w:p>
        </w:tc>
        <w:tc>
          <w:tcPr>
            <w:tcW w:w="8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26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tcBorders>
              <w:right w:val="single" w:sz="8" w:color="BFBFBF"/>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44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44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shd w:val="clear" w:color="auto" w:fill="BFBFBF"/>
          </w:tcPr>
          <w:p>
            <w:pPr>
              <w:spacing w:after="0"/>
              <w:rPr>
                <w:sz w:val="22"/>
                <w:szCs w:val="22"/>
                <w:color w:val="auto"/>
              </w:rPr>
            </w:pPr>
          </w:p>
        </w:tc>
        <w:tc>
          <w:tcPr>
            <w:tcW w:w="844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tcBorders>
            <w:shd w:val="clear" w:color="auto" w:fill="BFBFBF"/>
          </w:tcPr>
          <w:p>
            <w:pPr>
              <w:spacing w:after="0"/>
              <w:rPr>
                <w:sz w:val="22"/>
                <w:szCs w:val="22"/>
                <w:color w:val="auto"/>
              </w:rPr>
            </w:pPr>
          </w:p>
        </w:tc>
        <w:tc>
          <w:tcPr>
            <w:tcW w:w="10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80" w:type="dxa"/>
            <w:vAlign w:val="bottom"/>
            <w:tcBorders>
              <w:right w:val="single" w:sz="8" w:color="auto"/>
            </w:tcBorders>
            <w:vMerge w:val="continue"/>
          </w:tcPr>
          <w:p>
            <w:pPr>
              <w:spacing w:after="0"/>
              <w:rPr>
                <w:sz w:val="19"/>
                <w:szCs w:val="19"/>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BENEFICIALLY</w:t>
            </w:r>
          </w:p>
        </w:tc>
        <w:tc>
          <w:tcPr>
            <w:tcW w:w="680" w:type="dxa"/>
            <w:vAlign w:val="bottom"/>
            <w:tcBorders>
              <w:right w:val="single" w:sz="8" w:color="auto"/>
            </w:tcBorders>
            <w:vMerge w:val="continue"/>
          </w:tcPr>
          <w:p>
            <w:pPr>
              <w:spacing w:after="0"/>
              <w:rPr>
                <w:sz w:val="17"/>
                <w:szCs w:val="17"/>
                <w:color w:val="auto"/>
              </w:rPr>
            </w:pPr>
          </w:p>
        </w:tc>
        <w:tc>
          <w:tcPr>
            <w:tcW w:w="8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REPORTING PERSON</w:t>
            </w: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2"/>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tcBorders>
          </w:tcPr>
          <w:p>
            <w:pPr>
              <w:jc w:val="center"/>
              <w:ind w:left="529"/>
              <w:spacing w:after="0"/>
              <w:rPr>
                <w:sz w:val="20"/>
                <w:szCs w:val="20"/>
                <w:color w:val="auto"/>
              </w:rPr>
            </w:pPr>
            <w:r>
              <w:rPr>
                <w:rFonts w:ascii="Times New Roman" w:cs="Times New Roman" w:eastAsia="Times New Roman" w:hAnsi="Times New Roman"/>
                <w:sz w:val="16"/>
                <w:szCs w:val="16"/>
                <w:b w:val="1"/>
                <w:bCs w:val="1"/>
                <w:color w:val="auto"/>
                <w:w w:val="96"/>
              </w:rPr>
              <w:t>WITH</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260" w:type="dxa"/>
            <w:vAlign w:val="bottom"/>
            <w:tcBorders>
              <w:left w:val="single" w:sz="8" w:color="auto"/>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Weatherford International plc (the “Issuer”)</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Issuer’s Principal Executive Offices</w:t>
            </w:r>
          </w:p>
        </w:tc>
      </w:tr>
      <w:tr>
        <w:trPr>
          <w:trHeight w:val="414"/>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2000 St. James Place</w:t>
            </w:r>
          </w:p>
        </w:tc>
      </w:tr>
      <w:tr>
        <w:trPr>
          <w:trHeight w:val="234"/>
        </w:trPr>
        <w:tc>
          <w:tcPr>
            <w:tcW w:w="1040" w:type="dxa"/>
            <w:vAlign w:val="bottom"/>
          </w:tcPr>
          <w:p>
            <w:pPr>
              <w:spacing w:after="0"/>
              <w:rPr>
                <w:sz w:val="20"/>
                <w:szCs w:val="20"/>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Houston, TX 77056</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r>
      <w:tr>
        <w:trPr>
          <w:trHeight w:val="432"/>
        </w:trPr>
        <w:tc>
          <w:tcPr>
            <w:tcW w:w="1040" w:type="dxa"/>
            <w:vAlign w:val="bottom"/>
          </w:tcPr>
          <w:p>
            <w:pPr>
              <w:spacing w:after="0"/>
              <w:rPr>
                <w:sz w:val="24"/>
                <w:szCs w:val="24"/>
                <w:color w:val="auto"/>
              </w:rPr>
            </w:pPr>
          </w:p>
        </w:tc>
        <w:tc>
          <w:tcPr>
            <w:tcW w:w="10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This statement is filed by the entities and persons listed below, all of whom together are referred to herein as the “Reporting Persons”:</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Opps Xb Holdco Ltd. (“Xb Holdco”);</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Cascade Investment Fund I, L.P. (“Cascade”);</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Opportunities Fund Xb Holdings (Delaware), L.P. (“Xb Holdings”);</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Fund GP, LLC (“Fund GP”) in its capacity as the general partner of Cascade and Xb Holdings;</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Fund GP I, L.P. (“GP I”) in its capacity as the managing member of Fund GP;</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I, L.P. (“Capital I”) in its capacity as the general partner of GP 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OCM Holdings I, LLC (“Holdings I’) in its capacity as the general partner of Capital 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Holdings, LLC (“Holdings”) in its capacity as the managing member of Holdings I;</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(ix)</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Management, L.P. (“Management”) in its capacity as the sole director of Xb Holdco;</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Management GP, LLC (“Management GP”) in its capacity as the general partner of Management;</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Atlas OCM Holdings LLC (“Atlas”) in its capacity as the sole managing member of Management GP;</w:t>
            </w:r>
          </w:p>
        </w:tc>
      </w:tr>
      <w:tr>
        <w:trPr>
          <w:trHeight w:val="432"/>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Group, LLC (“OCG”) in its capacity as the managing member of Holdings;</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(xiii)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Oaktree Capital Group Holdings GP, LLC (“OCGH GP” and, together with each of the foregoing, the “Oaktree Reporting</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Persons”) in its capacity as the indirect owner of the class B units of each of OCG and Atlas;</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(xiv)</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Brookfield Corporation (f/k/a Brookfield Asset Management Inc.) (“BAM”) in its capacity as the indirect owner of the class A</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 of each of OCG and Atlas;</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(xv)</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Brookfield Asset Management ULC (“Brookfield ULC”) in its capacity as the indirect owner of class A units of Atlas OCM;</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r>
      <w:tr>
        <w:trPr>
          <w:trHeight w:val="414"/>
        </w:trPr>
        <w:tc>
          <w:tcPr>
            <w:tcW w:w="104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(xvi)</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BAM Partners Trust (“BAM Partners,” and together BAM and Brookfield ULC, the “Brookfield Reporting Persons”) in its</w:t>
            </w:r>
          </w:p>
        </w:tc>
      </w:tr>
      <w:tr>
        <w:trPr>
          <w:trHeight w:val="234"/>
        </w:trPr>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capacity as the sole owner of Class B Limited Voting Shares of BAM.</w:t>
            </w:r>
          </w:p>
        </w:tc>
      </w:tr>
      <w:tr>
        <w:trPr>
          <w:trHeight w:val="398"/>
        </w:trPr>
        <w:tc>
          <w:tcPr>
            <w:tcW w:w="10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8" w:name="page19"/>
    <w:bookmarkEnd w:id="1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b w:val="1"/>
          <w:bCs w:val="1"/>
          <w:color w:val="auto"/>
        </w:rPr>
        <w:t>Address of the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principal business address of each of the Oaktree Reporting Persons is: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S. Grand Avenue, 28th Floor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principal business address of each of the Brookfield Reporting Persons is: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Brookfield Place, 181 Bay Street, Suite 100, Toronto, Ontario, Canada M5J 2T3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20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See responses to Item 4 on each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Common Shares, $0.001 par value per share (the “Shares”)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20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G48833118</w:t>
            </w:r>
          </w:p>
        </w:tc>
        <w:tc>
          <w:tcPr>
            <w:tcW w:w="720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Rules 13d-1(b), or 13d-2(b) or (c), check whether the person filing is a (n):</w:t>
            </w:r>
          </w:p>
        </w:tc>
      </w:tr>
      <w:tr>
        <w:trPr>
          <w:trHeight w:val="432"/>
        </w:trPr>
        <w:tc>
          <w:tcPr>
            <w:tcW w:w="104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720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720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w:t>
            </w: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9 on each cover page.</w:t>
            </w:r>
          </w:p>
        </w:tc>
      </w:tr>
      <w:tr>
        <w:trPr>
          <w:trHeight w:val="414"/>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w:t>
            </w: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11 on each cover page.</w:t>
            </w:r>
          </w:p>
        </w:tc>
      </w:tr>
      <w:tr>
        <w:trPr>
          <w:trHeight w:val="432"/>
        </w:trPr>
        <w:tc>
          <w:tcPr>
            <w:tcW w:w="104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w:t>
            </w: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5 on each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6 on each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7 on each cover page.</w:t>
            </w:r>
          </w:p>
        </w:tc>
      </w:tr>
      <w:tr>
        <w:trPr>
          <w:trHeight w:val="414"/>
        </w:trPr>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See response/s to Item 8 on the/each cover page.</w:t>
            </w: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3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held for the purpose of or with the effect of changing or influencing the control of the issuer of the securities and were not acquired and</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 other than activities solely in</w:t>
            </w:r>
          </w:p>
        </w:tc>
      </w:tr>
      <w:tr>
        <w:trPr>
          <w:trHeight w:val="234"/>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connection with a nomination under § 240.14a–11.</w:t>
            </w:r>
          </w:p>
        </w:tc>
      </w:tr>
      <w:tr>
        <w:trPr>
          <w:trHeight w:val="39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OPPS XB HOLDCO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Capital Management,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CASCADE INVESTMENT FUND I GP,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OAKTREE OPPORTUNITIES FUND Xb HOLDINGS (DELAWARE),</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FUND GP,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FUND GP 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OAKTREE CAPITAL I,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-130810</wp:posOffset>
            </wp:positionV>
            <wp:extent cx="33604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1" w:name="page22"/>
    <w:bookmarkEnd w:id="21"/>
    <w:p>
      <w:pPr>
        <w:ind w:left="4500"/>
        <w:spacing w:after="0"/>
        <w:rPr>
          <w:sz w:val="20"/>
          <w:szCs w:val="20"/>
          <w:color w:val="auto"/>
        </w:rPr>
      </w:pPr>
      <w:r>
        <w:rPr>
          <w:rFonts w:ascii="Times New Roman" w:cs="Times New Roman" w:eastAsia="Times New Roman" w:hAnsi="Times New Roman"/>
          <w:sz w:val="18"/>
          <w:szCs w:val="18"/>
          <w:b w:val="1"/>
          <w:bCs w:val="1"/>
          <w:color w:val="auto"/>
        </w:rPr>
        <w:t>OCM HOLDINGS I,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OAKTREE HOLDINGS,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OAKTREE CAPITAL MANAGEMENT, L.P.</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OAKTREE CAPITAL MANAGEMENT GP,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Atlas OCM Holdings,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Oaktree New Holdings,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ATLAS OCM HOLDINGS,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Oaktree New Holdings,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OAKTREE CAPITAL GROUP, LLC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OAKTREE CAPITAL GROUP HOLDINGS GP, LLC</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BROOKFIELD CORPORATION</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33604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Swati Mandava</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Managing Director, Legal &amp;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ind w:left="4500"/>
        <w:spacing w:after="0"/>
        <w:rPr>
          <w:sz w:val="20"/>
          <w:szCs w:val="20"/>
          <w:color w:val="auto"/>
        </w:rPr>
      </w:pPr>
      <w:r>
        <w:rPr>
          <w:rFonts w:ascii="Times New Roman" w:cs="Times New Roman" w:eastAsia="Times New Roman" w:hAnsi="Times New Roman"/>
          <w:sz w:val="17"/>
          <w:szCs w:val="17"/>
          <w:b w:val="1"/>
          <w:bCs w:val="1"/>
          <w:color w:val="auto"/>
        </w:rPr>
        <w:t>BROOKFIELD ASSET MANAGEMENT ULC</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Kathy Sarpash</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33604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Managing Director, Legal &amp; Regulatory</w:t>
      </w:r>
    </w:p>
    <w:p>
      <w:pPr>
        <w:spacing w:after="0" w:line="20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BAM PARTNERS TRUST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BAM Class B Partners Inc.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Its: Trustee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Kathy Sarpash</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33604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2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EXHIBIT LIST</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Joint Filing Agreement, dated as of February 14, 2023, by and among the Reporting Persons (incorporated herein by reference to Exhibit</w:t>
            </w:r>
          </w:p>
        </w:tc>
      </w:tr>
      <w:tr>
        <w:trPr>
          <w:trHeight w:val="234"/>
        </w:trPr>
        <w:tc>
          <w:tcPr>
            <w:tcW w:w="1000" w:type="dxa"/>
            <w:vAlign w:val="bottom"/>
          </w:tcPr>
          <w:p>
            <w:pPr>
              <w:spacing w:after="0"/>
              <w:rPr>
                <w:sz w:val="20"/>
                <w:szCs w:val="20"/>
                <w:color w:val="auto"/>
              </w:rPr>
            </w:pPr>
          </w:p>
        </w:tc>
        <w:tc>
          <w:tcPr>
            <w:tcW w:w="10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 to that certain Schedule 13G filed on February 14, 2023, by the Reporting Persons with the Securities and Exchange Commission).</w:t>
            </w:r>
          </w:p>
        </w:tc>
      </w:tr>
      <w:tr>
        <w:trPr>
          <w:trHeight w:val="533"/>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2024-02-14T11:32:26Z</dcterms:created>
  <dcterms:modified xsi:type="dcterms:W3CDTF">2024-02-14T11:32:26Z</dcterms:modified>
</cp:coreProperties>
</file>