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6996430" cy="5744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5744845"/>
                    </a:xfrm>
                    <a:prstGeom prst="rect">
                      <a:avLst/>
                    </a:prstGeom>
                    <a:noFill/>
                  </pic:spPr>
                </pic:pic>
              </a:graphicData>
            </a:graphic>
          </wp:anchor>
        </w:drawing>
      </w:r>
    </w:p>
    <w:p>
      <w:pPr>
        <w:spacing w:after="0" w:line="1195" w:lineRule="exact"/>
        <w:rPr>
          <w:sz w:val="24"/>
          <w:szCs w:val="24"/>
          <w:color w:val="auto"/>
        </w:rPr>
      </w:pPr>
    </w:p>
    <w:p>
      <w:pPr>
        <w:sectPr>
          <w:pgSz w:w="11900" w:h="16838" w:orient="portrait"/>
          <w:cols w:equalWidth="0" w:num="2">
            <w:col w:w="2280" w:space="360"/>
            <w:col w:w="8440"/>
          </w:cols>
          <w:pgMar w:left="460" w:top="215" w:right="359" w:bottom="109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Saligram Girish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2000 ST. JAMES PLACE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02/04/2026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948"/>
        <w:spacing w:after="0"/>
        <w:rPr>
          <w:sz w:val="20"/>
          <w:szCs w:val="20"/>
          <w:color w:val="auto"/>
        </w:rPr>
      </w:pPr>
      <w:r>
        <w:rPr>
          <w:rFonts w:ascii="Times New Roman" w:cs="Times New Roman" w:eastAsia="Times New Roman" w:hAnsi="Times New Roman"/>
          <w:sz w:val="16"/>
          <w:szCs w:val="16"/>
          <w:color w:val="0000FF"/>
        </w:rPr>
        <w:t>President and CEO</w:t>
      </w:r>
    </w:p>
    <w:p>
      <w:pPr>
        <w:spacing w:after="0" w:line="275" w:lineRule="exact"/>
        <w:rPr>
          <w:sz w:val="24"/>
          <w:szCs w:val="24"/>
          <w:color w:val="auto"/>
        </w:rPr>
      </w:pPr>
    </w:p>
    <w:p>
      <w:pPr>
        <w:sectPr>
          <w:pgSz w:w="11900" w:h="16838" w:orient="portrait"/>
          <w:cols w:equalWidth="0" w:num="3">
            <w:col w:w="3180" w:space="720"/>
            <w:col w:w="3160" w:space="672"/>
            <w:col w:w="3348"/>
          </w:cols>
          <w:pgMar w:left="460" w:top="215" w:right="359" w:bottom="109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shd w:val="clear" w:color="auto" w:fill="9A9A9A"/>
          </w:tcPr>
          <w:p>
            <w:pPr>
              <w:spacing w:after="0"/>
              <w:rPr>
                <w:sz w:val="3"/>
                <w:szCs w:val="3"/>
                <w:color w:val="auto"/>
              </w:rPr>
            </w:pPr>
          </w:p>
        </w:tc>
        <w:tc>
          <w:tcPr>
            <w:tcW w:w="520" w:type="dxa"/>
            <w:vAlign w:val="bottom"/>
            <w:shd w:val="clear" w:color="auto" w:fill="9A9A9A"/>
          </w:tcPr>
          <w:p>
            <w:pPr>
              <w:spacing w:after="0"/>
              <w:rPr>
                <w:sz w:val="3"/>
                <w:szCs w:val="3"/>
                <w:color w:val="auto"/>
              </w:rPr>
            </w:pPr>
          </w:p>
        </w:tc>
        <w:tc>
          <w:tcPr>
            <w:tcW w:w="260" w:type="dxa"/>
            <w:vAlign w:val="bottom"/>
            <w:shd w:val="clear" w:color="auto" w:fill="9A9A9A"/>
          </w:tcPr>
          <w:p>
            <w:pPr>
              <w:spacing w:after="0"/>
              <w:rPr>
                <w:sz w:val="3"/>
                <w:szCs w:val="3"/>
                <w:color w:val="auto"/>
              </w:rPr>
            </w:pPr>
          </w:p>
        </w:tc>
        <w:tc>
          <w:tcPr>
            <w:tcW w:w="980" w:type="dxa"/>
            <w:vAlign w:val="bottom"/>
            <w:shd w:val="clear" w:color="auto" w:fill="9A9A9A"/>
          </w:tcPr>
          <w:p>
            <w:pPr>
              <w:spacing w:after="0"/>
              <w:rPr>
                <w:sz w:val="3"/>
                <w:szCs w:val="3"/>
                <w:color w:val="auto"/>
              </w:rPr>
            </w:pPr>
          </w:p>
        </w:tc>
        <w:tc>
          <w:tcPr>
            <w:tcW w:w="112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660" w:type="dxa"/>
            <w:vAlign w:val="bottom"/>
            <w:gridSpan w:val="6"/>
            <w:vMerge w:val="restart"/>
          </w:tcPr>
          <w:p>
            <w:pPr>
              <w:jc w:val="center"/>
              <w:ind w:right="118"/>
              <w:spacing w:after="0"/>
              <w:rPr>
                <w:sz w:val="20"/>
                <w:szCs w:val="20"/>
                <w:color w:val="auto"/>
              </w:rPr>
            </w:pPr>
            <w:r>
              <w:rPr>
                <w:rFonts w:ascii="Arial" w:cs="Arial" w:eastAsia="Arial" w:hAnsi="Arial"/>
                <w:sz w:val="13"/>
                <w:szCs w:val="13"/>
                <w:color w:val="auto"/>
                <w:w w:val="96"/>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6"/>
            <w:vMerge w:val="continue"/>
          </w:tcPr>
          <w:p>
            <w:pPr>
              <w:spacing w:after="0"/>
              <w:rPr>
                <w:sz w:val="9"/>
                <w:szCs w:val="9"/>
                <w:color w:val="auto"/>
              </w:rPr>
            </w:pPr>
          </w:p>
        </w:tc>
        <w:tc>
          <w:tcPr>
            <w:tcW w:w="36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9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0000FF"/>
              </w:rPr>
              <w:t>77056</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Borders>
              <w:top w:val="single" w:sz="8" w:color="EEEEEE"/>
            </w:tcBorders>
          </w:tcPr>
          <w:p>
            <w:pPr>
              <w:spacing w:after="0"/>
              <w:rPr>
                <w:sz w:val="15"/>
                <w:szCs w:val="15"/>
                <w:color w:val="auto"/>
              </w:rPr>
            </w:pPr>
          </w:p>
        </w:tc>
        <w:tc>
          <w:tcPr>
            <w:tcW w:w="124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740" w:type="dxa"/>
            <w:vAlign w:val="bottom"/>
            <w:tcBorders>
              <w:bottom w:val="single" w:sz="8" w:color="2C2C2C"/>
            </w:tcBorders>
            <w:gridSpan w:val="5"/>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2"/>
          </w:tcPr>
          <w:p>
            <w:pPr>
              <w:jc w:val="center"/>
              <w:ind w:left="5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20" w:type="dxa"/>
            <w:vAlign w:val="bottom"/>
            <w:gridSpan w:val="3"/>
          </w:tcPr>
          <w:p>
            <w:pPr>
              <w:ind w:left="76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jc w:val="right"/>
              <w:ind w:right="174"/>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73"/>
              <w:spacing w:after="0"/>
              <w:rPr>
                <w:sz w:val="20"/>
                <w:szCs w:val="20"/>
                <w:color w:val="auto"/>
              </w:rPr>
            </w:pPr>
            <w:r>
              <w:rPr>
                <w:rFonts w:ascii="Times New Roman" w:cs="Times New Roman" w:eastAsia="Times New Roman" w:hAnsi="Times New Roman"/>
                <w:sz w:val="16"/>
                <w:szCs w:val="16"/>
                <w:color w:val="0000FF"/>
              </w:rPr>
              <w:t>02/04/2026</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137,755</w:t>
            </w: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jc w:val="center"/>
              <w:ind w:right="7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171,283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73"/>
              <w:spacing w:after="0"/>
              <w:rPr>
                <w:sz w:val="20"/>
                <w:szCs w:val="20"/>
                <w:color w:val="auto"/>
              </w:rPr>
            </w:pPr>
            <w:r>
              <w:rPr>
                <w:rFonts w:ascii="Times New Roman" w:cs="Times New Roman" w:eastAsia="Times New Roman" w:hAnsi="Times New Roman"/>
                <w:sz w:val="16"/>
                <w:szCs w:val="16"/>
                <w:color w:val="0000FF"/>
              </w:rPr>
              <w:t>02/04/2026</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54,207</w:t>
            </w: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99.97</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117,076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990,169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52,105</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Spousal</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Grantor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100,000</w:t>
            </w:r>
          </w:p>
        </w:tc>
        <w:tc>
          <w:tcPr>
            <w:tcW w:w="300" w:type="dxa"/>
            <w:vAlign w:val="bottom"/>
          </w:tcPr>
          <w:p>
            <w:pPr>
              <w:spacing w:after="0"/>
              <w:rPr>
                <w:sz w:val="17"/>
                <w:szCs w:val="17"/>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Retained</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Annuity</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180" w:type="dxa"/>
            <w:vAlign w:val="bottom"/>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80" w:type="dxa"/>
            <w:vAlign w:val="bottom"/>
            <w:gridSpan w:val="9"/>
          </w:tcPr>
          <w:p>
            <w:pPr>
              <w:jc w:val="right"/>
              <w:ind w:right="17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jc w:val="center"/>
              <w:ind w:right="417"/>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jc w:val="center"/>
              <w:ind w:right="417"/>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2023 Annual</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137,755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ind w:right="117"/>
              <w:spacing w:after="0" w:line="127" w:lineRule="exact"/>
              <w:rPr>
                <w:sz w:val="20"/>
                <w:szCs w:val="20"/>
                <w:color w:val="auto"/>
              </w:rPr>
            </w:pPr>
            <w:r>
              <w:rPr>
                <w:rFonts w:ascii="Times New Roman" w:cs="Times New Roman" w:eastAsia="Times New Roman" w:hAnsi="Times New Roman"/>
                <w:sz w:val="13"/>
                <w:szCs w:val="13"/>
                <w:color w:val="0000FF"/>
              </w:rPr>
              <w:t>02/04/2026</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60"/>
              <w:spacing w:after="0" w:line="127" w:lineRule="exact"/>
              <w:rPr>
                <w:sz w:val="20"/>
                <w:szCs w:val="20"/>
                <w:color w:val="auto"/>
              </w:rPr>
            </w:pPr>
            <w:r>
              <w:rPr>
                <w:rFonts w:ascii="Times New Roman" w:cs="Times New Roman" w:eastAsia="Times New Roman" w:hAnsi="Times New Roman"/>
                <w:sz w:val="13"/>
                <w:szCs w:val="13"/>
                <w:color w:val="0000FF"/>
              </w:rPr>
              <w:t>137,755</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400"/>
              <w:spacing w:after="0" w:line="127"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-1728470</wp:posOffset>
            </wp:positionV>
            <wp:extent cx="28575" cy="1734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3418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6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performance share units ("PSUs") granted on January 18, 2023 under Issuer's 2019 Equity Incentive Plan, as amended and restated (the "2019 EIP"). The award vested at 153% of target based on achievement of performance metrics during the three-year performance period, which ended on December 31, 2025.</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a portion of vested PSUs to satisfy the reporting person's tax obligations upon vesting, pursuant to the 2019 EIP and the relevant award agreement.</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a trust, of which the reporting person and his spouse are the grantors, trustees and beneficiaries.</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a spousal lifetime access trust, of which the reporting person's spouse is the trustee and beneficiary.</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a grantor retained annuity trust of which the reporting person is the grantor, trustee and annuitant, with a remainder interest in favor of the reporting person's children.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Kathy Medford by Power of</w:t>
            </w:r>
          </w:p>
        </w:tc>
        <w:tc>
          <w:tcPr>
            <w:tcW w:w="16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02/06/2026</w:t>
            </w:r>
          </w:p>
        </w:tc>
        <w:tc>
          <w:tcPr>
            <w:tcW w:w="0" w:type="dxa"/>
            <w:vAlign w:val="bottom"/>
          </w:tcPr>
          <w:p>
            <w:pPr>
              <w:spacing w:after="0"/>
              <w:rPr>
                <w:sz w:val="1"/>
                <w:szCs w:val="1"/>
                <w:color w:val="auto"/>
              </w:rPr>
            </w:pPr>
          </w:p>
        </w:tc>
      </w:tr>
      <w:tr>
        <w:trPr>
          <w:trHeight w:val="81"/>
        </w:trPr>
        <w:tc>
          <w:tcPr>
            <w:tcW w:w="58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8"/>
              </w:rPr>
              <w:t>Attorney</w:t>
            </w:r>
          </w:p>
        </w:tc>
        <w:tc>
          <w:tcPr>
            <w:tcW w:w="14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58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0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2885"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2026-02-06T17:14:29Z</dcterms:created>
  <dcterms:modified xsi:type="dcterms:W3CDTF">2026-02-06T17:14:29Z</dcterms:modified>
</cp:coreProperties>
</file>