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4940" w:val="left"/>
          <w:tab w:leader="none" w:pos="82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14</w:t>
      </w:r>
    </w:p>
    <w:p>
      <w:pPr>
        <w:spacing w:after="0" w:line="200" w:lineRule="exact"/>
        <w:rPr>
          <w:sz w:val="24"/>
          <w:szCs w:val="24"/>
          <w:color w:val="auto"/>
        </w:rPr>
      </w:pPr>
    </w:p>
    <w:p>
      <w:pPr>
        <w:spacing w:after="0" w:line="312"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9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(Amendment No. 1)*</w:t>
      </w:r>
    </w:p>
    <w:p>
      <w:pPr>
        <w:spacing w:after="0" w:line="223"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Weatherford International plc</w:t>
      </w:r>
    </w:p>
    <w:p>
      <w:pPr>
        <w:spacing w:after="0" w:line="4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(Name of Issuer)</w:t>
      </w:r>
    </w:p>
    <w:p>
      <w:pPr>
        <w:spacing w:after="0" w:line="237" w:lineRule="exact"/>
        <w:rPr>
          <w:sz w:val="24"/>
          <w:szCs w:val="24"/>
          <w:color w:val="auto"/>
        </w:rPr>
      </w:pPr>
    </w:p>
    <w:p>
      <w:pPr>
        <w:jc w:val="center"/>
        <w:ind w:right="1099"/>
        <w:spacing w:after="0"/>
        <w:rPr>
          <w:sz w:val="20"/>
          <w:szCs w:val="20"/>
          <w:color w:val="auto"/>
        </w:rPr>
      </w:pPr>
      <w:r>
        <w:rPr>
          <w:rFonts w:ascii="Courier New" w:cs="Courier New" w:eastAsia="Courier New" w:hAnsi="Courier New"/>
          <w:sz w:val="18"/>
          <w:szCs w:val="18"/>
          <w:color w:val="auto"/>
        </w:rPr>
        <w:t>Ordinary Shares, par value $0.001 per share</w:t>
      </w:r>
    </w:p>
    <w:p>
      <w:pPr>
        <w:spacing w:after="0" w:line="44"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8"/>
          <w:szCs w:val="18"/>
          <w:color w:val="auto"/>
        </w:rPr>
        <w:t>G48833118</w:t>
      </w:r>
    </w:p>
    <w:p>
      <w:pPr>
        <w:spacing w:after="0" w:line="58"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(CUSIP Number)</w:t>
      </w:r>
    </w:p>
    <w:p>
      <w:pPr>
        <w:spacing w:after="0" w:line="250"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December 31, 2020</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 to designate the rule pursuant to which this Schedule is filed:</w:t>
      </w:r>
    </w:p>
    <w:p>
      <w:pPr>
        <w:spacing w:after="0" w:line="253" w:lineRule="exact"/>
        <w:rPr>
          <w:sz w:val="24"/>
          <w:szCs w:val="24"/>
          <w:color w:val="auto"/>
        </w:rPr>
      </w:pPr>
    </w:p>
    <w:p>
      <w:pPr>
        <w:jc w:val="both"/>
        <w:ind w:right="8179" w:firstLine="8"/>
        <w:spacing w:after="0" w:line="263" w:lineRule="exact"/>
        <w:tabs>
          <w:tab w:leader="none" w:pos="4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70" w:lineRule="exact"/>
        <w:rPr>
          <w:sz w:val="24"/>
          <w:szCs w:val="24"/>
          <w:color w:val="auto"/>
        </w:rPr>
      </w:pPr>
    </w:p>
    <w:p>
      <w:pPr>
        <w:ind w:right="55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jc w:val="both"/>
        <w:ind w:right="75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149860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939"/>
          </w:cols>
          <w:pgMar w:left="520" w:top="471" w:right="1440" w:bottom="1440" w:gutter="0" w:footer="0" w:header="0"/>
        </w:sectPr>
      </w:pPr>
    </w:p>
    <w:bookmarkStart w:id="1" w:name="page2"/>
    <w:bookmarkEnd w:id="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14</w:t>
      </w:r>
    </w:p>
    <w:p>
      <w:pPr>
        <w:sectPr>
          <w:pgSz w:w="11900" w:h="16838" w:orient="portrait"/>
          <w:cols w:equalWidth="0" w:num="1">
            <w:col w:w="9839"/>
          </w:cols>
          <w:pgMar w:left="620" w:top="619" w:right="1440"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left="800" w:right="6159" w:hanging="592"/>
        <w:spacing w:after="0" w:line="563"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840" w:hanging="632"/>
        <w:spacing w:after="0"/>
        <w:tabs>
          <w:tab w:leader="none" w:pos="8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32" w:lineRule="auto"/>
        <w:tabs>
          <w:tab w:leader="none" w:pos="8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88"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800" w:right="699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32"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15,300,451</w:t>
      </w:r>
    </w:p>
    <w:p>
      <w:pPr>
        <w:ind w:left="840" w:hanging="632"/>
        <w:spacing w:after="0"/>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21.9%</w:t>
      </w:r>
    </w:p>
    <w:p>
      <w:pPr>
        <w:ind w:left="840" w:hanging="632"/>
        <w:spacing w:after="0"/>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19"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1740" w:type="dxa"/>
            <w:vAlign w:val="bottom"/>
          </w:tcPr>
          <w:p>
            <w:pPr>
              <w:ind w:left="142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12" w:lineRule="exact"/>
        <w:rPr>
          <w:sz w:val="20"/>
          <w:szCs w:val="20"/>
          <w:color w:val="auto"/>
        </w:rPr>
      </w:pPr>
    </w:p>
    <w:p>
      <w:pPr>
        <w:ind w:left="800" w:right="3720" w:hanging="592"/>
        <w:spacing w:after="0" w:line="588" w:lineRule="auto"/>
        <w:tabs>
          <w:tab w:leader="none" w:pos="83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2760" w:hanging="592"/>
        <w:spacing w:after="0" w:line="556" w:lineRule="auto"/>
        <w:tabs>
          <w:tab w:leader="none" w:pos="8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4760" w:hanging="592"/>
        <w:spacing w:after="0" w:line="563" w:lineRule="auto"/>
        <w:tabs>
          <w:tab w:leader="none" w:pos="83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4560"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4240"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4040"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40"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15,300,451</w:t>
      </w:r>
    </w:p>
    <w:p>
      <w:pPr>
        <w:ind w:left="840" w:hanging="632"/>
        <w:spacing w:after="0"/>
        <w:tabs>
          <w:tab w:leader="none" w:pos="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1400" w:hanging="592"/>
        <w:spacing w:after="0" w:line="532"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21.9%</w:t>
      </w:r>
    </w:p>
    <w:p>
      <w:pPr>
        <w:ind w:left="840" w:hanging="632"/>
        <w:spacing w:after="0"/>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 3 of 14</w:t>
      </w:r>
    </w:p>
    <w:p>
      <w:pPr>
        <w:sectPr>
          <w:pgSz w:w="11900" w:h="16838" w:orient="portrait"/>
          <w:cols w:equalWidth="0" w:num="2">
            <w:col w:w="7400" w:space="720"/>
            <w:col w:w="1719"/>
          </w:cols>
          <w:pgMar w:left="620" w:top="606" w:right="1440" w:bottom="1440" w:gutter="0" w:footer="0" w:header="0"/>
        </w:sectPr>
      </w:pPr>
    </w:p>
    <w:bookmarkStart w:id="3" w:name="page4"/>
    <w:bookmarkEnd w:id="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15,300,451</w:t>
      </w:r>
    </w:p>
    <w:p>
      <w:pPr>
        <w:ind w:left="840" w:hanging="632"/>
        <w:spacing w:after="0"/>
        <w:tabs>
          <w:tab w:leader="none" w:pos="8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21.9%</w:t>
      </w:r>
    </w:p>
    <w:p>
      <w:pPr>
        <w:ind w:left="840" w:hanging="632"/>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4" w:name="page5"/>
    <w:bookmarkEnd w:id="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63" w:lineRule="auto"/>
        <w:tabs>
          <w:tab w:leader="none" w:pos="832"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Advisers, Inc.</w:t>
      </w:r>
    </w:p>
    <w:p>
      <w:pPr>
        <w:ind w:left="840" w:hanging="632"/>
        <w:spacing w:after="0"/>
        <w:tabs>
          <w:tab w:leader="none" w:pos="8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32" w:lineRule="auto"/>
        <w:tabs>
          <w:tab w:leader="none" w:pos="8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56"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15,300,451</w:t>
      </w:r>
    </w:p>
    <w:p>
      <w:pPr>
        <w:ind w:left="800" w:right="6999" w:hanging="592"/>
        <w:spacing w:after="0" w:line="532"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ind w:left="800" w:right="6679" w:hanging="592"/>
        <w:spacing w:after="0" w:line="556"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15,300,451</w:t>
      </w:r>
    </w:p>
    <w:p>
      <w:pPr>
        <w:ind w:left="800" w:right="6479" w:hanging="592"/>
        <w:spacing w:after="0" w:line="532"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ind w:left="800" w:right="2679" w:hanging="592"/>
        <w:spacing w:after="0" w:line="532" w:lineRule="auto"/>
        <w:tabs>
          <w:tab w:leader="none" w:pos="8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15,300,451</w:t>
      </w:r>
    </w:p>
    <w:p>
      <w:pPr>
        <w:ind w:left="840" w:hanging="632"/>
        <w:spacing w:after="0"/>
        <w:tabs>
          <w:tab w:leader="none" w:pos="8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21.9%</w:t>
      </w:r>
    </w:p>
    <w:p>
      <w:pPr>
        <w:ind w:left="840" w:hanging="632"/>
        <w:spacing w:after="0"/>
        <w:tabs>
          <w:tab w:leader="none" w:pos="8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5" w:name="page6"/>
    <w:bookmarkEnd w:id="5"/>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40" w:hanging="632"/>
        <w:spacing w:after="0"/>
        <w:tabs>
          <w:tab w:leader="none" w:pos="8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Weatherford International plc</w:t>
      </w:r>
    </w:p>
    <w:p>
      <w:pPr>
        <w:spacing w:after="0" w:line="242" w:lineRule="exact"/>
        <w:rPr>
          <w:sz w:val="20"/>
          <w:szCs w:val="20"/>
          <w:color w:val="auto"/>
        </w:rPr>
      </w:pPr>
    </w:p>
    <w:p>
      <w:pPr>
        <w:ind w:left="840" w:hanging="632"/>
        <w:spacing w:after="0"/>
        <w:tabs>
          <w:tab w:leader="none" w:pos="8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2000 St. James Place</w:t>
      </w:r>
    </w:p>
    <w:p>
      <w:pPr>
        <w:spacing w:after="0" w:line="4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Houston, TX 77056</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40" w:hanging="632"/>
        <w:spacing w:after="0"/>
        <w:tabs>
          <w:tab w:leader="none" w:pos="8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8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64"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96"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200" w:lineRule="exact"/>
        <w:rPr>
          <w:sz w:val="20"/>
          <w:szCs w:val="20"/>
          <w:color w:val="auto"/>
        </w:rPr>
      </w:pPr>
    </w:p>
    <w:p>
      <w:pPr>
        <w:spacing w:after="0" w:line="325" w:lineRule="exact"/>
        <w:rPr>
          <w:sz w:val="20"/>
          <w:szCs w:val="20"/>
          <w:color w:val="auto"/>
        </w:rPr>
      </w:pPr>
    </w:p>
    <w:p>
      <w:pPr>
        <w:ind w:left="840" w:hanging="632"/>
        <w:spacing w:after="0"/>
        <w:tabs>
          <w:tab w:leader="none" w:pos="8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44"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12"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61"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53" w:lineRule="exact"/>
        <w:rPr>
          <w:sz w:val="20"/>
          <w:szCs w:val="20"/>
          <w:color w:val="auto"/>
        </w:rPr>
      </w:pPr>
    </w:p>
    <w:p>
      <w:pPr>
        <w:ind w:left="1400"/>
        <w:spacing w:after="0" w:line="204" w:lineRule="exact"/>
        <w:tabs>
          <w:tab w:leader="none" w:pos="2960" w:val="left"/>
        </w:tabs>
        <w:rPr>
          <w:sz w:val="20"/>
          <w:szCs w:val="20"/>
          <w:color w:val="auto"/>
        </w:rPr>
      </w:pPr>
      <w:r>
        <w:rPr>
          <w:rFonts w:ascii="Courier New" w:cs="Courier New" w:eastAsia="Courier New" w:hAnsi="Courier New"/>
          <w:sz w:val="18"/>
          <w:szCs w:val="18"/>
          <w:color w:val="auto"/>
        </w:rPr>
        <w:t>San Mateo, CA</w:t>
      </w:r>
      <w:r>
        <w:rPr>
          <w:sz w:val="20"/>
          <w:szCs w:val="20"/>
          <w:color w:val="auto"/>
        </w:rPr>
        <w:tab/>
      </w:r>
      <w:r>
        <w:rPr>
          <w:rFonts w:ascii="Courier New" w:cs="Courier New" w:eastAsia="Courier New" w:hAnsi="Courier New"/>
          <w:sz w:val="17"/>
          <w:szCs w:val="17"/>
          <w:color w:val="auto"/>
        </w:rPr>
        <w:t>94403</w:t>
      </w:r>
      <w:r>
        <w:rPr>
          <w:rFonts w:ascii="MS PGothic" w:cs="MS PGothic" w:eastAsia="MS PGothic" w:hAnsi="MS PGothic"/>
          <w:sz w:val="17"/>
          <w:szCs w:val="17"/>
          <w:color w:val="auto"/>
        </w:rPr>
        <w:t>‑</w:t>
      </w:r>
      <w:r>
        <w:rPr>
          <w:rFonts w:ascii="Courier New" w:cs="Courier New" w:eastAsia="Courier New" w:hAnsi="Courier New"/>
          <w:sz w:val="17"/>
          <w:szCs w:val="17"/>
          <w:color w:val="auto"/>
        </w:rPr>
        <w:t>1906</w:t>
      </w:r>
    </w:p>
    <w:p>
      <w:pPr>
        <w:spacing w:after="0" w:line="264" w:lineRule="exact"/>
        <w:rPr>
          <w:sz w:val="20"/>
          <w:szCs w:val="20"/>
          <w:color w:val="auto"/>
        </w:rPr>
      </w:pPr>
    </w:p>
    <w:p>
      <w:pPr>
        <w:ind w:left="840" w:hanging="632"/>
        <w:spacing w:after="0"/>
        <w:tabs>
          <w:tab w:leader="none" w:pos="8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82"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800" w:right="7019" w:firstLine="8"/>
        <w:spacing w:after="0" w:line="744" w:lineRule="auto"/>
        <w:tabs>
          <w:tab w:leader="none" w:pos="1327"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(iii): USA (iv): California</w:t>
      </w:r>
    </w:p>
    <w:p>
      <w:pPr>
        <w:spacing w:after="0" w:line="2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Ordinary Shares, par value $0.001 per share</w:t>
      </w:r>
    </w:p>
    <w:p>
      <w:pPr>
        <w:spacing w:after="0" w:line="242" w:lineRule="exact"/>
        <w:rPr>
          <w:sz w:val="20"/>
          <w:szCs w:val="20"/>
          <w:color w:val="auto"/>
        </w:rPr>
      </w:pPr>
    </w:p>
    <w:p>
      <w:pPr>
        <w:ind w:left="800" w:right="7739" w:hanging="592"/>
        <w:spacing w:after="0" w:line="710" w:lineRule="auto"/>
        <w:tabs>
          <w:tab w:leader="none" w:pos="83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G48833118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-69215</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6" w:name="page7"/>
    <w:bookmarkEnd w:id="6"/>
    <w:p>
      <w:pPr>
        <w:ind w:right="459" w:hanging="99"/>
        <w:spacing w:after="0" w:line="253" w:lineRule="exact"/>
        <w:rPr>
          <w:sz w:val="20"/>
          <w:szCs w:val="20"/>
          <w:color w:val="auto"/>
        </w:rPr>
      </w:pPr>
      <w:r>
        <w:rPr>
          <w:rFonts w:ascii="Courier New" w:cs="Courier New" w:eastAsia="Courier New" w:hAnsi="Courier New"/>
          <w:sz w:val="18"/>
          <w:szCs w:val="18"/>
          <w:color w:val="auto"/>
        </w:rPr>
        <w:t>CUSIP NO. G48833118</w:t>
      </w:r>
      <w:r>
        <w:rPr>
          <w:sz w:val="20"/>
          <w:szCs w:val="20"/>
          <w:color w:val="auto"/>
        </w:rPr>
        <w:t xml:space="preserve"> </w:t>
      </w:r>
      <w:r>
        <w:rPr>
          <w:rFonts w:ascii="Courier New" w:cs="Courier New" w:eastAsia="Courier New" w:hAnsi="Courier New"/>
          <w:sz w:val="18"/>
          <w:szCs w:val="18"/>
          <w:color w:val="auto"/>
        </w:rPr>
        <w:t>13G Page 7 of 14 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w:t>
      </w:r>
    </w:p>
    <w:p>
      <w:pPr>
        <w:ind w:left="800"/>
        <w:spacing w:after="0"/>
        <w:rPr>
          <w:sz w:val="20"/>
          <w:szCs w:val="20"/>
          <w:color w:val="auto"/>
        </w:rPr>
      </w:pPr>
      <w:r>
        <w:rPr>
          <w:rFonts w:ascii="Courier New" w:cs="Courier New" w:eastAsia="Courier New" w:hAnsi="Courier New"/>
          <w:sz w:val="18"/>
          <w:szCs w:val="18"/>
          <w:color w:val="auto"/>
        </w:rPr>
        <w:t>check whether the person filing is a:</w:t>
      </w:r>
    </w:p>
    <w:p>
      <w:pPr>
        <w:spacing w:after="0" w:line="26" w:lineRule="exact"/>
        <w:rPr>
          <w:sz w:val="20"/>
          <w:szCs w:val="20"/>
          <w:color w:val="auto"/>
        </w:rPr>
      </w:pPr>
    </w:p>
    <w:p>
      <w:pPr>
        <w:ind w:left="1120" w:hanging="412"/>
        <w:spacing w:after="0"/>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36" w:lineRule="exact"/>
        <w:rPr>
          <w:rFonts w:ascii="Courier New" w:cs="Courier New" w:eastAsia="Courier New" w:hAnsi="Courier New"/>
          <w:sz w:val="18"/>
          <w:szCs w:val="18"/>
          <w:color w:val="auto"/>
        </w:rPr>
      </w:pPr>
    </w:p>
    <w:p>
      <w:pPr>
        <w:ind w:left="1120" w:hanging="412"/>
        <w:spacing w:after="0"/>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500" w:right="819" w:hanging="792"/>
        <w:spacing w:after="0" w:line="387" w:lineRule="auto"/>
        <w:tabs>
          <w:tab w:leader="none" w:pos="11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1500" w:right="699" w:hanging="792"/>
        <w:spacing w:after="0" w:line="267" w:lineRule="exact"/>
        <w:tabs>
          <w:tab w:leader="none" w:pos="11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90" w:lineRule="exact"/>
        <w:rPr>
          <w:rFonts w:ascii="Courier New" w:cs="Courier New" w:eastAsia="Courier New" w:hAnsi="Courier New"/>
          <w:sz w:val="18"/>
          <w:szCs w:val="18"/>
          <w:color w:val="auto"/>
        </w:rPr>
      </w:pPr>
    </w:p>
    <w:p>
      <w:pPr>
        <w:ind w:left="1120" w:hanging="412"/>
        <w:spacing w:after="0"/>
        <w:tabs>
          <w:tab w:leader="none" w:pos="11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40" w:lineRule="exact"/>
        <w:rPr>
          <w:sz w:val="20"/>
          <w:szCs w:val="20"/>
          <w:color w:val="auto"/>
        </w:rPr>
      </w:pPr>
    </w:p>
    <w:p>
      <w:pPr>
        <w:ind w:left="15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49" w:lineRule="exact"/>
        <w:rPr>
          <w:sz w:val="20"/>
          <w:szCs w:val="20"/>
          <w:color w:val="auto"/>
        </w:rPr>
      </w:pPr>
    </w:p>
    <w:p>
      <w:pPr>
        <w:ind w:left="1500" w:right="1759" w:hanging="792"/>
        <w:spacing w:after="0" w:line="267" w:lineRule="exact"/>
        <w:tabs>
          <w:tab w:leader="none" w:pos="11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68" w:lineRule="exact"/>
        <w:rPr>
          <w:rFonts w:ascii="Courier New" w:cs="Courier New" w:eastAsia="Courier New" w:hAnsi="Courier New"/>
          <w:sz w:val="18"/>
          <w:szCs w:val="18"/>
          <w:color w:val="auto"/>
        </w:rPr>
      </w:pPr>
    </w:p>
    <w:p>
      <w:pPr>
        <w:ind w:left="1500" w:right="599" w:hanging="792"/>
        <w:spacing w:after="0" w:line="387" w:lineRule="auto"/>
        <w:tabs>
          <w:tab w:leader="none" w:pos="11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500" w:right="639" w:hanging="792"/>
        <w:spacing w:after="0" w:line="254" w:lineRule="exact"/>
        <w:tabs>
          <w:tab w:leader="none" w:pos="112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43" w:lineRule="exact"/>
        <w:rPr>
          <w:rFonts w:ascii="Courier New" w:cs="Courier New" w:eastAsia="Courier New" w:hAnsi="Courier New"/>
          <w:sz w:val="18"/>
          <w:szCs w:val="18"/>
          <w:color w:val="auto"/>
        </w:rPr>
      </w:pPr>
    </w:p>
    <w:p>
      <w:pPr>
        <w:ind w:left="1120" w:hanging="412"/>
        <w:spacing w:after="0" w:line="209" w:lineRule="exact"/>
        <w:tabs>
          <w:tab w:leader="none" w:pos="1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90" w:lineRule="exact"/>
        <w:rPr>
          <w:rFonts w:ascii="Courier New" w:cs="Courier New" w:eastAsia="Courier New" w:hAnsi="Courier New"/>
          <w:sz w:val="18"/>
          <w:szCs w:val="18"/>
          <w:color w:val="auto"/>
        </w:rPr>
      </w:pPr>
    </w:p>
    <w:p>
      <w:pPr>
        <w:ind w:left="1120" w:hanging="412"/>
        <w:spacing w:after="0"/>
        <w:tabs>
          <w:tab w:leader="none" w:pos="11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41"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 (J).</w:t>
      </w:r>
    </w:p>
    <w:p>
      <w:pPr>
        <w:spacing w:after="0" w:line="80"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6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7"/>
          <w:szCs w:val="17"/>
          <w:color w:val="auto"/>
        </w:rPr>
        <w:t>Ownership</w:t>
      </w:r>
    </w:p>
    <w:p>
      <w:pPr>
        <w:spacing w:after="0" w:line="282" w:lineRule="exact"/>
        <w:rPr>
          <w:sz w:val="20"/>
          <w:szCs w:val="20"/>
          <w:color w:val="auto"/>
        </w:rPr>
      </w:pPr>
    </w:p>
    <w:p>
      <w:pPr>
        <w:ind w:left="140" w:right="219" w:hanging="26"/>
        <w:spacing w:after="0" w:line="262" w:lineRule="auto"/>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13d-3 under the Act, the Investment Management Subsidiaries listed in this Item 4 may be deemed to be the beneficial owners of the securities reported in this Schedule 13G.</w:t>
      </w:r>
    </w:p>
    <w:p>
      <w:pPr>
        <w:spacing w:after="0" w:line="137" w:lineRule="exact"/>
        <w:rPr>
          <w:sz w:val="20"/>
          <w:szCs w:val="20"/>
          <w:color w:val="auto"/>
        </w:rPr>
      </w:pPr>
    </w:p>
    <w:p>
      <w:pPr>
        <w:ind w:left="140" w:right="219"/>
        <w:spacing w:after="0" w:line="279" w:lineRule="auto"/>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 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172085</wp:posOffset>
            </wp:positionV>
            <wp:extent cx="71532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633" w:right="1440" w:bottom="87" w:gutter="0" w:footer="0" w:header="0"/>
        </w:sectPr>
      </w:pPr>
    </w:p>
    <w:bookmarkStart w:id="7" w:name="page8"/>
    <w:bookmarkEnd w:id="7"/>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14</w:t>
      </w:r>
    </w:p>
    <w:p>
      <w:pPr>
        <w:spacing w:after="0" w:line="269" w:lineRule="exact"/>
        <w:rPr>
          <w:sz w:val="20"/>
          <w:szCs w:val="20"/>
          <w:color w:val="auto"/>
        </w:rPr>
      </w:pPr>
    </w:p>
    <w:p>
      <w:pPr>
        <w:ind w:left="240" w:right="259" w:hanging="26"/>
        <w:spacing w:after="0" w:line="371" w:lineRule="auto"/>
        <w:rPr>
          <w:sz w:val="20"/>
          <w:szCs w:val="20"/>
          <w:color w:val="auto"/>
        </w:rPr>
      </w:pPr>
      <w:r>
        <w:rPr>
          <w:rFonts w:ascii="Courier New" w:cs="Courier New" w:eastAsia="Courier New" w:hAnsi="Courier New"/>
          <w:sz w:val="18"/>
          <w:szCs w:val="18"/>
          <w:color w:val="auto"/>
        </w:rPr>
        <w:t>and investment powers over the securities owned by their respective investment management clients.</w:t>
      </w:r>
    </w:p>
    <w:p>
      <w:pPr>
        <w:spacing w:after="0" w:line="45" w:lineRule="exact"/>
        <w:rPr>
          <w:sz w:val="20"/>
          <w:szCs w:val="20"/>
          <w:color w:val="auto"/>
        </w:rPr>
      </w:pPr>
    </w:p>
    <w:p>
      <w:pPr>
        <w:ind w:left="240" w:right="219"/>
        <w:spacing w:after="0" w:line="313" w:lineRule="auto"/>
        <w:rPr>
          <w:sz w:val="20"/>
          <w:szCs w:val="20"/>
          <w:color w:val="auto"/>
        </w:rPr>
      </w:pPr>
      <w:r>
        <w:rPr>
          <w:rFonts w:ascii="Courier New" w:cs="Courier New" w:eastAsia="Courier New" w:hAnsi="Courier New"/>
          <w:sz w:val="18"/>
          <w:szCs w:val="18"/>
          <w:color w:val="auto"/>
        </w:rPr>
        <w:t>Consequently, FRI Disaggregated Affiliates report the securities over which they hold investment and voting power separately from the FRI Aggregated Affiliates for purposes of Section 13 of the Act.</w:t>
      </w:r>
    </w:p>
    <w:p>
      <w:pPr>
        <w:spacing w:after="0" w:line="107" w:lineRule="exact"/>
        <w:rPr>
          <w:sz w:val="20"/>
          <w:szCs w:val="20"/>
          <w:color w:val="auto"/>
        </w:rPr>
      </w:pPr>
    </w:p>
    <w:p>
      <w:pPr>
        <w:jc w:val="both"/>
        <w:ind w:left="200"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left="200" w:right="219"/>
        <w:spacing w:after="0" w:line="231"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205" w:lineRule="exact"/>
        <w:rPr>
          <w:sz w:val="20"/>
          <w:szCs w:val="20"/>
          <w:color w:val="auto"/>
        </w:rPr>
      </w:pPr>
    </w:p>
    <w:p>
      <w:pPr>
        <w:ind w:left="200" w:right="259"/>
        <w:spacing w:after="0" w:line="250"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72" w:lineRule="exact"/>
        <w:rPr>
          <w:sz w:val="20"/>
          <w:szCs w:val="20"/>
          <w:color w:val="auto"/>
        </w:rPr>
      </w:pPr>
    </w:p>
    <w:p>
      <w:pPr>
        <w:ind w:left="1400" w:right="5659" w:hanging="592"/>
        <w:spacing w:after="0" w:line="532" w:lineRule="auto"/>
        <w:tabs>
          <w:tab w:leader="none" w:pos="1432"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15,300,451</w:t>
      </w:r>
    </w:p>
    <w:p>
      <w:pPr>
        <w:ind w:left="1440" w:hanging="632"/>
        <w:spacing w:after="0"/>
        <w:tabs>
          <w:tab w:leader="none" w:pos="14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21.9%</w:t>
      </w:r>
    </w:p>
    <w:p>
      <w:pPr>
        <w:spacing w:after="0" w:line="242" w:lineRule="exact"/>
        <w:rPr>
          <w:sz w:val="20"/>
          <w:szCs w:val="20"/>
          <w:color w:val="auto"/>
        </w:rPr>
      </w:pPr>
    </w:p>
    <w:p>
      <w:pPr>
        <w:ind w:left="1440" w:hanging="632"/>
        <w:spacing w:after="0"/>
        <w:tabs>
          <w:tab w:leader="none" w:pos="14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40" w:hanging="532"/>
        <w:spacing w:after="0"/>
        <w:tabs>
          <w:tab w:leader="none" w:pos="174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38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38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438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15,300,451</w:t>
            </w:r>
          </w:p>
        </w:tc>
      </w:tr>
    </w:tbl>
    <w:p>
      <w:pPr>
        <w:spacing w:after="0" w:line="142" w:lineRule="exact"/>
        <w:rPr>
          <w:sz w:val="20"/>
          <w:szCs w:val="20"/>
          <w:color w:val="auto"/>
        </w:rPr>
      </w:pPr>
    </w:p>
    <w:p>
      <w:pPr>
        <w:ind w:left="1700" w:right="3679" w:hanging="592"/>
        <w:spacing w:after="0" w:line="673" w:lineRule="auto"/>
        <w:tabs>
          <w:tab w:leader="none" w:pos="1732"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99060</wp:posOffset>
            </wp:positionV>
            <wp:extent cx="71532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sectPr>
      </w:pPr>
    </w:p>
    <w:bookmarkStart w:id="8" w:name="page9"/>
    <w:bookmarkEnd w:id="8"/>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14</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1740" w:hanging="732"/>
        <w:spacing w:after="0"/>
        <w:tabs>
          <w:tab w:leader="none" w:pos="1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38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38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59"/>
        </w:trPr>
        <w:tc>
          <w:tcPr>
            <w:tcW w:w="438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2800" w:type="dxa"/>
            <w:vAlign w:val="bottom"/>
          </w:tcPr>
          <w:p>
            <w:pPr>
              <w:jc w:val="right"/>
              <w:spacing w:after="0"/>
              <w:rPr>
                <w:sz w:val="20"/>
                <w:szCs w:val="20"/>
                <w:color w:val="auto"/>
              </w:rPr>
            </w:pPr>
            <w:r>
              <w:rPr>
                <w:rFonts w:ascii="Courier New" w:cs="Courier New" w:eastAsia="Courier New" w:hAnsi="Courier New"/>
                <w:sz w:val="18"/>
                <w:szCs w:val="18"/>
                <w:color w:val="auto"/>
              </w:rPr>
              <w:t>15,300,451</w:t>
            </w:r>
          </w:p>
        </w:tc>
      </w:tr>
    </w:tbl>
    <w:p>
      <w:pPr>
        <w:spacing w:after="0" w:line="182" w:lineRule="exact"/>
        <w:rPr>
          <w:sz w:val="20"/>
          <w:szCs w:val="20"/>
          <w:color w:val="auto"/>
        </w:rPr>
      </w:pPr>
    </w:p>
    <w:p>
      <w:pPr>
        <w:ind w:left="1800" w:hanging="742"/>
        <w:spacing w:after="0"/>
        <w:tabs>
          <w:tab w:leader="none" w:pos="18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0</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96" w:lineRule="exact"/>
        <w:rPr>
          <w:sz w:val="20"/>
          <w:szCs w:val="20"/>
          <w:color w:val="auto"/>
        </w:rPr>
      </w:pPr>
    </w:p>
    <w:p>
      <w:pPr>
        <w:ind w:left="1100" w:right="1039"/>
        <w:spacing w:after="0" w:line="355" w:lineRule="auto"/>
        <w:rPr>
          <w:sz w:val="20"/>
          <w:szCs w:val="20"/>
          <w:color w:val="auto"/>
        </w:rPr>
      </w:pPr>
      <w:r>
        <w:rPr>
          <w:rFonts w:ascii="Courier New" w:cs="Courier New" w:eastAsia="Courier New" w:hAnsi="Courier New"/>
          <w:sz w:val="17"/>
          <w:szCs w:val="17"/>
          <w:color w:val="auto"/>
        </w:rPr>
        <w:t>If this statement is being filed to report the fact that as of the date hereof the reporting person has ceased to be the beneficial owner of more than five percent of the class of securities, check the following [ ].</w:t>
      </w:r>
    </w:p>
    <w:p>
      <w:pPr>
        <w:spacing w:after="0" w:line="77"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1100" w:right="619"/>
        <w:spacing w:after="0" w:line="29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7"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Franklin Income Fund, a series of Franklin Custodian Funds, an</w:t>
      </w:r>
    </w:p>
    <w:p>
      <w:pPr>
        <w:spacing w:after="0" w:line="71" w:lineRule="exact"/>
        <w:rPr>
          <w:sz w:val="20"/>
          <w:szCs w:val="20"/>
          <w:color w:val="auto"/>
        </w:rPr>
      </w:pPr>
    </w:p>
    <w:p>
      <w:pPr>
        <w:ind w:left="1100" w:right="839"/>
        <w:spacing w:after="0" w:line="310" w:lineRule="auto"/>
        <w:rPr>
          <w:sz w:val="20"/>
          <w:szCs w:val="20"/>
          <w:color w:val="auto"/>
        </w:rPr>
      </w:pPr>
      <w:r>
        <w:rPr>
          <w:rFonts w:ascii="Courier New" w:cs="Courier New" w:eastAsia="Courier New" w:hAnsi="Courier New"/>
          <w:sz w:val="18"/>
          <w:szCs w:val="18"/>
          <w:color w:val="auto"/>
        </w:rPr>
        <w:t>investment company registered under the Investment Company Act of 1940, has an interest in 13,900,000 shares, or 19.9%, of the class of securities reported herein.</w:t>
      </w:r>
    </w:p>
    <w:p>
      <w:pPr>
        <w:spacing w:after="0" w:line="109" w:lineRule="exact"/>
        <w:rPr>
          <w:sz w:val="20"/>
          <w:szCs w:val="20"/>
          <w:color w:val="auto"/>
        </w:rPr>
      </w:pPr>
    </w:p>
    <w:p>
      <w:pPr>
        <w:ind w:left="1100" w:right="1299" w:hanging="899"/>
        <w:spacing w:after="0" w:line="38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44"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9" w:name="page10"/>
    <w:bookmarkEnd w:id="9"/>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839"/>
          </w:cols>
          <w:pgMar w:left="620" w:top="619" w:right="1440" w:bottom="1440" w:gutter="0" w:footer="0" w:header="0"/>
        </w:sectPr>
      </w:pPr>
    </w:p>
    <w:p>
      <w:pPr>
        <w:spacing w:after="0" w:line="282"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69" w:lineRule="exact"/>
        <w:rPr>
          <w:sz w:val="20"/>
          <w:szCs w:val="20"/>
          <w:color w:val="auto"/>
        </w:rPr>
      </w:pPr>
    </w:p>
    <w:p>
      <w:pPr>
        <w:ind w:left="200" w:right="679"/>
        <w:spacing w:after="0" w:line="289" w:lineRule="auto"/>
        <w:rPr>
          <w:sz w:val="20"/>
          <w:szCs w:val="20"/>
          <w:color w:val="auto"/>
        </w:rPr>
      </w:pPr>
      <w:r>
        <w:rPr>
          <w:rFonts w:ascii="Courier New" w:cs="Courier New" w:eastAsia="Courier New" w:hAnsi="Courier New"/>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w:t>
      </w:r>
    </w:p>
    <w:p>
      <w:pPr>
        <w:spacing w:after="0" w:line="4" w:lineRule="exact"/>
        <w:rPr>
          <w:sz w:val="20"/>
          <w:szCs w:val="20"/>
          <w:color w:val="auto"/>
        </w:rPr>
      </w:pPr>
    </w:p>
    <w:p>
      <w:pPr>
        <w:ind w:left="240"/>
        <w:spacing w:after="0"/>
        <w:rPr>
          <w:sz w:val="20"/>
          <w:szCs w:val="20"/>
          <w:color w:val="auto"/>
        </w:rPr>
      </w:pPr>
      <w:r>
        <w:rPr>
          <w:rFonts w:ascii="Courier New" w:cs="Courier New" w:eastAsia="Courier New" w:hAnsi="Courier New"/>
          <w:sz w:val="18"/>
          <w:szCs w:val="18"/>
          <w:color w:val="auto"/>
        </w:rPr>
        <w:t>with a nomination under § 240.14a-11.</w:t>
      </w:r>
    </w:p>
    <w:p>
      <w:pPr>
        <w:spacing w:after="0" w:line="200" w:lineRule="exact"/>
        <w:rPr>
          <w:sz w:val="20"/>
          <w:szCs w:val="20"/>
          <w:color w:val="auto"/>
        </w:rPr>
      </w:pPr>
    </w:p>
    <w:p>
      <w:pPr>
        <w:spacing w:after="0" w:line="253" w:lineRule="exact"/>
        <w:rPr>
          <w:sz w:val="20"/>
          <w:szCs w:val="20"/>
          <w:color w:val="auto"/>
        </w:rPr>
      </w:pPr>
    </w:p>
    <w:p>
      <w:pPr>
        <w:ind w:left="200" w:right="879"/>
        <w:spacing w:after="0" w:line="424"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58"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6" w:lineRule="exact"/>
        <w:rPr>
          <w:sz w:val="20"/>
          <w:szCs w:val="20"/>
          <w:color w:val="auto"/>
        </w:rPr>
      </w:pPr>
    </w:p>
    <w:p>
      <w:pPr>
        <w:ind w:left="1100" w:right="1039"/>
        <w:spacing w:after="0" w:line="384" w:lineRule="auto"/>
        <w:rPr>
          <w:sz w:val="20"/>
          <w:szCs w:val="20"/>
          <w:color w:val="auto"/>
        </w:rPr>
      </w:pPr>
      <w:r>
        <w:rPr>
          <w:rFonts w:ascii="Courier New" w:cs="Courier New" w:eastAsia="Courier New" w:hAnsi="Courier New"/>
          <w:sz w:val="17"/>
          <w:szCs w:val="17"/>
          <w:color w:val="auto"/>
        </w:rPr>
        <w:t>Exhibit B Limited Powers of Attorney for Section 13 Reporting Obligations Exhibit C Item 7 Identification and Classification of Subsidiaries</w:t>
      </w:r>
    </w:p>
    <w:p>
      <w:pPr>
        <w:spacing w:after="0" w:line="5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200"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25, 2021</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5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Franklin Income Fund</w:t>
      </w:r>
    </w:p>
    <w:p>
      <w:pPr>
        <w:spacing w:after="0" w:line="277"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49"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157" w:lineRule="exact"/>
        <w:rPr>
          <w:sz w:val="20"/>
          <w:szCs w:val="20"/>
          <w:color w:val="auto"/>
        </w:rPr>
      </w:pPr>
    </w:p>
    <w:p>
      <w:pPr>
        <w:ind w:left="98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25"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Virginia E. Rosas</w:t>
      </w:r>
    </w:p>
    <w:p>
      <w:pPr>
        <w:ind w:left="98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383540</wp:posOffset>
            </wp:positionV>
            <wp:extent cx="71532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19" w:right="1440" w:bottom="1440" w:gutter="0" w:footer="0" w:header="0"/>
          <w:type w:val="continuous"/>
        </w:sectPr>
      </w:pPr>
    </w:p>
    <w:bookmarkStart w:id="10" w:name="page11"/>
    <w:bookmarkEnd w:id="10"/>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839"/>
          </w:cols>
          <w:pgMar w:left="620" w:top="60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left="200" w:right="879"/>
        <w:spacing w:after="0" w:line="250" w:lineRule="exact"/>
        <w:rPr>
          <w:sz w:val="20"/>
          <w:szCs w:val="20"/>
          <w:color w:val="auto"/>
        </w:rPr>
      </w:pPr>
      <w:r>
        <w:rPr>
          <w:rFonts w:ascii="Courier New" w:cs="Courier New" w:eastAsia="Courier New" w:hAnsi="Courier New"/>
          <w:sz w:val="18"/>
          <w:szCs w:val="18"/>
          <w:color w:val="auto"/>
        </w:rPr>
        <w:t>In accordance with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25, 2021.</w:t>
      </w:r>
    </w:p>
    <w:p>
      <w:pPr>
        <w:spacing w:after="0" w:line="26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Custodian Funds on behalf of</w:t>
      </w:r>
    </w:p>
    <w:p>
      <w:pPr>
        <w:spacing w:after="0" w:line="5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Franklin Income Fund</w:t>
      </w:r>
    </w:p>
    <w:p>
      <w:pPr>
        <w:spacing w:after="0" w:line="277"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49"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157" w:lineRule="exact"/>
        <w:rPr>
          <w:sz w:val="20"/>
          <w:szCs w:val="20"/>
          <w:color w:val="auto"/>
        </w:rPr>
      </w:pPr>
    </w:p>
    <w:p>
      <w:pPr>
        <w:ind w:left="980"/>
        <w:spacing w:after="0"/>
        <w:rPr>
          <w:sz w:val="20"/>
          <w:szCs w:val="20"/>
          <w:color w:val="auto"/>
        </w:rPr>
      </w:pPr>
      <w:r>
        <w:rPr>
          <w:rFonts w:ascii="Courier New" w:cs="Courier New" w:eastAsia="Courier New" w:hAnsi="Courier New"/>
          <w:sz w:val="18"/>
          <w:szCs w:val="18"/>
          <w:color w:val="auto"/>
        </w:rPr>
        <w:t>Vice President and Co-Secretary of Franklin Custodian Funds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325"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3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Virginia E. Rosas</w:t>
      </w:r>
    </w:p>
    <w:p>
      <w:pPr>
        <w:ind w:left="980"/>
        <w:spacing w:after="0"/>
        <w:rPr>
          <w:sz w:val="20"/>
          <w:szCs w:val="20"/>
          <w:color w:val="auto"/>
        </w:rPr>
      </w:pPr>
      <w:r>
        <w:rPr>
          <w:rFonts w:ascii="Courier New" w:cs="Courier New" w:eastAsia="Courier New" w:hAnsi="Courier New"/>
          <w:sz w:val="18"/>
          <w:szCs w:val="18"/>
          <w:color w:val="auto"/>
        </w:rPr>
        <w:t>Secretary of Franklin Advisers, Inc.</w:t>
      </w:r>
    </w:p>
    <w:p>
      <w:pPr>
        <w:sectPr>
          <w:pgSz w:w="11900" w:h="16838" w:orient="portrait"/>
          <w:cols w:equalWidth="0" w:num="1">
            <w:col w:w="9839"/>
          </w:cols>
          <w:pgMar w:left="620" w:top="606" w:right="1440" w:bottom="1440" w:gutter="0" w:footer="0" w:header="0"/>
          <w:type w:val="continuous"/>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601345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5320" w:type="dxa"/>
            <w:vAlign w:val="bottom"/>
          </w:tcPr>
          <w:p>
            <w:pPr>
              <w:ind w:left="2180"/>
              <w:spacing w:after="0"/>
              <w:rPr>
                <w:sz w:val="20"/>
                <w:szCs w:val="20"/>
                <w:color w:val="auto"/>
              </w:rPr>
            </w:pPr>
            <w:r>
              <w:rPr>
                <w:rFonts w:ascii="Courier New" w:cs="Courier New" w:eastAsia="Courier New" w:hAnsi="Courier New"/>
                <w:sz w:val="18"/>
                <w:szCs w:val="18"/>
                <w:color w:val="auto"/>
              </w:rPr>
              <w:t>13G</w:t>
            </w:r>
          </w:p>
        </w:tc>
        <w:tc>
          <w:tcPr>
            <w:tcW w:w="3100" w:type="dxa"/>
            <w:vAlign w:val="bottom"/>
          </w:tcPr>
          <w:p>
            <w:pPr>
              <w:ind w:left="120"/>
              <w:spacing w:after="0"/>
              <w:rPr>
                <w:sz w:val="20"/>
                <w:szCs w:val="20"/>
                <w:color w:val="auto"/>
              </w:rPr>
            </w:pPr>
            <w:r>
              <w:rPr>
                <w:rFonts w:ascii="Courier New" w:cs="Courier New" w:eastAsia="Courier New" w:hAnsi="Courier New"/>
                <w:sz w:val="18"/>
                <w:szCs w:val="18"/>
                <w:color w:val="auto"/>
              </w:rPr>
              <w:t>Page 12 of 14</w:t>
            </w:r>
          </w:p>
        </w:tc>
        <w:tc>
          <w:tcPr>
            <w:tcW w:w="0" w:type="dxa"/>
            <w:vAlign w:val="bottom"/>
          </w:tcPr>
          <w:p>
            <w:pPr>
              <w:spacing w:after="0"/>
              <w:rPr>
                <w:sz w:val="1"/>
                <w:szCs w:val="1"/>
                <w:color w:val="auto"/>
              </w:rPr>
            </w:pPr>
          </w:p>
        </w:tc>
      </w:tr>
      <w:tr>
        <w:trPr>
          <w:trHeight w:val="304"/>
        </w:trPr>
        <w:tc>
          <w:tcPr>
            <w:tcW w:w="2680" w:type="dxa"/>
            <w:vAlign w:val="bottom"/>
          </w:tcPr>
          <w:p>
            <w:pPr>
              <w:ind w:left="740"/>
              <w:spacing w:after="0"/>
              <w:rPr>
                <w:sz w:val="20"/>
                <w:szCs w:val="20"/>
                <w:color w:val="auto"/>
              </w:rPr>
            </w:pPr>
            <w:r>
              <w:rPr>
                <w:rFonts w:ascii="Courier New" w:cs="Courier New" w:eastAsia="Courier New" w:hAnsi="Courier New"/>
                <w:sz w:val="18"/>
                <w:szCs w:val="18"/>
                <w:color w:val="auto"/>
              </w:rPr>
              <w:t>EXHIBIT B</w:t>
            </w:r>
          </w:p>
        </w:tc>
        <w:tc>
          <w:tcPr>
            <w:tcW w:w="5320" w:type="dxa"/>
            <w:vAlign w:val="bottom"/>
          </w:tcPr>
          <w:p>
            <w:pPr>
              <w:spacing w:after="0"/>
              <w:rPr>
                <w:sz w:val="24"/>
                <w:szCs w:val="24"/>
                <w:color w:val="auto"/>
              </w:rPr>
            </w:pPr>
          </w:p>
        </w:tc>
        <w:tc>
          <w:tcPr>
            <w:tcW w:w="3100" w:type="dxa"/>
            <w:vAlign w:val="bottom"/>
            <w:vMerge w:val="restart"/>
          </w:tcPr>
          <w:p>
            <w:pPr>
              <w:ind w:left="2360"/>
              <w:spacing w:after="0"/>
              <w:rPr>
                <w:sz w:val="20"/>
                <w:szCs w:val="20"/>
                <w:color w:val="auto"/>
              </w:rPr>
            </w:pPr>
            <w:r>
              <w:rPr>
                <w:rFonts w:ascii="Courier New" w:cs="Courier New" w:eastAsia="Courier New" w:hAnsi="Courier New"/>
                <w:sz w:val="18"/>
                <w:szCs w:val="18"/>
                <w:color w:val="auto"/>
                <w:w w:val="95"/>
              </w:rPr>
              <w:t>LIMITED</w:t>
            </w:r>
          </w:p>
        </w:tc>
        <w:tc>
          <w:tcPr>
            <w:tcW w:w="0" w:type="dxa"/>
            <w:vAlign w:val="bottom"/>
          </w:tcPr>
          <w:p>
            <w:pPr>
              <w:spacing w:after="0"/>
              <w:rPr>
                <w:sz w:val="1"/>
                <w:szCs w:val="1"/>
                <w:color w:val="auto"/>
              </w:rPr>
            </w:pPr>
          </w:p>
        </w:tc>
      </w:tr>
      <w:tr>
        <w:trPr>
          <w:trHeight w:val="229"/>
        </w:trPr>
        <w:tc>
          <w:tcPr>
            <w:tcW w:w="2680" w:type="dxa"/>
            <w:vAlign w:val="bottom"/>
            <w:vMerge w:val="restart"/>
          </w:tcPr>
          <w:p>
            <w:pPr>
              <w:spacing w:after="0"/>
              <w:rPr>
                <w:sz w:val="20"/>
                <w:szCs w:val="20"/>
                <w:color w:val="auto"/>
              </w:rPr>
            </w:pPr>
            <w:r>
              <w:rPr>
                <w:rFonts w:ascii="Courier New" w:cs="Courier New" w:eastAsia="Courier New" w:hAnsi="Courier New"/>
                <w:sz w:val="18"/>
                <w:szCs w:val="18"/>
                <w:color w:val="auto"/>
              </w:rPr>
              <w:t>POWER OF ATTORNEY</w:t>
            </w:r>
          </w:p>
        </w:tc>
        <w:tc>
          <w:tcPr>
            <w:tcW w:w="5320" w:type="dxa"/>
            <w:vAlign w:val="bottom"/>
          </w:tcPr>
          <w:p>
            <w:pPr>
              <w:spacing w:after="0"/>
              <w:rPr>
                <w:sz w:val="19"/>
                <w:szCs w:val="19"/>
                <w:color w:val="auto"/>
              </w:rPr>
            </w:pPr>
          </w:p>
        </w:tc>
        <w:tc>
          <w:tcPr>
            <w:tcW w:w="3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5320" w:type="dxa"/>
            <w:vAlign w:val="bottom"/>
            <w:vMerge w:val="restart"/>
          </w:tcPr>
          <w:p>
            <w:pPr>
              <w:ind w:left="680"/>
              <w:spacing w:after="0"/>
              <w:rPr>
                <w:sz w:val="20"/>
                <w:szCs w:val="20"/>
                <w:color w:val="auto"/>
              </w:rPr>
            </w:pPr>
            <w:r>
              <w:rPr>
                <w:rFonts w:ascii="Courier New" w:cs="Courier New" w:eastAsia="Courier New" w:hAnsi="Courier New"/>
                <w:sz w:val="18"/>
                <w:szCs w:val="18"/>
                <w:color w:val="auto"/>
                <w:w w:val="99"/>
              </w:rPr>
              <w:t>FOR SECTION 13 AND 16 REPORTING OBLIGATIONS</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5320" w:type="dxa"/>
            <w:vAlign w:val="bottom"/>
            <w:vMerge w:val="continue"/>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220" w:firstLine="500"/>
        <w:spacing w:after="0" w:line="28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Aliya S. Gordon,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121" w:lineRule="exact"/>
        <w:rPr>
          <w:sz w:val="20"/>
          <w:szCs w:val="20"/>
          <w:color w:val="auto"/>
        </w:rPr>
      </w:pPr>
    </w:p>
    <w:p>
      <w:pPr>
        <w:ind w:firstLine="535"/>
        <w:spacing w:after="0" w:line="273"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131" w:lineRule="exact"/>
        <w:rPr>
          <w:rFonts w:ascii="Courier New" w:cs="Courier New" w:eastAsia="Courier New" w:hAnsi="Courier New"/>
          <w:sz w:val="18"/>
          <w:szCs w:val="18"/>
          <w:color w:val="auto"/>
        </w:rPr>
      </w:pPr>
    </w:p>
    <w:p>
      <w:pPr>
        <w:ind w:firstLine="535"/>
        <w:spacing w:after="0" w:line="279" w:lineRule="auto"/>
        <w:tabs>
          <w:tab w:leader="none" w:pos="84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20" w:firstLine="535"/>
        <w:spacing w:after="0" w:line="334" w:lineRule="auto"/>
        <w:tabs>
          <w:tab w:leader="none" w:pos="84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44" w:lineRule="exact"/>
        <w:rPr>
          <w:sz w:val="20"/>
          <w:szCs w:val="20"/>
          <w:color w:val="auto"/>
        </w:rPr>
      </w:pPr>
    </w:p>
    <w:p>
      <w:pPr>
        <w:ind w:firstLine="535"/>
        <w:spacing w:after="0" w:line="254"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ind w:right="220" w:firstLine="535"/>
        <w:spacing w:after="0" w:line="269" w:lineRule="auto"/>
        <w:tabs>
          <w:tab w:leader="none" w:pos="84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ind w:right="120" w:firstLine="535"/>
        <w:spacing w:after="0" w:line="254"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ind w:firstLine="535"/>
        <w:spacing w:after="0" w:line="294" w:lineRule="auto"/>
        <w:tabs>
          <w:tab w:leader="none" w:pos="84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10" w:lineRule="exact"/>
        <w:rPr>
          <w:sz w:val="20"/>
          <w:szCs w:val="20"/>
          <w:color w:val="auto"/>
        </w:rPr>
      </w:pPr>
    </w:p>
    <w:p>
      <w:pPr>
        <w:ind w:right="120" w:firstLine="527"/>
        <w:spacing w:after="0" w:line="259"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4" w:lineRule="exact"/>
        <w:rPr>
          <w:sz w:val="20"/>
          <w:szCs w:val="20"/>
          <w:color w:val="auto"/>
        </w:rPr>
      </w:pPr>
    </w:p>
    <w:p>
      <w:pPr>
        <w:ind w:firstLine="527"/>
        <w:spacing w:after="0" w:line="254"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ind w:right="320" w:firstLine="527"/>
        <w:spacing w:after="0" w:line="334"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8th day of April, 2020.</w:t>
      </w:r>
    </w:p>
    <w:p>
      <w:pPr>
        <w:spacing w:after="0" w:line="89"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u w:val="single" w:color="auto"/>
          <w:color w:val="auto"/>
        </w:rPr>
        <w:t>/s/ Charles B. Johnson</w:t>
      </w:r>
    </w:p>
    <w:p>
      <w:pPr>
        <w:spacing w:after="0" w:line="58"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Signature</w:t>
      </w:r>
    </w:p>
    <w:p>
      <w:pPr>
        <w:spacing w:after="0" w:line="237"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Charles B.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-5080</wp:posOffset>
            </wp:positionV>
            <wp:extent cx="1537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7970" cy="8890"/>
                    </a:xfrm>
                    <a:prstGeom prst="rect">
                      <a:avLst/>
                    </a:prstGeom>
                    <a:noFill/>
                  </pic:spPr>
                </pic:pic>
              </a:graphicData>
            </a:graphic>
          </wp:anchor>
        </w:drawing>
      </w:r>
    </w:p>
    <w:p>
      <w:pPr>
        <w:spacing w:after="0" w:line="38" w:lineRule="exact"/>
        <w:rPr>
          <w:sz w:val="20"/>
          <w:szCs w:val="20"/>
          <w:color w:val="auto"/>
        </w:rPr>
      </w:pPr>
    </w:p>
    <w:p>
      <w:pPr>
        <w:ind w:left="63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229235</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835" w:right="399" w:bottom="1440" w:gutter="0" w:footer="0" w:header="0"/>
        </w:sectPr>
      </w:pPr>
    </w:p>
    <w:bookmarkStart w:id="13" w:name="page14"/>
    <w:bookmarkEnd w:id="13"/>
    <w:p>
      <w:pPr>
        <w:ind w:left="300"/>
        <w:spacing w:after="0"/>
        <w:tabs>
          <w:tab w:leader="none" w:pos="5140" w:val="left"/>
          <w:tab w:leader="none" w:pos="8400" w:val="left"/>
        </w:tabs>
        <w:rPr>
          <w:sz w:val="20"/>
          <w:szCs w:val="20"/>
          <w:color w:val="auto"/>
        </w:rPr>
      </w:pPr>
      <w:r>
        <w:rPr>
          <w:rFonts w:ascii="Courier New" w:cs="Courier New" w:eastAsia="Courier New" w:hAnsi="Courier New"/>
          <w:sz w:val="18"/>
          <w:szCs w:val="18"/>
          <w:color w:val="auto"/>
        </w:rPr>
        <w:t>CUSIP NO. G48833118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pacing w:after="0" w:line="269" w:lineRule="exact"/>
        <w:rPr>
          <w:sz w:val="20"/>
          <w:szCs w:val="20"/>
          <w:color w:val="auto"/>
        </w:rPr>
      </w:pPr>
    </w:p>
    <w:p>
      <w:pPr>
        <w:ind w:left="4560"/>
        <w:spacing w:after="0"/>
        <w:rPr>
          <w:sz w:val="20"/>
          <w:szCs w:val="20"/>
          <w:color w:val="auto"/>
        </w:rPr>
      </w:pPr>
      <w:r>
        <w:rPr>
          <w:rFonts w:ascii="Courier New" w:cs="Courier New" w:eastAsia="Courier New" w:hAnsi="Courier New"/>
          <w:sz w:val="18"/>
          <w:szCs w:val="18"/>
          <w:color w:val="auto"/>
        </w:rPr>
        <w:t>LIMITED POWER OF ATTORNEY</w:t>
      </w:r>
    </w:p>
    <w:p>
      <w:pPr>
        <w:spacing w:after="0" w:line="44"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23" w:lineRule="exact"/>
        <w:rPr>
          <w:sz w:val="20"/>
          <w:szCs w:val="20"/>
          <w:color w:val="auto"/>
        </w:rPr>
      </w:pPr>
    </w:p>
    <w:p>
      <w:pPr>
        <w:ind w:right="220" w:firstLine="527"/>
        <w:spacing w:after="0" w:line="283" w:lineRule="auto"/>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Aliya S. Gordon, Steven J. Gray, Kimberly H. Novotny, Virginia E. Rosas, Navid J. Tofigh and Lori A. Weber each acting individually, as the undersigned’s true and lawful attorney-in-fact, with full power and authority as hereinafter described on behalf of and in the name, place and stead of the undersigned to:</w:t>
      </w:r>
    </w:p>
    <w:p>
      <w:pPr>
        <w:spacing w:after="0" w:line="121" w:lineRule="exact"/>
        <w:rPr>
          <w:sz w:val="20"/>
          <w:szCs w:val="20"/>
          <w:color w:val="auto"/>
        </w:rPr>
      </w:pPr>
    </w:p>
    <w:p>
      <w:pPr>
        <w:ind w:firstLine="535"/>
        <w:spacing w:after="0" w:line="273" w:lineRule="auto"/>
        <w:tabs>
          <w:tab w:leader="none" w:pos="84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closed-end company to which an affiliate of FRI is an investment adviser (each, a “Reporting Entity”), as considered necessary or advisable under Regulation S-T and Sections 13(d) and 16(a) of the Securities Exchange Act of 1934 and the rules and regulations promulgated thereunder, as amended from time to time (the “Exchange Act”); and</w:t>
      </w:r>
    </w:p>
    <w:p>
      <w:pPr>
        <w:spacing w:after="0" w:line="131" w:lineRule="exact"/>
        <w:rPr>
          <w:rFonts w:ascii="Courier New" w:cs="Courier New" w:eastAsia="Courier New" w:hAnsi="Courier New"/>
          <w:sz w:val="18"/>
          <w:szCs w:val="18"/>
          <w:color w:val="auto"/>
        </w:rPr>
      </w:pPr>
    </w:p>
    <w:p>
      <w:pPr>
        <w:ind w:firstLine="535"/>
        <w:spacing w:after="0" w:line="279" w:lineRule="auto"/>
        <w:tabs>
          <w:tab w:leader="none" w:pos="843"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20" w:firstLine="535"/>
        <w:spacing w:after="0" w:line="334" w:lineRule="auto"/>
        <w:tabs>
          <w:tab w:leader="none" w:pos="84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 attorney-in-fact are necessary or desirable for and on behalf of the undersigned in connection with the foregoing.</w:t>
      </w:r>
    </w:p>
    <w:p>
      <w:pPr>
        <w:spacing w:after="0" w:line="7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5" w:lineRule="exact"/>
        <w:rPr>
          <w:sz w:val="20"/>
          <w:szCs w:val="20"/>
          <w:color w:val="auto"/>
        </w:rPr>
      </w:pPr>
    </w:p>
    <w:p>
      <w:pPr>
        <w:ind w:firstLine="535"/>
        <w:spacing w:after="0" w:line="266"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attorney-in-fact to act in their discretion on information provided to such attorney-in-fact without independent verification of such information;</w:t>
      </w:r>
    </w:p>
    <w:p>
      <w:pPr>
        <w:spacing w:after="0" w:line="2" w:lineRule="exact"/>
        <w:rPr>
          <w:rFonts w:ascii="Courier New" w:cs="Courier New" w:eastAsia="Courier New" w:hAnsi="Courier New"/>
          <w:sz w:val="18"/>
          <w:szCs w:val="18"/>
          <w:color w:val="auto"/>
        </w:rPr>
      </w:pPr>
    </w:p>
    <w:p>
      <w:pPr>
        <w:ind w:right="220" w:firstLine="535"/>
        <w:spacing w:after="0" w:line="269" w:lineRule="auto"/>
        <w:tabs>
          <w:tab w:leader="none" w:pos="843"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and/or executed by any such attorney-in-fact on behalf of the undersigned pursuant to this Limited Power of Attorney will be in such form and will contain such information and disclosure as such attorney-in-fact, in his or her discretion, deems necessary or desirable;</w:t>
      </w:r>
    </w:p>
    <w:p>
      <w:pPr>
        <w:ind w:right="120" w:firstLine="535"/>
        <w:spacing w:after="0" w:line="254"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attorneys-in-fact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ind w:firstLine="535"/>
        <w:spacing w:after="0" w:line="294" w:lineRule="auto"/>
        <w:tabs>
          <w:tab w:leader="none" w:pos="84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10" w:lineRule="exact"/>
        <w:rPr>
          <w:sz w:val="20"/>
          <w:szCs w:val="20"/>
          <w:color w:val="auto"/>
        </w:rPr>
      </w:pPr>
    </w:p>
    <w:p>
      <w:pPr>
        <w:ind w:right="120" w:firstLine="527"/>
        <w:spacing w:after="0" w:line="259" w:lineRule="auto"/>
        <w:rPr>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attorney-in-fact of, for and on behalf of the undersigned, shall lawfully do or cause to be done by virtue of this Limited Power of Attorney, and indemnifies each of the foregoing attorneys-in-fact against any loss of any nature whatsoever arising in connection therewith.</w:t>
      </w:r>
    </w:p>
    <w:p>
      <w:pPr>
        <w:spacing w:after="0" w:line="4" w:lineRule="exact"/>
        <w:rPr>
          <w:sz w:val="20"/>
          <w:szCs w:val="20"/>
          <w:color w:val="auto"/>
        </w:rPr>
      </w:pPr>
    </w:p>
    <w:p>
      <w:pPr>
        <w:ind w:firstLine="527"/>
        <w:spacing w:after="0" w:line="254"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attorney-in-fact.</w:t>
      </w:r>
    </w:p>
    <w:p>
      <w:pPr>
        <w:ind w:right="320" w:firstLine="527"/>
        <w:spacing w:after="0" w:line="334" w:lineRule="auto"/>
        <w:rPr>
          <w:sz w:val="20"/>
          <w:szCs w:val="20"/>
          <w:color w:val="auto"/>
        </w:rPr>
      </w:pPr>
      <w:r>
        <w:rPr>
          <w:rFonts w:ascii="Courier New" w:cs="Courier New" w:eastAsia="Courier New" w:hAnsi="Courier New"/>
          <w:sz w:val="18"/>
          <w:szCs w:val="18"/>
          <w:color w:val="auto"/>
        </w:rPr>
        <w:t>IN WITNESS WHEREOF, the undersigned has caused this Limited Power of Attorney to be executed as of this 8th day of April, 2020.</w:t>
      </w:r>
    </w:p>
    <w:p>
      <w:pPr>
        <w:spacing w:after="0" w:line="89"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58"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3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Rupert H. Johnson,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-5080</wp:posOffset>
            </wp:positionV>
            <wp:extent cx="16719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1955" cy="8890"/>
                    </a:xfrm>
                    <a:prstGeom prst="rect">
                      <a:avLst/>
                    </a:prstGeom>
                    <a:noFill/>
                  </pic:spPr>
                </pic:pic>
              </a:graphicData>
            </a:graphic>
          </wp:anchor>
        </w:drawing>
      </w:r>
    </w:p>
    <w:p>
      <w:pPr>
        <w:spacing w:after="0" w:line="24"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1532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606" w:right="399" w:bottom="1440" w:gutter="0" w:footer="0" w:header="0"/>
        </w:sectPr>
      </w:pPr>
    </w:p>
    <w:bookmarkStart w:id="14" w:name="page15"/>
    <w:bookmarkEnd w:id="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CUSIP NO. G48833118</w:t>
            </w:r>
          </w:p>
        </w:tc>
        <w:tc>
          <w:tcPr>
            <w:tcW w:w="2100" w:type="dxa"/>
            <w:vAlign w:val="bottom"/>
          </w:tcPr>
          <w:p>
            <w:pPr>
              <w:ind w:left="1120"/>
              <w:spacing w:after="0"/>
              <w:rPr>
                <w:sz w:val="20"/>
                <w:szCs w:val="20"/>
                <w:color w:val="auto"/>
              </w:rPr>
            </w:pPr>
            <w:r>
              <w:rPr>
                <w:rFonts w:ascii="Courier New" w:cs="Courier New" w:eastAsia="Courier New" w:hAnsi="Courier New"/>
                <w:sz w:val="18"/>
                <w:szCs w:val="18"/>
                <w:color w:val="auto"/>
              </w:rPr>
              <w:t>13G</w:t>
            </w:r>
          </w:p>
        </w:tc>
        <w:tc>
          <w:tcPr>
            <w:tcW w:w="3640" w:type="dxa"/>
            <w:vAlign w:val="bottom"/>
          </w:tcPr>
          <w:p>
            <w:pPr>
              <w:ind w:left="2280"/>
              <w:spacing w:after="0"/>
              <w:rPr>
                <w:sz w:val="20"/>
                <w:szCs w:val="20"/>
                <w:color w:val="auto"/>
              </w:rPr>
            </w:pPr>
            <w:r>
              <w:rPr>
                <w:rFonts w:ascii="Courier New" w:cs="Courier New" w:eastAsia="Courier New" w:hAnsi="Courier New"/>
                <w:sz w:val="18"/>
                <w:szCs w:val="18"/>
                <w:color w:val="auto"/>
                <w:w w:val="95"/>
              </w:rPr>
              <w:t>Page 14 of 14</w:t>
            </w:r>
          </w:p>
        </w:tc>
      </w:tr>
      <w:tr>
        <w:trPr>
          <w:trHeight w:val="351"/>
        </w:trPr>
        <w:tc>
          <w:tcPr>
            <w:tcW w:w="3740" w:type="dxa"/>
            <w:vAlign w:val="bottom"/>
          </w:tcPr>
          <w:p>
            <w:pPr>
              <w:ind w:left="200"/>
              <w:spacing w:after="0"/>
              <w:rPr>
                <w:sz w:val="20"/>
                <w:szCs w:val="20"/>
                <w:color w:val="auto"/>
              </w:rPr>
            </w:pPr>
            <w:r>
              <w:rPr>
                <w:rFonts w:ascii="Courier New" w:cs="Courier New" w:eastAsia="Courier New" w:hAnsi="Courier New"/>
                <w:sz w:val="18"/>
                <w:szCs w:val="18"/>
                <w:color w:val="auto"/>
              </w:rPr>
              <w:t>EXHIBIT C</w:t>
            </w:r>
          </w:p>
        </w:tc>
        <w:tc>
          <w:tcPr>
            <w:tcW w:w="21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18"/>
        </w:trPr>
        <w:tc>
          <w:tcPr>
            <w:tcW w:w="3740" w:type="dxa"/>
            <w:vAlign w:val="bottom"/>
          </w:tcPr>
          <w:p>
            <w:pPr>
              <w:ind w:left="200"/>
              <w:spacing w:after="0"/>
              <w:rPr>
                <w:sz w:val="20"/>
                <w:szCs w:val="20"/>
                <w:color w:val="auto"/>
              </w:rPr>
            </w:pPr>
            <w:r>
              <w:rPr>
                <w:rFonts w:ascii="Courier New" w:cs="Courier New" w:eastAsia="Courier New" w:hAnsi="Courier New"/>
                <w:sz w:val="18"/>
                <w:szCs w:val="18"/>
                <w:color w:val="auto"/>
              </w:rPr>
              <w:t>Franklin Advisers, Inc.</w:t>
            </w:r>
          </w:p>
        </w:tc>
        <w:tc>
          <w:tcPr>
            <w:tcW w:w="2100" w:type="dxa"/>
            <w:vAlign w:val="bottom"/>
          </w:tcPr>
          <w:p>
            <w:pPr>
              <w:spacing w:after="0"/>
              <w:rPr>
                <w:sz w:val="24"/>
                <w:szCs w:val="24"/>
                <w:color w:val="auto"/>
              </w:rPr>
            </w:pPr>
          </w:p>
        </w:tc>
        <w:tc>
          <w:tcPr>
            <w:tcW w:w="3640" w:type="dxa"/>
            <w:vAlign w:val="bottom"/>
          </w:tcPr>
          <w:p>
            <w:pPr>
              <w:ind w:left="680"/>
              <w:spacing w:after="0"/>
              <w:rPr>
                <w:sz w:val="20"/>
                <w:szCs w:val="20"/>
                <w:color w:val="auto"/>
              </w:rPr>
            </w:pPr>
            <w:r>
              <w:rPr>
                <w:rFonts w:ascii="Courier New" w:cs="Courier New" w:eastAsia="Courier New" w:hAnsi="Courier New"/>
                <w:sz w:val="18"/>
                <w:szCs w:val="18"/>
                <w:color w:val="auto"/>
              </w:rPr>
              <w:t>Item 3 Classification: 3(e)</w:t>
            </w:r>
          </w:p>
        </w:tc>
      </w:tr>
    </w:tbl>
    <w:p>
      <w:pPr>
        <w:spacing w:after="0" w:line="1" w:lineRule="exact"/>
        <w:rPr>
          <w:sz w:val="20"/>
          <w:szCs w:val="20"/>
          <w:color w:val="auto"/>
        </w:rPr>
      </w:pPr>
    </w:p>
    <w:sectPr>
      <w:pgSz w:w="11900" w:h="16838" w:orient="portrait"/>
      <w:cols w:equalWidth="0" w:num="1">
        <w:col w:w="9839"/>
      </w:cols>
      <w:pgMar w:left="620" w:top="3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1"/>
    </w:lvl>
    <w:lvl w:ilvl="1">
      <w:lvlJc w:val="left"/>
      <w:lvlText w:val="(%2)"/>
      <w:numFmt w:val="lowerLetter"/>
      <w:start w:val="2"/>
    </w:lvl>
  </w:abstractNum>
  <w:abstractNum w:abstractNumId="3">
    <w:nsid w:val="721DA317"/>
    <w:multiLevelType w:val="hybridMultilevel"/>
    <w:lvl w:ilvl="0">
      <w:lvlJc w:val="left"/>
      <w:lvlText w:val="%1."/>
      <w:numFmt w:val="decimal"/>
      <w:start w:val="3"/>
    </w:lvl>
    <w:lvl w:ilvl="1">
      <w:lvlJc w:val="left"/>
      <w:lvlText w:val="%2"/>
      <w:numFmt w:val="lowerLetter"/>
      <w:start w:val="1"/>
    </w:lvl>
  </w:abstractNum>
  <w:abstractNum w:abstractNumId="4">
    <w:nsid w:val="2443A858"/>
    <w:multiLevelType w:val="hybridMultilevel"/>
    <w:lvl w:ilvl="0">
      <w:lvlJc w:val="left"/>
      <w:lvlText w:val="%1."/>
      <w:numFmt w:val="decimal"/>
      <w:start w:val="5"/>
    </w:lvl>
  </w:abstractNum>
  <w:abstractNum w:abstractNumId="5">
    <w:nsid w:val="2D1D5AE9"/>
    <w:multiLevelType w:val="hybridMultilevel"/>
    <w:lvl w:ilvl="0">
      <w:lvlJc w:val="left"/>
      <w:lvlText w:val="%1."/>
      <w:numFmt w:val="decimal"/>
      <w:start w:val="1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lvl w:ilvl="1">
      <w:lvlJc w:val="left"/>
      <w:lvlText w:val="(%2)"/>
      <w:numFmt w:val="lowerLetter"/>
      <w:start w:val="2"/>
    </w:lvl>
  </w:abstractNum>
  <w:abstractNum w:abstractNumId="8">
    <w:nsid w:val="8EDBDAB"/>
    <w:multiLevelType w:val="hybridMultilevel"/>
    <w:lvl w:ilvl="0">
      <w:lvlJc w:val="left"/>
      <w:lvlText w:val="%1."/>
      <w:numFmt w:val="decimal"/>
      <w:start w:val="3"/>
    </w:lvl>
    <w:lvl w:ilvl="1">
      <w:lvlJc w:val="left"/>
      <w:lvlText w:val="%2"/>
      <w:numFmt w:val="lowerLetter"/>
      <w:start w:val="1"/>
    </w:lvl>
  </w:abstractNum>
  <w:abstractNum w:abstractNumId="9">
    <w:nsid w:val="79838CB2"/>
    <w:multiLevelType w:val="hybridMultilevel"/>
    <w:lvl w:ilvl="0">
      <w:lvlJc w:val="left"/>
      <w:lvlText w:val="%1."/>
      <w:numFmt w:val="decimal"/>
      <w:start w:val="5"/>
    </w:lvl>
  </w:abstractNum>
  <w:abstractNum w:abstractNumId="10">
    <w:nsid w:val="4353D0CD"/>
    <w:multiLevelType w:val="hybridMultilevel"/>
    <w:lvl w:ilvl="0">
      <w:lvlJc w:val="left"/>
      <w:lvlText w:val="%1."/>
      <w:numFmt w:val="decimal"/>
      <w:start w:val="11"/>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lvl w:ilvl="1">
      <w:lvlJc w:val="left"/>
      <w:lvlText w:val="(%2)"/>
      <w:numFmt w:val="lowerLetter"/>
      <w:start w:val="2"/>
    </w:lvl>
  </w:abstractNum>
  <w:abstractNum w:abstractNumId="13">
    <w:nsid w:val="54E49EB4"/>
    <w:multiLevelType w:val="hybridMultilevel"/>
    <w:lvl w:ilvl="0">
      <w:lvlJc w:val="left"/>
      <w:lvlText w:val="%1."/>
      <w:numFmt w:val="decimal"/>
      <w:start w:val="3"/>
    </w:lvl>
    <w:lvl w:ilvl="1">
      <w:lvlJc w:val="left"/>
      <w:lvlText w:val="%2"/>
      <w:numFmt w:val="lowerLetter"/>
      <w:start w:val="1"/>
    </w:lvl>
  </w:abstractNum>
  <w:abstractNum w:abstractNumId="14">
    <w:nsid w:val="71F32454"/>
    <w:multiLevelType w:val="hybridMultilevel"/>
    <w:lvl w:ilvl="0">
      <w:lvlJc w:val="left"/>
      <w:lvlText w:val="%1."/>
      <w:numFmt w:val="decimal"/>
      <w:start w:val="5"/>
    </w:lvl>
  </w:abstractNum>
  <w:abstractNum w:abstractNumId="15">
    <w:nsid w:val="2CA88611"/>
    <w:multiLevelType w:val="hybridMultilevel"/>
    <w:lvl w:ilvl="0">
      <w:lvlJc w:val="left"/>
      <w:lvlText w:val="%1."/>
      <w:numFmt w:val="decimal"/>
      <w:start w:val="1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lvl w:ilvl="1">
      <w:lvlJc w:val="left"/>
      <w:lvlText w:val="(%2)"/>
      <w:numFmt w:val="lowerLetter"/>
      <w:start w:val="2"/>
    </w:lvl>
  </w:abstractNum>
  <w:abstractNum w:abstractNumId="18">
    <w:nsid w:val="3A95F874"/>
    <w:multiLevelType w:val="hybridMultilevel"/>
    <w:lvl w:ilvl="0">
      <w:lvlJc w:val="left"/>
      <w:lvlText w:val="%1."/>
      <w:numFmt w:val="decimal"/>
      <w:start w:val="3"/>
    </w:lvl>
    <w:lvl w:ilvl="1">
      <w:lvlJc w:val="left"/>
      <w:lvlText w:val="%2"/>
      <w:numFmt w:val="lowerLetter"/>
      <w:start w:val="1"/>
    </w:lvl>
  </w:abstractNum>
  <w:abstractNum w:abstractNumId="19">
    <w:nsid w:val="8138641"/>
    <w:multiLevelType w:val="hybridMultilevel"/>
    <w:lvl w:ilvl="0">
      <w:lvlJc w:val="left"/>
      <w:lvlText w:val="%1."/>
      <w:numFmt w:val="decimal"/>
      <w:start w:val="5"/>
    </w:lvl>
  </w:abstractNum>
  <w:abstractNum w:abstractNumId="20">
    <w:nsid w:val="1E7FF521"/>
    <w:multiLevelType w:val="hybridMultilevel"/>
    <w:lvl w:ilvl="0">
      <w:lvlJc w:val="left"/>
      <w:lvlText w:val="%1."/>
      <w:numFmt w:val="decimal"/>
      <w:start w:val="1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2"/>
    </w:lvl>
  </w:abstractNum>
  <w:abstractNum w:abstractNumId="25">
    <w:nsid w:val="4516DDE9"/>
    <w:multiLevelType w:val="hybridMultilevel"/>
    <w:lvl w:ilvl="0">
      <w:lvlJc w:val="left"/>
      <w:lvlText w:val="(%1)"/>
      <w:numFmt w:val="lowerLetter"/>
      <w:start w:val="3"/>
    </w:lvl>
  </w:abstractNum>
  <w:abstractNum w:abstractNumId="26">
    <w:nsid w:val="3006C83E"/>
    <w:multiLevelType w:val="hybridMultilevel"/>
    <w:lvl w:ilvl="0">
      <w:lvlJc w:val="left"/>
      <w:lvlText w:val="%1"/>
      <w:numFmt w:val="lowerLetter"/>
      <w:start w:val="1"/>
    </w:lvl>
    <w:lvl w:ilvl="1">
      <w:lvlJc w:val="left"/>
      <w:lvlText w:val="(%2)"/>
      <w:numFmt w:val="lowerLetter"/>
      <w:start w:val="35"/>
    </w:lvl>
  </w:abstractNum>
  <w:abstractNum w:abstractNumId="27">
    <w:nsid w:val="614FD4A1"/>
    <w:multiLevelType w:val="hybridMultilevel"/>
    <w:lvl w:ilvl="0">
      <w:lvlJc w:val="left"/>
      <w:lvlText w:val="(%1)"/>
      <w:numFmt w:val="lowerLetter"/>
      <w:start w:val="4"/>
    </w:lvl>
    <w:lvl w:ilvl="1">
      <w:lvlJc w:val="left"/>
      <w:lvlText w:val="%2"/>
      <w:numFmt w:val="lowerLetter"/>
      <w:start w:val="1"/>
    </w:lvl>
  </w:abstractNum>
  <w:abstractNum w:abstractNumId="28">
    <w:nsid w:val="419AC241"/>
    <w:multiLevelType w:val="hybridMultilevel"/>
    <w:lvl w:ilvl="0">
      <w:lvlJc w:val="left"/>
      <w:lvlText w:val="(%1)"/>
      <w:numFmt w:val="lowerLetter"/>
      <w:start w:val="5"/>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7"/>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3"/>
    </w:lvl>
    <w:lvl w:ilvl="1">
      <w:lvlJc w:val="left"/>
      <w:lvlText w:val="(%2)"/>
      <w:numFmt w:val="lowerLetter"/>
      <w:start w:val="9"/>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lowerRoman"/>
      <w:start w:val="3"/>
    </w:lvl>
  </w:abstractNum>
  <w:abstractNum w:abstractNumId="35">
    <w:nsid w:val="5C482A97"/>
    <w:multiLevelType w:val="hybridMultilevel"/>
    <w:lvl w:ilvl="0">
      <w:lvlJc w:val="left"/>
      <w:lvlText w:val="(%1)"/>
      <w:numFmt w:val="lowerRoman"/>
      <w:start w:val="4"/>
    </w:lvl>
  </w:abstractNum>
  <w:abstractNum w:abstractNumId="36">
    <w:nsid w:val="2463B9EA"/>
    <w:multiLevelType w:val="hybridMultilevel"/>
    <w:lvl w:ilvl="0">
      <w:lvlJc w:val="left"/>
      <w:lvlText w:val="%1."/>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2021-02-02T14:26:38Z</dcterms:created>
  <dcterms:modified xsi:type="dcterms:W3CDTF">2021-02-02T14:26:38Z</dcterms:modified>
</cp:coreProperties>
</file>