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CURRENT REPORT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June 15, 2023</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44"/>
        </w:rPr>
      </w:pPr>
      <w:r>
        <w:rPr>
          <w:rFonts w:ascii="Times New Roman;sans-serif" w:hAnsi="Times New Roman;sans-serif"/>
          <w:b/>
          <w:color w:val="000000"/>
          <w:sz w:val="44"/>
        </w:rPr>
        <w:t>Weatherford International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8997" w:type="dxa"/>
        <w:jc w:val="center"/>
        <w:tblInd w:w="0" w:type="dxa"/>
        <w:tblLayout w:type="fixed"/>
        <w:tblCellMar>
          <w:top w:w="28" w:type="dxa"/>
          <w:left w:w="28" w:type="dxa"/>
          <w:bottom w:w="28" w:type="dxa"/>
          <w:right w:w="28" w:type="dxa"/>
        </w:tblCellMar>
      </w:tblPr>
      <w:tblGrid>
        <w:gridCol w:w="1328"/>
        <w:gridCol w:w="1167"/>
        <w:gridCol w:w="1179"/>
        <w:gridCol w:w="762"/>
        <w:gridCol w:w="762"/>
        <w:gridCol w:w="770"/>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Ireland</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001-36504</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98-0606750</w:t>
            </w:r>
          </w:p>
        </w:tc>
      </w:tr>
      <w:tr>
        <w:trPr/>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w:t>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tbl>
      <w:tblPr>
        <w:tblW w:w="5702" w:type="dxa"/>
        <w:jc w:val="center"/>
        <w:tblInd w:w="0" w:type="dxa"/>
        <w:tblLayout w:type="fixed"/>
        <w:tblCellMar>
          <w:top w:w="28" w:type="dxa"/>
          <w:left w:w="28" w:type="dxa"/>
          <w:bottom w:w="28" w:type="dxa"/>
          <w:right w:w="28" w:type="dxa"/>
        </w:tblCellMar>
      </w:tblPr>
      <w:tblGrid>
        <w:gridCol w:w="683"/>
        <w:gridCol w:w="600"/>
        <w:gridCol w:w="606"/>
        <w:gridCol w:w="109"/>
        <w:gridCol w:w="109"/>
        <w:gridCol w:w="109"/>
        <w:gridCol w:w="284"/>
        <w:gridCol w:w="284"/>
        <w:gridCol w:w="286"/>
        <w:gridCol w:w="109"/>
        <w:gridCol w:w="109"/>
        <w:gridCol w:w="109"/>
        <w:gridCol w:w="205"/>
        <w:gridCol w:w="205"/>
        <w:gridCol w:w="206"/>
        <w:gridCol w:w="109"/>
        <w:gridCol w:w="109"/>
        <w:gridCol w:w="109"/>
        <w:gridCol w:w="109"/>
        <w:gridCol w:w="109"/>
        <w:gridCol w:w="109"/>
        <w:gridCol w:w="303"/>
        <w:gridCol w:w="303"/>
        <w:gridCol w:w="429"/>
      </w:tblGrid>
      <w:tr>
        <w:trPr/>
        <w:tc>
          <w:tcPr>
            <w:tcW w:w="68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2000 St. James Place</w:t>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Houston,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77056</w:t>
            </w:r>
          </w:p>
        </w:tc>
      </w:tr>
      <w:tr>
        <w:trPr/>
        <w:tc>
          <w:tcPr>
            <w:tcW w:w="401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0"/>
        <w:jc w:val="center"/>
        <w:rPr/>
      </w:pPr>
      <w:r>
        <w:rPr>
          <w:color w:val="000000"/>
        </w:rPr>
        <w:t> </w:t>
      </w:r>
      <w:r>
        <w:rPr>
          <w:rFonts w:ascii="Times New Roman;sans-serif" w:hAnsi="Times New Roman;sans-serif"/>
          <w:b/>
          <w:color w:val="000000"/>
          <w:sz w:val="20"/>
        </w:rPr>
        <w:t xml:space="preserve">Registrant’s telephone number, including area code: 713.836.4000 </w:t>
      </w:r>
    </w:p>
    <w:tbl>
      <w:tblPr>
        <w:tblW w:w="6006" w:type="dxa"/>
        <w:jc w:val="center"/>
        <w:tblInd w:w="0" w:type="dxa"/>
        <w:tblLayout w:type="fixed"/>
        <w:tblCellMar>
          <w:top w:w="28" w:type="dxa"/>
          <w:left w:w="28" w:type="dxa"/>
          <w:bottom w:w="28" w:type="dxa"/>
          <w:right w:w="28" w:type="dxa"/>
        </w:tblCellMar>
      </w:tblPr>
      <w:tblGrid>
        <w:gridCol w:w="124"/>
        <w:gridCol w:w="109"/>
        <w:gridCol w:w="109"/>
        <w:gridCol w:w="588"/>
        <w:gridCol w:w="588"/>
        <w:gridCol w:w="588"/>
        <w:gridCol w:w="588"/>
        <w:gridCol w:w="588"/>
        <w:gridCol w:w="588"/>
        <w:gridCol w:w="588"/>
        <w:gridCol w:w="588"/>
        <w:gridCol w:w="58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60" w:after="283"/>
        <w:jc w:val="left"/>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60" w:after="283"/>
        <w:jc w:val="left"/>
        <w:rPr/>
      </w:pPr>
      <w:r>
        <w:rPr>
          <w:color w:val="000000"/>
        </w:rPr>
        <w:t xml:space="preserve">☐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60" w:after="283"/>
        <w:jc w:val="left"/>
        <w:rPr/>
      </w:pPr>
      <w:r>
        <w:rPr>
          <w:color w:val="000000"/>
        </w:rPr>
        <w:t xml:space="preserve">☐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60" w:after="283"/>
        <w:jc w:val="left"/>
        <w:rPr/>
      </w:pPr>
      <w:r>
        <w:rPr>
          <w:color w:val="000000"/>
        </w:rPr>
        <w:t xml:space="preserve">☐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924" w:type="dxa"/>
        <w:jc w:val="center"/>
        <w:tblInd w:w="0" w:type="dxa"/>
        <w:tblLayout w:type="fixed"/>
        <w:tblCellMar>
          <w:top w:w="28" w:type="dxa"/>
          <w:left w:w="28" w:type="dxa"/>
          <w:bottom w:w="28" w:type="dxa"/>
          <w:right w:w="28" w:type="dxa"/>
        </w:tblCellMar>
      </w:tblPr>
      <w:tblGrid>
        <w:gridCol w:w="1304"/>
        <w:gridCol w:w="1141"/>
        <w:gridCol w:w="1155"/>
        <w:gridCol w:w="539"/>
        <w:gridCol w:w="539"/>
        <w:gridCol w:w="541"/>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Ordinary shares, $0.001 par value per share</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WFRD</w:t>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lineRule="auto" w:line="288" w:before="0" w:after="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left"/>
        <w:rPr>
          <w:rFonts w:ascii="Times New Roman;sans-serif" w:hAnsi="Times New Roman;sans-serif"/>
          <w:b/>
          <w:color w:val="000000"/>
          <w:sz w:val="24"/>
        </w:rPr>
      </w:pPr>
      <w:r>
        <w:rPr>
          <w:rFonts w:ascii="Times New Roman;sans-serif" w:hAnsi="Times New Roman;sans-serif"/>
          <w:b/>
          <w:color w:val="000000"/>
          <w:sz w:val="24"/>
        </w:rPr>
        <w:t>Item 5.07    Submission of Matters to a Vote of Security Holders.</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The 2023 Annual General Meeting of Shareholders (the “Annual Meeting”) of Weatherford International plc (the “Company”) was held on June 15, 2023. At the Annual Meeting holders of 62,169,144 ordinary shares, nominal value $0.001 per share, or approximately 86.31%, of the 72,028,738 issued and outstanding ordinary shares entitled to vote at the Annual Meeting, were present in person or by proxies.</w:t>
      </w:r>
    </w:p>
    <w:p>
      <w:pPr>
        <w:pStyle w:val="TextBody"/>
        <w:bidi w:val="0"/>
        <w:spacing w:lineRule="auto" w:line="288" w:before="0" w:after="60"/>
        <w:ind w:left="0" w:right="0" w:firstLine="450"/>
        <w:jc w:val="left"/>
        <w:rPr>
          <w:rFonts w:ascii="Times New Roman;sans-serif" w:hAnsi="Times New Roman;sans-serif"/>
          <w:b w:val="false"/>
          <w:color w:val="000000"/>
          <w:sz w:val="24"/>
        </w:rPr>
      </w:pPr>
      <w:r>
        <w:rPr>
          <w:rFonts w:ascii="Times New Roman;sans-serif" w:hAnsi="Times New Roman;sans-serif"/>
          <w:b w:val="false"/>
          <w:color w:val="000000"/>
          <w:sz w:val="24"/>
        </w:rPr>
        <w:t>1.    The shareholders voted at the Annual Meeting as follows to elect each of the five nominees to serve a one-year term that is anticipated to expire at the Company’s 2024 Annual General Meeting of the Shareholders.</w:t>
      </w:r>
    </w:p>
    <w:tbl>
      <w:tblPr>
        <w:tblW w:w="9395" w:type="dxa"/>
        <w:jc w:val="left"/>
        <w:tblInd w:w="0" w:type="dxa"/>
        <w:tblLayout w:type="fixed"/>
        <w:tblCellMar>
          <w:top w:w="28" w:type="dxa"/>
          <w:left w:w="28" w:type="dxa"/>
          <w:bottom w:w="28" w:type="dxa"/>
          <w:right w:w="28" w:type="dxa"/>
        </w:tblCellMar>
      </w:tblPr>
      <w:tblGrid>
        <w:gridCol w:w="961"/>
        <w:gridCol w:w="845"/>
        <w:gridCol w:w="848"/>
        <w:gridCol w:w="109"/>
        <w:gridCol w:w="109"/>
        <w:gridCol w:w="109"/>
        <w:gridCol w:w="394"/>
        <w:gridCol w:w="394"/>
        <w:gridCol w:w="398"/>
        <w:gridCol w:w="109"/>
        <w:gridCol w:w="109"/>
        <w:gridCol w:w="109"/>
        <w:gridCol w:w="393"/>
        <w:gridCol w:w="393"/>
        <w:gridCol w:w="400"/>
        <w:gridCol w:w="109"/>
        <w:gridCol w:w="109"/>
        <w:gridCol w:w="109"/>
        <w:gridCol w:w="380"/>
        <w:gridCol w:w="380"/>
        <w:gridCol w:w="381"/>
        <w:gridCol w:w="109"/>
        <w:gridCol w:w="109"/>
        <w:gridCol w:w="109"/>
        <w:gridCol w:w="561"/>
        <w:gridCol w:w="561"/>
        <w:gridCol w:w="798"/>
      </w:tblGrid>
      <w:tr>
        <w:trPr/>
        <w:tc>
          <w:tcPr>
            <w:tcW w:w="96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of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Abstaining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Broker Non-Votes</w:t>
            </w:r>
          </w:p>
        </w:tc>
      </w:tr>
      <w:tr>
        <w:trPr/>
        <w:tc>
          <w:tcPr>
            <w:tcW w:w="26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Benjamin C. Duster, IV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54,732,994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3,243,411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590,244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3,602,495</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Neal P. Goldman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40,719,135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17,257,145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590,369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3,602,495</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Jacqueline C. Mutschler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55,114,800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2,861,658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590,191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3,602,495</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Girishchandra K. Saligram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57,868,403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108,053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590,193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3,602,495</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Charles M. Sledge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57,027,686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915,733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623,230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3,602,495</w:t>
            </w:r>
          </w:p>
        </w:tc>
      </w:tr>
    </w:tbl>
    <w:p>
      <w:pPr>
        <w:pStyle w:val="TextBody"/>
        <w:bidi w:val="0"/>
        <w:spacing w:lineRule="auto" w:line="288" w:before="0" w:after="60"/>
        <w:ind w:left="0" w:right="0" w:firstLine="450"/>
        <w:jc w:val="left"/>
        <w:rPr>
          <w:rFonts w:ascii="Times New Roman;sans-serif" w:hAnsi="Times New Roman;sans-serif"/>
          <w:b w:val="false"/>
          <w:color w:val="000000"/>
          <w:sz w:val="24"/>
        </w:rPr>
      </w:pPr>
      <w:r>
        <w:rPr>
          <w:rFonts w:ascii="Times New Roman;sans-serif" w:hAnsi="Times New Roman;sans-serif"/>
          <w:b w:val="false"/>
          <w:color w:val="000000"/>
          <w:sz w:val="24"/>
        </w:rPr>
        <w:t>2.    The shareholders voted at the Annual Meeting as follows to: (a) ratify the appointment of (i) KPMG LLP as the Company’s independent registered public accounting firm and auditor for the financial year ending December 31, 2023 and (ii) KPMG Chartered Accountants, Dublin, as the Company’s statutory auditor under Irish law to hold office until the close of the Company’s 2024 Annual General Meeting of the Shareholders; and (b) authorize the Board of Directors of the Company, acting through the Audit Committee, to determine the auditors’ remuneration.</w:t>
      </w:r>
    </w:p>
    <w:tbl>
      <w:tblPr>
        <w:tblW w:w="6129" w:type="dxa"/>
        <w:jc w:val="left"/>
        <w:tblInd w:w="0" w:type="dxa"/>
        <w:tblLayout w:type="fixed"/>
        <w:tblCellMar>
          <w:top w:w="28" w:type="dxa"/>
          <w:left w:w="28" w:type="dxa"/>
          <w:bottom w:w="28" w:type="dxa"/>
          <w:right w:w="28" w:type="dxa"/>
        </w:tblCellMar>
      </w:tblPr>
      <w:tblGrid>
        <w:gridCol w:w="434"/>
        <w:gridCol w:w="380"/>
        <w:gridCol w:w="387"/>
        <w:gridCol w:w="109"/>
        <w:gridCol w:w="109"/>
        <w:gridCol w:w="109"/>
        <w:gridCol w:w="294"/>
        <w:gridCol w:w="294"/>
        <w:gridCol w:w="298"/>
        <w:gridCol w:w="109"/>
        <w:gridCol w:w="109"/>
        <w:gridCol w:w="109"/>
        <w:gridCol w:w="380"/>
        <w:gridCol w:w="380"/>
        <w:gridCol w:w="381"/>
        <w:gridCol w:w="109"/>
        <w:gridCol w:w="109"/>
        <w:gridCol w:w="109"/>
        <w:gridCol w:w="561"/>
        <w:gridCol w:w="561"/>
        <w:gridCol w:w="798"/>
      </w:tblGrid>
      <w:tr>
        <w:trPr/>
        <w:tc>
          <w:tcPr>
            <w:tcW w:w="43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Abstaining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Broker Non-Votes</w:t>
            </w:r>
          </w:p>
        </w:tc>
      </w:tr>
      <w:tr>
        <w:trPr/>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61,340,555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114,623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713,966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60"/>
        <w:ind w:left="0" w:right="0" w:firstLine="450"/>
        <w:jc w:val="left"/>
        <w:rPr>
          <w:rFonts w:ascii="Times New Roman;sans-serif" w:hAnsi="Times New Roman;sans-serif"/>
          <w:b w:val="false"/>
          <w:color w:val="000000"/>
          <w:sz w:val="24"/>
        </w:rPr>
      </w:pPr>
      <w:r>
        <w:rPr>
          <w:rFonts w:ascii="Times New Roman;sans-serif" w:hAnsi="Times New Roman;sans-serif"/>
          <w:b w:val="false"/>
          <w:color w:val="000000"/>
          <w:sz w:val="24"/>
        </w:rPr>
        <w:t>3.    The shareholders voted at the Annual Meeting as follows to approve, on a nonbinding advisory basis, the compensation of the Company’s named executive officers.</w:t>
      </w:r>
    </w:p>
    <w:tbl>
      <w:tblPr>
        <w:tblW w:w="6129" w:type="dxa"/>
        <w:jc w:val="left"/>
        <w:tblInd w:w="0" w:type="dxa"/>
        <w:tblLayout w:type="fixed"/>
        <w:tblCellMar>
          <w:top w:w="28" w:type="dxa"/>
          <w:left w:w="28" w:type="dxa"/>
          <w:bottom w:w="28" w:type="dxa"/>
          <w:right w:w="28" w:type="dxa"/>
        </w:tblCellMar>
      </w:tblPr>
      <w:tblGrid>
        <w:gridCol w:w="434"/>
        <w:gridCol w:w="380"/>
        <w:gridCol w:w="387"/>
        <w:gridCol w:w="109"/>
        <w:gridCol w:w="109"/>
        <w:gridCol w:w="109"/>
        <w:gridCol w:w="294"/>
        <w:gridCol w:w="294"/>
        <w:gridCol w:w="298"/>
        <w:gridCol w:w="109"/>
        <w:gridCol w:w="109"/>
        <w:gridCol w:w="109"/>
        <w:gridCol w:w="380"/>
        <w:gridCol w:w="380"/>
        <w:gridCol w:w="381"/>
        <w:gridCol w:w="109"/>
        <w:gridCol w:w="109"/>
        <w:gridCol w:w="109"/>
        <w:gridCol w:w="561"/>
        <w:gridCol w:w="561"/>
        <w:gridCol w:w="798"/>
      </w:tblGrid>
      <w:tr>
        <w:trPr/>
        <w:tc>
          <w:tcPr>
            <w:tcW w:w="43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Abstaining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Broker Non-Votes</w:t>
            </w:r>
          </w:p>
        </w:tc>
      </w:tr>
      <w:tr>
        <w:trPr/>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56,549,429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780,480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1,236,740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3,602,495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SIGNATURE</w:t>
      </w:r>
    </w:p>
    <w:p>
      <w:pPr>
        <w:pStyle w:val="TextBody"/>
        <w:bidi w:val="0"/>
        <w:spacing w:lineRule="auto" w:line="288" w:before="0" w:after="240"/>
        <w:ind w:left="0" w:right="0" w:firstLine="495"/>
        <w:jc w:val="left"/>
        <w:rPr>
          <w:rFonts w:ascii="Times New Roman;sans-serif" w:hAnsi="Times New Roman;sans-serif"/>
          <w:b w:val="false"/>
          <w:color w:val="000000"/>
          <w:sz w:val="24"/>
        </w:rPr>
      </w:pPr>
      <w:r>
        <w:rPr>
          <w:rFonts w:ascii="Times New Roman;sans-serif" w:hAnsi="Times New Roman;sans-serif"/>
          <w:b w:val="false"/>
          <w:color w:val="000000"/>
          <w:sz w:val="24"/>
        </w:rPr>
        <w:t>Pursuant to the requirements of the Securities Exchange Act of 1934, the registrant has duly caused this report to be signed on its behalf by the undersigned hereunto duly authorized.</w:t>
      </w:r>
    </w:p>
    <w:tbl>
      <w:tblPr>
        <w:tblW w:w="10205" w:type="dxa"/>
        <w:jc w:val="center"/>
        <w:tblInd w:w="0" w:type="dxa"/>
        <w:tblLayout w:type="fixed"/>
        <w:tblCellMar>
          <w:top w:w="28" w:type="dxa"/>
          <w:left w:w="28" w:type="dxa"/>
          <w:bottom w:w="28" w:type="dxa"/>
          <w:right w:w="28" w:type="dxa"/>
        </w:tblCellMar>
      </w:tblPr>
      <w:tblGrid>
        <w:gridCol w:w="701"/>
        <w:gridCol w:w="617"/>
        <w:gridCol w:w="620"/>
        <w:gridCol w:w="484"/>
        <w:gridCol w:w="484"/>
        <w:gridCol w:w="484"/>
        <w:gridCol w:w="1991"/>
        <w:gridCol w:w="1989"/>
        <w:gridCol w:w="2835"/>
      </w:tblGrid>
      <w:tr>
        <w:trPr/>
        <w:tc>
          <w:tcPr>
            <w:tcW w:w="70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2835" w:type="dxa"/>
            <w:tcBorders/>
            <w:vAlign w:val="center"/>
          </w:tcPr>
          <w:p>
            <w:pPr>
              <w:pStyle w:val="TableContents"/>
              <w:bidi w:val="0"/>
              <w:spacing w:before="0" w:after="283"/>
              <w:jc w:val="left"/>
              <w:rPr>
                <w:sz w:val="4"/>
                <w:szCs w:val="4"/>
              </w:rPr>
            </w:pPr>
            <w:r>
              <w:rPr>
                <w:sz w:val="4"/>
                <w:szCs w:val="4"/>
              </w:rPr>
            </w:r>
          </w:p>
        </w:tc>
      </w:tr>
      <w:tr>
        <w:trPr/>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Weatherford International plc</w:t>
            </w:r>
          </w:p>
        </w:tc>
      </w:tr>
      <w:tr>
        <w:trPr/>
        <w:tc>
          <w:tcPr>
            <w:tcW w:w="193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Date: June 15, 2023</w:t>
            </w:r>
          </w:p>
        </w:tc>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68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 Scott C. Weatherholt</w:t>
            </w:r>
          </w:p>
        </w:tc>
      </w:tr>
      <w:tr>
        <w:trPr/>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Scott C. Weatherholt</w:t>
            </w:r>
          </w:p>
        </w:tc>
      </w:tr>
      <w:tr>
        <w:trPr/>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Executive Vice President, General Counsel and Chief Compliance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3602</Characters>
  <CharactersWithSpaces>4200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