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76441dsc13ga.htm"/>
      <w:bookmarkStart w:id="1" w:name="ksd176441dsc13g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13G </w:t>
      </w:r>
    </w:p>
    <w:p>
      <w:pPr>
        <w:pStyle w:val="TextBody"/>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4"/>
        </w:rPr>
      </w:pPr>
      <w:r>
        <w:rPr>
          <w:rFonts w:ascii="Times New Roman" w:hAnsi="Times New Roman"/>
          <w:b/>
          <w:sz w:val="44"/>
        </w:rPr>
        <w:t xml:space="preserve">Weatherford International PLC </w:t>
      </w:r>
    </w:p>
    <w:p>
      <w:pPr>
        <w:pStyle w:val="TextBody"/>
        <w:spacing w:before="0" w:after="0"/>
        <w:jc w:val="center"/>
        <w:rPr>
          <w:rFonts w:ascii="Times New Roman" w:hAnsi="Times New Roman"/>
          <w:b/>
          <w:sz w:val="20"/>
        </w:rPr>
      </w:pPr>
      <w:r>
        <w:rPr>
          <w:rFonts w:ascii="Times New Roman" w:hAnsi="Times New Roman"/>
          <w:b/>
          <w:sz w:val="20"/>
        </w:rPr>
        <w:t xml:space="preserve">(Name of Issuer) </w:t>
      </w:r>
    </w:p>
    <w:p>
      <w:pPr>
        <w:pStyle w:val="TextBody"/>
        <w:spacing w:before="240" w:after="0"/>
        <w:jc w:val="center"/>
        <w:rPr>
          <w:rFonts w:ascii="Times New Roman" w:hAnsi="Times New Roman"/>
          <w:b/>
          <w:sz w:val="20"/>
        </w:rPr>
      </w:pPr>
      <w:r>
        <w:rPr>
          <w:rFonts w:ascii="Times New Roman" w:hAnsi="Times New Roman"/>
          <w:b/>
          <w:sz w:val="20"/>
        </w:rPr>
        <w:t xml:space="preserve">Ordinary Shares, par value $0.001 per share </w:t>
      </w:r>
    </w:p>
    <w:p>
      <w:pPr>
        <w:pStyle w:val="TextBody"/>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spacing w:before="240" w:after="0"/>
        <w:jc w:val="center"/>
        <w:rPr>
          <w:rFonts w:ascii="Times New Roman" w:hAnsi="Times New Roman"/>
          <w:b/>
          <w:sz w:val="20"/>
        </w:rPr>
      </w:pPr>
      <w:r>
        <w:rPr>
          <w:rFonts w:ascii="Times New Roman" w:hAnsi="Times New Roman"/>
          <w:b/>
          <w:sz w:val="20"/>
        </w:rPr>
        <w:t xml:space="preserve">G48833118 </w:t>
      </w:r>
    </w:p>
    <w:p>
      <w:pPr>
        <w:pStyle w:val="TextBody"/>
        <w:spacing w:before="0" w:after="0"/>
        <w:jc w:val="center"/>
        <w:rPr>
          <w:rFonts w:ascii="Times New Roman" w:hAnsi="Times New Roman"/>
          <w:b/>
          <w:sz w:val="16"/>
        </w:rPr>
      </w:pPr>
      <w:r>
        <w:rPr>
          <w:rFonts w:ascii="Times New Roman" w:hAnsi="Times New Roman"/>
          <w:b/>
          <w:sz w:val="16"/>
        </w:rPr>
        <w:t xml:space="preserve">(CUSIP Number) </w:t>
      </w:r>
    </w:p>
    <w:p>
      <w:pPr>
        <w:pStyle w:val="TextBody"/>
        <w:spacing w:before="240" w:after="0"/>
        <w:jc w:val="center"/>
        <w:rPr>
          <w:rFonts w:ascii="Times New Roman" w:hAnsi="Times New Roman"/>
          <w:b/>
          <w:sz w:val="20"/>
        </w:rPr>
      </w:pPr>
      <w:r>
        <w:rPr>
          <w:rFonts w:ascii="Times New Roman" w:hAnsi="Times New Roman"/>
          <w:b/>
          <w:sz w:val="20"/>
        </w:rPr>
        <w:t xml:space="preserve">February 8, 2023 </w:t>
      </w:r>
    </w:p>
    <w:p>
      <w:pPr>
        <w:pStyle w:val="TextBody"/>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spacing w:before="240" w:after="0"/>
        <w:jc w:val="left"/>
        <w:rPr/>
      </w:pPr>
      <w:r>
        <w:rPr/>
        <w:t xml:space="preserve">☐ </w:t>
      </w:r>
      <w:r>
        <w:rPr>
          <w:rFonts w:ascii="Times New Roman" w:hAnsi="Times New Roman"/>
          <w:sz w:val="20"/>
        </w:rPr>
        <w:t xml:space="preserve">Rule 13d-1(b) </w:t>
      </w:r>
    </w:p>
    <w:p>
      <w:pPr>
        <w:pStyle w:val="TextBody"/>
        <w:spacing w:before="240" w:after="0"/>
        <w:jc w:val="left"/>
        <w:rPr/>
      </w:pPr>
      <w:r>
        <w:rPr/>
        <w:t xml:space="preserve">☒ </w:t>
      </w:r>
      <w:r>
        <w:rPr>
          <w:rFonts w:ascii="Times New Roman" w:hAnsi="Times New Roman"/>
          <w:sz w:val="20"/>
        </w:rPr>
        <w:t xml:space="preserve">Rule 13d-1(c) </w:t>
      </w:r>
    </w:p>
    <w:p>
      <w:pPr>
        <w:pStyle w:val="TextBody"/>
        <w:spacing w:before="240" w:after="0"/>
        <w:jc w:val="left"/>
        <w:rPr/>
      </w:pPr>
      <w:r>
        <w:rPr/>
        <w:t xml:space="preserve">☐ </w:t>
      </w:r>
      <w:r>
        <w:rPr>
          <w:rFonts w:ascii="Times New Roman" w:hAnsi="Times New Roman"/>
          <w:sz w:val="20"/>
        </w:rPr>
        <w:t xml:space="preserve">Rule 13d-1(d)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spacing w:before="240" w:after="0"/>
        <w:jc w:val="left"/>
        <w:rPr>
          <w:rFonts w:ascii="Times New Roman" w:hAnsi="Times New Roman"/>
          <w:sz w:val="20"/>
        </w:rPr>
      </w:pPr>
      <w:r>
        <w:rPr>
          <w:rFonts w:ascii="Times New Roman" w:hAnsi="Times New Roman"/>
          <w:sz w:val="20"/>
        </w:rPr>
        <w:t>The information required in the remainder of this cover page shall not be deemed to be filed for the purpose of Section 18 of the Securities Exchange Act of 1934 (</w:t>
      </w:r>
      <w:r>
        <w:rPr>
          <w:rFonts w:ascii="Times New Roman" w:hAnsi="Times New Roman"/>
          <w:sz w:val="20"/>
          <w:u w:val="single"/>
        </w:rPr>
        <w:t>Act</w:t>
      </w:r>
      <w:r>
        <w:rPr>
          <w:rFonts w:ascii="Times New Roman" w:hAnsi="Times New Roman"/>
          <w:sz w:val="20"/>
        </w:rPr>
        <w:t xml:space="preserve">) or otherwise subject to the liabilities of that section of the Act but shall be subject to all other provisions of the Act (however, see the Notes).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G48833118</w:t>
      </w:r>
      <w:r>
        <w:rPr>
          <w:rFonts w:ascii="Times New Roman" w:hAnsi="Times New Roman"/>
          <w:sz w:val="20"/>
        </w:rPr>
        <w:t xml:space="preserve">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498"/>
        <w:gridCol w:w="122"/>
        <w:gridCol w:w="764"/>
        <w:gridCol w:w="182"/>
        <w:gridCol w:w="181"/>
        <w:gridCol w:w="182"/>
        <w:gridCol w:w="8173"/>
      </w:tblGrid>
      <w:tr>
        <w:trPr/>
        <w:tc>
          <w:tcPr>
            <w:tcW w:w="49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8173" w:type="dxa"/>
            <w:tcBorders/>
            <w:shd w:fill="auto" w:val="clear"/>
            <w:vAlign w:val="center"/>
          </w:tcPr>
          <w:p>
            <w:pPr>
              <w:pStyle w:val="TableContents"/>
              <w:spacing w:before="0" w:after="283"/>
              <w:rPr>
                <w:sz w:val="4"/>
                <w:szCs w:val="4"/>
              </w:rPr>
            </w:pPr>
            <w:r>
              <w:rPr>
                <w:sz w:val="4"/>
                <w:szCs w:val="4"/>
              </w:rPr>
            </w:r>
          </w:p>
        </w:tc>
      </w:tr>
      <w:tr>
        <w:trPr/>
        <w:tc>
          <w:tcPr>
            <w:tcW w:w="498"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82"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Giovanni Agnelli B.V.</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The Netherlands</w:t>
            </w:r>
          </w:p>
        </w:tc>
      </w:tr>
    </w:tbl>
    <w:tbl>
      <w:tblPr>
        <w:tblW w:w="4950" w:type="pct"/>
        <w:jc w:val="left"/>
        <w:tblInd w:w="0" w:type="dxa"/>
        <w:tblCellMar>
          <w:top w:w="0" w:type="dxa"/>
          <w:left w:w="0" w:type="dxa"/>
          <w:bottom w:w="0" w:type="dxa"/>
          <w:right w:w="0" w:type="dxa"/>
        </w:tblCellMar>
      </w:tblPr>
      <w:tblGrid>
        <w:gridCol w:w="463"/>
        <w:gridCol w:w="383"/>
        <w:gridCol w:w="790"/>
        <w:gridCol w:w="177"/>
        <w:gridCol w:w="322"/>
        <w:gridCol w:w="129"/>
        <w:gridCol w:w="7838"/>
      </w:tblGrid>
      <w:tr>
        <w:trPr/>
        <w:tc>
          <w:tcPr>
            <w:tcW w:w="46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838" w:type="dxa"/>
            <w:tcBorders/>
            <w:shd w:fill="auto" w:val="clear"/>
            <w:vAlign w:val="center"/>
          </w:tcPr>
          <w:p>
            <w:pPr>
              <w:pStyle w:val="TableContents"/>
              <w:spacing w:before="0" w:after="283"/>
              <w:rPr>
                <w:sz w:val="4"/>
                <w:szCs w:val="4"/>
              </w:rPr>
            </w:pPr>
            <w:r>
              <w:rPr>
                <w:sz w:val="4"/>
                <w:szCs w:val="4"/>
              </w:rPr>
            </w:r>
          </w:p>
        </w:tc>
      </w:tr>
      <w:tr>
        <w:trPr/>
        <w:tc>
          <w:tcPr>
            <w:tcW w:w="1636"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5.  </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6.</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7.</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322" w:type="dxa"/>
            <w:tcBorders/>
            <w:shd w:fill="auto" w:val="clear"/>
          </w:tcPr>
          <w:p>
            <w:pPr>
              <w:pStyle w:val="TableContents"/>
              <w:spacing w:before="0" w:after="283"/>
              <w:rPr/>
            </w:pPr>
            <w:r>
              <w:rPr/>
              <w:t>8.</w:t>
            </w:r>
          </w:p>
        </w:tc>
        <w:tc>
          <w:tcPr>
            <w:tcW w:w="129" w:type="dxa"/>
            <w:tcBorders>
              <w:left w:val="single" w:sz="2" w:space="0" w:color="000000"/>
            </w:tcBorders>
            <w:shd w:fill="auto" w:val="clear"/>
            <w:tcMar>
              <w:left w:w="28" w:type="dxa"/>
            </w:tcMar>
            <w:vAlign w:val="bottom"/>
          </w:tcPr>
          <w:p>
            <w:pPr>
              <w:pStyle w:val="TableContents"/>
              <w:spacing w:before="0" w:after="283"/>
              <w:rPr/>
            </w:pPr>
            <w:r>
              <w:rPr/>
              <w:t> </w:t>
            </w:r>
          </w:p>
        </w:tc>
        <w:tc>
          <w:tcPr>
            <w:tcW w:w="7838"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8152" w:type="dxa"/>
            <w:tcBorders/>
            <w:shd w:fill="auto" w:val="clear"/>
            <w:vAlign w:val="center"/>
          </w:tcPr>
          <w:p>
            <w:pPr>
              <w:pStyle w:val="TableContents"/>
              <w:spacing w:before="0" w:after="283"/>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55"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w:t>
            </w:r>
            <w:r>
              <w:rPr>
                <w:rFonts w:ascii="Times New Roman" w:hAnsi="Times New Roman"/>
                <w:sz w:val="20"/>
              </w:rPr>
              <w:t>4.73%*</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HC, CO</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Based on 72,064,267 ordinary shares outstanding at April 20, 2023 as reported in the Issuers quarterly report on Form 10-Q for the period ended March 31, 2023, filed with the Securities and Exchange Commission (</w:t>
            </w:r>
            <w:r>
              <w:rPr>
                <w:rFonts w:ascii="Times New Roman" w:hAnsi="Times New Roman"/>
                <w:sz w:val="20"/>
                <w:u w:val="single"/>
              </w:rPr>
              <w:t>SEC</w:t>
            </w:r>
            <w:r>
              <w:rPr>
                <w:rFonts w:ascii="Times New Roman" w:hAnsi="Times New Roman"/>
                <w:sz w:val="20"/>
              </w:rPr>
              <w:t xml:space="preserve">) on April 26,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2 of 9 pages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G48833118</w:t>
      </w:r>
      <w:r>
        <w:rPr>
          <w:rFonts w:ascii="Times New Roman" w:hAnsi="Times New Roman"/>
          <w:sz w:val="20"/>
        </w:rPr>
        <w:t xml:space="preserve">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498"/>
        <w:gridCol w:w="122"/>
        <w:gridCol w:w="788"/>
        <w:gridCol w:w="176"/>
        <w:gridCol w:w="169"/>
        <w:gridCol w:w="176"/>
        <w:gridCol w:w="8173"/>
      </w:tblGrid>
      <w:tr>
        <w:trPr/>
        <w:tc>
          <w:tcPr>
            <w:tcW w:w="49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8173" w:type="dxa"/>
            <w:tcBorders/>
            <w:shd w:fill="auto" w:val="clear"/>
            <w:vAlign w:val="center"/>
          </w:tcPr>
          <w:p>
            <w:pPr>
              <w:pStyle w:val="TableContents"/>
              <w:spacing w:before="0" w:after="283"/>
              <w:rPr>
                <w:sz w:val="4"/>
                <w:szCs w:val="4"/>
              </w:rPr>
            </w:pPr>
            <w:r>
              <w:rPr>
                <w:sz w:val="4"/>
                <w:szCs w:val="4"/>
              </w:rPr>
            </w:r>
          </w:p>
        </w:tc>
      </w:tr>
      <w:tr>
        <w:trPr/>
        <w:tc>
          <w:tcPr>
            <w:tcW w:w="498"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82"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Exor N.V.</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The Netherlands</w:t>
            </w:r>
          </w:p>
        </w:tc>
      </w:tr>
    </w:tbl>
    <w:tbl>
      <w:tblPr>
        <w:tblW w:w="4950" w:type="pct"/>
        <w:jc w:val="left"/>
        <w:tblInd w:w="0" w:type="dxa"/>
        <w:tblCellMar>
          <w:top w:w="0" w:type="dxa"/>
          <w:left w:w="0" w:type="dxa"/>
          <w:bottom w:w="0" w:type="dxa"/>
          <w:right w:w="0" w:type="dxa"/>
        </w:tblCellMar>
      </w:tblPr>
      <w:tblGrid>
        <w:gridCol w:w="463"/>
        <w:gridCol w:w="383"/>
        <w:gridCol w:w="790"/>
        <w:gridCol w:w="177"/>
        <w:gridCol w:w="322"/>
        <w:gridCol w:w="129"/>
        <w:gridCol w:w="7838"/>
      </w:tblGrid>
      <w:tr>
        <w:trPr/>
        <w:tc>
          <w:tcPr>
            <w:tcW w:w="46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838" w:type="dxa"/>
            <w:tcBorders/>
            <w:shd w:fill="auto" w:val="clear"/>
            <w:vAlign w:val="center"/>
          </w:tcPr>
          <w:p>
            <w:pPr>
              <w:pStyle w:val="TableContents"/>
              <w:spacing w:before="0" w:after="283"/>
              <w:rPr>
                <w:sz w:val="4"/>
                <w:szCs w:val="4"/>
              </w:rPr>
            </w:pPr>
            <w:r>
              <w:rPr>
                <w:sz w:val="4"/>
                <w:szCs w:val="4"/>
              </w:rPr>
            </w:r>
          </w:p>
        </w:tc>
      </w:tr>
      <w:tr>
        <w:trPr/>
        <w:tc>
          <w:tcPr>
            <w:tcW w:w="1636"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5.  </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6.</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7.</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322" w:type="dxa"/>
            <w:tcBorders/>
            <w:shd w:fill="auto" w:val="clear"/>
          </w:tcPr>
          <w:p>
            <w:pPr>
              <w:pStyle w:val="TableContents"/>
              <w:spacing w:before="0" w:after="283"/>
              <w:rPr/>
            </w:pPr>
            <w:r>
              <w:rPr/>
              <w:t>8.</w:t>
            </w:r>
          </w:p>
        </w:tc>
        <w:tc>
          <w:tcPr>
            <w:tcW w:w="129" w:type="dxa"/>
            <w:tcBorders>
              <w:left w:val="single" w:sz="2" w:space="0" w:color="000000"/>
            </w:tcBorders>
            <w:shd w:fill="auto" w:val="clear"/>
            <w:tcMar>
              <w:left w:w="28" w:type="dxa"/>
            </w:tcMar>
            <w:vAlign w:val="bottom"/>
          </w:tcPr>
          <w:p>
            <w:pPr>
              <w:pStyle w:val="TableContents"/>
              <w:spacing w:before="0" w:after="283"/>
              <w:rPr/>
            </w:pPr>
            <w:r>
              <w:rPr/>
              <w:t> </w:t>
            </w:r>
          </w:p>
        </w:tc>
        <w:tc>
          <w:tcPr>
            <w:tcW w:w="7838"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8152" w:type="dxa"/>
            <w:tcBorders/>
            <w:shd w:fill="auto" w:val="clear"/>
            <w:vAlign w:val="center"/>
          </w:tcPr>
          <w:p>
            <w:pPr>
              <w:pStyle w:val="TableContents"/>
              <w:spacing w:before="0" w:after="283"/>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55"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w:t>
            </w:r>
            <w:r>
              <w:rPr>
                <w:rFonts w:ascii="Times New Roman" w:hAnsi="Times New Roman"/>
                <w:sz w:val="20"/>
              </w:rPr>
              <w:t>4.73%*</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HC, CO</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72,064,267 ordinary shares outstanding at April 20, 2023 as reported in the Issuers quarterly report on Form 10-Q for the period ended March 31, 2023, filed with the SEC on April 26,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3 of 9 pages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G48833118</w:t>
      </w:r>
      <w:r>
        <w:rPr>
          <w:rFonts w:ascii="Times New Roman" w:hAnsi="Times New Roman"/>
          <w:sz w:val="20"/>
        </w:rPr>
        <w:t xml:space="preserve">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512"/>
        <w:gridCol w:w="125"/>
        <w:gridCol w:w="747"/>
        <w:gridCol w:w="203"/>
        <w:gridCol w:w="199"/>
        <w:gridCol w:w="203"/>
        <w:gridCol w:w="8113"/>
      </w:tblGrid>
      <w:tr>
        <w:trPr/>
        <w:tc>
          <w:tcPr>
            <w:tcW w:w="51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113" w:type="dxa"/>
            <w:tcBorders/>
            <w:shd w:fill="auto" w:val="clear"/>
            <w:vAlign w:val="center"/>
          </w:tcPr>
          <w:p>
            <w:pPr>
              <w:pStyle w:val="TableContents"/>
              <w:spacing w:before="0" w:after="283"/>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5"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65"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Exor Investments Limited</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512"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5"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6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United Kingdom</w:t>
            </w:r>
          </w:p>
        </w:tc>
      </w:tr>
    </w:tbl>
    <w:tbl>
      <w:tblPr>
        <w:tblW w:w="4950" w:type="pct"/>
        <w:jc w:val="left"/>
        <w:tblInd w:w="0" w:type="dxa"/>
        <w:tblCellMar>
          <w:top w:w="0" w:type="dxa"/>
          <w:left w:w="0" w:type="dxa"/>
          <w:bottom w:w="0" w:type="dxa"/>
          <w:right w:w="0" w:type="dxa"/>
        </w:tblCellMar>
      </w:tblPr>
      <w:tblGrid>
        <w:gridCol w:w="463"/>
        <w:gridCol w:w="383"/>
        <w:gridCol w:w="790"/>
        <w:gridCol w:w="177"/>
        <w:gridCol w:w="322"/>
        <w:gridCol w:w="129"/>
        <w:gridCol w:w="7838"/>
      </w:tblGrid>
      <w:tr>
        <w:trPr/>
        <w:tc>
          <w:tcPr>
            <w:tcW w:w="46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838" w:type="dxa"/>
            <w:tcBorders/>
            <w:shd w:fill="auto" w:val="clear"/>
            <w:vAlign w:val="center"/>
          </w:tcPr>
          <w:p>
            <w:pPr>
              <w:pStyle w:val="TableContents"/>
              <w:spacing w:before="0" w:after="283"/>
              <w:rPr>
                <w:sz w:val="4"/>
                <w:szCs w:val="4"/>
              </w:rPr>
            </w:pPr>
            <w:r>
              <w:rPr>
                <w:sz w:val="4"/>
                <w:szCs w:val="4"/>
              </w:rPr>
            </w:r>
          </w:p>
        </w:tc>
      </w:tr>
      <w:tr>
        <w:trPr/>
        <w:tc>
          <w:tcPr>
            <w:tcW w:w="1636"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5.  </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6.</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7.</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322" w:type="dxa"/>
            <w:tcBorders/>
            <w:shd w:fill="auto" w:val="clear"/>
          </w:tcPr>
          <w:p>
            <w:pPr>
              <w:pStyle w:val="TableContents"/>
              <w:spacing w:before="0" w:after="283"/>
              <w:rPr/>
            </w:pPr>
            <w:r>
              <w:rPr/>
              <w:t>8.</w:t>
            </w:r>
          </w:p>
        </w:tc>
        <w:tc>
          <w:tcPr>
            <w:tcW w:w="129" w:type="dxa"/>
            <w:tcBorders>
              <w:left w:val="single" w:sz="2" w:space="0" w:color="000000"/>
            </w:tcBorders>
            <w:shd w:fill="auto" w:val="clear"/>
            <w:tcMar>
              <w:left w:w="28" w:type="dxa"/>
            </w:tcMar>
            <w:vAlign w:val="bottom"/>
          </w:tcPr>
          <w:p>
            <w:pPr>
              <w:pStyle w:val="TableContents"/>
              <w:spacing w:before="0" w:after="283"/>
              <w:rPr/>
            </w:pPr>
            <w:r>
              <w:rPr/>
              <w:t> </w:t>
            </w:r>
          </w:p>
        </w:tc>
        <w:tc>
          <w:tcPr>
            <w:tcW w:w="7838"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8152" w:type="dxa"/>
            <w:tcBorders/>
            <w:shd w:fill="auto" w:val="clear"/>
            <w:vAlign w:val="center"/>
          </w:tcPr>
          <w:p>
            <w:pPr>
              <w:pStyle w:val="TableContents"/>
              <w:spacing w:before="0" w:after="283"/>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55"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w:t>
            </w:r>
            <w:r>
              <w:rPr>
                <w:rFonts w:ascii="Times New Roman" w:hAnsi="Times New Roman"/>
                <w:sz w:val="20"/>
              </w:rPr>
              <w:t>4.73%*</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CO, FI</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72,064,267 ordinary shares outstanding at April 20, 2023 as reported in the Issuers quarterly report on Form 10-Q for the period ended March 31, 2023, filed with the SEC on April 26,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4 of 9 pages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G48833118</w:t>
      </w:r>
      <w:r>
        <w:rPr>
          <w:rFonts w:ascii="Times New Roman" w:hAnsi="Times New Roman"/>
          <w:sz w:val="20"/>
        </w:rPr>
        <w:t xml:space="preserve"> </w:t>
      </w:r>
    </w:p>
    <w:p>
      <w:pPr>
        <w:pStyle w:val="TextBody"/>
        <w:spacing w:before="0" w:after="0"/>
        <w:jc w:val="left"/>
        <w:rPr/>
      </w:pPr>
      <w:r>
        <w:rPr/>
        <w:t> </w:t>
      </w:r>
    </w:p>
    <w:tbl>
      <w:tblPr>
        <w:tblW w:w="4950" w:type="pct"/>
        <w:jc w:val="left"/>
        <w:tblInd w:w="0" w:type="dxa"/>
        <w:tblCellMar>
          <w:top w:w="0" w:type="dxa"/>
          <w:left w:w="0" w:type="dxa"/>
          <w:bottom w:w="0" w:type="dxa"/>
          <w:right w:w="0" w:type="dxa"/>
        </w:tblCellMar>
      </w:tblPr>
      <w:tblGrid>
        <w:gridCol w:w="498"/>
        <w:gridCol w:w="122"/>
        <w:gridCol w:w="788"/>
        <w:gridCol w:w="176"/>
        <w:gridCol w:w="169"/>
        <w:gridCol w:w="176"/>
        <w:gridCol w:w="8173"/>
      </w:tblGrid>
      <w:tr>
        <w:trPr/>
        <w:tc>
          <w:tcPr>
            <w:tcW w:w="49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8173" w:type="dxa"/>
            <w:tcBorders/>
            <w:shd w:fill="auto" w:val="clear"/>
            <w:vAlign w:val="center"/>
          </w:tcPr>
          <w:p>
            <w:pPr>
              <w:pStyle w:val="TableContents"/>
              <w:spacing w:before="0" w:after="283"/>
              <w:rPr>
                <w:sz w:val="4"/>
                <w:szCs w:val="4"/>
              </w:rPr>
            </w:pPr>
            <w:r>
              <w:rPr>
                <w:sz w:val="4"/>
                <w:szCs w:val="4"/>
              </w:rPr>
            </w:r>
          </w:p>
        </w:tc>
      </w:tr>
      <w:tr>
        <w:trPr/>
        <w:tc>
          <w:tcPr>
            <w:tcW w:w="498"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1.  </w:t>
            </w:r>
          </w:p>
        </w:tc>
        <w:tc>
          <w:tcPr>
            <w:tcW w:w="12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82"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Names of Reporting Persons.</w:t>
            </w:r>
          </w:p>
          <w:p>
            <w:pPr>
              <w:pStyle w:val="TableContents"/>
              <w:spacing w:before="0" w:after="0"/>
              <w:rPr/>
            </w:pPr>
            <w:r>
              <w:rPr/>
              <w:t> </w:t>
            </w:r>
          </w:p>
          <w:p>
            <w:pPr>
              <w:pStyle w:val="TableContents"/>
              <w:spacing w:before="0" w:after="20"/>
              <w:rPr/>
            </w:pPr>
            <w:r>
              <w:rPr/>
              <w:t>  </w:t>
            </w:r>
            <w:r>
              <w:rPr>
                <w:rFonts w:ascii="Times New Roman" w:hAnsi="Times New Roman"/>
                <w:sz w:val="20"/>
              </w:rPr>
              <w:t>Exor Capital LLP</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2.</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the Appropriate Box if a Member of a Group (See Instructions)</w:t>
            </w:r>
          </w:p>
          <w:p>
            <w:pPr>
              <w:pStyle w:val="TableContents"/>
              <w:spacing w:before="0" w:after="0"/>
              <w:rPr/>
            </w:pPr>
            <w:r>
              <w:rPr/>
              <w:t>  </w:t>
            </w:r>
            <w:r>
              <w:rPr>
                <w:rFonts w:ascii="Times New Roman" w:hAnsi="Times New Roman"/>
                <w:sz w:val="20"/>
              </w:rPr>
              <w:t>(a)  ☐        (b)  ☐</w:t>
            </w:r>
          </w:p>
          <w:p>
            <w:pPr>
              <w:pStyle w:val="TableContents"/>
              <w:spacing w:before="0" w:after="20"/>
              <w:rPr/>
            </w:pPr>
            <w:r>
              <w:rPr/>
              <w:t> </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3.</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SEC Use Only</w:t>
            </w:r>
          </w:p>
          <w:p>
            <w:pPr>
              <w:pStyle w:val="TableContents"/>
              <w:spacing w:before="0" w:after="20"/>
              <w:rPr/>
            </w:pPr>
            <w:r>
              <w:rPr/>
              <w:t> </w:t>
            </w:r>
          </w:p>
        </w:tc>
      </w:tr>
      <w:tr>
        <w:trPr/>
        <w:tc>
          <w:tcPr>
            <w:tcW w:w="498"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r>
              <w:rPr/>
              <w:t>4.</w:t>
            </w:r>
          </w:p>
        </w:tc>
        <w:tc>
          <w:tcPr>
            <w:tcW w:w="122"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82"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Citizenship or Place of Organization</w:t>
            </w:r>
          </w:p>
          <w:p>
            <w:pPr>
              <w:pStyle w:val="TableContents"/>
              <w:spacing w:before="0" w:after="0"/>
              <w:rPr/>
            </w:pPr>
            <w:r>
              <w:rPr/>
              <w:t> </w:t>
            </w:r>
          </w:p>
          <w:p>
            <w:pPr>
              <w:pStyle w:val="TableContents"/>
              <w:spacing w:before="0" w:after="20"/>
              <w:rPr/>
            </w:pPr>
            <w:r>
              <w:rPr/>
              <w:t>  </w:t>
            </w:r>
            <w:r>
              <w:rPr>
                <w:rFonts w:ascii="Times New Roman" w:hAnsi="Times New Roman"/>
                <w:sz w:val="20"/>
              </w:rPr>
              <w:t>United Kingdom</w:t>
            </w:r>
          </w:p>
        </w:tc>
      </w:tr>
    </w:tbl>
    <w:tbl>
      <w:tblPr>
        <w:tblW w:w="4950" w:type="pct"/>
        <w:jc w:val="left"/>
        <w:tblInd w:w="0" w:type="dxa"/>
        <w:tblCellMar>
          <w:top w:w="0" w:type="dxa"/>
          <w:left w:w="0" w:type="dxa"/>
          <w:bottom w:w="0" w:type="dxa"/>
          <w:right w:w="0" w:type="dxa"/>
        </w:tblCellMar>
      </w:tblPr>
      <w:tblGrid>
        <w:gridCol w:w="463"/>
        <w:gridCol w:w="383"/>
        <w:gridCol w:w="790"/>
        <w:gridCol w:w="177"/>
        <w:gridCol w:w="322"/>
        <w:gridCol w:w="129"/>
        <w:gridCol w:w="7838"/>
      </w:tblGrid>
      <w:tr>
        <w:trPr/>
        <w:tc>
          <w:tcPr>
            <w:tcW w:w="46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7838" w:type="dxa"/>
            <w:tcBorders/>
            <w:shd w:fill="auto" w:val="clear"/>
            <w:vAlign w:val="center"/>
          </w:tcPr>
          <w:p>
            <w:pPr>
              <w:pStyle w:val="TableContents"/>
              <w:spacing w:before="0" w:after="283"/>
              <w:rPr>
                <w:sz w:val="4"/>
                <w:szCs w:val="4"/>
              </w:rPr>
            </w:pPr>
            <w:r>
              <w:rPr>
                <w:sz w:val="4"/>
                <w:szCs w:val="4"/>
              </w:rPr>
            </w:r>
          </w:p>
        </w:tc>
      </w:tr>
      <w:tr>
        <w:trPr/>
        <w:tc>
          <w:tcPr>
            <w:tcW w:w="1636" w:type="dxa"/>
            <w:gridSpan w:val="3"/>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Number of</w:t>
            </w:r>
          </w:p>
          <w:p>
            <w:pPr>
              <w:pStyle w:val="TableContents"/>
              <w:spacing w:before="0" w:after="0"/>
              <w:jc w:val="center"/>
              <w:rPr>
                <w:rFonts w:ascii="Times New Roman" w:hAnsi="Times New Roman"/>
                <w:sz w:val="20"/>
              </w:rPr>
            </w:pPr>
            <w:r>
              <w:rPr>
                <w:rFonts w:ascii="Times New Roman" w:hAnsi="Times New Roman"/>
                <w:sz w:val="20"/>
              </w:rPr>
              <w:t>Shares</w:t>
            </w:r>
          </w:p>
          <w:p>
            <w:pPr>
              <w:pStyle w:val="TableContents"/>
              <w:spacing w:before="0" w:after="0"/>
              <w:jc w:val="center"/>
              <w:rPr/>
            </w:pPr>
            <w:r>
              <w:rPr/>
              <w:t> </w:t>
            </w:r>
            <w:r>
              <w:rPr>
                <w:rFonts w:ascii="Times New Roman" w:hAnsi="Times New Roman"/>
                <w:sz w:val="20"/>
              </w:rPr>
              <w:t>Beneficially </w:t>
            </w:r>
          </w:p>
          <w:p>
            <w:pPr>
              <w:pStyle w:val="TableContents"/>
              <w:spacing w:before="0" w:after="0"/>
              <w:jc w:val="center"/>
              <w:rPr>
                <w:rFonts w:ascii="Times New Roman" w:hAnsi="Times New Roman"/>
                <w:sz w:val="20"/>
              </w:rPr>
            </w:pPr>
            <w:r>
              <w:rPr>
                <w:rFonts w:ascii="Times New Roman" w:hAnsi="Times New Roman"/>
                <w:sz w:val="20"/>
              </w:rPr>
              <w:t>Owned by</w:t>
            </w:r>
          </w:p>
          <w:p>
            <w:pPr>
              <w:pStyle w:val="TableContents"/>
              <w:spacing w:before="0" w:after="0"/>
              <w:jc w:val="center"/>
              <w:rPr>
                <w:rFonts w:ascii="Times New Roman" w:hAnsi="Times New Roman"/>
                <w:sz w:val="20"/>
              </w:rPr>
            </w:pPr>
            <w:r>
              <w:rPr>
                <w:rFonts w:ascii="Times New Roman" w:hAnsi="Times New Roman"/>
                <w:sz w:val="20"/>
              </w:rPr>
              <w:t>Each</w:t>
            </w:r>
          </w:p>
          <w:p>
            <w:pPr>
              <w:pStyle w:val="TableContents"/>
              <w:spacing w:before="0" w:after="0"/>
              <w:jc w:val="center"/>
              <w:rPr>
                <w:rFonts w:ascii="Times New Roman" w:hAnsi="Times New Roman"/>
                <w:sz w:val="20"/>
              </w:rPr>
            </w:pPr>
            <w:r>
              <w:rPr>
                <w:rFonts w:ascii="Times New Roman" w:hAnsi="Times New Roman"/>
                <w:sz w:val="20"/>
              </w:rPr>
              <w:t>Reporting</w:t>
            </w:r>
          </w:p>
          <w:p>
            <w:pPr>
              <w:pStyle w:val="TableContents"/>
              <w:spacing w:before="0" w:after="0"/>
              <w:jc w:val="center"/>
              <w:rPr>
                <w:rFonts w:ascii="Times New Roman" w:hAnsi="Times New Roman"/>
                <w:sz w:val="20"/>
              </w:rPr>
            </w:pPr>
            <w:r>
              <w:rPr>
                <w:rFonts w:ascii="Times New Roman" w:hAnsi="Times New Roman"/>
                <w:sz w:val="20"/>
              </w:rPr>
              <w:t>Person</w:t>
            </w:r>
          </w:p>
          <w:p>
            <w:pPr>
              <w:pStyle w:val="TableContents"/>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5.  </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Voting Power:</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6.</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Shared Voting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322" w:type="dxa"/>
            <w:tcBorders>
              <w:bottom w:val="single" w:sz="2" w:space="0" w:color="000000"/>
            </w:tcBorders>
            <w:shd w:fill="auto" w:val="clear"/>
            <w:tcMar>
              <w:bottom w:w="28" w:type="dxa"/>
            </w:tcMar>
          </w:tcPr>
          <w:p>
            <w:pPr>
              <w:pStyle w:val="TableContents"/>
              <w:spacing w:before="0" w:after="283"/>
              <w:rPr/>
            </w:pPr>
            <w:r>
              <w:rPr/>
              <w:t>7.</w:t>
            </w:r>
          </w:p>
        </w:tc>
        <w:tc>
          <w:tcPr>
            <w:tcW w:w="12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838" w:type="dxa"/>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Sole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1636" w:type="dxa"/>
            <w:gridSpan w:val="3"/>
            <w:vMerge w:val="continue"/>
            <w:tcBorders>
              <w:left w:val="single" w:sz="2" w:space="0" w:color="000000"/>
            </w:tcBorders>
            <w:shd w:fill="auto" w:val="clear"/>
            <w:tcMar>
              <w:left w:w="160" w:type="dxa"/>
            </w:tcMar>
            <w:vAlign w:val="center"/>
          </w:tcPr>
          <w:p>
            <w:pPr>
              <w:pStyle w:val="Normal"/>
              <w:rPr/>
            </w:pPr>
            <w:r>
              <w:rPr/>
            </w:r>
          </w:p>
        </w:tc>
        <w:tc>
          <w:tcPr>
            <w:tcW w:w="177" w:type="dxa"/>
            <w:tcBorders>
              <w:left w:val="single" w:sz="2" w:space="0" w:color="000000"/>
            </w:tcBorders>
            <w:shd w:fill="auto" w:val="clear"/>
            <w:tcMar>
              <w:left w:w="28" w:type="dxa"/>
            </w:tcMar>
            <w:vAlign w:val="bottom"/>
          </w:tcPr>
          <w:p>
            <w:pPr>
              <w:pStyle w:val="TableContents"/>
              <w:spacing w:before="0" w:after="283"/>
              <w:rPr/>
            </w:pPr>
            <w:r>
              <w:rPr/>
              <w:t>  </w:t>
            </w:r>
          </w:p>
        </w:tc>
        <w:tc>
          <w:tcPr>
            <w:tcW w:w="322" w:type="dxa"/>
            <w:tcBorders/>
            <w:shd w:fill="auto" w:val="clear"/>
          </w:tcPr>
          <w:p>
            <w:pPr>
              <w:pStyle w:val="TableContents"/>
              <w:spacing w:before="0" w:after="283"/>
              <w:rPr/>
            </w:pPr>
            <w:r>
              <w:rPr/>
              <w:t>8.</w:t>
            </w:r>
          </w:p>
        </w:tc>
        <w:tc>
          <w:tcPr>
            <w:tcW w:w="129" w:type="dxa"/>
            <w:tcBorders>
              <w:left w:val="single" w:sz="2" w:space="0" w:color="000000"/>
            </w:tcBorders>
            <w:shd w:fill="auto" w:val="clear"/>
            <w:tcMar>
              <w:left w:w="28" w:type="dxa"/>
            </w:tcMar>
            <w:vAlign w:val="bottom"/>
          </w:tcPr>
          <w:p>
            <w:pPr>
              <w:pStyle w:val="TableContents"/>
              <w:spacing w:before="0" w:after="283"/>
              <w:rPr/>
            </w:pPr>
            <w:r>
              <w:rPr/>
              <w:t> </w:t>
            </w:r>
          </w:p>
        </w:tc>
        <w:tc>
          <w:tcPr>
            <w:tcW w:w="7838" w:type="dxa"/>
            <w:tcBorders>
              <w:right w:val="single" w:sz="2" w:space="0" w:color="000000"/>
            </w:tcBorders>
            <w:shd w:fill="auto" w:val="clear"/>
            <w:tcMar>
              <w:right w:w="40" w:type="dxa"/>
            </w:tcMar>
          </w:tcPr>
          <w:p>
            <w:pPr>
              <w:pStyle w:val="TableContents"/>
              <w:spacing w:before="0" w:after="0"/>
              <w:rPr/>
            </w:pPr>
            <w:r>
              <w:rPr/>
              <w:t>  </w:t>
            </w:r>
            <w:r>
              <w:rPr>
                <w:rFonts w:ascii="Times New Roman" w:hAnsi="Times New Roman"/>
                <w:sz w:val="20"/>
              </w:rPr>
              <w:t>Shared Dispositive Power:</w:t>
            </w:r>
          </w:p>
          <w:p>
            <w:pPr>
              <w:pStyle w:val="TableContents"/>
              <w:spacing w:before="0" w:after="0"/>
              <w:rPr/>
            </w:pPr>
            <w:r>
              <w:rPr/>
              <w:t> </w:t>
            </w:r>
          </w:p>
          <w:p>
            <w:pPr>
              <w:pStyle w:val="TableContents"/>
              <w:spacing w:before="0" w:after="20"/>
              <w:rPr/>
            </w:pPr>
            <w:r>
              <w:rPr/>
              <w:t>  </w:t>
            </w:r>
            <w:r>
              <w:rPr>
                <w:rFonts w:ascii="Times New Roman" w:hAnsi="Times New Roman"/>
                <w:sz w:val="20"/>
              </w:rPr>
              <w:t>0</w:t>
            </w:r>
          </w:p>
        </w:tc>
      </w:tr>
    </w:tbl>
    <w:tbl>
      <w:tblPr>
        <w:tblW w:w="4950" w:type="pct"/>
        <w:jc w:val="left"/>
        <w:tblInd w:w="0" w:type="dxa"/>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8152" w:type="dxa"/>
            <w:tcBorders/>
            <w:shd w:fill="auto" w:val="clear"/>
            <w:vAlign w:val="center"/>
          </w:tcPr>
          <w:p>
            <w:pPr>
              <w:pStyle w:val="TableContents"/>
              <w:spacing w:before="0" w:after="283"/>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283"/>
              <w:rPr/>
            </w:pPr>
            <w:r>
              <w:rPr/>
              <w:t>  </w:t>
            </w:r>
            <w:r>
              <w:rPr/>
              <w:t>9.  </w:t>
            </w:r>
          </w:p>
        </w:tc>
        <w:tc>
          <w:tcPr>
            <w:tcW w:w="127"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9455" w:type="dxa"/>
            <w:gridSpan w:val="5"/>
            <w:tcBorders>
              <w:top w:val="single" w:sz="2" w:space="0" w:color="000000"/>
              <w:bottom w:val="single" w:sz="2" w:space="0" w:color="000000"/>
              <w:right w:val="single" w:sz="2" w:space="0" w:color="000000"/>
            </w:tcBorders>
            <w:shd w:fill="auto" w:val="clear"/>
            <w:tcMar>
              <w:top w:w="28" w:type="dxa"/>
              <w:bottom w:w="28" w:type="dxa"/>
              <w:right w:w="40" w:type="dxa"/>
            </w:tcMar>
          </w:tcPr>
          <w:p>
            <w:pPr>
              <w:pStyle w:val="TableContents"/>
              <w:spacing w:before="0" w:after="0"/>
              <w:rPr/>
            </w:pPr>
            <w:r>
              <w:rPr/>
              <w:t>  </w:t>
            </w:r>
            <w:r>
              <w:rPr>
                <w:rFonts w:ascii="Times New Roman" w:hAnsi="Times New Roman"/>
                <w:sz w:val="20"/>
              </w:rPr>
              <w:t>Aggregate Amount Beneficially Owned by Each Reporting Person</w:t>
            </w:r>
          </w:p>
          <w:p>
            <w:pPr>
              <w:pStyle w:val="TableContents"/>
              <w:spacing w:before="0" w:after="0"/>
              <w:rPr/>
            </w:pPr>
            <w:r>
              <w:rPr/>
              <w:t> </w:t>
            </w:r>
          </w:p>
          <w:p>
            <w:pPr>
              <w:pStyle w:val="TableContents"/>
              <w:spacing w:before="0" w:after="20"/>
              <w:rPr/>
            </w:pPr>
            <w:r>
              <w:rPr/>
              <w:t>  </w:t>
            </w:r>
            <w:r>
              <w:rPr>
                <w:rFonts w:ascii="Times New Roman" w:hAnsi="Times New Roman"/>
                <w:sz w:val="20"/>
              </w:rPr>
              <w:t>3,409,104</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10.</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Check if the Aggregate Amount in Row (9) Excludes Certain Shares (See Instructions)</w:t>
            </w:r>
          </w:p>
          <w:p>
            <w:pPr>
              <w:pStyle w:val="TableContents"/>
              <w:spacing w:before="0" w:after="0"/>
              <w:rPr/>
            </w:pPr>
            <w:r>
              <w:rPr/>
              <w:t> </w:t>
            </w:r>
          </w:p>
          <w:p>
            <w:pPr>
              <w:pStyle w:val="TableContents"/>
              <w:spacing w:before="0" w:after="20"/>
              <w:rPr/>
            </w:pPr>
            <w:r>
              <w:rPr/>
              <w:t>  ☐</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11.</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Percent of Class Represented by Amount in Row (9)</w:t>
            </w:r>
          </w:p>
          <w:p>
            <w:pPr>
              <w:pStyle w:val="TableContents"/>
              <w:spacing w:before="0" w:after="0"/>
              <w:rPr/>
            </w:pPr>
            <w:r>
              <w:rPr/>
              <w:t> </w:t>
            </w:r>
          </w:p>
          <w:p>
            <w:pPr>
              <w:pStyle w:val="TableContents"/>
              <w:spacing w:before="0" w:after="20"/>
              <w:rPr/>
            </w:pPr>
            <w:r>
              <w:rPr/>
              <w:t>  </w:t>
            </w:r>
            <w:r>
              <w:rPr>
                <w:rFonts w:ascii="Times New Roman" w:hAnsi="Times New Roman"/>
                <w:sz w:val="20"/>
              </w:rPr>
              <w:t>4.73%*</w:t>
            </w:r>
          </w:p>
        </w:tc>
      </w:tr>
      <w:tr>
        <w:trPr/>
        <w:tc>
          <w:tcPr>
            <w:tcW w:w="520"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12.</w:t>
            </w:r>
          </w:p>
        </w:tc>
        <w:tc>
          <w:tcPr>
            <w:tcW w:w="127"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455" w:type="dxa"/>
            <w:gridSpan w:val="5"/>
            <w:tcBorders>
              <w:bottom w:val="single" w:sz="2" w:space="0" w:color="000000"/>
              <w:right w:val="single" w:sz="2" w:space="0" w:color="000000"/>
            </w:tcBorders>
            <w:shd w:fill="auto" w:val="clear"/>
            <w:tcMar>
              <w:bottom w:w="28" w:type="dxa"/>
              <w:right w:w="40" w:type="dxa"/>
            </w:tcMar>
          </w:tcPr>
          <w:p>
            <w:pPr>
              <w:pStyle w:val="TableContents"/>
              <w:spacing w:before="0" w:after="0"/>
              <w:rPr/>
            </w:pPr>
            <w:r>
              <w:rPr/>
              <w:t>  </w:t>
            </w:r>
            <w:r>
              <w:rPr>
                <w:rFonts w:ascii="Times New Roman" w:hAnsi="Times New Roman"/>
                <w:sz w:val="20"/>
              </w:rPr>
              <w:t>Type of Reporting Person (See Instructions)</w:t>
            </w:r>
          </w:p>
          <w:p>
            <w:pPr>
              <w:pStyle w:val="TableContents"/>
              <w:spacing w:before="0" w:after="0"/>
              <w:rPr/>
            </w:pPr>
            <w:r>
              <w:rPr/>
              <w:t> </w:t>
            </w:r>
          </w:p>
          <w:p>
            <w:pPr>
              <w:pStyle w:val="TableContents"/>
              <w:spacing w:before="0" w:after="20"/>
              <w:rPr/>
            </w:pPr>
            <w:r>
              <w:rPr/>
              <w:t>  </w:t>
            </w:r>
            <w:r>
              <w:rPr>
                <w:rFonts w:ascii="Times New Roman" w:hAnsi="Times New Roman"/>
                <w:sz w:val="20"/>
              </w:rPr>
              <w:t>PN, FI</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72,064,267 ordinary shares outstanding at April 20, 2023 as reported in the Issuers quarterly report on Form 10-Q for the period ended March 31, 2023, filed with the SEC on April 26,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5 of 9 pages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1.</w:t>
            </w:r>
          </w:p>
        </w:tc>
        <w:tc>
          <w:tcPr>
            <w:tcW w:w="9185"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spacing w:before="120" w:after="0"/>
        <w:jc w:val="left"/>
        <w:rPr>
          <w:rFonts w:ascii="Times New Roman" w:hAnsi="Times New Roman"/>
          <w:sz w:val="20"/>
        </w:rPr>
      </w:pPr>
      <w:r>
        <w:rPr>
          <w:rFonts w:ascii="Times New Roman" w:hAnsi="Times New Roman"/>
          <w:sz w:val="20"/>
        </w:rPr>
        <w:t xml:space="preserve">Weatherford International PLC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Address of Issuers Principal Executive Offices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2000 St. James Place </w:t>
      </w:r>
    </w:p>
    <w:p>
      <w:pPr>
        <w:pStyle w:val="TextBody"/>
        <w:spacing w:before="0" w:after="0"/>
        <w:jc w:val="left"/>
        <w:rPr>
          <w:rFonts w:ascii="Times New Roman" w:hAnsi="Times New Roman"/>
          <w:sz w:val="20"/>
        </w:rPr>
      </w:pPr>
      <w:r>
        <w:rPr>
          <w:rFonts w:ascii="Times New Roman" w:hAnsi="Times New Roman"/>
          <w:sz w:val="20"/>
        </w:rPr>
        <w:t xml:space="preserve">Houston, Texas 77056 </w:t>
      </w:r>
    </w:p>
    <w:p>
      <w:pPr>
        <w:pStyle w:val="TextBody"/>
        <w:spacing w:before="0" w:after="0"/>
        <w:jc w:val="left"/>
        <w:rPr>
          <w:rFonts w:ascii="Times New Roman" w:hAnsi="Times New Roman"/>
          <w:sz w:val="20"/>
        </w:rPr>
      </w:pPr>
      <w:r>
        <w:rPr>
          <w:rFonts w:ascii="Times New Roman" w:hAnsi="Times New Roman"/>
          <w:sz w:val="20"/>
        </w:rPr>
        <w:t xml:space="preserve">United States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2.</w:t>
            </w:r>
          </w:p>
        </w:tc>
        <w:tc>
          <w:tcPr>
            <w:tcW w:w="9185"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Name of Person Filing</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Giovanni Agnelli B.V. </w:t>
      </w:r>
    </w:p>
    <w:p>
      <w:pPr>
        <w:pStyle w:val="TextBody"/>
        <w:spacing w:before="0" w:after="0"/>
        <w:jc w:val="left"/>
        <w:rPr>
          <w:rFonts w:ascii="Times New Roman" w:hAnsi="Times New Roman"/>
          <w:sz w:val="20"/>
        </w:rPr>
      </w:pPr>
      <w:r>
        <w:rPr>
          <w:rFonts w:ascii="Times New Roman" w:hAnsi="Times New Roman"/>
          <w:sz w:val="20"/>
        </w:rPr>
        <w:t xml:space="preserve">Exor N.V. </w:t>
      </w:r>
    </w:p>
    <w:p>
      <w:pPr>
        <w:pStyle w:val="TextBody"/>
        <w:spacing w:before="0" w:after="0"/>
        <w:jc w:val="left"/>
        <w:rPr>
          <w:rFonts w:ascii="Times New Roman" w:hAnsi="Times New Roman"/>
          <w:sz w:val="20"/>
        </w:rPr>
      </w:pPr>
      <w:r>
        <w:rPr>
          <w:rFonts w:ascii="Times New Roman" w:hAnsi="Times New Roman"/>
          <w:sz w:val="20"/>
        </w:rPr>
        <w:t xml:space="preserve">Exor Investments Limited </w:t>
      </w:r>
    </w:p>
    <w:p>
      <w:pPr>
        <w:pStyle w:val="TextBody"/>
        <w:spacing w:before="0" w:after="0"/>
        <w:jc w:val="left"/>
        <w:rPr>
          <w:rFonts w:ascii="Times New Roman" w:hAnsi="Times New Roman"/>
          <w:sz w:val="20"/>
        </w:rPr>
      </w:pPr>
      <w:r>
        <w:rPr>
          <w:rFonts w:ascii="Times New Roman" w:hAnsi="Times New Roman"/>
          <w:sz w:val="20"/>
        </w:rPr>
        <w:t xml:space="preserve">Exor Capital LLP </w:t>
      </w:r>
    </w:p>
    <w:p>
      <w:pPr>
        <w:pStyle w:val="TextBody"/>
        <w:spacing w:before="240" w:after="0"/>
        <w:jc w:val="left"/>
        <w:rPr>
          <w:rFonts w:ascii="Times New Roman" w:hAnsi="Times New Roman"/>
          <w:sz w:val="20"/>
        </w:rPr>
      </w:pPr>
      <w:r>
        <w:rPr>
          <w:rFonts w:ascii="Times New Roman" w:hAnsi="Times New Roman"/>
          <w:sz w:val="20"/>
        </w:rPr>
        <w:t xml:space="preserve">Exor Capital LLP, which acquired the securities being reported on, is 99.7% owned by Exor Investments Limited. Exor Investments Limited is a wholly owned subsidiary of Exor N.V., which in turn is controlled by Giovanni Agnelli B.V.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Address of Principal Business Office or, if none, Residence</w:t>
            </w:r>
            <w:r>
              <w:rPr>
                <w:rFonts w:ascii="Times New Roman" w:hAnsi="Times New Roman"/>
                <w:sz w:val="20"/>
              </w:rPr>
              <w:t xml:space="preserve"> </w:t>
            </w:r>
          </w:p>
        </w:tc>
      </w:tr>
    </w:tbl>
    <w:p>
      <w:pPr>
        <w:pStyle w:val="TextBody"/>
        <w:spacing w:before="120" w:after="0"/>
        <w:jc w:val="left"/>
        <w:rPr>
          <w:rFonts w:ascii="Times New Roman" w:hAnsi="Times New Roman"/>
          <w:b/>
          <w:sz w:val="20"/>
        </w:rPr>
      </w:pPr>
      <w:r>
        <w:rPr>
          <w:rFonts w:ascii="Times New Roman" w:hAnsi="Times New Roman"/>
          <w:b/>
          <w:sz w:val="20"/>
        </w:rPr>
        <w:t xml:space="preserve">Giovanni Agnelli B.V. </w:t>
      </w:r>
    </w:p>
    <w:p>
      <w:pPr>
        <w:pStyle w:val="TextBody"/>
        <w:spacing w:before="120" w:after="0"/>
        <w:jc w:val="left"/>
        <w:rPr>
          <w:rFonts w:ascii="Times New Roman" w:hAnsi="Times New Roman"/>
          <w:sz w:val="20"/>
        </w:rPr>
      </w:pPr>
      <w:r>
        <w:rPr>
          <w:rFonts w:ascii="Times New Roman" w:hAnsi="Times New Roman"/>
          <w:sz w:val="20"/>
        </w:rPr>
        <w:t xml:space="preserve">Gustav Mahlerplein 25 </w:t>
      </w:r>
    </w:p>
    <w:p>
      <w:pPr>
        <w:pStyle w:val="TextBody"/>
        <w:spacing w:before="0" w:after="0"/>
        <w:jc w:val="left"/>
        <w:rPr>
          <w:rFonts w:ascii="Times New Roman" w:hAnsi="Times New Roman"/>
          <w:sz w:val="20"/>
        </w:rPr>
      </w:pPr>
      <w:r>
        <w:rPr>
          <w:rFonts w:ascii="Times New Roman" w:hAnsi="Times New Roman"/>
          <w:sz w:val="20"/>
        </w:rPr>
        <w:t xml:space="preserve">Amsterdam, 1082 MS </w:t>
      </w:r>
    </w:p>
    <w:p>
      <w:pPr>
        <w:pStyle w:val="TextBody"/>
        <w:spacing w:before="0" w:after="0"/>
        <w:jc w:val="left"/>
        <w:rPr>
          <w:rFonts w:ascii="Times New Roman" w:hAnsi="Times New Roman"/>
          <w:sz w:val="20"/>
        </w:rPr>
      </w:pPr>
      <w:r>
        <w:rPr>
          <w:rFonts w:ascii="Times New Roman" w:hAnsi="Times New Roman"/>
          <w:sz w:val="20"/>
        </w:rPr>
        <w:t xml:space="preserve">The Netherlands </w:t>
      </w:r>
    </w:p>
    <w:p>
      <w:pPr>
        <w:pStyle w:val="TextBody"/>
        <w:spacing w:before="240" w:after="0"/>
        <w:jc w:val="left"/>
        <w:rPr>
          <w:rFonts w:ascii="Times New Roman" w:hAnsi="Times New Roman"/>
          <w:sz w:val="20"/>
        </w:rPr>
      </w:pPr>
      <w:r>
        <w:rPr>
          <w:rFonts w:ascii="Times New Roman" w:hAnsi="Times New Roman"/>
          <w:b/>
          <w:sz w:val="20"/>
        </w:rPr>
        <w:t>Exor N.V.</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Gustav Mahlerplein 25 </w:t>
      </w:r>
    </w:p>
    <w:p>
      <w:pPr>
        <w:pStyle w:val="TextBody"/>
        <w:spacing w:before="0" w:after="0"/>
        <w:jc w:val="left"/>
        <w:rPr>
          <w:rFonts w:ascii="Times New Roman" w:hAnsi="Times New Roman"/>
          <w:sz w:val="20"/>
        </w:rPr>
      </w:pPr>
      <w:r>
        <w:rPr>
          <w:rFonts w:ascii="Times New Roman" w:hAnsi="Times New Roman"/>
          <w:sz w:val="20"/>
        </w:rPr>
        <w:t xml:space="preserve">Amsterdam, 1082 MS </w:t>
      </w:r>
    </w:p>
    <w:p>
      <w:pPr>
        <w:pStyle w:val="TextBody"/>
        <w:spacing w:before="0" w:after="0"/>
        <w:jc w:val="left"/>
        <w:rPr>
          <w:rFonts w:ascii="Times New Roman" w:hAnsi="Times New Roman"/>
          <w:sz w:val="20"/>
        </w:rPr>
      </w:pPr>
      <w:r>
        <w:rPr>
          <w:rFonts w:ascii="Times New Roman" w:hAnsi="Times New Roman"/>
          <w:sz w:val="20"/>
        </w:rPr>
        <w:t xml:space="preserve">The Netherlands </w:t>
      </w:r>
    </w:p>
    <w:p>
      <w:pPr>
        <w:pStyle w:val="TextBody"/>
        <w:spacing w:before="240" w:after="0"/>
        <w:jc w:val="left"/>
        <w:rPr>
          <w:rFonts w:ascii="Times New Roman" w:hAnsi="Times New Roman"/>
          <w:sz w:val="20"/>
        </w:rPr>
      </w:pPr>
      <w:r>
        <w:rPr>
          <w:rFonts w:ascii="Times New Roman" w:hAnsi="Times New Roman"/>
          <w:b/>
          <w:sz w:val="20"/>
        </w:rPr>
        <w:t>Exor Investments Limited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28 Headfort Place </w:t>
      </w:r>
    </w:p>
    <w:p>
      <w:pPr>
        <w:pStyle w:val="TextBody"/>
        <w:spacing w:before="0" w:after="0"/>
        <w:jc w:val="left"/>
        <w:rPr>
          <w:rFonts w:ascii="Times New Roman" w:hAnsi="Times New Roman"/>
          <w:sz w:val="20"/>
        </w:rPr>
      </w:pPr>
      <w:r>
        <w:rPr>
          <w:rFonts w:ascii="Times New Roman" w:hAnsi="Times New Roman"/>
          <w:sz w:val="20"/>
        </w:rPr>
        <w:t xml:space="preserve">London, SW1X 7DH </w:t>
      </w:r>
    </w:p>
    <w:p>
      <w:pPr>
        <w:pStyle w:val="TextBody"/>
        <w:spacing w:before="0" w:after="0"/>
        <w:jc w:val="left"/>
        <w:rPr>
          <w:rFonts w:ascii="Times New Roman" w:hAnsi="Times New Roman"/>
          <w:sz w:val="20"/>
        </w:rPr>
      </w:pPr>
      <w:r>
        <w:rPr>
          <w:rFonts w:ascii="Times New Roman" w:hAnsi="Times New Roman"/>
          <w:sz w:val="20"/>
        </w:rPr>
        <w:t xml:space="preserve">United Kingdom </w:t>
      </w:r>
    </w:p>
    <w:p>
      <w:pPr>
        <w:pStyle w:val="TextBody"/>
        <w:spacing w:before="240" w:after="0"/>
        <w:jc w:val="left"/>
        <w:rPr>
          <w:rFonts w:ascii="Times New Roman" w:hAnsi="Times New Roman"/>
          <w:sz w:val="20"/>
        </w:rPr>
      </w:pPr>
      <w:r>
        <w:rPr>
          <w:rFonts w:ascii="Times New Roman" w:hAnsi="Times New Roman"/>
          <w:b/>
          <w:sz w:val="20"/>
        </w:rPr>
        <w:t>Exor Capital LLP</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28 Headfort Place </w:t>
      </w:r>
    </w:p>
    <w:p>
      <w:pPr>
        <w:pStyle w:val="TextBody"/>
        <w:spacing w:before="0" w:after="0"/>
        <w:jc w:val="left"/>
        <w:rPr>
          <w:rFonts w:ascii="Times New Roman" w:hAnsi="Times New Roman"/>
          <w:sz w:val="20"/>
        </w:rPr>
      </w:pPr>
      <w:r>
        <w:rPr>
          <w:rFonts w:ascii="Times New Roman" w:hAnsi="Times New Roman"/>
          <w:sz w:val="20"/>
        </w:rPr>
        <w:t xml:space="preserve">London, SW1X 7DH </w:t>
      </w:r>
    </w:p>
    <w:p>
      <w:pPr>
        <w:pStyle w:val="TextBody"/>
        <w:spacing w:before="0" w:after="0"/>
        <w:jc w:val="left"/>
        <w:rPr>
          <w:rFonts w:ascii="Times New Roman" w:hAnsi="Times New Roman"/>
          <w:sz w:val="20"/>
        </w:rPr>
      </w:pPr>
      <w:r>
        <w:rPr>
          <w:rFonts w:ascii="Times New Roman" w:hAnsi="Times New Roman"/>
          <w:sz w:val="20"/>
        </w:rPr>
        <w:t xml:space="preserve">United Kingdom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Citizenship</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Giovanni Agnelli B.V.  the Netherlands </w:t>
      </w:r>
    </w:p>
    <w:p>
      <w:pPr>
        <w:pStyle w:val="TextBody"/>
        <w:spacing w:before="0" w:after="0"/>
        <w:jc w:val="left"/>
        <w:rPr>
          <w:rFonts w:ascii="Times New Roman" w:hAnsi="Times New Roman"/>
          <w:sz w:val="20"/>
        </w:rPr>
      </w:pPr>
      <w:r>
        <w:rPr>
          <w:rFonts w:ascii="Times New Roman" w:hAnsi="Times New Roman"/>
          <w:sz w:val="20"/>
        </w:rPr>
        <w:t xml:space="preserve">Exor N.V.  the Netherlands </w:t>
      </w:r>
    </w:p>
    <w:p>
      <w:pPr>
        <w:pStyle w:val="TextBody"/>
        <w:spacing w:before="0" w:after="0"/>
        <w:jc w:val="left"/>
        <w:rPr>
          <w:rFonts w:ascii="Times New Roman" w:hAnsi="Times New Roman"/>
          <w:sz w:val="20"/>
        </w:rPr>
      </w:pPr>
      <w:r>
        <w:rPr>
          <w:rFonts w:ascii="Times New Roman" w:hAnsi="Times New Roman"/>
          <w:sz w:val="20"/>
        </w:rPr>
        <w:t xml:space="preserve">Exor Investments Limited  United Kingdom </w:t>
      </w:r>
    </w:p>
    <w:p>
      <w:pPr>
        <w:pStyle w:val="TextBody"/>
        <w:spacing w:before="0" w:after="0"/>
        <w:jc w:val="left"/>
        <w:rPr>
          <w:rFonts w:ascii="Times New Roman" w:hAnsi="Times New Roman"/>
          <w:sz w:val="20"/>
        </w:rPr>
      </w:pPr>
      <w:r>
        <w:rPr>
          <w:rFonts w:ascii="Times New Roman" w:hAnsi="Times New Roman"/>
          <w:sz w:val="20"/>
        </w:rPr>
        <w:t xml:space="preserve">Exor Capital LLP  United Kingdom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6 of 9 pages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Title of Class</w:t>
            </w:r>
            <w:r>
              <w:rPr>
                <w:rFonts w:ascii="Times New Roman" w:hAnsi="Times New Roman"/>
                <w:sz w:val="20"/>
              </w:rPr>
              <w:t> </w:t>
            </w:r>
            <w:r>
              <w:rPr>
                <w:rFonts w:ascii="Times New Roman" w:hAnsi="Times New Roman"/>
                <w:b/>
                <w:sz w:val="20"/>
              </w:rPr>
              <w:t>of Securities</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Ordinary Shares, par value $0.001 per share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CUSIP Number</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G48833118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3.</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If this statement is filed pursuant to §§240.13d-1(b) or 240.13d-2(b) or (c), check whether the person filing is a: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4.</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Amount beneficially owned:</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9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Percent of class: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11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Number of shares as to which the person has: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w:t>
            </w:r>
          </w:p>
        </w:tc>
        <w:tc>
          <w:tcPr>
            <w:tcW w:w="887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Sole power to vote or to direct the vote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5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7"/>
        <w:gridCol w:w="8881"/>
      </w:tblGrid>
      <w:tr>
        <w:trPr/>
        <w:tc>
          <w:tcPr>
            <w:tcW w:w="91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(ii)</w:t>
            </w:r>
          </w:p>
        </w:tc>
        <w:tc>
          <w:tcPr>
            <w:tcW w:w="8881"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Shared power to vote or to direct the vote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6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(iii)</w:t>
            </w:r>
          </w:p>
        </w:tc>
        <w:tc>
          <w:tcPr>
            <w:tcW w:w="887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Sole power to dispose or to direct the disposition of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7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8"/>
        <w:gridCol w:w="8879"/>
      </w:tblGrid>
      <w:tr>
        <w:trPr/>
        <w:tc>
          <w:tcPr>
            <w:tcW w:w="91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(iv)</w:t>
            </w:r>
          </w:p>
        </w:tc>
        <w:tc>
          <w:tcPr>
            <w:tcW w:w="8879"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Shared power to dispose or to direct the disposition of </w:t>
            </w:r>
          </w:p>
        </w:tc>
      </w:tr>
    </w:tbl>
    <w:p>
      <w:pPr>
        <w:pStyle w:val="TextBody"/>
        <w:spacing w:before="120" w:after="0"/>
        <w:jc w:val="left"/>
        <w:rPr>
          <w:rFonts w:ascii="Times New Roman" w:hAnsi="Times New Roman"/>
          <w:sz w:val="20"/>
        </w:rPr>
      </w:pPr>
      <w:r>
        <w:rPr>
          <w:rFonts w:ascii="Times New Roman" w:hAnsi="Times New Roman"/>
          <w:sz w:val="20"/>
        </w:rPr>
        <w:t xml:space="preserve">See the responses to Item 8 on the attached cover pages.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5.</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spacing w:before="120" w:after="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6.</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b/>
              </w:rPr>
            </w:pPr>
            <w:r>
              <w:rPr>
                <w:b/>
              </w:rPr>
              <w:t>Item 7.</w:t>
            </w:r>
          </w:p>
        </w:tc>
        <w:tc>
          <w:tcPr>
            <w:tcW w:w="928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w:t>
            </w:r>
          </w:p>
        </w:tc>
      </w:tr>
    </w:tbl>
    <w:p>
      <w:pPr>
        <w:pStyle w:val="TextBody"/>
        <w:spacing w:before="120" w:after="0"/>
        <w:jc w:val="left"/>
        <w:rPr>
          <w:rFonts w:ascii="Times New Roman" w:hAnsi="Times New Roman"/>
          <w:sz w:val="20"/>
        </w:rPr>
      </w:pPr>
      <w:r>
        <w:rPr>
          <w:rFonts w:ascii="Times New Roman" w:hAnsi="Times New Roman"/>
          <w:sz w:val="20"/>
        </w:rPr>
        <w:t xml:space="preserve">See Item 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b/>
              </w:rPr>
            </w:pPr>
            <w:r>
              <w:rPr>
                <w:b/>
              </w:rPr>
              <w:t>Item 8.</w:t>
            </w:r>
          </w:p>
        </w:tc>
        <w:tc>
          <w:tcPr>
            <w:tcW w:w="91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b/>
              </w:rPr>
            </w:pPr>
            <w:r>
              <w:rPr>
                <w:b/>
              </w:rPr>
              <w:t>Item 9.</w:t>
            </w:r>
          </w:p>
        </w:tc>
        <w:tc>
          <w:tcPr>
            <w:tcW w:w="918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spacing w:before="120" w:after="0"/>
        <w:jc w:val="left"/>
        <w:rPr>
          <w:rFonts w:ascii="Times New Roman" w:hAnsi="Times New Roman"/>
          <w:sz w:val="20"/>
        </w:rPr>
      </w:pPr>
      <w:r>
        <w:rPr>
          <w:rFonts w:ascii="Times New Roman" w:hAnsi="Times New Roman"/>
          <w:sz w:val="20"/>
        </w:rPr>
        <w:t xml:space="preserve">Not Applicable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7 of 9 pages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b/>
              </w:rPr>
            </w:pPr>
            <w:r>
              <w:rPr>
                <w:b/>
              </w:rPr>
              <w:t>Item 10.</w:t>
            </w:r>
          </w:p>
        </w:tc>
        <w:tc>
          <w:tcPr>
            <w:tcW w:w="9288"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Certification. </w:t>
            </w:r>
          </w:p>
        </w:tc>
      </w:tr>
    </w:tbl>
    <w:p>
      <w:pPr>
        <w:pStyle w:val="TextBody"/>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8 of 9 pages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spacing w:before="240" w:after="0"/>
        <w:jc w:val="left"/>
        <w:rPr>
          <w:rFonts w:ascii="Times New Roman" w:hAnsi="Times New Roman"/>
          <w:sz w:val="20"/>
        </w:rPr>
      </w:pPr>
      <w:r>
        <w:rPr>
          <w:rFonts w:ascii="Times New Roman" w:hAnsi="Times New Roman"/>
          <w:sz w:val="20"/>
        </w:rPr>
        <w:t xml:space="preserve">Date: May 2, 2023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67"/>
        <w:gridCol w:w="60"/>
        <w:gridCol w:w="3355"/>
      </w:tblGrid>
      <w:tr>
        <w:trPr/>
        <w:tc>
          <w:tcPr>
            <w:tcW w:w="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Giovanni Agnelli B.V.</w:t>
            </w:r>
          </w:p>
        </w:tc>
      </w:tr>
      <w:tr>
        <w:trPr>
          <w:trHeight w:val="195" w:hRule="atLeast"/>
        </w:trPr>
        <w:tc>
          <w:tcPr>
            <w:tcW w:w="667" w:type="dxa"/>
            <w:tcBorders/>
            <w:shd w:fill="auto" w:val="clear"/>
            <w:vAlign w:val="center"/>
          </w:tcPr>
          <w:p>
            <w:pPr>
              <w:pStyle w:val="TableContents"/>
              <w:spacing w:before="0" w:after="283"/>
              <w:rPr>
                <w:sz w:val="4"/>
                <w:szCs w:val="4"/>
              </w:rPr>
            </w:pPr>
            <w:r>
              <w:rPr>
                <w:sz w:val="4"/>
                <w:szCs w:val="4"/>
              </w:rPr>
            </w:r>
          </w:p>
        </w:tc>
        <w:tc>
          <w:tcPr>
            <w:tcW w:w="3415" w:type="dxa"/>
            <w:gridSpan w:val="2"/>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Guido de Boer</w:t>
            </w:r>
          </w:p>
        </w:tc>
      </w:tr>
      <w:tr>
        <w:trPr/>
        <w:tc>
          <w:tcPr>
            <w:tcW w:w="66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Guido de Boer</w:t>
            </w:r>
          </w:p>
        </w:tc>
      </w:tr>
      <w:tr>
        <w:trPr/>
        <w:tc>
          <w:tcPr>
            <w:tcW w:w="66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Authorised Signatory</w:t>
            </w:r>
          </w:p>
        </w:tc>
      </w:tr>
      <w:tr>
        <w:trPr>
          <w:trHeight w:val="195"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Exor N.V.</w:t>
            </w:r>
          </w:p>
        </w:tc>
      </w:tr>
      <w:tr>
        <w:trPr>
          <w:trHeight w:val="195" w:hRule="atLeast"/>
        </w:trPr>
        <w:tc>
          <w:tcPr>
            <w:tcW w:w="667" w:type="dxa"/>
            <w:tcBorders/>
            <w:shd w:fill="auto" w:val="clear"/>
            <w:vAlign w:val="center"/>
          </w:tcPr>
          <w:p>
            <w:pPr>
              <w:pStyle w:val="TableContents"/>
              <w:spacing w:before="0" w:after="283"/>
              <w:rPr>
                <w:sz w:val="4"/>
                <w:szCs w:val="4"/>
              </w:rPr>
            </w:pPr>
            <w:r>
              <w:rPr>
                <w:sz w:val="4"/>
                <w:szCs w:val="4"/>
              </w:rPr>
            </w:r>
          </w:p>
        </w:tc>
        <w:tc>
          <w:tcPr>
            <w:tcW w:w="3415" w:type="dxa"/>
            <w:gridSpan w:val="2"/>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Guido de Boer</w:t>
            </w:r>
          </w:p>
        </w:tc>
      </w:tr>
      <w:tr>
        <w:trPr/>
        <w:tc>
          <w:tcPr>
            <w:tcW w:w="66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Guido de Boer</w:t>
            </w:r>
          </w:p>
        </w:tc>
      </w:tr>
      <w:tr>
        <w:trPr/>
        <w:tc>
          <w:tcPr>
            <w:tcW w:w="66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Chief Financial Officer</w:t>
            </w:r>
          </w:p>
        </w:tc>
      </w:tr>
      <w:tr>
        <w:trPr>
          <w:trHeight w:val="195"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Exor Investments Limited</w:t>
            </w:r>
          </w:p>
        </w:tc>
      </w:tr>
      <w:tr>
        <w:trPr>
          <w:trHeight w:val="195" w:hRule="atLeast"/>
        </w:trPr>
        <w:tc>
          <w:tcPr>
            <w:tcW w:w="667" w:type="dxa"/>
            <w:tcBorders/>
            <w:shd w:fill="auto" w:val="clear"/>
            <w:vAlign w:val="center"/>
          </w:tcPr>
          <w:p>
            <w:pPr>
              <w:pStyle w:val="TableContents"/>
              <w:spacing w:before="0" w:after="283"/>
              <w:rPr>
                <w:sz w:val="4"/>
                <w:szCs w:val="4"/>
              </w:rPr>
            </w:pPr>
            <w:r>
              <w:rPr>
                <w:sz w:val="4"/>
                <w:szCs w:val="4"/>
              </w:rPr>
            </w:r>
          </w:p>
        </w:tc>
        <w:tc>
          <w:tcPr>
            <w:tcW w:w="3415" w:type="dxa"/>
            <w:gridSpan w:val="2"/>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Guido de Boer</w:t>
            </w:r>
          </w:p>
        </w:tc>
      </w:tr>
      <w:tr>
        <w:trPr/>
        <w:tc>
          <w:tcPr>
            <w:tcW w:w="66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Guido de Boer</w:t>
            </w:r>
          </w:p>
        </w:tc>
      </w:tr>
      <w:tr>
        <w:trPr/>
        <w:tc>
          <w:tcPr>
            <w:tcW w:w="66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Director</w:t>
            </w:r>
          </w:p>
        </w:tc>
      </w:tr>
      <w:tr>
        <w:trPr>
          <w:trHeight w:val="195"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Exor Capital LLP</w:t>
            </w:r>
          </w:p>
        </w:tc>
      </w:tr>
      <w:tr>
        <w:trPr>
          <w:trHeight w:val="195" w:hRule="atLeast"/>
        </w:trPr>
        <w:tc>
          <w:tcPr>
            <w:tcW w:w="667" w:type="dxa"/>
            <w:tcBorders/>
            <w:shd w:fill="auto" w:val="clear"/>
            <w:vAlign w:val="center"/>
          </w:tcPr>
          <w:p>
            <w:pPr>
              <w:pStyle w:val="TableContents"/>
              <w:spacing w:before="0" w:after="283"/>
              <w:rPr>
                <w:sz w:val="4"/>
                <w:szCs w:val="4"/>
              </w:rPr>
            </w:pPr>
            <w:r>
              <w:rPr>
                <w:sz w:val="4"/>
                <w:szCs w:val="4"/>
              </w:rPr>
            </w:r>
          </w:p>
        </w:tc>
        <w:tc>
          <w:tcPr>
            <w:tcW w:w="3415" w:type="dxa"/>
            <w:gridSpan w:val="2"/>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Enrico Vellano</w:t>
            </w:r>
          </w:p>
        </w:tc>
      </w:tr>
      <w:tr>
        <w:trPr/>
        <w:tc>
          <w:tcPr>
            <w:tcW w:w="667" w:type="dxa"/>
            <w:tcBorders/>
            <w:shd w:fill="auto" w:val="clear"/>
          </w:tcPr>
          <w:p>
            <w:pPr>
              <w:pStyle w:val="TableContents"/>
              <w:spacing w:before="0" w:after="283"/>
              <w:rPr/>
            </w:pPr>
            <w:r>
              <w:rPr/>
              <w:t>Name:</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Enrico Vellano</w:t>
            </w:r>
          </w:p>
        </w:tc>
      </w:tr>
      <w:tr>
        <w:trPr/>
        <w:tc>
          <w:tcPr>
            <w:tcW w:w="667" w:type="dxa"/>
            <w:tcBorders/>
            <w:shd w:fill="auto" w:val="clear"/>
          </w:tcPr>
          <w:p>
            <w:pPr>
              <w:pStyle w:val="TableContents"/>
              <w:spacing w:before="0" w:after="283"/>
              <w:rPr/>
            </w:pPr>
            <w:r>
              <w:rPr/>
              <w:t>Title:</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Co-CEO</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Page 9 of 9 pages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1460</Words>
  <CharactersWithSpaces>8728</CharactersWithSpaces>
  <Paragraphs>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